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December 22, 2017</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000-22418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208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88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2111 N. Molter Road, Liberty Lake, WA 99019</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(509) 924-9900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Indenture and Escrow Agreement</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December 22, 2017, Itron, Inc. (“Itron”), closed the previously announced offering of $300 million aggregate principal amount of 5.000% senior notes due 2026 (the “Notes”). The Notes were issued pursuant to an indenture, dated as of December 22, 2017 (the “Indenture”), among Itron, the guarantors from time to time party thereto and U.S. Bank National Association, as trustee. The Indenture is filed as Exhibit 4.1 to this report.</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sale of the Notes is part of the financing of the merger consideration for the previously announced acquisition of Silver Spring Networks, Inc. (“SSNI”) by Itron (the “SSNI Acquisition”). The Notes will be jointly and severally guaranteed by each of Itron’s subsidiaries that guarantees Itron’s obligations under its senior credit facilities. On the date the Notes were issued, there were no guarantors.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SSNI Acquisition has not been completed. Itron will be required to redeem the Notes if the SSNI Acquisition is not completed. Itron currently expects the SSNI Acquisition to close in January 2018. The SSNI Acquisition is, however, subject to customary closing conditions, and Itron cannot guarantee that the SSNI Acquisition will be completed on or about such date, or at all.</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Concurrently with the closing of the offering of the Notes, Itron entered into an escrow agreement (the “Escrow Agreement”) pursuant to which the initial purchasers of the Notes on behalf (and at the direction) of Itron, deposited the net proceeds of the offering into an escrow account. The Escrow Agreement is filed as Exhibit 4.2 to this report.</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Itron deposited into the escrow account an additional amount in cash, which together with such net proceeds, would be sufficient to pay the Special Mandatory Redemption Amount (as defined in the Indenture), including all interest that would accrue on the Notes to, but not including, the Special Mandatory Redemption Date (as defined in the Indenture), assuming for purposes of this interest calculation that notice of the escrow release conditions described herein is delivered to the escrow agent on June 17, 2018 (the “Outside Date”). The funds in such escrow account will be pledged as security for the benefit of the holders of the Notes. If the SSNI Acquisition is not consummated on or before the Outside Date or the Extended Outside Date (as defined in the Indenture), as applicable, or Itron notifies the escrow agent that the SSNI Acquisition will not be pursued or otherwise announce that the Agreement and Plan of Merger dated as of September 17, 2017, by and among SSNI, Itron and Ivory Merger Sub, Inc., a Delaware corporation and wholly-owned subsidiary of Itron, has been terminated, then Itron will be required to redeem all of the Notes at a redemption price equal to 101% of the principal amount of the Notes plus accrued and unpaid interest, if any, to, but not including, the date of redemption.</w:t>
      </w:r>
    </w:p>
    <w:p>
      <w:pPr>
        <w:spacing w:after="0" w:line="182"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The Notes and the guarantees will be Itron’s and the guarantors’ senior unsecured obligations (other than with respect to a security interest in the escrow account prior to the Escrow Release (as defined in the Indenture)) and will rank equally in right of payment with Itron’s and the guarantors’ existing and future senior obligations. Subject to certain exceptions, future subsidiaries that guarantee Itron’s senior secured credit facilities or guarantee certain other indebtedness will also guarantee the Notes. The Notes and the guarantees will be effectively subordinated to all of Itron’s and the guarantors’ secured indebtedness, including the senior secured credit facilities, to the extent of the value of the collateral securing such indebtedness and will be structurally subordinated to all existing and future liabilities of each of Itron’s existing and future subsidiaries that do not guarantee the Notes.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Notes will bear interest at a rate of 5.000% per annum, payable semi-annually on January 15 and July 15 of each year, beginning on July 15, 2018, to persons who are registered holders of the Notes on the immediately preceding January 1 and July 1, respectively.</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event of a Change of Control (as defined in the Indenture), each holder of the Notes will have the right to require Itron to repurchase all or any part of that holder’s Notes at a purchase price of 101% of the principal amount of Notes repurchased, plus accrued and unpaid interest, if any, to the date of such repurchase.</w:t>
      </w:r>
    </w:p>
    <w:p>
      <w:pPr>
        <w:spacing w:after="0" w:line="18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The Notes will mature on January 15, 2026. However, prior to January 15, 2021, Itron may, at its option, redeem some or all of the Notes at a redemption price equal to 100% of the principal amount of the Notes, together with accrued and unpaid interest, if any, plus a “make- whole” premium. On or after January 15, 2021, Itron may, at its option, redeem some or all of the Notes at any time at declining redemption prices equal to 102.500% beginning on January 15, 2021, 101.250% beginning on January 15, 2022 and 100.000% beginning on January 15, 2023 and thereafter, plus, in each case, accrued and unpaid interest, if any, to the applicable redemption date. In addition, before January 15, 2021, and subject to certain conditions, Itron may, at its option, redeem up to 35% of the aggregate principal amount of Notes with the net proceeds of certain equity offerings at 105.000% of the principal amount thereof, plus accrued and unpaid interest, if any, to the date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least 65% of the aggregate principal amount of Notes remains outstanding after such redemption and (ii) the redemption occurs within 60 days of the closing of any such equity offering.</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above description of the Indenture and Escrow Agreement does not purport to be a complete statement of the parties’ rights and obligations under the Indenture and Escrow Agreement and is qualified in its entirety by reference to the terms of the Indenture and Escrow Agreement, copies of which are attached hereto as Exhibit 4.1 and Exhibit 4.2, respectively, and incorporated herein by reference.</w:t>
      </w:r>
    </w:p>
    <w:p>
      <w:pPr>
        <w:spacing w:after="0" w:line="18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Notes and the related guarantees will not be registered under the Securities Act of 1933, as amended, or the securities laws of any state or other jurisdiction, and, unless so registered, may not be offered or sold in the United States absent registration or an applicable exemption from registration requirements.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report does not constitute an offer to sell, or a solicitation of an offer to buy, any security. No offer, solicitation, or sale will be made in any jurisdiction in which such an offer, solicitation, or sale would be unlawful.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ind w:right="499"/>
        <w:spacing w:after="0" w:line="40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2.03 Creation of a Direct Financial Obligation or an Obligation Under an Off-Balance Sheet Arrangement of a Registrant </w:t>
      </w:r>
      <w:r>
        <w:rPr>
          <w:rFonts w:ascii="Arial" w:cs="Arial" w:eastAsia="Arial" w:hAnsi="Arial"/>
          <w:sz w:val="18"/>
          <w:szCs w:val="18"/>
          <w:color w:val="auto"/>
        </w:rPr>
        <w:t>The information regarding the Indenture set forth in Item 1.01 above is incorporated herein by reference.</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color w:val="auto"/>
                <w:w w:val="99"/>
              </w:rPr>
              <w:t>Exhibit</w:t>
            </w: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48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w w:val="92"/>
              </w:rPr>
              <w:t>Number</w:t>
            </w: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20" w:type="dxa"/>
            <w:vAlign w:val="bottom"/>
            <w:gridSpan w:val="5"/>
          </w:tcPr>
          <w:p>
            <w:pPr>
              <w:ind w:left="2480"/>
              <w:spacing w:after="0" w:line="147" w:lineRule="exact"/>
              <w:rPr>
                <w:sz w:val="20"/>
                <w:szCs w:val="20"/>
                <w:color w:val="auto"/>
              </w:rPr>
            </w:pPr>
            <w:r>
              <w:rPr>
                <w:rFonts w:ascii="Arial" w:cs="Arial" w:eastAsia="Arial" w:hAnsi="Arial"/>
                <w:sz w:val="14"/>
                <w:szCs w:val="14"/>
                <w:color w:val="auto"/>
              </w:rPr>
              <w:t>Description</w:t>
            </w: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2"/>
                <w:szCs w:val="22"/>
                <w:color w:val="auto"/>
              </w:rPr>
            </w:pPr>
          </w:p>
        </w:tc>
        <w:tc>
          <w:tcPr>
            <w:tcW w:w="94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Indenture, dated as of December 22, 2017 among Itron, Inc., the guarantors from time to time party thereto and U.S. Bank National</w:t>
              </w:r>
            </w:hyperlink>
          </w:p>
        </w:tc>
        <w:tc>
          <w:tcPr>
            <w:tcW w:w="280" w:type="dxa"/>
            <w:vAlign w:val="bottom"/>
            <w:gridSpan w:val="2"/>
          </w:tcPr>
          <w:p>
            <w:pPr>
              <w:spacing w:after="0"/>
              <w:rPr>
                <w:sz w:val="22"/>
                <w:szCs w:val="22"/>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Association, as trustee.</w:t>
              </w:r>
            </w:hyperlink>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color w:val="0000EE"/>
                <w:w w:val="90"/>
              </w:rPr>
            </w:pPr>
            <w:hyperlink w:anchor="page115">
              <w:r>
                <w:rPr>
                  <w:rFonts w:ascii="Arial" w:cs="Arial" w:eastAsia="Arial" w:hAnsi="Arial"/>
                  <w:sz w:val="18"/>
                  <w:szCs w:val="18"/>
                  <w:color w:val="0000EE"/>
                  <w:w w:val="90"/>
                </w:rPr>
                <w:t>Escrow Agreement, dated as of December 22, 2017 among Itron, Inc., U.S. Bank National Association, as escrow agent and U.S. Bank</w:t>
              </w:r>
            </w:hyperlink>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National Association, as trustee.</w:t>
              </w:r>
            </w:hyperlink>
          </w:p>
        </w:tc>
        <w:tc>
          <w:tcPr>
            <w:tcW w:w="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may contain “forward-looking” statements, as defined in federal securities laws including the Private Securities Litigation Reform Act of 1995, which are based on our current expectations, estimates, forecasts and projections. Statements that are not historical facts, including statements about beliefs, plans and expectations are forward-looking statements. Statements that include words such as “anticipates”, “expects”, “intends”, “plans”, “predicts”, “believes”, “seeks”, “estimates”, “may”, “will”, “should”, “would”, “potential”, “continue”, “goals”, “targets” and variations of these words (or negatives of these words) or similar expressions of a future or forward-looking nature identify forward-looking statements. In addition, any statements that refer to projections or other characterizations of future events or circumstances, including any underlying assumptions are forward-looking statements. Forward-looking statements are based on current expectations and are subject to a number of risks, factors and uncertainties that could cause actual results to differ materially from those described in the forward-looking statements. Important factors and uncertainties that could cause actual results to differ materially from those described in these forward-looking statements include, without limitation: the risk that SSNI’s stockholders do not approve the transaction; uncertainties as to the timing of the transaction; the parties’ ability to meet expectations regarding the timing, completion and accounting and tax treatments of the merger; the impact of indebtedness incurred by Itron in connection with the transaction and the potential impact on the rating of indebtedness of Itron; legal proceedings that may be instituted against Itron or SSNI and others; the effects of the business combination of Itron and SSNI, including the combined company’s future financial condition, operating results, strategy and plans.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1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Shannon M. Votava</w:t>
            </w:r>
          </w:p>
        </w:tc>
      </w:tr>
      <w:tr>
        <w:trPr>
          <w:trHeight w:val="209"/>
        </w:trPr>
        <w:tc>
          <w:tcPr>
            <w:tcW w:w="6280" w:type="dxa"/>
            <w:vAlign w:val="bottom"/>
          </w:tcPr>
          <w:p>
            <w:pPr>
              <w:jc w:val="right"/>
              <w:ind w:right="4250"/>
              <w:spacing w:after="0"/>
              <w:rPr>
                <w:sz w:val="20"/>
                <w:szCs w:val="20"/>
                <w:color w:val="auto"/>
              </w:rPr>
            </w:pPr>
            <w:r>
              <w:rPr>
                <w:rFonts w:ascii="Arial" w:cs="Arial" w:eastAsia="Arial" w:hAnsi="Arial"/>
                <w:sz w:val="18"/>
                <w:szCs w:val="18"/>
                <w:color w:val="auto"/>
                <w:w w:val="88"/>
              </w:rPr>
              <w:t>Dated: December 22, 2017</w:t>
            </w: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Shannon M. Votava</w:t>
            </w:r>
          </w:p>
        </w:tc>
      </w:tr>
      <w:tr>
        <w:trPr>
          <w:trHeight w:val="230"/>
        </w:trPr>
        <w:tc>
          <w:tcPr>
            <w:tcW w:w="62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Senior Vice President, General Counsel and Corporate Secretary</w:t>
            </w:r>
          </w:p>
        </w:tc>
      </w:tr>
      <w:tr>
        <w:trPr>
          <w:trHeight w:val="365"/>
        </w:trPr>
        <w:tc>
          <w:tcPr>
            <w:tcW w:w="6280" w:type="dxa"/>
            <w:vAlign w:val="bottom"/>
          </w:tcPr>
          <w:p>
            <w:pPr>
              <w:jc w:val="right"/>
              <w:ind w:right="370"/>
              <w:spacing w:after="0"/>
              <w:rPr>
                <w:sz w:val="20"/>
                <w:szCs w:val="20"/>
                <w:color w:val="auto"/>
              </w:rPr>
            </w:pPr>
            <w:r>
              <w:rPr>
                <w:rFonts w:ascii="Arial" w:cs="Arial" w:eastAsia="Arial" w:hAnsi="Arial"/>
                <w:sz w:val="18"/>
                <w:szCs w:val="18"/>
                <w:color w:val="auto"/>
              </w:rPr>
              <w:t>-6-</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AND EACH OF THE GUARANTORS FROM TIME TO TIME PARTY HERETO</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5.000% SENIOR NOTES DUE 2026</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December 22, 2017</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U.S. BANK NATIONAL ASSOCIATION, as Trustee</w:t>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8100" w:type="dxa"/>
            <w:vAlign w:val="bottom"/>
          </w:tcPr>
          <w:p>
            <w:pPr>
              <w:ind w:left="3420"/>
              <w:spacing w:after="0"/>
              <w:rPr>
                <w:sz w:val="20"/>
                <w:szCs w:val="20"/>
                <w:color w:val="auto"/>
              </w:rPr>
            </w:pPr>
            <w:r>
              <w:rPr>
                <w:rFonts w:ascii="Arial" w:cs="Arial" w:eastAsia="Arial" w:hAnsi="Arial"/>
                <w:sz w:val="18"/>
                <w:szCs w:val="18"/>
                <w:color w:val="auto"/>
              </w:rPr>
              <w:t>TABLE OF CONTENTS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380" w:type="dxa"/>
            <w:vAlign w:val="bottom"/>
          </w:tcPr>
          <w:p>
            <w:pPr>
              <w:spacing w:after="0"/>
              <w:rPr>
                <w:sz w:val="24"/>
                <w:szCs w:val="24"/>
                <w:color w:val="auto"/>
              </w:rPr>
            </w:pPr>
          </w:p>
        </w:tc>
        <w:tc>
          <w:tcPr>
            <w:tcW w:w="8100" w:type="dxa"/>
            <w:vAlign w:val="bottom"/>
            <w:vMerge w:val="restart"/>
          </w:tcPr>
          <w:p>
            <w:pPr>
              <w:jc w:val="center"/>
              <w:ind w:left="430"/>
              <w:spacing w:after="0"/>
              <w:rPr>
                <w:sz w:val="20"/>
                <w:szCs w:val="20"/>
                <w:color w:val="auto"/>
              </w:rPr>
            </w:pPr>
            <w:r>
              <w:rPr>
                <w:rFonts w:ascii="Arial" w:cs="Arial" w:eastAsia="Arial" w:hAnsi="Arial"/>
                <w:sz w:val="18"/>
                <w:szCs w:val="18"/>
                <w:color w:val="auto"/>
                <w:w w:val="99"/>
              </w:rPr>
              <w:t>ARTICLE I</w:t>
            </w:r>
          </w:p>
        </w:tc>
        <w:tc>
          <w:tcPr>
            <w:tcW w:w="188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810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100" w:type="dxa"/>
            <w:vAlign w:val="bottom"/>
          </w:tcPr>
          <w:p>
            <w:pPr>
              <w:jc w:val="center"/>
              <w:ind w:left="430"/>
              <w:spacing w:after="0"/>
              <w:rPr>
                <w:sz w:val="20"/>
                <w:szCs w:val="20"/>
                <w:color w:val="auto"/>
              </w:rPr>
            </w:pPr>
            <w:r>
              <w:rPr>
                <w:rFonts w:ascii="Arial" w:cs="Arial" w:eastAsia="Arial" w:hAnsi="Arial"/>
                <w:sz w:val="18"/>
                <w:szCs w:val="18"/>
                <w:color w:val="auto"/>
                <w:w w:val="96"/>
              </w:rPr>
              <w:t>DEFINITIONS AND INCORPORATION BY REFERENCE</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1.01.</w:t>
            </w:r>
          </w:p>
        </w:tc>
        <w:tc>
          <w:tcPr>
            <w:tcW w:w="8100" w:type="dxa"/>
            <w:vAlign w:val="bottom"/>
          </w:tcPr>
          <w:p>
            <w:pPr>
              <w:ind w:left="420"/>
              <w:spacing w:after="0"/>
              <w:rPr>
                <w:sz w:val="20"/>
                <w:szCs w:val="20"/>
                <w:color w:val="auto"/>
              </w:rPr>
            </w:pPr>
            <w:r>
              <w:rPr>
                <w:rFonts w:ascii="Arial" w:cs="Arial" w:eastAsia="Arial" w:hAnsi="Arial"/>
                <w:sz w:val="18"/>
                <w:szCs w:val="18"/>
                <w:color w:val="auto"/>
              </w:rPr>
              <w:t>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1.02.</w:t>
            </w:r>
          </w:p>
        </w:tc>
        <w:tc>
          <w:tcPr>
            <w:tcW w:w="8100" w:type="dxa"/>
            <w:vAlign w:val="bottom"/>
          </w:tcPr>
          <w:p>
            <w:pPr>
              <w:ind w:left="420"/>
              <w:spacing w:after="0"/>
              <w:rPr>
                <w:sz w:val="20"/>
                <w:szCs w:val="20"/>
                <w:color w:val="auto"/>
              </w:rPr>
            </w:pPr>
            <w:r>
              <w:rPr>
                <w:rFonts w:ascii="Arial" w:cs="Arial" w:eastAsia="Arial" w:hAnsi="Arial"/>
                <w:sz w:val="18"/>
                <w:szCs w:val="18"/>
                <w:color w:val="auto"/>
              </w:rPr>
              <w:t>Other 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1.03.</w:t>
            </w:r>
          </w:p>
        </w:tc>
        <w:tc>
          <w:tcPr>
            <w:tcW w:w="8100" w:type="dxa"/>
            <w:vAlign w:val="bottom"/>
          </w:tcPr>
          <w:p>
            <w:pPr>
              <w:ind w:left="420"/>
              <w:spacing w:after="0"/>
              <w:rPr>
                <w:sz w:val="20"/>
                <w:szCs w:val="20"/>
                <w:color w:val="auto"/>
              </w:rPr>
            </w:pPr>
            <w:r>
              <w:rPr>
                <w:rFonts w:ascii="Arial" w:cs="Arial" w:eastAsia="Arial" w:hAnsi="Arial"/>
                <w:sz w:val="18"/>
                <w:szCs w:val="18"/>
                <w:color w:val="auto"/>
              </w:rPr>
              <w:t>Rules of Construction</w:t>
            </w: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1380" w:type="dxa"/>
            <w:vAlign w:val="bottom"/>
          </w:tcPr>
          <w:p>
            <w:pPr>
              <w:spacing w:after="0"/>
              <w:rPr>
                <w:sz w:val="24"/>
                <w:szCs w:val="24"/>
                <w:color w:val="auto"/>
              </w:rPr>
            </w:pPr>
          </w:p>
        </w:tc>
        <w:tc>
          <w:tcPr>
            <w:tcW w:w="8100" w:type="dxa"/>
            <w:vAlign w:val="bottom"/>
          </w:tcPr>
          <w:p>
            <w:pPr>
              <w:jc w:val="center"/>
              <w:ind w:left="430"/>
              <w:spacing w:after="0"/>
              <w:rPr>
                <w:sz w:val="20"/>
                <w:szCs w:val="20"/>
                <w:color w:val="auto"/>
              </w:rPr>
            </w:pPr>
            <w:r>
              <w:rPr>
                <w:rFonts w:ascii="Arial" w:cs="Arial" w:eastAsia="Arial" w:hAnsi="Arial"/>
                <w:sz w:val="18"/>
                <w:szCs w:val="18"/>
                <w:color w:val="auto"/>
                <w:w w:val="98"/>
              </w:rPr>
              <w:t>ARTICLE II</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100" w:type="dxa"/>
            <w:vAlign w:val="bottom"/>
          </w:tcPr>
          <w:p>
            <w:pPr>
              <w:jc w:val="center"/>
              <w:ind w:left="430"/>
              <w:spacing w:after="0"/>
              <w:rPr>
                <w:sz w:val="20"/>
                <w:szCs w:val="20"/>
                <w:color w:val="auto"/>
              </w:rPr>
            </w:pPr>
            <w:r>
              <w:rPr>
                <w:rFonts w:ascii="Arial" w:cs="Arial" w:eastAsia="Arial" w:hAnsi="Arial"/>
                <w:sz w:val="18"/>
                <w:szCs w:val="18"/>
                <w:color w:val="auto"/>
                <w:w w:val="95"/>
              </w:rPr>
              <w:t>THE NOTES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2.01.</w:t>
            </w:r>
          </w:p>
        </w:tc>
        <w:tc>
          <w:tcPr>
            <w:tcW w:w="8100" w:type="dxa"/>
            <w:vAlign w:val="bottom"/>
          </w:tcPr>
          <w:p>
            <w:pPr>
              <w:ind w:left="420"/>
              <w:spacing w:after="0"/>
              <w:rPr>
                <w:sz w:val="20"/>
                <w:szCs w:val="20"/>
                <w:color w:val="auto"/>
              </w:rPr>
            </w:pPr>
            <w:r>
              <w:rPr>
                <w:rFonts w:ascii="Arial" w:cs="Arial" w:eastAsia="Arial" w:hAnsi="Arial"/>
                <w:sz w:val="18"/>
                <w:szCs w:val="18"/>
                <w:color w:val="auto"/>
              </w:rPr>
              <w:t>Form and Dating</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2.02.</w:t>
            </w:r>
          </w:p>
        </w:tc>
        <w:tc>
          <w:tcPr>
            <w:tcW w:w="8100" w:type="dxa"/>
            <w:vAlign w:val="bottom"/>
          </w:tcPr>
          <w:p>
            <w:pPr>
              <w:ind w:left="420"/>
              <w:spacing w:after="0"/>
              <w:rPr>
                <w:sz w:val="20"/>
                <w:szCs w:val="20"/>
                <w:color w:val="auto"/>
              </w:rPr>
            </w:pPr>
            <w:r>
              <w:rPr>
                <w:rFonts w:ascii="Arial" w:cs="Arial" w:eastAsia="Arial" w:hAnsi="Arial"/>
                <w:sz w:val="18"/>
                <w:szCs w:val="18"/>
                <w:color w:val="auto"/>
              </w:rPr>
              <w:t>Execution and Authentication</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2.03.</w:t>
            </w:r>
          </w:p>
        </w:tc>
        <w:tc>
          <w:tcPr>
            <w:tcW w:w="8100" w:type="dxa"/>
            <w:vAlign w:val="bottom"/>
          </w:tcPr>
          <w:p>
            <w:pPr>
              <w:ind w:left="420"/>
              <w:spacing w:after="0"/>
              <w:rPr>
                <w:sz w:val="20"/>
                <w:szCs w:val="20"/>
                <w:color w:val="auto"/>
              </w:rPr>
            </w:pPr>
            <w:r>
              <w:rPr>
                <w:rFonts w:ascii="Arial" w:cs="Arial" w:eastAsia="Arial" w:hAnsi="Arial"/>
                <w:sz w:val="18"/>
                <w:szCs w:val="18"/>
                <w:color w:val="auto"/>
              </w:rPr>
              <w:t>Registrar and Paying Agent</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2.04.</w:t>
            </w:r>
          </w:p>
        </w:tc>
        <w:tc>
          <w:tcPr>
            <w:tcW w:w="8100" w:type="dxa"/>
            <w:vAlign w:val="bottom"/>
          </w:tcPr>
          <w:p>
            <w:pPr>
              <w:ind w:left="420"/>
              <w:spacing w:after="0"/>
              <w:rPr>
                <w:sz w:val="20"/>
                <w:szCs w:val="20"/>
                <w:color w:val="auto"/>
              </w:rPr>
            </w:pPr>
            <w:r>
              <w:rPr>
                <w:rFonts w:ascii="Arial" w:cs="Arial" w:eastAsia="Arial" w:hAnsi="Arial"/>
                <w:sz w:val="18"/>
                <w:szCs w:val="18"/>
                <w:color w:val="auto"/>
              </w:rPr>
              <w:t>Paying Agent To Hold Money in Trust</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2.05.</w:t>
            </w:r>
          </w:p>
        </w:tc>
        <w:tc>
          <w:tcPr>
            <w:tcW w:w="8100" w:type="dxa"/>
            <w:vAlign w:val="bottom"/>
          </w:tcPr>
          <w:p>
            <w:pPr>
              <w:ind w:left="420"/>
              <w:spacing w:after="0"/>
              <w:rPr>
                <w:sz w:val="20"/>
                <w:szCs w:val="20"/>
                <w:color w:val="auto"/>
              </w:rPr>
            </w:pPr>
            <w:r>
              <w:rPr>
                <w:rFonts w:ascii="Arial" w:cs="Arial" w:eastAsia="Arial" w:hAnsi="Arial"/>
                <w:sz w:val="18"/>
                <w:szCs w:val="18"/>
                <w:color w:val="auto"/>
              </w:rPr>
              <w:t>Holder Lists</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2.06.</w:t>
            </w:r>
          </w:p>
        </w:tc>
        <w:tc>
          <w:tcPr>
            <w:tcW w:w="8100" w:type="dxa"/>
            <w:vAlign w:val="bottom"/>
          </w:tcPr>
          <w:p>
            <w:pPr>
              <w:ind w:left="420"/>
              <w:spacing w:after="0"/>
              <w:rPr>
                <w:sz w:val="20"/>
                <w:szCs w:val="20"/>
                <w:color w:val="auto"/>
              </w:rPr>
            </w:pPr>
            <w:r>
              <w:rPr>
                <w:rFonts w:ascii="Arial" w:cs="Arial" w:eastAsia="Arial" w:hAnsi="Arial"/>
                <w:sz w:val="18"/>
                <w:szCs w:val="18"/>
                <w:color w:val="auto"/>
              </w:rPr>
              <w:t>Transfer and Exchange</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2.07.</w:t>
            </w:r>
          </w:p>
        </w:tc>
        <w:tc>
          <w:tcPr>
            <w:tcW w:w="8100" w:type="dxa"/>
            <w:vAlign w:val="bottom"/>
          </w:tcPr>
          <w:p>
            <w:pPr>
              <w:ind w:left="420"/>
              <w:spacing w:after="0"/>
              <w:rPr>
                <w:sz w:val="20"/>
                <w:szCs w:val="20"/>
                <w:color w:val="auto"/>
              </w:rPr>
            </w:pPr>
            <w:r>
              <w:rPr>
                <w:rFonts w:ascii="Arial" w:cs="Arial" w:eastAsia="Arial" w:hAnsi="Arial"/>
                <w:sz w:val="18"/>
                <w:szCs w:val="18"/>
                <w:color w:val="auto"/>
              </w:rPr>
              <w:t>Replacement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2.08.</w:t>
            </w:r>
          </w:p>
        </w:tc>
        <w:tc>
          <w:tcPr>
            <w:tcW w:w="8100" w:type="dxa"/>
            <w:vAlign w:val="bottom"/>
          </w:tcPr>
          <w:p>
            <w:pPr>
              <w:ind w:left="420"/>
              <w:spacing w:after="0"/>
              <w:rPr>
                <w:sz w:val="20"/>
                <w:szCs w:val="20"/>
                <w:color w:val="auto"/>
              </w:rPr>
            </w:pPr>
            <w:r>
              <w:rPr>
                <w:rFonts w:ascii="Arial" w:cs="Arial" w:eastAsia="Arial" w:hAnsi="Arial"/>
                <w:sz w:val="18"/>
                <w:szCs w:val="18"/>
                <w:color w:val="auto"/>
              </w:rPr>
              <w:t>Outstanding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2.09.</w:t>
            </w:r>
          </w:p>
        </w:tc>
        <w:tc>
          <w:tcPr>
            <w:tcW w:w="8100" w:type="dxa"/>
            <w:vAlign w:val="bottom"/>
          </w:tcPr>
          <w:p>
            <w:pPr>
              <w:ind w:left="420"/>
              <w:spacing w:after="0"/>
              <w:rPr>
                <w:sz w:val="20"/>
                <w:szCs w:val="20"/>
                <w:color w:val="auto"/>
              </w:rPr>
            </w:pPr>
            <w:r>
              <w:rPr>
                <w:rFonts w:ascii="Arial" w:cs="Arial" w:eastAsia="Arial" w:hAnsi="Arial"/>
                <w:sz w:val="18"/>
                <w:szCs w:val="18"/>
                <w:color w:val="auto"/>
              </w:rPr>
              <w:t>Treasury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2.10.</w:t>
            </w:r>
          </w:p>
        </w:tc>
        <w:tc>
          <w:tcPr>
            <w:tcW w:w="8100" w:type="dxa"/>
            <w:vAlign w:val="bottom"/>
          </w:tcPr>
          <w:p>
            <w:pPr>
              <w:ind w:left="420"/>
              <w:spacing w:after="0"/>
              <w:rPr>
                <w:sz w:val="20"/>
                <w:szCs w:val="20"/>
                <w:color w:val="auto"/>
              </w:rPr>
            </w:pPr>
            <w:r>
              <w:rPr>
                <w:rFonts w:ascii="Arial" w:cs="Arial" w:eastAsia="Arial" w:hAnsi="Arial"/>
                <w:sz w:val="18"/>
                <w:szCs w:val="18"/>
                <w:color w:val="auto"/>
              </w:rPr>
              <w:t>Temporary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2.11.</w:t>
            </w:r>
          </w:p>
        </w:tc>
        <w:tc>
          <w:tcPr>
            <w:tcW w:w="8100" w:type="dxa"/>
            <w:vAlign w:val="bottom"/>
          </w:tcPr>
          <w:p>
            <w:pPr>
              <w:ind w:left="420"/>
              <w:spacing w:after="0"/>
              <w:rPr>
                <w:sz w:val="20"/>
                <w:szCs w:val="20"/>
                <w:color w:val="auto"/>
              </w:rPr>
            </w:pPr>
            <w:r>
              <w:rPr>
                <w:rFonts w:ascii="Arial" w:cs="Arial" w:eastAsia="Arial" w:hAnsi="Arial"/>
                <w:sz w:val="18"/>
                <w:szCs w:val="18"/>
                <w:color w:val="auto"/>
              </w:rPr>
              <w:t>Cancellation</w:t>
            </w:r>
          </w:p>
        </w:tc>
        <w:tc>
          <w:tcPr>
            <w:tcW w:w="18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2.12.</w:t>
            </w:r>
          </w:p>
        </w:tc>
        <w:tc>
          <w:tcPr>
            <w:tcW w:w="8100" w:type="dxa"/>
            <w:vAlign w:val="bottom"/>
          </w:tcPr>
          <w:p>
            <w:pPr>
              <w:ind w:left="420"/>
              <w:spacing w:after="0"/>
              <w:rPr>
                <w:sz w:val="20"/>
                <w:szCs w:val="20"/>
                <w:color w:val="auto"/>
              </w:rPr>
            </w:pPr>
            <w:r>
              <w:rPr>
                <w:rFonts w:ascii="Arial" w:cs="Arial" w:eastAsia="Arial" w:hAnsi="Arial"/>
                <w:sz w:val="18"/>
                <w:szCs w:val="18"/>
                <w:color w:val="auto"/>
              </w:rPr>
              <w:t>Defaulted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2.13.</w:t>
            </w:r>
          </w:p>
        </w:tc>
        <w:tc>
          <w:tcPr>
            <w:tcW w:w="8100" w:type="dxa"/>
            <w:vAlign w:val="bottom"/>
          </w:tcPr>
          <w:p>
            <w:pPr>
              <w:ind w:left="420"/>
              <w:spacing w:after="0"/>
              <w:rPr>
                <w:sz w:val="20"/>
                <w:szCs w:val="20"/>
                <w:color w:val="auto"/>
              </w:rPr>
            </w:pPr>
            <w:r>
              <w:rPr>
                <w:rFonts w:ascii="Arial" w:cs="Arial" w:eastAsia="Arial" w:hAnsi="Arial"/>
                <w:sz w:val="18"/>
                <w:szCs w:val="18"/>
                <w:color w:val="auto"/>
              </w:rPr>
              <w:t>CUSIP, ISIN and Common Code Numbers</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0"/>
        </w:trPr>
        <w:tc>
          <w:tcPr>
            <w:tcW w:w="1380" w:type="dxa"/>
            <w:vAlign w:val="bottom"/>
          </w:tcPr>
          <w:p>
            <w:pPr>
              <w:spacing w:after="0"/>
              <w:rPr>
                <w:sz w:val="24"/>
                <w:szCs w:val="24"/>
                <w:color w:val="auto"/>
              </w:rPr>
            </w:pPr>
          </w:p>
        </w:tc>
        <w:tc>
          <w:tcPr>
            <w:tcW w:w="8100" w:type="dxa"/>
            <w:vAlign w:val="bottom"/>
          </w:tcPr>
          <w:p>
            <w:pPr>
              <w:jc w:val="center"/>
              <w:ind w:left="430"/>
              <w:spacing w:after="0"/>
              <w:rPr>
                <w:sz w:val="20"/>
                <w:szCs w:val="20"/>
                <w:color w:val="auto"/>
              </w:rPr>
            </w:pPr>
            <w:r>
              <w:rPr>
                <w:rFonts w:ascii="Arial" w:cs="Arial" w:eastAsia="Arial" w:hAnsi="Arial"/>
                <w:sz w:val="18"/>
                <w:szCs w:val="18"/>
                <w:color w:val="auto"/>
              </w:rPr>
              <w:t>ARTICLE III</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100" w:type="dxa"/>
            <w:vAlign w:val="bottom"/>
          </w:tcPr>
          <w:p>
            <w:pPr>
              <w:jc w:val="center"/>
              <w:ind w:left="430"/>
              <w:spacing w:after="0"/>
              <w:rPr>
                <w:sz w:val="20"/>
                <w:szCs w:val="20"/>
                <w:color w:val="auto"/>
              </w:rPr>
            </w:pPr>
            <w:r>
              <w:rPr>
                <w:rFonts w:ascii="Arial" w:cs="Arial" w:eastAsia="Arial" w:hAnsi="Arial"/>
                <w:sz w:val="18"/>
                <w:szCs w:val="18"/>
                <w:color w:val="auto"/>
                <w:w w:val="96"/>
              </w:rPr>
              <w:t>REDEMPTION AND PREPAYMENT</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3.01.</w:t>
            </w:r>
          </w:p>
        </w:tc>
        <w:tc>
          <w:tcPr>
            <w:tcW w:w="8100" w:type="dxa"/>
            <w:vAlign w:val="bottom"/>
          </w:tcPr>
          <w:p>
            <w:pPr>
              <w:ind w:left="420"/>
              <w:spacing w:after="0"/>
              <w:rPr>
                <w:sz w:val="20"/>
                <w:szCs w:val="20"/>
                <w:color w:val="auto"/>
              </w:rPr>
            </w:pPr>
            <w:r>
              <w:rPr>
                <w:rFonts w:ascii="Arial" w:cs="Arial" w:eastAsia="Arial" w:hAnsi="Arial"/>
                <w:sz w:val="18"/>
                <w:szCs w:val="18"/>
                <w:color w:val="auto"/>
              </w:rPr>
              <w:t>Notices to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3.02.</w:t>
            </w:r>
          </w:p>
        </w:tc>
        <w:tc>
          <w:tcPr>
            <w:tcW w:w="8100" w:type="dxa"/>
            <w:vAlign w:val="bottom"/>
          </w:tcPr>
          <w:p>
            <w:pPr>
              <w:ind w:left="420"/>
              <w:spacing w:after="0"/>
              <w:rPr>
                <w:sz w:val="20"/>
                <w:szCs w:val="20"/>
                <w:color w:val="auto"/>
              </w:rPr>
            </w:pPr>
            <w:r>
              <w:rPr>
                <w:rFonts w:ascii="Arial" w:cs="Arial" w:eastAsia="Arial" w:hAnsi="Arial"/>
                <w:sz w:val="18"/>
                <w:szCs w:val="18"/>
                <w:color w:val="auto"/>
              </w:rPr>
              <w:t>Selection of Notes To Be Redeemed or Purchased</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3.03.</w:t>
            </w:r>
          </w:p>
        </w:tc>
        <w:tc>
          <w:tcPr>
            <w:tcW w:w="8100" w:type="dxa"/>
            <w:vAlign w:val="bottom"/>
          </w:tcPr>
          <w:p>
            <w:pPr>
              <w:ind w:left="420"/>
              <w:spacing w:after="0"/>
              <w:rPr>
                <w:sz w:val="20"/>
                <w:szCs w:val="20"/>
                <w:color w:val="auto"/>
              </w:rPr>
            </w:pPr>
            <w:r>
              <w:rPr>
                <w:rFonts w:ascii="Arial" w:cs="Arial" w:eastAsia="Arial" w:hAnsi="Arial"/>
                <w:sz w:val="18"/>
                <w:szCs w:val="18"/>
                <w:color w:val="auto"/>
              </w:rPr>
              <w:t>Notice of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3.04.</w:t>
            </w:r>
          </w:p>
        </w:tc>
        <w:tc>
          <w:tcPr>
            <w:tcW w:w="8100" w:type="dxa"/>
            <w:vAlign w:val="bottom"/>
          </w:tcPr>
          <w:p>
            <w:pPr>
              <w:ind w:left="420"/>
              <w:spacing w:after="0"/>
              <w:rPr>
                <w:sz w:val="20"/>
                <w:szCs w:val="20"/>
                <w:color w:val="auto"/>
              </w:rPr>
            </w:pPr>
            <w:r>
              <w:rPr>
                <w:rFonts w:ascii="Arial" w:cs="Arial" w:eastAsia="Arial" w:hAnsi="Arial"/>
                <w:sz w:val="18"/>
                <w:szCs w:val="18"/>
                <w:color w:val="auto"/>
              </w:rPr>
              <w:t>Effect of Notice of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3.05.</w:t>
            </w:r>
          </w:p>
        </w:tc>
        <w:tc>
          <w:tcPr>
            <w:tcW w:w="8100" w:type="dxa"/>
            <w:vAlign w:val="bottom"/>
          </w:tcPr>
          <w:p>
            <w:pPr>
              <w:ind w:left="420"/>
              <w:spacing w:after="0"/>
              <w:rPr>
                <w:sz w:val="20"/>
                <w:szCs w:val="20"/>
                <w:color w:val="auto"/>
              </w:rPr>
            </w:pPr>
            <w:r>
              <w:rPr>
                <w:rFonts w:ascii="Arial" w:cs="Arial" w:eastAsia="Arial" w:hAnsi="Arial"/>
                <w:sz w:val="18"/>
                <w:szCs w:val="18"/>
                <w:color w:val="auto"/>
              </w:rPr>
              <w:t>Deposit of Redemption or Purchase Price</w:t>
            </w: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3.06.</w:t>
            </w:r>
          </w:p>
        </w:tc>
        <w:tc>
          <w:tcPr>
            <w:tcW w:w="8100" w:type="dxa"/>
            <w:vAlign w:val="bottom"/>
          </w:tcPr>
          <w:p>
            <w:pPr>
              <w:ind w:left="420"/>
              <w:spacing w:after="0"/>
              <w:rPr>
                <w:sz w:val="20"/>
                <w:szCs w:val="20"/>
                <w:color w:val="auto"/>
              </w:rPr>
            </w:pPr>
            <w:r>
              <w:rPr>
                <w:rFonts w:ascii="Arial" w:cs="Arial" w:eastAsia="Arial" w:hAnsi="Arial"/>
                <w:sz w:val="18"/>
                <w:szCs w:val="18"/>
                <w:color w:val="auto"/>
              </w:rPr>
              <w:t>Notes Redeemed or Purchased in Part</w:t>
            </w: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3.07.</w:t>
            </w:r>
          </w:p>
        </w:tc>
        <w:tc>
          <w:tcPr>
            <w:tcW w:w="8100" w:type="dxa"/>
            <w:vAlign w:val="bottom"/>
          </w:tcPr>
          <w:p>
            <w:pPr>
              <w:ind w:left="420"/>
              <w:spacing w:after="0"/>
              <w:rPr>
                <w:sz w:val="20"/>
                <w:szCs w:val="20"/>
                <w:color w:val="auto"/>
              </w:rPr>
            </w:pPr>
            <w:r>
              <w:rPr>
                <w:rFonts w:ascii="Arial" w:cs="Arial" w:eastAsia="Arial" w:hAnsi="Arial"/>
                <w:sz w:val="18"/>
                <w:szCs w:val="18"/>
                <w:color w:val="auto"/>
              </w:rPr>
              <w:t>Optional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3.08.</w:t>
            </w:r>
          </w:p>
        </w:tc>
        <w:tc>
          <w:tcPr>
            <w:tcW w:w="8100" w:type="dxa"/>
            <w:vAlign w:val="bottom"/>
          </w:tcPr>
          <w:p>
            <w:pPr>
              <w:ind w:left="420"/>
              <w:spacing w:after="0"/>
              <w:rPr>
                <w:sz w:val="20"/>
                <w:szCs w:val="20"/>
                <w:color w:val="auto"/>
              </w:rPr>
            </w:pPr>
            <w:r>
              <w:rPr>
                <w:rFonts w:ascii="Arial" w:cs="Arial" w:eastAsia="Arial" w:hAnsi="Arial"/>
                <w:sz w:val="18"/>
                <w:szCs w:val="18"/>
                <w:color w:val="auto"/>
              </w:rPr>
              <w:t>Mandatory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3.09.</w:t>
            </w:r>
          </w:p>
        </w:tc>
        <w:tc>
          <w:tcPr>
            <w:tcW w:w="8100" w:type="dxa"/>
            <w:vAlign w:val="bottom"/>
          </w:tcPr>
          <w:p>
            <w:pPr>
              <w:ind w:left="420"/>
              <w:spacing w:after="0"/>
              <w:rPr>
                <w:sz w:val="20"/>
                <w:szCs w:val="20"/>
                <w:color w:val="auto"/>
              </w:rPr>
            </w:pPr>
            <w:r>
              <w:rPr>
                <w:rFonts w:ascii="Arial" w:cs="Arial" w:eastAsia="Arial" w:hAnsi="Arial"/>
                <w:sz w:val="18"/>
                <w:szCs w:val="18"/>
                <w:color w:val="auto"/>
              </w:rPr>
              <w:t>Offer to Purchase by Application of Excess Proceeds</w:t>
            </w:r>
          </w:p>
        </w:tc>
        <w:tc>
          <w:tcPr>
            <w:tcW w:w="1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3.10.</w:t>
            </w:r>
          </w:p>
        </w:tc>
        <w:tc>
          <w:tcPr>
            <w:tcW w:w="8100" w:type="dxa"/>
            <w:vAlign w:val="bottom"/>
          </w:tcPr>
          <w:p>
            <w:pPr>
              <w:ind w:left="420"/>
              <w:spacing w:after="0"/>
              <w:rPr>
                <w:sz w:val="20"/>
                <w:szCs w:val="20"/>
                <w:color w:val="auto"/>
              </w:rPr>
            </w:pPr>
            <w:r>
              <w:rPr>
                <w:rFonts w:ascii="Arial" w:cs="Arial" w:eastAsia="Arial" w:hAnsi="Arial"/>
                <w:sz w:val="18"/>
                <w:szCs w:val="18"/>
                <w:color w:val="auto"/>
              </w:rPr>
              <w:t>Special Mandatory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0"/>
        </w:trPr>
        <w:tc>
          <w:tcPr>
            <w:tcW w:w="1380" w:type="dxa"/>
            <w:vAlign w:val="bottom"/>
          </w:tcPr>
          <w:p>
            <w:pPr>
              <w:spacing w:after="0"/>
              <w:rPr>
                <w:sz w:val="24"/>
                <w:szCs w:val="24"/>
                <w:color w:val="auto"/>
              </w:rPr>
            </w:pPr>
          </w:p>
        </w:tc>
        <w:tc>
          <w:tcPr>
            <w:tcW w:w="8100" w:type="dxa"/>
            <w:vAlign w:val="bottom"/>
          </w:tcPr>
          <w:p>
            <w:pPr>
              <w:jc w:val="center"/>
              <w:ind w:left="430"/>
              <w:spacing w:after="0"/>
              <w:rPr>
                <w:sz w:val="20"/>
                <w:szCs w:val="20"/>
                <w:color w:val="auto"/>
              </w:rPr>
            </w:pPr>
            <w:r>
              <w:rPr>
                <w:rFonts w:ascii="Arial" w:cs="Arial" w:eastAsia="Arial" w:hAnsi="Arial"/>
                <w:sz w:val="18"/>
                <w:szCs w:val="18"/>
                <w:color w:val="auto"/>
                <w:w w:val="99"/>
              </w:rPr>
              <w:t>ARTICLE IV</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100" w:type="dxa"/>
            <w:vAlign w:val="bottom"/>
          </w:tcPr>
          <w:p>
            <w:pPr>
              <w:jc w:val="center"/>
              <w:ind w:left="430"/>
              <w:spacing w:after="0"/>
              <w:rPr>
                <w:sz w:val="20"/>
                <w:szCs w:val="20"/>
                <w:color w:val="auto"/>
              </w:rPr>
            </w:pPr>
            <w:r>
              <w:rPr>
                <w:rFonts w:ascii="Arial" w:cs="Arial" w:eastAsia="Arial" w:hAnsi="Arial"/>
                <w:sz w:val="18"/>
                <w:szCs w:val="18"/>
                <w:color w:val="auto"/>
                <w:w w:val="98"/>
              </w:rPr>
              <w:t>COVENANTS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4.01.</w:t>
            </w:r>
          </w:p>
        </w:tc>
        <w:tc>
          <w:tcPr>
            <w:tcW w:w="8100" w:type="dxa"/>
            <w:vAlign w:val="bottom"/>
          </w:tcPr>
          <w:p>
            <w:pPr>
              <w:ind w:left="420"/>
              <w:spacing w:after="0"/>
              <w:rPr>
                <w:sz w:val="20"/>
                <w:szCs w:val="20"/>
                <w:color w:val="auto"/>
              </w:rPr>
            </w:pPr>
            <w:r>
              <w:rPr>
                <w:rFonts w:ascii="Arial" w:cs="Arial" w:eastAsia="Arial" w:hAnsi="Arial"/>
                <w:sz w:val="18"/>
                <w:szCs w:val="18"/>
                <w:color w:val="auto"/>
              </w:rPr>
              <w:t>Payment of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4.02.</w:t>
            </w:r>
          </w:p>
        </w:tc>
        <w:tc>
          <w:tcPr>
            <w:tcW w:w="8100" w:type="dxa"/>
            <w:vAlign w:val="bottom"/>
          </w:tcPr>
          <w:p>
            <w:pPr>
              <w:ind w:left="420"/>
              <w:spacing w:after="0"/>
              <w:rPr>
                <w:sz w:val="20"/>
                <w:szCs w:val="20"/>
                <w:color w:val="auto"/>
              </w:rPr>
            </w:pPr>
            <w:r>
              <w:rPr>
                <w:rFonts w:ascii="Arial" w:cs="Arial" w:eastAsia="Arial" w:hAnsi="Arial"/>
                <w:sz w:val="18"/>
                <w:szCs w:val="18"/>
                <w:color w:val="auto"/>
              </w:rPr>
              <w:t>Maintenance of Office or Agency</w:t>
            </w: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4.03.</w:t>
            </w:r>
          </w:p>
        </w:tc>
        <w:tc>
          <w:tcPr>
            <w:tcW w:w="8100" w:type="dxa"/>
            <w:vAlign w:val="bottom"/>
          </w:tcPr>
          <w:p>
            <w:pPr>
              <w:ind w:left="420"/>
              <w:spacing w:after="0"/>
              <w:rPr>
                <w:sz w:val="20"/>
                <w:szCs w:val="20"/>
                <w:color w:val="auto"/>
              </w:rPr>
            </w:pPr>
            <w:r>
              <w:rPr>
                <w:rFonts w:ascii="Arial" w:cs="Arial" w:eastAsia="Arial" w:hAnsi="Arial"/>
                <w:sz w:val="18"/>
                <w:szCs w:val="18"/>
                <w:color w:val="auto"/>
              </w:rPr>
              <w:t>Reports</w:t>
            </w: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4.04.</w:t>
            </w:r>
          </w:p>
        </w:tc>
        <w:tc>
          <w:tcPr>
            <w:tcW w:w="8100" w:type="dxa"/>
            <w:vAlign w:val="bottom"/>
          </w:tcPr>
          <w:p>
            <w:pPr>
              <w:ind w:left="420"/>
              <w:spacing w:after="0"/>
              <w:rPr>
                <w:sz w:val="20"/>
                <w:szCs w:val="20"/>
                <w:color w:val="auto"/>
              </w:rPr>
            </w:pPr>
            <w:r>
              <w:rPr>
                <w:rFonts w:ascii="Arial" w:cs="Arial" w:eastAsia="Arial" w:hAnsi="Arial"/>
                <w:sz w:val="18"/>
                <w:szCs w:val="18"/>
                <w:color w:val="auto"/>
              </w:rPr>
              <w:t>Compliance Certificate</w:t>
            </w: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4.05.</w:t>
            </w:r>
          </w:p>
        </w:tc>
        <w:tc>
          <w:tcPr>
            <w:tcW w:w="8100" w:type="dxa"/>
            <w:vAlign w:val="bottom"/>
          </w:tcPr>
          <w:p>
            <w:pPr>
              <w:ind w:left="420"/>
              <w:spacing w:after="0"/>
              <w:rPr>
                <w:sz w:val="20"/>
                <w:szCs w:val="20"/>
                <w:color w:val="auto"/>
              </w:rPr>
            </w:pPr>
            <w:r>
              <w:rPr>
                <w:rFonts w:ascii="Arial" w:cs="Arial" w:eastAsia="Arial" w:hAnsi="Arial"/>
                <w:sz w:val="18"/>
                <w:szCs w:val="18"/>
                <w:color w:val="auto"/>
              </w:rPr>
              <w:t>Taxes</w:t>
            </w: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4.06.</w:t>
            </w:r>
          </w:p>
        </w:tc>
        <w:tc>
          <w:tcPr>
            <w:tcW w:w="8100" w:type="dxa"/>
            <w:vAlign w:val="bottom"/>
          </w:tcPr>
          <w:p>
            <w:pPr>
              <w:ind w:left="420"/>
              <w:spacing w:after="0"/>
              <w:rPr>
                <w:sz w:val="20"/>
                <w:szCs w:val="20"/>
                <w:color w:val="auto"/>
              </w:rPr>
            </w:pPr>
            <w:r>
              <w:rPr>
                <w:rFonts w:ascii="Arial" w:cs="Arial" w:eastAsia="Arial" w:hAnsi="Arial"/>
                <w:sz w:val="18"/>
                <w:szCs w:val="18"/>
                <w:color w:val="auto"/>
              </w:rPr>
              <w:t>Stay, Extension and Usury Laws</w:t>
            </w: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4.07.</w:t>
            </w:r>
          </w:p>
        </w:tc>
        <w:tc>
          <w:tcPr>
            <w:tcW w:w="8100" w:type="dxa"/>
            <w:vAlign w:val="bottom"/>
          </w:tcPr>
          <w:p>
            <w:pPr>
              <w:ind w:left="420"/>
              <w:spacing w:after="0"/>
              <w:rPr>
                <w:sz w:val="20"/>
                <w:szCs w:val="20"/>
                <w:color w:val="auto"/>
              </w:rPr>
            </w:pPr>
            <w:r>
              <w:rPr>
                <w:rFonts w:ascii="Arial" w:cs="Arial" w:eastAsia="Arial" w:hAnsi="Arial"/>
                <w:sz w:val="18"/>
                <w:szCs w:val="18"/>
                <w:color w:val="auto"/>
              </w:rPr>
              <w:t>Restricted Payments</w:t>
            </w: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4.08.</w:t>
            </w:r>
          </w:p>
        </w:tc>
        <w:tc>
          <w:tcPr>
            <w:tcW w:w="8100" w:type="dxa"/>
            <w:vAlign w:val="bottom"/>
          </w:tcPr>
          <w:p>
            <w:pPr>
              <w:ind w:left="420"/>
              <w:spacing w:after="0"/>
              <w:rPr>
                <w:sz w:val="20"/>
                <w:szCs w:val="20"/>
                <w:color w:val="auto"/>
              </w:rPr>
            </w:pPr>
            <w:r>
              <w:rPr>
                <w:rFonts w:ascii="Arial" w:cs="Arial" w:eastAsia="Arial" w:hAnsi="Arial"/>
                <w:sz w:val="18"/>
                <w:szCs w:val="18"/>
                <w:color w:val="auto"/>
              </w:rPr>
              <w:t>Dividend and Other Payment Restrictions Affecting Restricted Subsidiaries</w:t>
            </w:r>
          </w:p>
        </w:tc>
        <w:tc>
          <w:tcPr>
            <w:tcW w:w="18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4.09.</w:t>
            </w:r>
          </w:p>
        </w:tc>
        <w:tc>
          <w:tcPr>
            <w:tcW w:w="8100" w:type="dxa"/>
            <w:vAlign w:val="bottom"/>
          </w:tcPr>
          <w:p>
            <w:pPr>
              <w:ind w:left="420"/>
              <w:spacing w:after="0"/>
              <w:rPr>
                <w:sz w:val="20"/>
                <w:szCs w:val="20"/>
                <w:color w:val="auto"/>
              </w:rPr>
            </w:pPr>
            <w:r>
              <w:rPr>
                <w:rFonts w:ascii="Arial" w:cs="Arial" w:eastAsia="Arial" w:hAnsi="Arial"/>
                <w:sz w:val="18"/>
                <w:szCs w:val="18"/>
                <w:color w:val="auto"/>
              </w:rPr>
              <w:t>Incurrence of Indebtedness and Issuance of Preferred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4.10.</w:t>
            </w:r>
          </w:p>
        </w:tc>
        <w:tc>
          <w:tcPr>
            <w:tcW w:w="8100" w:type="dxa"/>
            <w:vAlign w:val="bottom"/>
          </w:tcPr>
          <w:p>
            <w:pPr>
              <w:ind w:left="420"/>
              <w:spacing w:after="0"/>
              <w:rPr>
                <w:sz w:val="20"/>
                <w:szCs w:val="20"/>
                <w:color w:val="auto"/>
              </w:rPr>
            </w:pPr>
            <w:r>
              <w:rPr>
                <w:rFonts w:ascii="Arial" w:cs="Arial" w:eastAsia="Arial" w:hAnsi="Arial"/>
                <w:sz w:val="18"/>
                <w:szCs w:val="18"/>
                <w:color w:val="auto"/>
              </w:rPr>
              <w:t>Asset Sales</w:t>
            </w:r>
          </w:p>
        </w:tc>
        <w:tc>
          <w:tcPr>
            <w:tcW w:w="18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4.11.</w:t>
            </w:r>
          </w:p>
        </w:tc>
        <w:tc>
          <w:tcPr>
            <w:tcW w:w="8100" w:type="dxa"/>
            <w:vAlign w:val="bottom"/>
          </w:tcPr>
          <w:p>
            <w:pPr>
              <w:ind w:left="420"/>
              <w:spacing w:after="0"/>
              <w:rPr>
                <w:sz w:val="20"/>
                <w:szCs w:val="20"/>
                <w:color w:val="auto"/>
              </w:rPr>
            </w:pPr>
            <w:r>
              <w:rPr>
                <w:rFonts w:ascii="Arial" w:cs="Arial" w:eastAsia="Arial" w:hAnsi="Arial"/>
                <w:sz w:val="18"/>
                <w:szCs w:val="18"/>
                <w:color w:val="auto"/>
              </w:rPr>
              <w:t>Transactions with Affiliates</w:t>
            </w:r>
          </w:p>
        </w:tc>
        <w:tc>
          <w:tcPr>
            <w:tcW w:w="18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4.12.</w:t>
            </w:r>
          </w:p>
        </w:tc>
        <w:tc>
          <w:tcPr>
            <w:tcW w:w="8100" w:type="dxa"/>
            <w:vAlign w:val="bottom"/>
          </w:tcPr>
          <w:p>
            <w:pPr>
              <w:ind w:left="420"/>
              <w:spacing w:after="0"/>
              <w:rPr>
                <w:sz w:val="20"/>
                <w:szCs w:val="20"/>
                <w:color w:val="auto"/>
              </w:rPr>
            </w:pPr>
            <w:r>
              <w:rPr>
                <w:rFonts w:ascii="Arial" w:cs="Arial" w:eastAsia="Arial" w:hAnsi="Arial"/>
                <w:sz w:val="18"/>
                <w:szCs w:val="18"/>
                <w:color w:val="auto"/>
              </w:rPr>
              <w:t>Liens</w:t>
            </w:r>
          </w:p>
        </w:tc>
        <w:tc>
          <w:tcPr>
            <w:tcW w:w="18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4"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4.13.</w:t>
            </w:r>
          </w:p>
        </w:tc>
        <w:tc>
          <w:tcPr>
            <w:tcW w:w="8700" w:type="dxa"/>
            <w:vAlign w:val="bottom"/>
          </w:tcPr>
          <w:p>
            <w:pPr>
              <w:ind w:left="380"/>
              <w:spacing w:after="0"/>
              <w:rPr>
                <w:sz w:val="20"/>
                <w:szCs w:val="20"/>
                <w:color w:val="auto"/>
              </w:rPr>
            </w:pPr>
            <w:r>
              <w:rPr>
                <w:rFonts w:ascii="Arial" w:cs="Arial" w:eastAsia="Arial" w:hAnsi="Arial"/>
                <w:sz w:val="18"/>
                <w:szCs w:val="18"/>
                <w:color w:val="auto"/>
              </w:rPr>
              <w:t>Business Activities</w:t>
            </w: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4.14.</w:t>
            </w:r>
          </w:p>
        </w:tc>
        <w:tc>
          <w:tcPr>
            <w:tcW w:w="8700" w:type="dxa"/>
            <w:vAlign w:val="bottom"/>
          </w:tcPr>
          <w:p>
            <w:pPr>
              <w:ind w:left="380"/>
              <w:spacing w:after="0"/>
              <w:rPr>
                <w:sz w:val="20"/>
                <w:szCs w:val="20"/>
                <w:color w:val="auto"/>
              </w:rPr>
            </w:pPr>
            <w:r>
              <w:rPr>
                <w:rFonts w:ascii="Arial" w:cs="Arial" w:eastAsia="Arial" w:hAnsi="Arial"/>
                <w:sz w:val="18"/>
                <w:szCs w:val="18"/>
                <w:color w:val="auto"/>
              </w:rPr>
              <w:t>Corporate Existence</w:t>
            </w: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4.15.</w:t>
            </w:r>
          </w:p>
        </w:tc>
        <w:tc>
          <w:tcPr>
            <w:tcW w:w="8700" w:type="dxa"/>
            <w:vAlign w:val="bottom"/>
          </w:tcPr>
          <w:p>
            <w:pPr>
              <w:ind w:left="380"/>
              <w:spacing w:after="0"/>
              <w:rPr>
                <w:sz w:val="20"/>
                <w:szCs w:val="20"/>
                <w:color w:val="auto"/>
              </w:rPr>
            </w:pPr>
            <w:r>
              <w:rPr>
                <w:rFonts w:ascii="Arial" w:cs="Arial" w:eastAsia="Arial" w:hAnsi="Arial"/>
                <w:sz w:val="18"/>
                <w:szCs w:val="18"/>
                <w:color w:val="auto"/>
              </w:rPr>
              <w:t>Offer to Repurchase Upon Change of Control</w:t>
            </w: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4.16.</w:t>
            </w:r>
          </w:p>
        </w:tc>
        <w:tc>
          <w:tcPr>
            <w:tcW w:w="8700" w:type="dxa"/>
            <w:vAlign w:val="bottom"/>
          </w:tcPr>
          <w:p>
            <w:pPr>
              <w:ind w:left="380"/>
              <w:spacing w:after="0"/>
              <w:rPr>
                <w:sz w:val="20"/>
                <w:szCs w:val="20"/>
                <w:color w:val="auto"/>
              </w:rPr>
            </w:pPr>
            <w:r>
              <w:rPr>
                <w:rFonts w:ascii="Arial" w:cs="Arial" w:eastAsia="Arial" w:hAnsi="Arial"/>
                <w:sz w:val="18"/>
                <w:szCs w:val="18"/>
                <w:color w:val="auto"/>
              </w:rPr>
              <w:t>Limitation on Sale and Leaseback Transactions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4.17.</w:t>
            </w:r>
          </w:p>
        </w:tc>
        <w:tc>
          <w:tcPr>
            <w:tcW w:w="8700" w:type="dxa"/>
            <w:vAlign w:val="bottom"/>
          </w:tcPr>
          <w:p>
            <w:pPr>
              <w:ind w:left="380"/>
              <w:spacing w:after="0"/>
              <w:rPr>
                <w:sz w:val="20"/>
                <w:szCs w:val="20"/>
                <w:color w:val="auto"/>
              </w:rPr>
            </w:pPr>
            <w:r>
              <w:rPr>
                <w:rFonts w:ascii="Arial" w:cs="Arial" w:eastAsia="Arial" w:hAnsi="Arial"/>
                <w:sz w:val="18"/>
                <w:szCs w:val="18"/>
                <w:color w:val="auto"/>
              </w:rPr>
              <w:t>Payments for Consent</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4.18.</w:t>
            </w:r>
          </w:p>
        </w:tc>
        <w:tc>
          <w:tcPr>
            <w:tcW w:w="8700" w:type="dxa"/>
            <w:vAlign w:val="bottom"/>
          </w:tcPr>
          <w:p>
            <w:pPr>
              <w:ind w:left="380"/>
              <w:spacing w:after="0"/>
              <w:rPr>
                <w:sz w:val="20"/>
                <w:szCs w:val="20"/>
                <w:color w:val="auto"/>
              </w:rPr>
            </w:pPr>
            <w:r>
              <w:rPr>
                <w:rFonts w:ascii="Arial" w:cs="Arial" w:eastAsia="Arial" w:hAnsi="Arial"/>
                <w:sz w:val="18"/>
                <w:szCs w:val="18"/>
                <w:color w:val="auto"/>
              </w:rPr>
              <w:t>Additional Note Guarantees</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4.19.</w:t>
            </w:r>
          </w:p>
        </w:tc>
        <w:tc>
          <w:tcPr>
            <w:tcW w:w="8700" w:type="dxa"/>
            <w:vAlign w:val="bottom"/>
          </w:tcPr>
          <w:p>
            <w:pPr>
              <w:ind w:left="380"/>
              <w:spacing w:after="0"/>
              <w:rPr>
                <w:sz w:val="20"/>
                <w:szCs w:val="20"/>
                <w:color w:val="auto"/>
              </w:rPr>
            </w:pPr>
            <w:r>
              <w:rPr>
                <w:rFonts w:ascii="Arial" w:cs="Arial" w:eastAsia="Arial" w:hAnsi="Arial"/>
                <w:sz w:val="18"/>
                <w:szCs w:val="18"/>
                <w:color w:val="auto"/>
              </w:rPr>
              <w:t>Designation of Restricted and Unrestricted Subsidiaries</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4.20.</w:t>
            </w:r>
          </w:p>
        </w:tc>
        <w:tc>
          <w:tcPr>
            <w:tcW w:w="8700" w:type="dxa"/>
            <w:vAlign w:val="bottom"/>
          </w:tcPr>
          <w:p>
            <w:pPr>
              <w:ind w:left="380"/>
              <w:spacing w:after="0"/>
              <w:rPr>
                <w:sz w:val="20"/>
                <w:szCs w:val="20"/>
                <w:color w:val="auto"/>
              </w:rPr>
            </w:pPr>
            <w:r>
              <w:rPr>
                <w:rFonts w:ascii="Arial" w:cs="Arial" w:eastAsia="Arial" w:hAnsi="Arial"/>
                <w:sz w:val="18"/>
                <w:szCs w:val="18"/>
                <w:color w:val="auto"/>
              </w:rPr>
              <w:t>Covenant Suspension</w:t>
            </w: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4.21.</w:t>
            </w:r>
          </w:p>
        </w:tc>
        <w:tc>
          <w:tcPr>
            <w:tcW w:w="8700" w:type="dxa"/>
            <w:vAlign w:val="bottom"/>
          </w:tcPr>
          <w:p>
            <w:pPr>
              <w:ind w:left="380"/>
              <w:spacing w:after="0"/>
              <w:rPr>
                <w:sz w:val="20"/>
                <w:szCs w:val="20"/>
                <w:color w:val="auto"/>
              </w:rPr>
            </w:pPr>
            <w:r>
              <w:rPr>
                <w:rFonts w:ascii="Arial" w:cs="Arial" w:eastAsia="Arial" w:hAnsi="Arial"/>
                <w:sz w:val="18"/>
                <w:szCs w:val="18"/>
                <w:color w:val="auto"/>
              </w:rPr>
              <w:t>Escrow of Proceeds</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32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Arial" w:cs="Arial" w:eastAsia="Arial" w:hAnsi="Arial"/>
                <w:sz w:val="18"/>
                <w:szCs w:val="18"/>
                <w:color w:val="auto"/>
                <w:w w:val="98"/>
              </w:rPr>
              <w:t>ARTICLE V</w:t>
            </w:r>
          </w:p>
        </w:tc>
        <w:tc>
          <w:tcPr>
            <w:tcW w:w="134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700" w:type="dxa"/>
            <w:vAlign w:val="bottom"/>
          </w:tcPr>
          <w:p>
            <w:pPr>
              <w:jc w:val="center"/>
              <w:spacing w:after="0"/>
              <w:rPr>
                <w:sz w:val="20"/>
                <w:szCs w:val="20"/>
                <w:color w:val="auto"/>
              </w:rPr>
            </w:pPr>
            <w:r>
              <w:rPr>
                <w:rFonts w:ascii="Arial" w:cs="Arial" w:eastAsia="Arial" w:hAnsi="Arial"/>
                <w:sz w:val="18"/>
                <w:szCs w:val="18"/>
                <w:color w:val="auto"/>
                <w:w w:val="90"/>
              </w:rPr>
              <w:t>SUCCESSORS</w:t>
            </w:r>
          </w:p>
        </w:tc>
        <w:tc>
          <w:tcPr>
            <w:tcW w:w="1340" w:type="dxa"/>
            <w:vAlign w:val="bottom"/>
          </w:tcPr>
          <w:p>
            <w:pPr>
              <w:spacing w:after="0"/>
              <w:rPr>
                <w:sz w:val="20"/>
                <w:szCs w:val="20"/>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Section 5.01.</w:t>
            </w:r>
          </w:p>
        </w:tc>
        <w:tc>
          <w:tcPr>
            <w:tcW w:w="8700" w:type="dxa"/>
            <w:vAlign w:val="bottom"/>
          </w:tcPr>
          <w:p>
            <w:pPr>
              <w:ind w:left="380"/>
              <w:spacing w:after="0"/>
              <w:rPr>
                <w:sz w:val="20"/>
                <w:szCs w:val="20"/>
                <w:color w:val="auto"/>
              </w:rPr>
            </w:pPr>
            <w:r>
              <w:rPr>
                <w:rFonts w:ascii="Arial" w:cs="Arial" w:eastAsia="Arial" w:hAnsi="Arial"/>
                <w:sz w:val="18"/>
                <w:szCs w:val="18"/>
                <w:color w:val="auto"/>
              </w:rPr>
              <w:t>Merger, Consolidation or Sale of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5.02.</w:t>
            </w:r>
          </w:p>
        </w:tc>
        <w:tc>
          <w:tcPr>
            <w:tcW w:w="8700" w:type="dxa"/>
            <w:vAlign w:val="bottom"/>
          </w:tcPr>
          <w:p>
            <w:pPr>
              <w:ind w:left="380"/>
              <w:spacing w:after="0"/>
              <w:rPr>
                <w:sz w:val="20"/>
                <w:szCs w:val="20"/>
                <w:color w:val="auto"/>
              </w:rPr>
            </w:pPr>
            <w:r>
              <w:rPr>
                <w:rFonts w:ascii="Arial" w:cs="Arial" w:eastAsia="Arial" w:hAnsi="Arial"/>
                <w:sz w:val="18"/>
                <w:szCs w:val="18"/>
                <w:color w:val="auto"/>
              </w:rPr>
              <w:t>Successor Corporation Substituted</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132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Arial" w:cs="Arial" w:eastAsia="Arial" w:hAnsi="Arial"/>
                <w:sz w:val="18"/>
                <w:szCs w:val="18"/>
                <w:color w:val="auto"/>
                <w:w w:val="99"/>
              </w:rPr>
              <w:t>ARTICLE VI</w:t>
            </w:r>
          </w:p>
        </w:tc>
        <w:tc>
          <w:tcPr>
            <w:tcW w:w="134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700" w:type="dxa"/>
            <w:vAlign w:val="bottom"/>
          </w:tcPr>
          <w:p>
            <w:pPr>
              <w:jc w:val="center"/>
              <w:spacing w:after="0"/>
              <w:rPr>
                <w:sz w:val="20"/>
                <w:szCs w:val="20"/>
                <w:color w:val="auto"/>
              </w:rPr>
            </w:pPr>
            <w:r>
              <w:rPr>
                <w:rFonts w:ascii="Arial" w:cs="Arial" w:eastAsia="Arial" w:hAnsi="Arial"/>
                <w:sz w:val="18"/>
                <w:szCs w:val="18"/>
                <w:color w:val="auto"/>
                <w:w w:val="95"/>
              </w:rPr>
              <w:t>DEFAULTS AND REMEDIES</w:t>
            </w:r>
          </w:p>
        </w:tc>
        <w:tc>
          <w:tcPr>
            <w:tcW w:w="1340" w:type="dxa"/>
            <w:vAlign w:val="bottom"/>
          </w:tcPr>
          <w:p>
            <w:pPr>
              <w:spacing w:after="0"/>
              <w:rPr>
                <w:sz w:val="20"/>
                <w:szCs w:val="20"/>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Section 6.01.</w:t>
            </w:r>
          </w:p>
        </w:tc>
        <w:tc>
          <w:tcPr>
            <w:tcW w:w="8700" w:type="dxa"/>
            <w:vAlign w:val="bottom"/>
          </w:tcPr>
          <w:p>
            <w:pPr>
              <w:ind w:left="380"/>
              <w:spacing w:after="0"/>
              <w:rPr>
                <w:sz w:val="20"/>
                <w:szCs w:val="20"/>
                <w:color w:val="auto"/>
              </w:rPr>
            </w:pPr>
            <w:r>
              <w:rPr>
                <w:rFonts w:ascii="Arial" w:cs="Arial" w:eastAsia="Arial" w:hAnsi="Arial"/>
                <w:sz w:val="18"/>
                <w:szCs w:val="18"/>
                <w:color w:val="auto"/>
              </w:rPr>
              <w:t>Events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6.02.</w:t>
            </w:r>
          </w:p>
        </w:tc>
        <w:tc>
          <w:tcPr>
            <w:tcW w:w="8700" w:type="dxa"/>
            <w:vAlign w:val="bottom"/>
          </w:tcPr>
          <w:p>
            <w:pPr>
              <w:ind w:left="380"/>
              <w:spacing w:after="0"/>
              <w:rPr>
                <w:sz w:val="20"/>
                <w:szCs w:val="20"/>
                <w:color w:val="auto"/>
              </w:rPr>
            </w:pPr>
            <w:r>
              <w:rPr>
                <w:rFonts w:ascii="Arial" w:cs="Arial" w:eastAsia="Arial" w:hAnsi="Arial"/>
                <w:sz w:val="18"/>
                <w:szCs w:val="18"/>
                <w:color w:val="auto"/>
              </w:rPr>
              <w:t>Acceleration</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6.03.</w:t>
            </w:r>
          </w:p>
        </w:tc>
        <w:tc>
          <w:tcPr>
            <w:tcW w:w="8700" w:type="dxa"/>
            <w:vAlign w:val="bottom"/>
          </w:tcPr>
          <w:p>
            <w:pPr>
              <w:ind w:left="380"/>
              <w:spacing w:after="0"/>
              <w:rPr>
                <w:sz w:val="20"/>
                <w:szCs w:val="20"/>
                <w:color w:val="auto"/>
              </w:rPr>
            </w:pPr>
            <w:r>
              <w:rPr>
                <w:rFonts w:ascii="Arial" w:cs="Arial" w:eastAsia="Arial" w:hAnsi="Arial"/>
                <w:sz w:val="18"/>
                <w:szCs w:val="18"/>
                <w:color w:val="auto"/>
              </w:rPr>
              <w:t>Other Remedies</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6.04.</w:t>
            </w:r>
          </w:p>
        </w:tc>
        <w:tc>
          <w:tcPr>
            <w:tcW w:w="8700" w:type="dxa"/>
            <w:vAlign w:val="bottom"/>
          </w:tcPr>
          <w:p>
            <w:pPr>
              <w:ind w:left="380"/>
              <w:spacing w:after="0"/>
              <w:rPr>
                <w:sz w:val="20"/>
                <w:szCs w:val="20"/>
                <w:color w:val="auto"/>
              </w:rPr>
            </w:pPr>
            <w:r>
              <w:rPr>
                <w:rFonts w:ascii="Arial" w:cs="Arial" w:eastAsia="Arial" w:hAnsi="Arial"/>
                <w:sz w:val="18"/>
                <w:szCs w:val="18"/>
                <w:color w:val="auto"/>
              </w:rPr>
              <w:t>Waiver of Past Defaults</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6.05.</w:t>
            </w:r>
          </w:p>
        </w:tc>
        <w:tc>
          <w:tcPr>
            <w:tcW w:w="8700" w:type="dxa"/>
            <w:vAlign w:val="bottom"/>
          </w:tcPr>
          <w:p>
            <w:pPr>
              <w:ind w:left="380"/>
              <w:spacing w:after="0"/>
              <w:rPr>
                <w:sz w:val="20"/>
                <w:szCs w:val="20"/>
                <w:color w:val="auto"/>
              </w:rPr>
            </w:pPr>
            <w:r>
              <w:rPr>
                <w:rFonts w:ascii="Arial" w:cs="Arial" w:eastAsia="Arial" w:hAnsi="Arial"/>
                <w:sz w:val="18"/>
                <w:szCs w:val="18"/>
                <w:color w:val="auto"/>
              </w:rPr>
              <w:t>Control by Majority</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6.06.</w:t>
            </w:r>
          </w:p>
        </w:tc>
        <w:tc>
          <w:tcPr>
            <w:tcW w:w="8700" w:type="dxa"/>
            <w:vAlign w:val="bottom"/>
          </w:tcPr>
          <w:p>
            <w:pPr>
              <w:ind w:left="380"/>
              <w:spacing w:after="0"/>
              <w:rPr>
                <w:sz w:val="20"/>
                <w:szCs w:val="20"/>
                <w:color w:val="auto"/>
              </w:rPr>
            </w:pPr>
            <w:r>
              <w:rPr>
                <w:rFonts w:ascii="Arial" w:cs="Arial" w:eastAsia="Arial" w:hAnsi="Arial"/>
                <w:sz w:val="18"/>
                <w:szCs w:val="18"/>
                <w:color w:val="auto"/>
              </w:rPr>
              <w:t>Limitation on Suits</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6.07.</w:t>
            </w:r>
          </w:p>
        </w:tc>
        <w:tc>
          <w:tcPr>
            <w:tcW w:w="8700" w:type="dxa"/>
            <w:vAlign w:val="bottom"/>
          </w:tcPr>
          <w:p>
            <w:pPr>
              <w:ind w:left="380"/>
              <w:spacing w:after="0"/>
              <w:rPr>
                <w:sz w:val="20"/>
                <w:szCs w:val="20"/>
                <w:color w:val="auto"/>
              </w:rPr>
            </w:pPr>
            <w:r>
              <w:rPr>
                <w:rFonts w:ascii="Arial" w:cs="Arial" w:eastAsia="Arial" w:hAnsi="Arial"/>
                <w:sz w:val="18"/>
                <w:szCs w:val="18"/>
                <w:color w:val="auto"/>
              </w:rPr>
              <w:t>Rights of Holders of Notes To Receive Payment</w:t>
            </w: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6.08.</w:t>
            </w:r>
          </w:p>
        </w:tc>
        <w:tc>
          <w:tcPr>
            <w:tcW w:w="8700" w:type="dxa"/>
            <w:vAlign w:val="bottom"/>
          </w:tcPr>
          <w:p>
            <w:pPr>
              <w:ind w:left="380"/>
              <w:spacing w:after="0"/>
              <w:rPr>
                <w:sz w:val="20"/>
                <w:szCs w:val="20"/>
                <w:color w:val="auto"/>
              </w:rPr>
            </w:pPr>
            <w:r>
              <w:rPr>
                <w:rFonts w:ascii="Arial" w:cs="Arial" w:eastAsia="Arial" w:hAnsi="Arial"/>
                <w:sz w:val="18"/>
                <w:szCs w:val="18"/>
                <w:color w:val="auto"/>
              </w:rPr>
              <w:t>Collection Suit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6.09.</w:t>
            </w:r>
          </w:p>
        </w:tc>
        <w:tc>
          <w:tcPr>
            <w:tcW w:w="8700" w:type="dxa"/>
            <w:vAlign w:val="bottom"/>
          </w:tcPr>
          <w:p>
            <w:pPr>
              <w:ind w:left="380"/>
              <w:spacing w:after="0"/>
              <w:rPr>
                <w:sz w:val="20"/>
                <w:szCs w:val="20"/>
                <w:color w:val="auto"/>
              </w:rPr>
            </w:pPr>
            <w:r>
              <w:rPr>
                <w:rFonts w:ascii="Arial" w:cs="Arial" w:eastAsia="Arial" w:hAnsi="Arial"/>
                <w:sz w:val="18"/>
                <w:szCs w:val="18"/>
                <w:color w:val="auto"/>
              </w:rPr>
              <w:t>Trustee May File Proofs of Claim</w:t>
            </w: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6.10.</w:t>
            </w:r>
          </w:p>
        </w:tc>
        <w:tc>
          <w:tcPr>
            <w:tcW w:w="8700" w:type="dxa"/>
            <w:vAlign w:val="bottom"/>
          </w:tcPr>
          <w:p>
            <w:pPr>
              <w:ind w:left="380"/>
              <w:spacing w:after="0"/>
              <w:rPr>
                <w:sz w:val="20"/>
                <w:szCs w:val="20"/>
                <w:color w:val="auto"/>
              </w:rPr>
            </w:pPr>
            <w:r>
              <w:rPr>
                <w:rFonts w:ascii="Arial" w:cs="Arial" w:eastAsia="Arial" w:hAnsi="Arial"/>
                <w:sz w:val="18"/>
                <w:szCs w:val="18"/>
                <w:color w:val="auto"/>
              </w:rPr>
              <w:t>Priorities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6.11.</w:t>
            </w:r>
          </w:p>
        </w:tc>
        <w:tc>
          <w:tcPr>
            <w:tcW w:w="8700" w:type="dxa"/>
            <w:vAlign w:val="bottom"/>
          </w:tcPr>
          <w:p>
            <w:pPr>
              <w:ind w:left="380"/>
              <w:spacing w:after="0"/>
              <w:rPr>
                <w:sz w:val="20"/>
                <w:szCs w:val="20"/>
                <w:color w:val="auto"/>
              </w:rPr>
            </w:pPr>
            <w:r>
              <w:rPr>
                <w:rFonts w:ascii="Arial" w:cs="Arial" w:eastAsia="Arial" w:hAnsi="Arial"/>
                <w:sz w:val="18"/>
                <w:szCs w:val="18"/>
                <w:color w:val="auto"/>
              </w:rPr>
              <w:t>Undertaking for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132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Arial" w:cs="Arial" w:eastAsia="Arial" w:hAnsi="Arial"/>
                <w:sz w:val="18"/>
                <w:szCs w:val="18"/>
                <w:color w:val="auto"/>
              </w:rPr>
              <w:t>ARTICLE VII</w:t>
            </w:r>
          </w:p>
        </w:tc>
        <w:tc>
          <w:tcPr>
            <w:tcW w:w="134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700" w:type="dxa"/>
            <w:vAlign w:val="bottom"/>
          </w:tcPr>
          <w:p>
            <w:pPr>
              <w:jc w:val="center"/>
              <w:spacing w:after="0"/>
              <w:rPr>
                <w:sz w:val="20"/>
                <w:szCs w:val="20"/>
                <w:color w:val="auto"/>
              </w:rPr>
            </w:pPr>
            <w:r>
              <w:rPr>
                <w:rFonts w:ascii="Arial" w:cs="Arial" w:eastAsia="Arial" w:hAnsi="Arial"/>
                <w:sz w:val="18"/>
                <w:szCs w:val="18"/>
                <w:color w:val="auto"/>
                <w:w w:val="92"/>
              </w:rPr>
              <w:t>TRUSTEE</w:t>
            </w:r>
          </w:p>
        </w:tc>
        <w:tc>
          <w:tcPr>
            <w:tcW w:w="1340" w:type="dxa"/>
            <w:vAlign w:val="bottom"/>
          </w:tcPr>
          <w:p>
            <w:pPr>
              <w:spacing w:after="0"/>
              <w:rPr>
                <w:sz w:val="20"/>
                <w:szCs w:val="20"/>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Section 7.01.</w:t>
            </w:r>
          </w:p>
        </w:tc>
        <w:tc>
          <w:tcPr>
            <w:tcW w:w="8700" w:type="dxa"/>
            <w:vAlign w:val="bottom"/>
          </w:tcPr>
          <w:p>
            <w:pPr>
              <w:ind w:left="380"/>
              <w:spacing w:after="0"/>
              <w:rPr>
                <w:sz w:val="20"/>
                <w:szCs w:val="20"/>
                <w:color w:val="auto"/>
              </w:rPr>
            </w:pPr>
            <w:r>
              <w:rPr>
                <w:rFonts w:ascii="Arial" w:cs="Arial" w:eastAsia="Arial" w:hAnsi="Arial"/>
                <w:sz w:val="18"/>
                <w:szCs w:val="18"/>
                <w:color w:val="auto"/>
              </w:rPr>
              <w:t>Duties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7.02.</w:t>
            </w:r>
          </w:p>
        </w:tc>
        <w:tc>
          <w:tcPr>
            <w:tcW w:w="8700" w:type="dxa"/>
            <w:vAlign w:val="bottom"/>
          </w:tcPr>
          <w:p>
            <w:pPr>
              <w:ind w:left="380"/>
              <w:spacing w:after="0"/>
              <w:rPr>
                <w:sz w:val="20"/>
                <w:szCs w:val="20"/>
                <w:color w:val="auto"/>
              </w:rPr>
            </w:pPr>
            <w:r>
              <w:rPr>
                <w:rFonts w:ascii="Arial" w:cs="Arial" w:eastAsia="Arial" w:hAnsi="Arial"/>
                <w:sz w:val="18"/>
                <w:szCs w:val="18"/>
                <w:color w:val="auto"/>
              </w:rPr>
              <w:t>Rights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7.03.</w:t>
            </w:r>
          </w:p>
        </w:tc>
        <w:tc>
          <w:tcPr>
            <w:tcW w:w="8700" w:type="dxa"/>
            <w:vAlign w:val="bottom"/>
          </w:tcPr>
          <w:p>
            <w:pPr>
              <w:ind w:left="380"/>
              <w:spacing w:after="0"/>
              <w:rPr>
                <w:sz w:val="20"/>
                <w:szCs w:val="20"/>
                <w:color w:val="auto"/>
              </w:rPr>
            </w:pPr>
            <w:r>
              <w:rPr>
                <w:rFonts w:ascii="Arial" w:cs="Arial" w:eastAsia="Arial" w:hAnsi="Arial"/>
                <w:sz w:val="18"/>
                <w:szCs w:val="18"/>
                <w:color w:val="auto"/>
              </w:rPr>
              <w:t>Individual Rights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7.04.</w:t>
            </w:r>
          </w:p>
        </w:tc>
        <w:tc>
          <w:tcPr>
            <w:tcW w:w="8700" w:type="dxa"/>
            <w:vAlign w:val="bottom"/>
          </w:tcPr>
          <w:p>
            <w:pPr>
              <w:ind w:left="380"/>
              <w:spacing w:after="0"/>
              <w:rPr>
                <w:sz w:val="20"/>
                <w:szCs w:val="20"/>
                <w:color w:val="auto"/>
              </w:rPr>
            </w:pPr>
            <w:r>
              <w:rPr>
                <w:rFonts w:ascii="Arial" w:cs="Arial" w:eastAsia="Arial" w:hAnsi="Arial"/>
                <w:sz w:val="18"/>
                <w:szCs w:val="18"/>
                <w:color w:val="auto"/>
              </w:rPr>
              <w:t>Trustee’s Disclaimer</w:t>
            </w: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7.05.</w:t>
            </w:r>
          </w:p>
        </w:tc>
        <w:tc>
          <w:tcPr>
            <w:tcW w:w="8700" w:type="dxa"/>
            <w:vAlign w:val="bottom"/>
          </w:tcPr>
          <w:p>
            <w:pPr>
              <w:ind w:left="380"/>
              <w:spacing w:after="0"/>
              <w:rPr>
                <w:sz w:val="20"/>
                <w:szCs w:val="20"/>
                <w:color w:val="auto"/>
              </w:rPr>
            </w:pPr>
            <w:r>
              <w:rPr>
                <w:rFonts w:ascii="Arial" w:cs="Arial" w:eastAsia="Arial" w:hAnsi="Arial"/>
                <w:sz w:val="18"/>
                <w:szCs w:val="18"/>
                <w:color w:val="auto"/>
              </w:rPr>
              <w:t>Notice of Defaults</w:t>
            </w: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7.06.</w:t>
            </w:r>
          </w:p>
        </w:tc>
        <w:tc>
          <w:tcPr>
            <w:tcW w:w="8700" w:type="dxa"/>
            <w:vAlign w:val="bottom"/>
          </w:tcPr>
          <w:p>
            <w:pPr>
              <w:ind w:left="380"/>
              <w:spacing w:after="0"/>
              <w:rPr>
                <w:sz w:val="20"/>
                <w:szCs w:val="20"/>
                <w:color w:val="auto"/>
              </w:rPr>
            </w:pPr>
            <w:r>
              <w:rPr>
                <w:rFonts w:ascii="Arial" w:cs="Arial" w:eastAsia="Arial" w:hAnsi="Arial"/>
                <w:sz w:val="18"/>
                <w:szCs w:val="18"/>
                <w:color w:val="auto"/>
              </w:rPr>
              <w:t>Reports by Trustee to Holders of the Notes</w:t>
            </w: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7.07.</w:t>
            </w:r>
          </w:p>
        </w:tc>
        <w:tc>
          <w:tcPr>
            <w:tcW w:w="8700" w:type="dxa"/>
            <w:vAlign w:val="bottom"/>
          </w:tcPr>
          <w:p>
            <w:pPr>
              <w:ind w:left="380"/>
              <w:spacing w:after="0"/>
              <w:rPr>
                <w:sz w:val="20"/>
                <w:szCs w:val="20"/>
                <w:color w:val="auto"/>
              </w:rPr>
            </w:pPr>
            <w:r>
              <w:rPr>
                <w:rFonts w:ascii="Arial" w:cs="Arial" w:eastAsia="Arial" w:hAnsi="Arial"/>
                <w:sz w:val="18"/>
                <w:szCs w:val="18"/>
                <w:color w:val="auto"/>
              </w:rPr>
              <w:t>Compensation and Indemnity</w:t>
            </w: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7.08.</w:t>
            </w:r>
          </w:p>
        </w:tc>
        <w:tc>
          <w:tcPr>
            <w:tcW w:w="8700" w:type="dxa"/>
            <w:vAlign w:val="bottom"/>
          </w:tcPr>
          <w:p>
            <w:pPr>
              <w:ind w:left="380"/>
              <w:spacing w:after="0"/>
              <w:rPr>
                <w:sz w:val="20"/>
                <w:szCs w:val="20"/>
                <w:color w:val="auto"/>
              </w:rPr>
            </w:pPr>
            <w:r>
              <w:rPr>
                <w:rFonts w:ascii="Arial" w:cs="Arial" w:eastAsia="Arial" w:hAnsi="Arial"/>
                <w:sz w:val="18"/>
                <w:szCs w:val="18"/>
                <w:color w:val="auto"/>
              </w:rPr>
              <w:t>Replacement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7.09.</w:t>
            </w:r>
          </w:p>
        </w:tc>
        <w:tc>
          <w:tcPr>
            <w:tcW w:w="8700" w:type="dxa"/>
            <w:vAlign w:val="bottom"/>
          </w:tcPr>
          <w:p>
            <w:pPr>
              <w:ind w:left="380"/>
              <w:spacing w:after="0"/>
              <w:rPr>
                <w:sz w:val="20"/>
                <w:szCs w:val="20"/>
                <w:color w:val="auto"/>
              </w:rPr>
            </w:pPr>
            <w:r>
              <w:rPr>
                <w:rFonts w:ascii="Arial" w:cs="Arial" w:eastAsia="Arial" w:hAnsi="Arial"/>
                <w:sz w:val="18"/>
                <w:szCs w:val="18"/>
                <w:color w:val="auto"/>
              </w:rPr>
              <w:t>Successor Trustee by Merger, etc</w:t>
            </w: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7.10.</w:t>
            </w:r>
          </w:p>
        </w:tc>
        <w:tc>
          <w:tcPr>
            <w:tcW w:w="8700" w:type="dxa"/>
            <w:vAlign w:val="bottom"/>
          </w:tcPr>
          <w:p>
            <w:pPr>
              <w:ind w:left="380"/>
              <w:spacing w:after="0"/>
              <w:rPr>
                <w:sz w:val="20"/>
                <w:szCs w:val="20"/>
                <w:color w:val="auto"/>
              </w:rPr>
            </w:pPr>
            <w:r>
              <w:rPr>
                <w:rFonts w:ascii="Arial" w:cs="Arial" w:eastAsia="Arial" w:hAnsi="Arial"/>
                <w:sz w:val="18"/>
                <w:szCs w:val="18"/>
                <w:color w:val="auto"/>
              </w:rPr>
              <w:t>Eligibility; Disqualification</w:t>
            </w: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7.11.</w:t>
            </w:r>
          </w:p>
        </w:tc>
        <w:tc>
          <w:tcPr>
            <w:tcW w:w="8700" w:type="dxa"/>
            <w:vAlign w:val="bottom"/>
          </w:tcPr>
          <w:p>
            <w:pPr>
              <w:ind w:left="380"/>
              <w:spacing w:after="0"/>
              <w:rPr>
                <w:sz w:val="20"/>
                <w:szCs w:val="20"/>
                <w:color w:val="auto"/>
              </w:rPr>
            </w:pPr>
            <w:r>
              <w:rPr>
                <w:rFonts w:ascii="Arial" w:cs="Arial" w:eastAsia="Arial" w:hAnsi="Arial"/>
                <w:sz w:val="18"/>
                <w:szCs w:val="18"/>
                <w:color w:val="auto"/>
              </w:rPr>
              <w:t>Preferential Collection of Claims Against Company</w:t>
            </w: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132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Arial" w:cs="Arial" w:eastAsia="Arial" w:hAnsi="Arial"/>
                <w:sz w:val="18"/>
                <w:szCs w:val="18"/>
                <w:color w:val="auto"/>
              </w:rPr>
              <w:t>ARTICLE VIII</w:t>
            </w:r>
          </w:p>
        </w:tc>
        <w:tc>
          <w:tcPr>
            <w:tcW w:w="134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700" w:type="dxa"/>
            <w:vAlign w:val="bottom"/>
          </w:tcPr>
          <w:p>
            <w:pPr>
              <w:jc w:val="center"/>
              <w:spacing w:after="0"/>
              <w:rPr>
                <w:sz w:val="20"/>
                <w:szCs w:val="20"/>
                <w:color w:val="auto"/>
              </w:rPr>
            </w:pPr>
            <w:r>
              <w:rPr>
                <w:rFonts w:ascii="Arial" w:cs="Arial" w:eastAsia="Arial" w:hAnsi="Arial"/>
                <w:sz w:val="18"/>
                <w:szCs w:val="18"/>
                <w:color w:val="auto"/>
                <w:w w:val="97"/>
              </w:rPr>
              <w:t>LEGAL DEFEASANCE AND COVENANT DEFEASANCE</w:t>
            </w:r>
          </w:p>
        </w:tc>
        <w:tc>
          <w:tcPr>
            <w:tcW w:w="1340" w:type="dxa"/>
            <w:vAlign w:val="bottom"/>
          </w:tcPr>
          <w:p>
            <w:pPr>
              <w:spacing w:after="0"/>
              <w:rPr>
                <w:sz w:val="20"/>
                <w:szCs w:val="20"/>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Section 8.01.</w:t>
            </w:r>
          </w:p>
        </w:tc>
        <w:tc>
          <w:tcPr>
            <w:tcW w:w="8700" w:type="dxa"/>
            <w:vAlign w:val="bottom"/>
          </w:tcPr>
          <w:p>
            <w:pPr>
              <w:ind w:left="380"/>
              <w:spacing w:after="0"/>
              <w:rPr>
                <w:sz w:val="20"/>
                <w:szCs w:val="20"/>
                <w:color w:val="auto"/>
              </w:rPr>
            </w:pPr>
            <w:r>
              <w:rPr>
                <w:rFonts w:ascii="Arial" w:cs="Arial" w:eastAsia="Arial" w:hAnsi="Arial"/>
                <w:sz w:val="18"/>
                <w:szCs w:val="18"/>
                <w:color w:val="auto"/>
              </w:rPr>
              <w:t>Option To Effect Legal Defeasance or 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8.02.</w:t>
            </w:r>
          </w:p>
        </w:tc>
        <w:tc>
          <w:tcPr>
            <w:tcW w:w="8700" w:type="dxa"/>
            <w:vAlign w:val="bottom"/>
          </w:tcPr>
          <w:p>
            <w:pPr>
              <w:ind w:left="380"/>
              <w:spacing w:after="0"/>
              <w:rPr>
                <w:sz w:val="20"/>
                <w:szCs w:val="20"/>
                <w:color w:val="auto"/>
              </w:rPr>
            </w:pPr>
            <w:r>
              <w:rPr>
                <w:rFonts w:ascii="Arial" w:cs="Arial" w:eastAsia="Arial" w:hAnsi="Arial"/>
                <w:sz w:val="18"/>
                <w:szCs w:val="18"/>
                <w:color w:val="auto"/>
              </w:rPr>
              <w:t>Legal Defeasance and Discharge</w:t>
            </w: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8.03.</w:t>
            </w:r>
          </w:p>
        </w:tc>
        <w:tc>
          <w:tcPr>
            <w:tcW w:w="8700" w:type="dxa"/>
            <w:vAlign w:val="bottom"/>
          </w:tcPr>
          <w:p>
            <w:pPr>
              <w:ind w:left="380"/>
              <w:spacing w:after="0"/>
              <w:rPr>
                <w:sz w:val="20"/>
                <w:szCs w:val="20"/>
                <w:color w:val="auto"/>
              </w:rPr>
            </w:pPr>
            <w:r>
              <w:rPr>
                <w:rFonts w:ascii="Arial" w:cs="Arial" w:eastAsia="Arial" w:hAnsi="Arial"/>
                <w:sz w:val="18"/>
                <w:szCs w:val="18"/>
                <w:color w:val="auto"/>
              </w:rPr>
              <w:t>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8.04.</w:t>
            </w:r>
          </w:p>
        </w:tc>
        <w:tc>
          <w:tcPr>
            <w:tcW w:w="8700" w:type="dxa"/>
            <w:vAlign w:val="bottom"/>
          </w:tcPr>
          <w:p>
            <w:pPr>
              <w:ind w:left="380"/>
              <w:spacing w:after="0"/>
              <w:rPr>
                <w:sz w:val="20"/>
                <w:szCs w:val="20"/>
                <w:color w:val="auto"/>
              </w:rPr>
            </w:pPr>
            <w:r>
              <w:rPr>
                <w:rFonts w:ascii="Arial" w:cs="Arial" w:eastAsia="Arial" w:hAnsi="Arial"/>
                <w:sz w:val="18"/>
                <w:szCs w:val="18"/>
                <w:color w:val="auto"/>
              </w:rPr>
              <w:t>Conditions to Legal or 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8.05.</w:t>
            </w:r>
          </w:p>
        </w:tc>
        <w:tc>
          <w:tcPr>
            <w:tcW w:w="8700" w:type="dxa"/>
            <w:vAlign w:val="bottom"/>
          </w:tcPr>
          <w:p>
            <w:pPr>
              <w:ind w:left="38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8.06.</w:t>
            </w:r>
          </w:p>
        </w:tc>
        <w:tc>
          <w:tcPr>
            <w:tcW w:w="8700" w:type="dxa"/>
            <w:vAlign w:val="bottom"/>
          </w:tcPr>
          <w:p>
            <w:pPr>
              <w:ind w:left="380"/>
              <w:spacing w:after="0"/>
              <w:rPr>
                <w:sz w:val="20"/>
                <w:szCs w:val="20"/>
                <w:color w:val="auto"/>
              </w:rPr>
            </w:pPr>
            <w:r>
              <w:rPr>
                <w:rFonts w:ascii="Arial" w:cs="Arial" w:eastAsia="Arial" w:hAnsi="Arial"/>
                <w:sz w:val="18"/>
                <w:szCs w:val="18"/>
                <w:color w:val="auto"/>
              </w:rPr>
              <w:t>Repayment to Company</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8.07.</w:t>
            </w:r>
          </w:p>
        </w:tc>
        <w:tc>
          <w:tcPr>
            <w:tcW w:w="8700" w:type="dxa"/>
            <w:vAlign w:val="bottom"/>
          </w:tcPr>
          <w:p>
            <w:pPr>
              <w:ind w:left="380"/>
              <w:spacing w:after="0"/>
              <w:rPr>
                <w:sz w:val="20"/>
                <w:szCs w:val="20"/>
                <w:color w:val="auto"/>
              </w:rPr>
            </w:pPr>
            <w:r>
              <w:rPr>
                <w:rFonts w:ascii="Arial" w:cs="Arial" w:eastAsia="Arial" w:hAnsi="Arial"/>
                <w:sz w:val="18"/>
                <w:szCs w:val="18"/>
                <w:color w:val="auto"/>
              </w:rPr>
              <w:t>Reinstatement</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SUPPLEMENT AND WAIVER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7760" w:type="dxa"/>
            <w:vAlign w:val="bottom"/>
          </w:tcPr>
          <w:p>
            <w:pPr>
              <w:ind w:left="340"/>
              <w:spacing w:after="0"/>
              <w:rPr>
                <w:sz w:val="20"/>
                <w:szCs w:val="20"/>
                <w:color w:val="auto"/>
              </w:rPr>
            </w:pPr>
            <w:r>
              <w:rPr>
                <w:rFonts w:ascii="Arial" w:cs="Arial" w:eastAsia="Arial" w:hAnsi="Arial"/>
                <w:sz w:val="18"/>
                <w:szCs w:val="18"/>
                <w:color w:val="auto"/>
              </w:rPr>
              <w:t>Without Consent of Holders of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7760" w:type="dxa"/>
            <w:vAlign w:val="bottom"/>
          </w:tcPr>
          <w:p>
            <w:pPr>
              <w:ind w:left="340"/>
              <w:spacing w:after="0"/>
              <w:rPr>
                <w:sz w:val="20"/>
                <w:szCs w:val="20"/>
                <w:color w:val="auto"/>
              </w:rPr>
            </w:pPr>
            <w:r>
              <w:rPr>
                <w:rFonts w:ascii="Arial" w:cs="Arial" w:eastAsia="Arial" w:hAnsi="Arial"/>
                <w:sz w:val="18"/>
                <w:szCs w:val="18"/>
                <w:color w:val="auto"/>
              </w:rPr>
              <w:t>With Consent of Holders of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7760" w:type="dxa"/>
            <w:vAlign w:val="bottom"/>
          </w:tcPr>
          <w:p>
            <w:pPr>
              <w:ind w:left="340"/>
              <w:spacing w:after="0"/>
              <w:rPr>
                <w:sz w:val="20"/>
                <w:szCs w:val="20"/>
                <w:color w:val="auto"/>
              </w:rPr>
            </w:pPr>
            <w:r>
              <w:rPr>
                <w:rFonts w:ascii="Arial" w:cs="Arial" w:eastAsia="Arial" w:hAnsi="Arial"/>
                <w:sz w:val="18"/>
                <w:szCs w:val="18"/>
                <w:color w:val="auto"/>
              </w:rPr>
              <w:t>Revocation and Effect of Consents</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7760" w:type="dxa"/>
            <w:vAlign w:val="bottom"/>
          </w:tcPr>
          <w:p>
            <w:pPr>
              <w:ind w:left="340"/>
              <w:spacing w:after="0"/>
              <w:rPr>
                <w:sz w:val="20"/>
                <w:szCs w:val="20"/>
                <w:color w:val="auto"/>
              </w:rPr>
            </w:pPr>
            <w:r>
              <w:rPr>
                <w:rFonts w:ascii="Arial" w:cs="Arial" w:eastAsia="Arial" w:hAnsi="Arial"/>
                <w:sz w:val="18"/>
                <w:szCs w:val="18"/>
                <w:color w:val="auto"/>
              </w:rPr>
              <w:t>Notation on or Exchange of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9.05.</w:t>
            </w:r>
          </w:p>
        </w:tc>
        <w:tc>
          <w:tcPr>
            <w:tcW w:w="7760" w:type="dxa"/>
            <w:vAlign w:val="bottom"/>
          </w:tcPr>
          <w:p>
            <w:pPr>
              <w:ind w:left="340"/>
              <w:spacing w:after="0"/>
              <w:rPr>
                <w:sz w:val="20"/>
                <w:szCs w:val="20"/>
                <w:color w:val="auto"/>
              </w:rPr>
            </w:pPr>
            <w:r>
              <w:rPr>
                <w:rFonts w:ascii="Arial" w:cs="Arial" w:eastAsia="Arial" w:hAnsi="Arial"/>
                <w:sz w:val="18"/>
                <w:szCs w:val="18"/>
                <w:color w:val="auto"/>
              </w:rPr>
              <w:t>Trustee to Sign Amendments, etc</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0"/>
        </w:trPr>
        <w:tc>
          <w:tcPr>
            <w:tcW w:w="1360" w:type="dxa"/>
            <w:vAlign w:val="bottom"/>
          </w:tcPr>
          <w:p>
            <w:pPr>
              <w:spacing w:after="0"/>
              <w:rPr>
                <w:sz w:val="24"/>
                <w:szCs w:val="24"/>
                <w:color w:val="auto"/>
              </w:rPr>
            </w:pPr>
          </w:p>
        </w:tc>
        <w:tc>
          <w:tcPr>
            <w:tcW w:w="7760" w:type="dxa"/>
            <w:vAlign w:val="bottom"/>
          </w:tcPr>
          <w:p>
            <w:pPr>
              <w:jc w:val="center"/>
              <w:ind w:left="790"/>
              <w:spacing w:after="0"/>
              <w:rPr>
                <w:sz w:val="20"/>
                <w:szCs w:val="20"/>
                <w:color w:val="auto"/>
              </w:rPr>
            </w:pPr>
            <w:r>
              <w:rPr>
                <w:rFonts w:ascii="Arial" w:cs="Arial" w:eastAsia="Arial" w:hAnsi="Arial"/>
                <w:sz w:val="18"/>
                <w:szCs w:val="18"/>
                <w:color w:val="auto"/>
                <w:w w:val="98"/>
              </w:rPr>
              <w:t>ARTICLE X</w:t>
            </w:r>
          </w:p>
        </w:tc>
        <w:tc>
          <w:tcPr>
            <w:tcW w:w="224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7760" w:type="dxa"/>
            <w:vAlign w:val="bottom"/>
          </w:tcPr>
          <w:p>
            <w:pPr>
              <w:jc w:val="center"/>
              <w:ind w:left="790"/>
              <w:spacing w:after="0"/>
              <w:rPr>
                <w:sz w:val="20"/>
                <w:szCs w:val="20"/>
                <w:color w:val="auto"/>
              </w:rPr>
            </w:pPr>
            <w:r>
              <w:rPr>
                <w:rFonts w:ascii="Arial" w:cs="Arial" w:eastAsia="Arial" w:hAnsi="Arial"/>
                <w:sz w:val="18"/>
                <w:szCs w:val="18"/>
                <w:color w:val="auto"/>
                <w:w w:val="96"/>
              </w:rPr>
              <w:t>NOTE GUARANTEES</w:t>
            </w:r>
          </w:p>
        </w:tc>
        <w:tc>
          <w:tcPr>
            <w:tcW w:w="2240" w:type="dxa"/>
            <w:vAlign w:val="bottom"/>
          </w:tcPr>
          <w:p>
            <w:pPr>
              <w:spacing w:after="0"/>
              <w:rPr>
                <w:sz w:val="20"/>
                <w:szCs w:val="20"/>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Section 10.01.</w:t>
            </w:r>
          </w:p>
        </w:tc>
        <w:tc>
          <w:tcPr>
            <w:tcW w:w="7760" w:type="dxa"/>
            <w:vAlign w:val="bottom"/>
          </w:tcPr>
          <w:p>
            <w:pPr>
              <w:ind w:left="340"/>
              <w:spacing w:after="0"/>
              <w:rPr>
                <w:sz w:val="20"/>
                <w:szCs w:val="20"/>
                <w:color w:val="auto"/>
              </w:rPr>
            </w:pPr>
            <w:r>
              <w:rPr>
                <w:rFonts w:ascii="Arial" w:cs="Arial" w:eastAsia="Arial" w:hAnsi="Arial"/>
                <w:sz w:val="18"/>
                <w:szCs w:val="18"/>
                <w:color w:val="auto"/>
              </w:rPr>
              <w:t>Guarantee</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10.02.</w:t>
            </w:r>
          </w:p>
        </w:tc>
        <w:tc>
          <w:tcPr>
            <w:tcW w:w="7760" w:type="dxa"/>
            <w:vAlign w:val="bottom"/>
          </w:tcPr>
          <w:p>
            <w:pPr>
              <w:ind w:left="340"/>
              <w:spacing w:after="0"/>
              <w:rPr>
                <w:sz w:val="20"/>
                <w:szCs w:val="20"/>
                <w:color w:val="auto"/>
              </w:rPr>
            </w:pPr>
            <w:r>
              <w:rPr>
                <w:rFonts w:ascii="Arial" w:cs="Arial" w:eastAsia="Arial" w:hAnsi="Arial"/>
                <w:sz w:val="18"/>
                <w:szCs w:val="18"/>
                <w:color w:val="auto"/>
              </w:rPr>
              <w:t>Limitation on Guarantor Liability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10.03.</w:t>
            </w:r>
          </w:p>
        </w:tc>
        <w:tc>
          <w:tcPr>
            <w:tcW w:w="7760" w:type="dxa"/>
            <w:vAlign w:val="bottom"/>
          </w:tcPr>
          <w:p>
            <w:pPr>
              <w:ind w:left="340"/>
              <w:spacing w:after="0"/>
              <w:rPr>
                <w:sz w:val="20"/>
                <w:szCs w:val="20"/>
                <w:color w:val="auto"/>
              </w:rPr>
            </w:pPr>
            <w:r>
              <w:rPr>
                <w:rFonts w:ascii="Arial" w:cs="Arial" w:eastAsia="Arial" w:hAnsi="Arial"/>
                <w:sz w:val="18"/>
                <w:szCs w:val="18"/>
                <w:color w:val="auto"/>
              </w:rPr>
              <w:t>Execution and Delivery of Note Guarantee</w:t>
            </w:r>
          </w:p>
        </w:tc>
        <w:tc>
          <w:tcPr>
            <w:tcW w:w="2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10.04.</w:t>
            </w:r>
          </w:p>
        </w:tc>
        <w:tc>
          <w:tcPr>
            <w:tcW w:w="7760" w:type="dxa"/>
            <w:vAlign w:val="bottom"/>
          </w:tcPr>
          <w:p>
            <w:pPr>
              <w:ind w:left="340"/>
              <w:spacing w:after="0"/>
              <w:rPr>
                <w:sz w:val="20"/>
                <w:szCs w:val="20"/>
                <w:color w:val="auto"/>
              </w:rPr>
            </w:pPr>
            <w:r>
              <w:rPr>
                <w:rFonts w:ascii="Arial" w:cs="Arial" w:eastAsia="Arial" w:hAnsi="Arial"/>
                <w:sz w:val="18"/>
                <w:szCs w:val="18"/>
                <w:color w:val="auto"/>
              </w:rPr>
              <w:t>Guarantors May Consolidate, etc., on Certain Terms</w:t>
            </w:r>
          </w:p>
        </w:tc>
        <w:tc>
          <w:tcPr>
            <w:tcW w:w="2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10.05.</w:t>
            </w:r>
          </w:p>
        </w:tc>
        <w:tc>
          <w:tcPr>
            <w:tcW w:w="7760" w:type="dxa"/>
            <w:vAlign w:val="bottom"/>
          </w:tcPr>
          <w:p>
            <w:pPr>
              <w:ind w:left="340"/>
              <w:spacing w:after="0"/>
              <w:rPr>
                <w:sz w:val="20"/>
                <w:szCs w:val="20"/>
                <w:color w:val="auto"/>
              </w:rPr>
            </w:pPr>
            <w:r>
              <w:rPr>
                <w:rFonts w:ascii="Arial" w:cs="Arial" w:eastAsia="Arial" w:hAnsi="Arial"/>
                <w:sz w:val="18"/>
                <w:szCs w:val="18"/>
                <w:color w:val="auto"/>
              </w:rPr>
              <w:t>Releases</w:t>
            </w:r>
          </w:p>
        </w:tc>
        <w:tc>
          <w:tcPr>
            <w:tcW w:w="2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1360" w:type="dxa"/>
            <w:vAlign w:val="bottom"/>
          </w:tcPr>
          <w:p>
            <w:pPr>
              <w:spacing w:after="0"/>
              <w:rPr>
                <w:sz w:val="24"/>
                <w:szCs w:val="24"/>
                <w:color w:val="auto"/>
              </w:rPr>
            </w:pPr>
          </w:p>
        </w:tc>
        <w:tc>
          <w:tcPr>
            <w:tcW w:w="7760" w:type="dxa"/>
            <w:vAlign w:val="bottom"/>
          </w:tcPr>
          <w:p>
            <w:pPr>
              <w:jc w:val="center"/>
              <w:ind w:left="810"/>
              <w:spacing w:after="0"/>
              <w:rPr>
                <w:sz w:val="20"/>
                <w:szCs w:val="20"/>
                <w:color w:val="auto"/>
              </w:rPr>
            </w:pPr>
            <w:r>
              <w:rPr>
                <w:rFonts w:ascii="Arial" w:cs="Arial" w:eastAsia="Arial" w:hAnsi="Arial"/>
                <w:sz w:val="18"/>
                <w:szCs w:val="18"/>
                <w:color w:val="auto"/>
                <w:w w:val="99"/>
              </w:rPr>
              <w:t>ARTICLE XI</w:t>
            </w:r>
          </w:p>
        </w:tc>
        <w:tc>
          <w:tcPr>
            <w:tcW w:w="224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7760" w:type="dxa"/>
            <w:vAlign w:val="bottom"/>
          </w:tcPr>
          <w:p>
            <w:pPr>
              <w:jc w:val="center"/>
              <w:ind w:left="790"/>
              <w:spacing w:after="0"/>
              <w:rPr>
                <w:sz w:val="20"/>
                <w:szCs w:val="20"/>
                <w:color w:val="auto"/>
              </w:rPr>
            </w:pPr>
            <w:r>
              <w:rPr>
                <w:rFonts w:ascii="Arial" w:cs="Arial" w:eastAsia="Arial" w:hAnsi="Arial"/>
                <w:sz w:val="18"/>
                <w:szCs w:val="18"/>
                <w:color w:val="auto"/>
                <w:w w:val="96"/>
              </w:rPr>
              <w:t>SATISFACTION AND DISCHARGE</w:t>
            </w:r>
          </w:p>
        </w:tc>
        <w:tc>
          <w:tcPr>
            <w:tcW w:w="2240" w:type="dxa"/>
            <w:vAlign w:val="bottom"/>
          </w:tcPr>
          <w:p>
            <w:pPr>
              <w:spacing w:after="0"/>
              <w:rPr>
                <w:sz w:val="20"/>
                <w:szCs w:val="20"/>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Section 11.01.</w:t>
            </w:r>
          </w:p>
        </w:tc>
        <w:tc>
          <w:tcPr>
            <w:tcW w:w="7760" w:type="dxa"/>
            <w:vAlign w:val="bottom"/>
          </w:tcPr>
          <w:p>
            <w:pPr>
              <w:ind w:left="340"/>
              <w:spacing w:after="0"/>
              <w:rPr>
                <w:sz w:val="20"/>
                <w:szCs w:val="20"/>
                <w:color w:val="auto"/>
              </w:rPr>
            </w:pPr>
            <w:r>
              <w:rPr>
                <w:rFonts w:ascii="Arial" w:cs="Arial" w:eastAsia="Arial" w:hAnsi="Arial"/>
                <w:sz w:val="18"/>
                <w:szCs w:val="18"/>
                <w:color w:val="auto"/>
              </w:rPr>
              <w:t>Satisfaction and Discharge</w:t>
            </w: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11.02.</w:t>
            </w:r>
          </w:p>
        </w:tc>
        <w:tc>
          <w:tcPr>
            <w:tcW w:w="7760" w:type="dxa"/>
            <w:vAlign w:val="bottom"/>
          </w:tcPr>
          <w:p>
            <w:pPr>
              <w:ind w:left="340"/>
              <w:spacing w:after="0"/>
              <w:rPr>
                <w:sz w:val="20"/>
                <w:szCs w:val="20"/>
                <w:color w:val="auto"/>
              </w:rPr>
            </w:pPr>
            <w:r>
              <w:rPr>
                <w:rFonts w:ascii="Arial" w:cs="Arial" w:eastAsia="Arial" w:hAnsi="Arial"/>
                <w:sz w:val="18"/>
                <w:szCs w:val="18"/>
                <w:color w:val="auto"/>
              </w:rPr>
              <w:t>Application of Trust Money</w:t>
            </w:r>
          </w:p>
        </w:tc>
        <w:tc>
          <w:tcPr>
            <w:tcW w:w="2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1360" w:type="dxa"/>
            <w:vAlign w:val="bottom"/>
          </w:tcPr>
          <w:p>
            <w:pPr>
              <w:spacing w:after="0"/>
              <w:rPr>
                <w:sz w:val="24"/>
                <w:szCs w:val="24"/>
                <w:color w:val="auto"/>
              </w:rPr>
            </w:pPr>
          </w:p>
        </w:tc>
        <w:tc>
          <w:tcPr>
            <w:tcW w:w="7760" w:type="dxa"/>
            <w:vAlign w:val="bottom"/>
          </w:tcPr>
          <w:p>
            <w:pPr>
              <w:jc w:val="center"/>
              <w:ind w:left="790"/>
              <w:spacing w:after="0"/>
              <w:rPr>
                <w:sz w:val="20"/>
                <w:szCs w:val="20"/>
                <w:color w:val="auto"/>
              </w:rPr>
            </w:pPr>
            <w:r>
              <w:rPr>
                <w:rFonts w:ascii="Arial" w:cs="Arial" w:eastAsia="Arial" w:hAnsi="Arial"/>
                <w:sz w:val="18"/>
                <w:szCs w:val="18"/>
                <w:color w:val="auto"/>
              </w:rPr>
              <w:t>ARTICLE XII</w:t>
            </w:r>
          </w:p>
        </w:tc>
        <w:tc>
          <w:tcPr>
            <w:tcW w:w="224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7760" w:type="dxa"/>
            <w:vAlign w:val="bottom"/>
          </w:tcPr>
          <w:p>
            <w:pPr>
              <w:jc w:val="center"/>
              <w:ind w:left="810"/>
              <w:spacing w:after="0"/>
              <w:rPr>
                <w:sz w:val="20"/>
                <w:szCs w:val="20"/>
                <w:color w:val="auto"/>
              </w:rPr>
            </w:pPr>
            <w:r>
              <w:rPr>
                <w:rFonts w:ascii="Arial" w:cs="Arial" w:eastAsia="Arial" w:hAnsi="Arial"/>
                <w:sz w:val="18"/>
                <w:szCs w:val="18"/>
                <w:color w:val="auto"/>
                <w:w w:val="97"/>
              </w:rPr>
              <w:t>MISCELLANEOUS</w:t>
            </w:r>
          </w:p>
        </w:tc>
        <w:tc>
          <w:tcPr>
            <w:tcW w:w="2240" w:type="dxa"/>
            <w:vAlign w:val="bottom"/>
          </w:tcPr>
          <w:p>
            <w:pPr>
              <w:spacing w:after="0"/>
              <w:rPr>
                <w:sz w:val="20"/>
                <w:szCs w:val="20"/>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Section 12.01.</w:t>
            </w:r>
          </w:p>
        </w:tc>
        <w:tc>
          <w:tcPr>
            <w:tcW w:w="7760" w:type="dxa"/>
            <w:vAlign w:val="bottom"/>
          </w:tcPr>
          <w:p>
            <w:pPr>
              <w:ind w:left="340"/>
              <w:spacing w:after="0"/>
              <w:rPr>
                <w:sz w:val="20"/>
                <w:szCs w:val="20"/>
                <w:color w:val="auto"/>
              </w:rPr>
            </w:pPr>
            <w:r>
              <w:rPr>
                <w:rFonts w:ascii="Arial" w:cs="Arial" w:eastAsia="Arial" w:hAnsi="Arial"/>
                <w:sz w:val="18"/>
                <w:szCs w:val="18"/>
                <w:color w:val="auto"/>
              </w:rPr>
              <w:t>Notices</w:t>
            </w:r>
          </w:p>
        </w:tc>
        <w:tc>
          <w:tcPr>
            <w:tcW w:w="2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12.02.</w:t>
            </w:r>
          </w:p>
        </w:tc>
        <w:tc>
          <w:tcPr>
            <w:tcW w:w="7760" w:type="dxa"/>
            <w:vAlign w:val="bottom"/>
          </w:tcPr>
          <w:p>
            <w:pPr>
              <w:ind w:left="340"/>
              <w:spacing w:after="0"/>
              <w:rPr>
                <w:sz w:val="20"/>
                <w:szCs w:val="20"/>
                <w:color w:val="auto"/>
              </w:rPr>
            </w:pPr>
            <w:r>
              <w:rPr>
                <w:rFonts w:ascii="Arial" w:cs="Arial" w:eastAsia="Arial" w:hAnsi="Arial"/>
                <w:sz w:val="18"/>
                <w:szCs w:val="18"/>
                <w:color w:val="auto"/>
              </w:rPr>
              <w:t>Communication by Holders of Notes with Other Holders of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12.03.</w:t>
            </w:r>
          </w:p>
        </w:tc>
        <w:tc>
          <w:tcPr>
            <w:tcW w:w="7760" w:type="dxa"/>
            <w:vAlign w:val="bottom"/>
          </w:tcPr>
          <w:p>
            <w:pPr>
              <w:ind w:left="340"/>
              <w:spacing w:after="0"/>
              <w:rPr>
                <w:sz w:val="20"/>
                <w:szCs w:val="20"/>
                <w:color w:val="auto"/>
              </w:rPr>
            </w:pPr>
            <w:r>
              <w:rPr>
                <w:rFonts w:ascii="Arial" w:cs="Arial" w:eastAsia="Arial" w:hAnsi="Arial"/>
                <w:sz w:val="18"/>
                <w:szCs w:val="18"/>
                <w:color w:val="auto"/>
              </w:rPr>
              <w:t>Certificate and Opinion as to Conditions Precedent</w:t>
            </w:r>
          </w:p>
        </w:tc>
        <w:tc>
          <w:tcPr>
            <w:tcW w:w="2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12.04.</w:t>
            </w:r>
          </w:p>
        </w:tc>
        <w:tc>
          <w:tcPr>
            <w:tcW w:w="7760" w:type="dxa"/>
            <w:vAlign w:val="bottom"/>
          </w:tcPr>
          <w:p>
            <w:pPr>
              <w:ind w:left="340"/>
              <w:spacing w:after="0"/>
              <w:rPr>
                <w:sz w:val="20"/>
                <w:szCs w:val="20"/>
                <w:color w:val="auto"/>
              </w:rPr>
            </w:pPr>
            <w:r>
              <w:rPr>
                <w:rFonts w:ascii="Arial" w:cs="Arial" w:eastAsia="Arial" w:hAnsi="Arial"/>
                <w:sz w:val="18"/>
                <w:szCs w:val="18"/>
                <w:color w:val="auto"/>
              </w:rPr>
              <w:t>Statements Required in Certificate or Opinion</w:t>
            </w:r>
          </w:p>
        </w:tc>
        <w:tc>
          <w:tcPr>
            <w:tcW w:w="2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12.05.</w:t>
            </w:r>
          </w:p>
        </w:tc>
        <w:tc>
          <w:tcPr>
            <w:tcW w:w="7760" w:type="dxa"/>
            <w:vAlign w:val="bottom"/>
          </w:tcPr>
          <w:p>
            <w:pPr>
              <w:ind w:left="340"/>
              <w:spacing w:after="0"/>
              <w:rPr>
                <w:sz w:val="20"/>
                <w:szCs w:val="20"/>
                <w:color w:val="auto"/>
              </w:rPr>
            </w:pPr>
            <w:r>
              <w:rPr>
                <w:rFonts w:ascii="Arial" w:cs="Arial" w:eastAsia="Arial" w:hAnsi="Arial"/>
                <w:sz w:val="18"/>
                <w:szCs w:val="18"/>
                <w:color w:val="auto"/>
              </w:rPr>
              <w:t>Rules by Trustee and Agents</w:t>
            </w:r>
          </w:p>
        </w:tc>
        <w:tc>
          <w:tcPr>
            <w:tcW w:w="2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12.06.</w:t>
            </w:r>
          </w:p>
        </w:tc>
        <w:tc>
          <w:tcPr>
            <w:tcW w:w="7760" w:type="dxa"/>
            <w:vAlign w:val="bottom"/>
          </w:tcPr>
          <w:p>
            <w:pPr>
              <w:ind w:left="34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12.07.</w:t>
            </w:r>
          </w:p>
        </w:tc>
        <w:tc>
          <w:tcPr>
            <w:tcW w:w="776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2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12.08.</w:t>
            </w:r>
          </w:p>
        </w:tc>
        <w:tc>
          <w:tcPr>
            <w:tcW w:w="7760" w:type="dxa"/>
            <w:vAlign w:val="bottom"/>
          </w:tcPr>
          <w:p>
            <w:pPr>
              <w:ind w:left="340"/>
              <w:spacing w:after="0"/>
              <w:rPr>
                <w:sz w:val="20"/>
                <w:szCs w:val="20"/>
                <w:color w:val="auto"/>
              </w:rPr>
            </w:pPr>
            <w:r>
              <w:rPr>
                <w:rFonts w:ascii="Arial" w:cs="Arial" w:eastAsia="Arial" w:hAnsi="Arial"/>
                <w:sz w:val="18"/>
                <w:szCs w:val="18"/>
                <w:color w:val="auto"/>
              </w:rPr>
              <w:t>No Adverse Interpretation of Other Agreements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12.09.</w:t>
            </w:r>
          </w:p>
        </w:tc>
        <w:tc>
          <w:tcPr>
            <w:tcW w:w="7760" w:type="dxa"/>
            <w:vAlign w:val="bottom"/>
          </w:tcPr>
          <w:p>
            <w:pPr>
              <w:ind w:left="340"/>
              <w:spacing w:after="0"/>
              <w:rPr>
                <w:sz w:val="20"/>
                <w:szCs w:val="20"/>
                <w:color w:val="auto"/>
              </w:rPr>
            </w:pPr>
            <w:r>
              <w:rPr>
                <w:rFonts w:ascii="Arial" w:cs="Arial" w:eastAsia="Arial" w:hAnsi="Arial"/>
                <w:sz w:val="18"/>
                <w:szCs w:val="18"/>
                <w:color w:val="auto"/>
              </w:rPr>
              <w:t>Successors</w:t>
            </w:r>
          </w:p>
        </w:tc>
        <w:tc>
          <w:tcPr>
            <w:tcW w:w="2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12.10.</w:t>
            </w:r>
          </w:p>
        </w:tc>
        <w:tc>
          <w:tcPr>
            <w:tcW w:w="776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12.11.</w:t>
            </w:r>
          </w:p>
        </w:tc>
        <w:tc>
          <w:tcPr>
            <w:tcW w:w="7760" w:type="dxa"/>
            <w:vAlign w:val="bottom"/>
          </w:tcPr>
          <w:p>
            <w:pPr>
              <w:ind w:left="340"/>
              <w:spacing w:after="0"/>
              <w:rPr>
                <w:sz w:val="20"/>
                <w:szCs w:val="20"/>
                <w:color w:val="auto"/>
              </w:rPr>
            </w:pPr>
            <w:r>
              <w:rPr>
                <w:rFonts w:ascii="Arial" w:cs="Arial" w:eastAsia="Arial" w:hAnsi="Arial"/>
                <w:sz w:val="18"/>
                <w:szCs w:val="18"/>
                <w:color w:val="auto"/>
              </w:rPr>
              <w:t>Counterpart Originals</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12.12.</w:t>
            </w:r>
          </w:p>
        </w:tc>
        <w:tc>
          <w:tcPr>
            <w:tcW w:w="7760" w:type="dxa"/>
            <w:vAlign w:val="bottom"/>
          </w:tcPr>
          <w:p>
            <w:pPr>
              <w:ind w:left="340"/>
              <w:spacing w:after="0"/>
              <w:rPr>
                <w:sz w:val="20"/>
                <w:szCs w:val="20"/>
                <w:color w:val="auto"/>
              </w:rPr>
            </w:pPr>
            <w:r>
              <w:rPr>
                <w:rFonts w:ascii="Arial" w:cs="Arial" w:eastAsia="Arial" w:hAnsi="Arial"/>
                <w:sz w:val="18"/>
                <w:szCs w:val="18"/>
                <w:color w:val="auto"/>
              </w:rPr>
              <w:t>Table of Contents, Headings, etc</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12.13.</w:t>
            </w:r>
          </w:p>
        </w:tc>
        <w:tc>
          <w:tcPr>
            <w:tcW w:w="7760" w:type="dxa"/>
            <w:vAlign w:val="bottom"/>
          </w:tcPr>
          <w:p>
            <w:pPr>
              <w:ind w:left="340"/>
              <w:spacing w:after="0"/>
              <w:rPr>
                <w:sz w:val="20"/>
                <w:szCs w:val="20"/>
                <w:color w:val="auto"/>
              </w:rPr>
            </w:pPr>
            <w:r>
              <w:rPr>
                <w:rFonts w:ascii="Arial" w:cs="Arial" w:eastAsia="Arial" w:hAnsi="Arial"/>
                <w:sz w:val="18"/>
                <w:szCs w:val="18"/>
                <w:color w:val="auto"/>
              </w:rPr>
              <w:t>Waiver of Jury Trial</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12.14.</w:t>
            </w:r>
          </w:p>
        </w:tc>
        <w:tc>
          <w:tcPr>
            <w:tcW w:w="7760" w:type="dxa"/>
            <w:vAlign w:val="bottom"/>
          </w:tcPr>
          <w:p>
            <w:pPr>
              <w:ind w:left="340"/>
              <w:spacing w:after="0"/>
              <w:rPr>
                <w:sz w:val="20"/>
                <w:szCs w:val="20"/>
                <w:color w:val="auto"/>
              </w:rPr>
            </w:pPr>
            <w:r>
              <w:rPr>
                <w:rFonts w:ascii="Arial" w:cs="Arial" w:eastAsia="Arial" w:hAnsi="Arial"/>
                <w:sz w:val="18"/>
                <w:szCs w:val="18"/>
                <w:color w:val="auto"/>
              </w:rPr>
              <w:t>Force Majeure</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12.15.</w:t>
            </w:r>
          </w:p>
        </w:tc>
        <w:tc>
          <w:tcPr>
            <w:tcW w:w="7760" w:type="dxa"/>
            <w:vAlign w:val="bottom"/>
          </w:tcPr>
          <w:p>
            <w:pPr>
              <w:ind w:left="340"/>
              <w:spacing w:after="0"/>
              <w:rPr>
                <w:sz w:val="20"/>
                <w:szCs w:val="20"/>
                <w:color w:val="auto"/>
              </w:rPr>
            </w:pPr>
            <w:r>
              <w:rPr>
                <w:rFonts w:ascii="Arial" w:cs="Arial" w:eastAsia="Arial" w:hAnsi="Arial"/>
                <w:sz w:val="18"/>
                <w:szCs w:val="18"/>
                <w:color w:val="auto"/>
              </w:rPr>
              <w:t>Electronic Delivery</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12.16.</w:t>
            </w:r>
          </w:p>
        </w:tc>
        <w:tc>
          <w:tcPr>
            <w:tcW w:w="7760" w:type="dxa"/>
            <w:vAlign w:val="bottom"/>
          </w:tcPr>
          <w:p>
            <w:pPr>
              <w:ind w:left="340"/>
              <w:spacing w:after="0"/>
              <w:rPr>
                <w:sz w:val="20"/>
                <w:szCs w:val="20"/>
                <w:color w:val="auto"/>
              </w:rPr>
            </w:pPr>
            <w:r>
              <w:rPr>
                <w:rFonts w:ascii="Arial" w:cs="Arial" w:eastAsia="Arial" w:hAnsi="Arial"/>
                <w:sz w:val="18"/>
                <w:szCs w:val="18"/>
                <w:color w:val="auto"/>
              </w:rPr>
              <w:t>Submission to Jurisdiction</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12.17.</w:t>
            </w:r>
          </w:p>
        </w:tc>
        <w:tc>
          <w:tcPr>
            <w:tcW w:w="7760" w:type="dxa"/>
            <w:vAlign w:val="bottom"/>
          </w:tcPr>
          <w:p>
            <w:pPr>
              <w:ind w:left="340"/>
              <w:spacing w:after="0"/>
              <w:rPr>
                <w:sz w:val="20"/>
                <w:szCs w:val="20"/>
                <w:color w:val="auto"/>
              </w:rPr>
            </w:pPr>
            <w:r>
              <w:rPr>
                <w:rFonts w:ascii="Arial" w:cs="Arial" w:eastAsia="Arial" w:hAnsi="Arial"/>
                <w:sz w:val="18"/>
                <w:szCs w:val="18"/>
                <w:color w:val="auto"/>
              </w:rPr>
              <w:t>Foreign Account Tax Compliance Act (FATCA)</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10" w:name="page11"/>
    <w:bookmarkEnd w:id="10"/>
    <w:p>
      <w:pPr>
        <w:ind w:left="53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ectPr>
          <w:pgSz w:w="11900" w:h="16838" w:orient="portrait"/>
          <w:cols w:equalWidth="0" w:num="1">
            <w:col w:w="10219"/>
          </w:cols>
          <w:pgMar w:left="240" w:top="274" w:right="1440" w:bottom="1440" w:gutter="0" w:footer="0" w:header="0"/>
        </w:sectPr>
      </w:pP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Exhibit A Exhibit B Exhibit C Exhibit D Exhibit 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 OF TRANSFER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 OF EXCHANGE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CERTIFICATE OF ACQUIRING INSTITUTIONAL ACCREDITED INVESTOR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OF SUPPLEMENTAL INDENTURE</w:t>
      </w:r>
    </w:p>
    <w:p>
      <w:pPr>
        <w:spacing w:after="0" w:line="143" w:lineRule="exact"/>
        <w:rPr>
          <w:sz w:val="20"/>
          <w:szCs w:val="20"/>
          <w:color w:val="auto"/>
        </w:rPr>
      </w:pPr>
    </w:p>
    <w:p>
      <w:pPr>
        <w:sectPr>
          <w:pgSz w:w="11900" w:h="16838" w:orient="portrait"/>
          <w:cols w:equalWidth="0" w:num="2">
            <w:col w:w="720" w:space="660"/>
            <w:col w:w="8839"/>
          </w:cols>
          <w:pgMar w:left="240" w:top="274" w:right="1440" w:bottom="1440" w:gutter="0" w:footer="0" w:header="0"/>
          <w:type w:val="continuous"/>
        </w:sectPr>
      </w:pPr>
    </w:p>
    <w:p>
      <w:pPr>
        <w:ind w:left="55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74" w:right="1440" w:bottom="1440" w:gutter="0" w:footer="0" w:header="0"/>
          <w:type w:val="continuous"/>
        </w:sectPr>
      </w:pPr>
    </w:p>
    <w:bookmarkStart w:id="11" w:name="page12"/>
    <w:bookmarkEnd w:id="11"/>
    <w:p>
      <w:pPr>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December 22, 2017 among Itron, Inc., a Washington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Guarantors (as defined below) from time to time party hereto and U.S. Bank National Association, a national banking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Company, the Guarantors from time to time party hereto and the Trustee agree as follows for the benefit of each other and for the equal and ratable benefit of the Holders (as defined below) of the 5.000% Senior Notes due 2026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144A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Debt</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60" w:firstLine="443"/>
        <w:spacing w:after="0" w:line="264" w:lineRule="auto"/>
        <w:tabs>
          <w:tab w:leader="none" w:pos="115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Agreement</w:t>
      </w:r>
      <w:r>
        <w:rPr>
          <w:rFonts w:ascii="Arial" w:cs="Arial" w:eastAsia="Arial" w:hAnsi="Arial"/>
          <w:sz w:val="18"/>
          <w:szCs w:val="18"/>
          <w:color w:val="auto"/>
        </w:rPr>
        <w:t>” means the Agreement and Plan of Merger dated as of September 17, 2017, by and among SSNI, the Company and Ivory Merger Sub, Inc., a Delaware corporation and wholly-owned subsidiary of the Company, together with all exhibits and schedules thereto, as amended, supplemented or otherwise modified from time to time.</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additional Notes (other than the Initial Notes) issued under this Indenture in accordance with Sections 2.02 and 4.09 hereof, as part of the same series as the Initial Notes.</w:t>
      </w:r>
    </w:p>
    <w:p>
      <w:pPr>
        <w:spacing w:after="0" w:line="170" w:lineRule="exact"/>
        <w:rPr>
          <w:sz w:val="20"/>
          <w:szCs w:val="20"/>
          <w:color w:val="auto"/>
        </w:rPr>
      </w:pPr>
    </w:p>
    <w:p>
      <w:pPr>
        <w:jc w:val="both"/>
        <w:ind w:right="6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any Registrar, co-registrar, Paying Agent or additional paying agent.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117" w:lineRule="exact"/>
        <w:rPr>
          <w:sz w:val="20"/>
          <w:szCs w:val="20"/>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117" w:lineRule="exact"/>
        <w:rPr>
          <w:rFonts w:ascii="Arial" w:cs="Arial" w:eastAsia="Arial" w:hAnsi="Arial"/>
          <w:sz w:val="18"/>
          <w:szCs w:val="18"/>
          <w:color w:val="auto"/>
        </w:rPr>
      </w:pPr>
    </w:p>
    <w:p>
      <w:pPr>
        <w:ind w:left="460" w:right="20" w:firstLine="443"/>
        <w:spacing w:after="0" w:line="302" w:lineRule="auto"/>
        <w:tabs>
          <w:tab w:leader="none" w:pos="115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excess, if any, of (a) the present value (discounted semi-annually) at such redemption date of (i) the redemption price of such Note at January 15, 2021 (such redemption price being set forth in the table appearing in Section 3.07(e) hereof), plus (ii) all required interest payments due on such Note through January 15, 2021 (excluding accrued but unpaid interest to the redemption date), computed using a discount rate equal to the Treasury Rate as of such redemption date plus 50 basis points, over (b) the then outstanding principal amount of such Note.</w:t>
      </w:r>
    </w:p>
    <w:p>
      <w:pPr>
        <w:spacing w:after="0" w:line="154"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 Clearstream that apply to such transfer or exchange.</w:t>
      </w:r>
    </w:p>
    <w:p>
      <w:pPr>
        <w:sectPr>
          <w:pgSz w:w="11900" w:h="16838" w:orient="portrait"/>
          <w:cols w:equalWidth="0" w:num="1">
            <w:col w:w="11360"/>
          </w:cols>
          <w:pgMar w:left="240" w:top="274" w:right="29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right="140" w:firstLine="443"/>
        <w:spacing w:after="0" w:line="259" w:lineRule="auto"/>
        <w:tabs>
          <w:tab w:leader="none" w:pos="69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other than sales of inventory and equipment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lease, conveyance or other disposition of all or substantially all of the assets of the Company and its Restricted Subsidiaries taken as a whole shall be governed by Section 4.15 hereof and/or the provisions described in Section 5.01 hereof and not by Section 4.10 hereof; or</w:t>
      </w:r>
    </w:p>
    <w:p>
      <w:pPr>
        <w:spacing w:after="0" w:line="78" w:lineRule="exact"/>
        <w:rPr>
          <w:rFonts w:ascii="Arial" w:cs="Arial" w:eastAsia="Arial" w:hAnsi="Arial"/>
          <w:sz w:val="18"/>
          <w:szCs w:val="18"/>
          <w:color w:val="auto"/>
        </w:rPr>
      </w:pPr>
    </w:p>
    <w:p>
      <w:pPr>
        <w:ind w:right="780" w:firstLine="443"/>
        <w:spacing w:after="0" w:line="277" w:lineRule="auto"/>
        <w:tabs>
          <w:tab w:leader="none" w:pos="6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Equity Interests in any of the Company’s Restricted Subsidiaries or the sale by the Company or any of its Restricted Subsidiaries of Equity Interests in any of its Restricted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preceding, none of the following items shall be deemed to be an Asset Sale:</w:t>
      </w:r>
    </w:p>
    <w:p>
      <w:pPr>
        <w:spacing w:after="0" w:line="117" w:lineRule="exact"/>
        <w:rPr>
          <w:sz w:val="20"/>
          <w:szCs w:val="20"/>
          <w:color w:val="auto"/>
        </w:rPr>
      </w:pPr>
    </w:p>
    <w:p>
      <w:pPr>
        <w:ind w:left="700" w:hanging="25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$10.0 million;</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sale, lease, conveyance or other disposition of assets between or among the Company and its Restricted Subsidiaries;</w:t>
      </w:r>
    </w:p>
    <w:p>
      <w:pPr>
        <w:spacing w:after="0" w:line="117" w:lineRule="exact"/>
        <w:rPr>
          <w:rFonts w:ascii="Arial" w:cs="Arial" w:eastAsia="Arial" w:hAnsi="Arial"/>
          <w:sz w:val="18"/>
          <w:szCs w:val="18"/>
          <w:color w:val="auto"/>
        </w:rPr>
      </w:pPr>
    </w:p>
    <w:p>
      <w:pPr>
        <w:ind w:firstLine="443"/>
        <w:spacing w:after="0" w:line="286" w:lineRule="auto"/>
        <w:tabs>
          <w:tab w:leader="none" w:pos="693"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issuance of Equity Interests by the Company, an issuance of Equity Interests by a Restricted Subsidiary of the Company to the Company or to a Restricted Subsidiary of the Company or an issuance of Equity Interests by a Restricted Subsidiary of the Company to the Company or to a Restricted Subsidiary of the Company and to other holders of the Equity Interests of the issuer on a pro rata basis;</w:t>
      </w:r>
    </w:p>
    <w:p>
      <w:pPr>
        <w:spacing w:after="0" w:line="57" w:lineRule="exact"/>
        <w:rPr>
          <w:rFonts w:ascii="Arial" w:cs="Arial" w:eastAsia="Arial" w:hAnsi="Arial"/>
          <w:sz w:val="17"/>
          <w:szCs w:val="17"/>
          <w:color w:val="auto"/>
        </w:rPr>
      </w:pPr>
    </w:p>
    <w:p>
      <w:pPr>
        <w:ind w:right="60" w:firstLine="443"/>
        <w:spacing w:after="0" w:line="264"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lease, sublease, assignment, license or sublicense of products, services or accounts receivable in the ordinary course of business, any sale or other disposition of surplus, damaged, worn-out or obsolete assets in the ordinary course of business, and any release of intangible claims or rights in connection with the loss or settlement of a bona fide lawsuit, dispute or other controversy;</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or other disposition of the Capital Stock or property or assets of any Unrestricted Subsidiary;</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Restricted Payment that does not violate Section 4.07 hereof or a Permitted Investment;</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exchange of property pursuant to Section 1031 of the Internal Revenue Code of 1986, as amended, for use in a Permitted Business;</w:t>
      </w:r>
    </w:p>
    <w:p>
      <w:pPr>
        <w:spacing w:after="0" w:line="140" w:lineRule="exact"/>
        <w:rPr>
          <w:rFonts w:ascii="Arial" w:cs="Arial" w:eastAsia="Arial" w:hAnsi="Arial"/>
          <w:sz w:val="16"/>
          <w:szCs w:val="16"/>
          <w:color w:val="auto"/>
        </w:rPr>
      </w:pPr>
    </w:p>
    <w:p>
      <w:pPr>
        <w:ind w:left="700" w:hanging="25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in the ordinary course of business;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lease, assignment or sublease of any real or personal property in the ordinary course of business;</w:t>
      </w:r>
    </w:p>
    <w:p>
      <w:pPr>
        <w:spacing w:after="0" w:line="117" w:lineRule="exact"/>
        <w:rPr>
          <w:rFonts w:ascii="Arial" w:cs="Arial" w:eastAsia="Arial" w:hAnsi="Arial"/>
          <w:sz w:val="18"/>
          <w:szCs w:val="18"/>
          <w:color w:val="auto"/>
        </w:rPr>
      </w:pPr>
    </w:p>
    <w:p>
      <w:pPr>
        <w:ind w:right="240" w:firstLine="443"/>
        <w:spacing w:after="0" w:line="277" w:lineRule="auto"/>
        <w:tabs>
          <w:tab w:leader="none" w:pos="7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or disposition of any assets or property received as a result of foreclosure by the Company or any of its Restricted Subsidiaries on any secured Investment or any other transfer of title with respect to any secured Investment in default;</w:t>
      </w:r>
    </w:p>
    <w:p>
      <w:pPr>
        <w:spacing w:after="0" w:line="62" w:lineRule="exact"/>
        <w:rPr>
          <w:rFonts w:ascii="Arial" w:cs="Arial" w:eastAsia="Arial" w:hAnsi="Arial"/>
          <w:sz w:val="18"/>
          <w:szCs w:val="18"/>
          <w:color w:val="auto"/>
        </w:rPr>
      </w:pPr>
    </w:p>
    <w:p>
      <w:pPr>
        <w:ind w:right="120" w:firstLine="443"/>
        <w:spacing w:after="0" w:line="277" w:lineRule="auto"/>
        <w:tabs>
          <w:tab w:leader="none" w:pos="7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surrender or waiver of contract rights or the settlement, release or surrender of contract, tort or other claims of any kind, in each case, in the ordinary course of business;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disposition governed by and effected in compliance with Section 5.01 hereof; and</w:t>
      </w:r>
    </w:p>
    <w:p>
      <w:pPr>
        <w:spacing w:after="0" w:line="117" w:lineRule="exact"/>
        <w:rPr>
          <w:rFonts w:ascii="Arial" w:cs="Arial" w:eastAsia="Arial" w:hAnsi="Arial"/>
          <w:sz w:val="18"/>
          <w:szCs w:val="18"/>
          <w:color w:val="auto"/>
        </w:rPr>
      </w:pPr>
    </w:p>
    <w:p>
      <w:pPr>
        <w:ind w:firstLine="443"/>
        <w:spacing w:after="0" w:line="257" w:lineRule="auto"/>
        <w:tabs>
          <w:tab w:leader="none" w:pos="7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or other disposition of any assets by the Company or any Restricted Subsidiary in connection with any restructuring activities so long as (A) such sale or other disposition occurs on or prior to December 31, 2019, (B) no Default or Event of Default has occurred and is continuing at the time of such sale or other disposition, (C) the purchase price paid to the Company or such Subsidiary for such asset shall be no less than the fair market value of such asset at the time of such sale and (D) the aggregate fair market value of all assets disposed of in reliance on this clause (14) since the Issue Date shall not exceed $75.0 million.</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13" w:name="page14"/>
    <w:bookmarkEnd w:id="13"/>
    <w:p>
      <w:pPr>
        <w:ind w:right="100"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shall be determined in accordance with the definition of “Capital Lease Obligation”.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a corporation, the board of directors of the corporation or any committee thereof duly authorized to act on behalf of such</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board;</w:t>
      </w:r>
    </w:p>
    <w:p>
      <w:pPr>
        <w:spacing w:after="0" w:line="102" w:lineRule="exact"/>
        <w:rPr>
          <w:rFonts w:ascii="Arial" w:cs="Arial" w:eastAsia="Arial" w:hAnsi="Arial"/>
          <w:sz w:val="17"/>
          <w:szCs w:val="17"/>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each day which is not a Legal Holiday.</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Lease Obligation</w:t>
      </w:r>
      <w:r>
        <w:rPr>
          <w:rFonts w:ascii="Arial" w:cs="Arial" w:eastAsia="Arial" w:hAnsi="Arial"/>
          <w:sz w:val="18"/>
          <w:szCs w:val="18"/>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128" w:lineRule="exact"/>
        <w:rPr>
          <w:rFonts w:ascii="Arial" w:cs="Arial" w:eastAsia="Arial" w:hAnsi="Arial"/>
          <w:sz w:val="17"/>
          <w:szCs w:val="17"/>
          <w:color w:val="auto"/>
        </w:rPr>
      </w:pPr>
    </w:p>
    <w:p>
      <w:pPr>
        <w:ind w:left="460" w:right="80" w:firstLine="443"/>
        <w:spacing w:after="0" w:line="264"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 w:name="page15"/>
    <w:bookmarkEnd w:id="14"/>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1152" w:hanging="257"/>
        <w:spacing w:after="0"/>
        <w:tabs>
          <w:tab w:leader="none" w:pos="1152"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117" w:lineRule="exact"/>
        <w:rPr>
          <w:rFonts w:ascii="Arial" w:cs="Arial" w:eastAsia="Arial" w:hAnsi="Arial"/>
          <w:sz w:val="18"/>
          <w:szCs w:val="18"/>
          <w:color w:val="auto"/>
        </w:rPr>
      </w:pPr>
    </w:p>
    <w:p>
      <w:pPr>
        <w:jc w:val="both"/>
        <w:ind w:left="452" w:right="200" w:firstLine="443"/>
        <w:spacing w:after="0" w:line="264" w:lineRule="auto"/>
        <w:tabs>
          <w:tab w:leader="none" w:pos="114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one year from the date of acquisition;</w:t>
      </w:r>
    </w:p>
    <w:p>
      <w:pPr>
        <w:spacing w:after="0" w:line="73" w:lineRule="exact"/>
        <w:rPr>
          <w:rFonts w:ascii="Arial" w:cs="Arial" w:eastAsia="Arial" w:hAnsi="Arial"/>
          <w:sz w:val="18"/>
          <w:szCs w:val="18"/>
          <w:color w:val="auto"/>
        </w:rPr>
      </w:pPr>
    </w:p>
    <w:p>
      <w:pPr>
        <w:ind w:left="452" w:right="100" w:firstLine="443"/>
        <w:spacing w:after="0" w:line="264" w:lineRule="auto"/>
        <w:tabs>
          <w:tab w:leader="none" w:pos="1145"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certificates of deposit and eurodollar time deposits with maturities of one year or less from the date of acquisition, bankers’ acceptances with maturities not exceeding one year and overnight bank deposits, in each case, with any lender party to the Credit Agreement or with any domestic commercial bank having capital and surplus in excess of $500.0 million;</w:t>
      </w:r>
    </w:p>
    <w:p>
      <w:pPr>
        <w:spacing w:after="0" w:line="73" w:lineRule="exact"/>
        <w:rPr>
          <w:rFonts w:ascii="Arial" w:cs="Arial" w:eastAsia="Arial" w:hAnsi="Arial"/>
          <w:sz w:val="18"/>
          <w:szCs w:val="18"/>
          <w:color w:val="auto"/>
        </w:rPr>
      </w:pPr>
    </w:p>
    <w:p>
      <w:pPr>
        <w:ind w:left="452" w:right="220" w:firstLine="443"/>
        <w:spacing w:after="0" w:line="277" w:lineRule="auto"/>
        <w:tabs>
          <w:tab w:leader="none" w:pos="114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62" w:lineRule="exact"/>
        <w:rPr>
          <w:rFonts w:ascii="Arial" w:cs="Arial" w:eastAsia="Arial" w:hAnsi="Arial"/>
          <w:sz w:val="18"/>
          <w:szCs w:val="18"/>
          <w:color w:val="auto"/>
        </w:rPr>
      </w:pPr>
    </w:p>
    <w:p>
      <w:pPr>
        <w:ind w:left="452" w:right="20" w:firstLine="443"/>
        <w:spacing w:after="0" w:line="277" w:lineRule="auto"/>
        <w:tabs>
          <w:tab w:leader="none" w:pos="114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short-term commercial paper having a rating of P-1 (or higher) from Moody’s or A-1 (or higher) from S&amp;P and, in each case, maturing within 12 months after the date of acquisition;</w:t>
      </w:r>
    </w:p>
    <w:p>
      <w:pPr>
        <w:spacing w:after="0" w:line="62" w:lineRule="exact"/>
        <w:rPr>
          <w:rFonts w:ascii="Arial" w:cs="Arial" w:eastAsia="Arial" w:hAnsi="Arial"/>
          <w:sz w:val="18"/>
          <w:szCs w:val="18"/>
          <w:color w:val="auto"/>
        </w:rPr>
      </w:pPr>
    </w:p>
    <w:p>
      <w:pPr>
        <w:ind w:left="452" w:right="140" w:firstLine="443"/>
        <w:spacing w:after="0" w:line="277" w:lineRule="auto"/>
        <w:tabs>
          <w:tab w:leader="none" w:pos="114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marketable short-term money market and similar securities having a rating of at least P-1 from Moody’s or A-1 from S&amp;P and, in each case, maturing within 12 months after the date of creation thereof;</w:t>
      </w:r>
    </w:p>
    <w:p>
      <w:pPr>
        <w:spacing w:after="0" w:line="62" w:lineRule="exact"/>
        <w:rPr>
          <w:rFonts w:ascii="Arial" w:cs="Arial" w:eastAsia="Arial" w:hAnsi="Arial"/>
          <w:sz w:val="18"/>
          <w:szCs w:val="18"/>
          <w:color w:val="auto"/>
        </w:rPr>
      </w:pPr>
    </w:p>
    <w:p>
      <w:pPr>
        <w:ind w:left="452" w:firstLine="443"/>
        <w:spacing w:after="0" w:line="259" w:lineRule="auto"/>
        <w:tabs>
          <w:tab w:leader="none" w:pos="114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one of the two highest ratings obtainable from either Moody’s or S&amp;P (or, if at any time neither Moody’s nor S&amp;P is rating such obligations, reasonably equivalent ratings of another internationally recognized ratings agency) with maturities of 24 months or less from the date of acquisition;</w:t>
      </w:r>
    </w:p>
    <w:p>
      <w:pPr>
        <w:spacing w:after="0" w:line="78" w:lineRule="exact"/>
        <w:rPr>
          <w:rFonts w:ascii="Arial" w:cs="Arial" w:eastAsia="Arial" w:hAnsi="Arial"/>
          <w:sz w:val="18"/>
          <w:szCs w:val="18"/>
          <w:color w:val="auto"/>
        </w:rPr>
      </w:pPr>
    </w:p>
    <w:p>
      <w:pPr>
        <w:ind w:left="452" w:right="280" w:firstLine="443"/>
        <w:spacing w:after="0" w:line="277" w:lineRule="auto"/>
        <w:tabs>
          <w:tab w:leader="none" w:pos="114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euro, or any national currency of any participating member of the EMU or (b) in the case of any Foreign Subsidiary that is a Restricted Subsidiary, such local currencies held by them from time to time in the ordinary course of business; and</w:t>
      </w:r>
    </w:p>
    <w:p>
      <w:pPr>
        <w:spacing w:after="0" w:line="62" w:lineRule="exact"/>
        <w:rPr>
          <w:rFonts w:ascii="Arial" w:cs="Arial" w:eastAsia="Arial" w:hAnsi="Arial"/>
          <w:sz w:val="18"/>
          <w:szCs w:val="18"/>
          <w:color w:val="auto"/>
        </w:rPr>
      </w:pPr>
    </w:p>
    <w:p>
      <w:pPr>
        <w:ind w:left="452" w:right="440" w:firstLine="443"/>
        <w:spacing w:after="0" w:line="277" w:lineRule="auto"/>
        <w:tabs>
          <w:tab w:leader="none" w:pos="114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funds at least 95% of the assets of which constitute Cash Equivalents of the kinds described in clauses (1) through (8) of this definition.</w:t>
      </w:r>
    </w:p>
    <w:p>
      <w:pPr>
        <w:spacing w:after="0" w:line="170" w:lineRule="exact"/>
        <w:rPr>
          <w:sz w:val="20"/>
          <w:szCs w:val="20"/>
          <w:color w:val="auto"/>
        </w:rPr>
      </w:pPr>
    </w:p>
    <w:p>
      <w:pPr>
        <w:ind w:left="912"/>
        <w:spacing w:after="0"/>
        <w:rPr>
          <w:sz w:val="20"/>
          <w:szCs w:val="20"/>
          <w:color w:val="auto"/>
        </w:rPr>
      </w:pPr>
      <w:r>
        <w:rPr>
          <w:rFonts w:ascii="Arial" w:cs="Arial" w:eastAsia="Arial" w:hAnsi="Arial"/>
          <w:sz w:val="16"/>
          <w:szCs w:val="16"/>
          <w:color w:val="auto"/>
        </w:rPr>
        <w:t>Notwithstanding the foregoing, Cash Equivalents shall include amounts denominated in currencies other than those set forth in clauses (1) and</w:t>
      </w:r>
    </w:p>
    <w:p>
      <w:pPr>
        <w:spacing w:after="0" w:line="46" w:lineRule="exact"/>
        <w:rPr>
          <w:sz w:val="20"/>
          <w:szCs w:val="20"/>
          <w:color w:val="auto"/>
        </w:rPr>
      </w:pPr>
    </w:p>
    <w:p>
      <w:pPr>
        <w:ind w:left="-8" w:right="380" w:firstLine="8"/>
        <w:spacing w:after="0" w:line="261" w:lineRule="auto"/>
        <w:tabs>
          <w:tab w:leader="none" w:pos="2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above, provided that such amounts are converted into any currency listed in clauses (1) and (8) as promptly as practicable and in any event within ten Business Days following the receipt of such amounts.</w:t>
      </w:r>
    </w:p>
    <w:p>
      <w:pPr>
        <w:spacing w:after="0" w:line="184"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52" w:right="60" w:firstLine="443"/>
        <w:spacing w:after="0" w:line="264" w:lineRule="auto"/>
        <w:tabs>
          <w:tab w:leader="none" w:pos="11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or “group” (as such terms are used in Section 13(d) and 14(d) of the Exchange Act, respectively);</w:t>
      </w:r>
    </w:p>
    <w:p>
      <w:pPr>
        <w:spacing w:after="0" w:line="73" w:lineRule="exact"/>
        <w:rPr>
          <w:rFonts w:ascii="Arial" w:cs="Arial" w:eastAsia="Arial" w:hAnsi="Arial"/>
          <w:sz w:val="18"/>
          <w:szCs w:val="18"/>
          <w:color w:val="auto"/>
        </w:rPr>
      </w:pPr>
    </w:p>
    <w:p>
      <w:pPr>
        <w:ind w:left="1152" w:hanging="257"/>
        <w:spacing w:after="0"/>
        <w:tabs>
          <w:tab w:leader="none" w:pos="11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117" w:lineRule="exact"/>
        <w:rPr>
          <w:rFonts w:ascii="Arial" w:cs="Arial" w:eastAsia="Arial" w:hAnsi="Arial"/>
          <w:sz w:val="18"/>
          <w:szCs w:val="18"/>
          <w:color w:val="auto"/>
        </w:rPr>
      </w:pPr>
    </w:p>
    <w:p>
      <w:pPr>
        <w:jc w:val="both"/>
        <w:ind w:left="452" w:right="140" w:firstLine="443"/>
        <w:spacing w:after="0" w:line="264" w:lineRule="auto"/>
        <w:tabs>
          <w:tab w:leader="none" w:pos="11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(as defined above) becomes the Beneficial Owner, directly or indirectly, of more than 50% of the Voting Stock of the Company, measured by voting power rather than number of shares; or</w:t>
      </w:r>
    </w:p>
    <w:p>
      <w:pPr>
        <w:spacing w:after="0" w:line="73" w:lineRule="exact"/>
        <w:rPr>
          <w:rFonts w:ascii="Arial" w:cs="Arial" w:eastAsia="Arial" w:hAnsi="Arial"/>
          <w:sz w:val="18"/>
          <w:szCs w:val="18"/>
          <w:color w:val="auto"/>
        </w:rPr>
      </w:pPr>
    </w:p>
    <w:p>
      <w:pPr>
        <w:ind w:left="452" w:right="60" w:firstLine="443"/>
        <w:spacing w:after="0" w:line="286" w:lineRule="auto"/>
        <w:tabs>
          <w:tab w:leader="none" w:pos="11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consolidates with, or merges with or into, any Person, or any Person consolidates with, or merges with or into, the Company, in any such event pursuant to a transaction in which any of the outstanding Voting Stock of the Company or such other Person is converted into or exchanged for cash, securities or other property, other than any such transaction where the Voting Stock of the Company</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15" w:name="page16"/>
    <w:bookmarkEnd w:id="15"/>
    <w:p>
      <w:pPr>
        <w:ind w:left="460"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Clearstream</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Itron, Inc., and any and all successors thereto.</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62" w:lineRule="exact"/>
        <w:rPr>
          <w:sz w:val="20"/>
          <w:szCs w:val="20"/>
          <w:color w:val="auto"/>
        </w:rPr>
      </w:pPr>
    </w:p>
    <w:p>
      <w:pPr>
        <w:ind w:left="460" w:right="2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44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intangibles but excluding amortization of prepaid cash expenses that were paid in a prior period) and other non-cash expenses (including non-cash impairment charges but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p>
    <w:p>
      <w:pPr>
        <w:spacing w:after="0" w:line="80" w:lineRule="exact"/>
        <w:rPr>
          <w:rFonts w:ascii="Arial" w:cs="Arial" w:eastAsia="Arial" w:hAnsi="Arial"/>
          <w:sz w:val="18"/>
          <w:szCs w:val="18"/>
          <w:color w:val="auto"/>
        </w:rPr>
      </w:pPr>
    </w:p>
    <w:p>
      <w:pPr>
        <w:ind w:left="460" w:right="380" w:firstLine="443"/>
        <w:spacing w:after="0" w:line="264"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amount of any restructuring charge or reserve or integration cost, including any one-time costs incurred in connection with any acquisitions or divestitures consummated after the Issue Date (other than the Transactions and restructuring activities incurred or expensed prior to December 31, 2019); </w:t>
      </w:r>
      <w:r>
        <w:rPr>
          <w:rFonts w:ascii="Arial" w:cs="Arial" w:eastAsia="Arial" w:hAnsi="Arial"/>
          <w:sz w:val="18"/>
          <w:szCs w:val="18"/>
          <w:i w:val="1"/>
          <w:iCs w:val="1"/>
          <w:color w:val="auto"/>
        </w:rPr>
        <w:t>plus</w:t>
      </w:r>
    </w:p>
    <w:p>
      <w:pPr>
        <w:spacing w:after="0" w:line="73"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non-recurring expenses related to restructuring activities incurred or expensed during such period and prior to December 31, 2019, not to exceed $60.0 million in the aggregate with respect to all such fiscal quarter periods ending after the Issue Date (inclusive of any such charges incurred prior to the Issue Date);</w:t>
      </w:r>
    </w:p>
    <w:p>
      <w:pPr>
        <w:spacing w:after="0" w:line="73" w:lineRule="exact"/>
        <w:rPr>
          <w:rFonts w:ascii="Arial" w:cs="Arial" w:eastAsia="Arial" w:hAnsi="Arial"/>
          <w:sz w:val="18"/>
          <w:szCs w:val="18"/>
          <w:color w:val="auto"/>
        </w:rPr>
      </w:pPr>
    </w:p>
    <w:p>
      <w:pPr>
        <w:ind w:left="460" w:right="320" w:firstLine="443"/>
        <w:spacing w:after="0" w:line="312" w:lineRule="auto"/>
        <w:tabs>
          <w:tab w:leader="none" w:pos="11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any fees and expenses, or any amortization or write off thereof, incurred in connection with any acquisition, investment, asset disposition, issuance or repayment of debt, issuance of equity securities, refinancing transaction (including the termination of existing Hedging Obligations in connection therewith) or amendment or other modification of any debt instrument; and any charges incurred a result of any such transaction </w:t>
      </w:r>
      <w:r>
        <w:rPr>
          <w:rFonts w:ascii="Arial" w:cs="Arial" w:eastAsia="Arial" w:hAnsi="Arial"/>
          <w:sz w:val="16"/>
          <w:szCs w:val="16"/>
          <w:i w:val="1"/>
          <w:iCs w:val="1"/>
          <w:color w:val="auto"/>
        </w:rPr>
        <w:t>minus</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on a consolidated basis, determined in accordance with GAAP; provided that:</w:t>
      </w:r>
    </w:p>
    <w:p>
      <w:pPr>
        <w:spacing w:after="0" w:line="103" w:lineRule="exact"/>
        <w:rPr>
          <w:sz w:val="20"/>
          <w:szCs w:val="20"/>
          <w:color w:val="auto"/>
        </w:rPr>
      </w:pPr>
    </w:p>
    <w:p>
      <w:pPr>
        <w:ind w:left="460" w:right="60" w:firstLine="443"/>
        <w:spacing w:after="0" w:line="264" w:lineRule="auto"/>
        <w:tabs>
          <w:tab w:leader="none" w:pos="11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shall be included only to the extent of the amount of dividends or similar distributions paid in cash to the specified Person or a Restricted Subsidiary of the 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6" w:name="page17"/>
    <w:bookmarkEnd w:id="16"/>
    <w:p>
      <w:pPr>
        <w:ind w:left="460" w:right="300" w:firstLine="443"/>
        <w:spacing w:after="0" w:line="279" w:lineRule="auto"/>
        <w:tabs>
          <w:tab w:leader="none" w:pos="1153"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 and</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clause (1) above, the Net Income of any Unrestricted Subsidiary shall be excluded, whether or not distributed to the specified Person or one of its Subsidiaries.</w:t>
      </w:r>
    </w:p>
    <w:p>
      <w:pPr>
        <w:spacing w:after="0" w:line="17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Trust Office</w:t>
      </w:r>
      <w:r>
        <w:rPr>
          <w:rFonts w:ascii="Arial" w:cs="Arial" w:eastAsia="Arial" w:hAnsi="Arial"/>
          <w:sz w:val="17"/>
          <w:szCs w:val="17"/>
          <w:color w:val="auto"/>
        </w:rPr>
        <w:t>” means an office of the Trustee at which at any time its corporate trust business shall be administered, which office at the date hereof is located at 1420 Fifth Avenue, 7th Floor, Seattle, Washington 98101, Attention: Global Corporate Trust Services,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7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that Amended and Restated Credit Agreement, dated as of June 23, 2015 (as amended on April 1, 2016, June 13, 2016 and December 4, 2017, and as further amended, amended and restated, supplemented or otherwise modified from time to time) among the Company, the subsidiaries of the Company from time to time party thereto as guarantors and subsidiary borrowers, the lenders from time to time party thereto and Wells Fargo, as administrative agent, providing for a term loan facility and revolving credit borrowings, including any related notes, guarantees, collateral documents, instruments and agreements executed in connection therewith, and, in each case, as amended, modified, restated, renewed, increased, supplemented, refunded, replaced (whether upon or after termination or otherwise) or refinanced (including by means of sales of debt securities to institutional investors) in whole or in part from time to time, including increases in principal amount and extensions of term loans of other financings. For the avoidance of doubt, the term “Credit Agreement” includes the further amended and restated credit agreement expected to be entered into on or about the date of the consummation of the SSNI Acquisition, among the Company, the subsidiaries of the Company from time to time party thereto as guarantors and subsidiary borrowers, the lenders from time to time party thereto and Wells Fargo, as administrative agent.</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 Facilities</w:t>
      </w:r>
      <w:r>
        <w:rPr>
          <w:rFonts w:ascii="Arial" w:cs="Arial" w:eastAsia="Arial" w:hAnsi="Arial"/>
          <w:sz w:val="16"/>
          <w:szCs w:val="16"/>
          <w:color w:val="auto"/>
        </w:rPr>
        <w:t>” means one or more debt facilities (including, without limitation, the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letters of credit or bank guarantees, in each case, that is designated from time to time by the Company as a “Credit Facility” and as amended, modified, restated, renewed, increased, supplemented, refunded, replaced (whether upon or after termination or otherwise) or refinanced (including by means of sales of debt securities to institutional investors) in whole or in part from time to time. The Credit Agreement hereby is designated by the Company as a Credit Facility.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7" w:name="page18"/>
    <w:bookmarkEnd w:id="17"/>
    <w:p>
      <w:pPr>
        <w:ind w:right="1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Designated Non-cash Consideration</w:t>
      </w:r>
      <w:r>
        <w:rPr>
          <w:rFonts w:ascii="Arial" w:cs="Arial" w:eastAsia="Arial" w:hAnsi="Arial"/>
          <w:sz w:val="18"/>
          <w:szCs w:val="18"/>
          <w:color w:val="auto"/>
        </w:rPr>
        <w:t>” means the Fair Market Value of non-cash consideration received by the Company or a Restricted Subsidiary in connection with an Asset Sale that is so designated as Designated Non-cash Consideration pursuant to an Officer’s Certificate delivered to the Trustee, setting forth the basis of such valuation, less the amount of cash or Cash Equivalents received in connection with a subsequent sale of such Designated Non-cash Consideration.</w:t>
      </w:r>
    </w:p>
    <w:p>
      <w:pPr>
        <w:spacing w:after="0" w:line="18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shall not constitute Disqualified Stock if the terms of such Capital Stock provide that the Company may not repurchase or redeem any such Capital Stock pursuant to such provisions unless such repurchase or redemption complies with Section 4.07 hereof. The amount of Disqualified Stock deemed to be outstanding at any time for purposes of this Indenture shall be the maximum amount that the Company and its Restricted Subsidiaries may become obligated to pay upon the maturity of, or pursuant to any mandatory redemption provisions of, such Disqualified Stock, exclusive of accrued dividends.</w:t>
      </w:r>
    </w:p>
    <w:p>
      <w:pPr>
        <w:spacing w:after="0" w:line="195"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Domestic Subsidiary</w:t>
      </w:r>
      <w:r>
        <w:rPr>
          <w:rFonts w:ascii="Arial" w:cs="Arial" w:eastAsia="Arial" w:hAnsi="Arial"/>
          <w:sz w:val="18"/>
          <w:szCs w:val="18"/>
          <w:color w:val="auto"/>
        </w:rPr>
        <w:t>” means any Restricted Subsidiary of the Company that was formed under the laws of the United States or any state or commonwealth of the United States or under the laws of the District of Columbia or that guarantees or otherwise provides direct credit support for any Indebtedness of the Company.</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Offering</w:t>
      </w:r>
      <w:r>
        <w:rPr>
          <w:rFonts w:ascii="Arial" w:cs="Arial" w:eastAsia="Arial" w:hAnsi="Arial"/>
          <w:sz w:val="18"/>
          <w:szCs w:val="18"/>
          <w:color w:val="auto"/>
        </w:rPr>
        <w:t>” means an offer and sale for cash of Capital Stock of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Escrow Release</w:t>
      </w:r>
      <w:r>
        <w:rPr>
          <w:rFonts w:ascii="Arial" w:cs="Arial" w:eastAsia="Arial" w:hAnsi="Arial"/>
          <w:sz w:val="16"/>
          <w:szCs w:val="16"/>
          <w:color w:val="auto"/>
        </w:rPr>
        <w:t>” means the release of the Escrow Proceeds to or at the written order of the Company pursuant to the Escrow Agreement.</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Release Date</w:t>
      </w:r>
      <w:r>
        <w:rPr>
          <w:rFonts w:ascii="Arial" w:cs="Arial" w:eastAsia="Arial" w:hAnsi="Arial"/>
          <w:sz w:val="18"/>
          <w:szCs w:val="18"/>
          <w:color w:val="auto"/>
        </w:rPr>
        <w:t>” means the date of the Escrow Release.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Euroclear</w:t>
      </w:r>
      <w:r>
        <w:rPr>
          <w:rFonts w:ascii="Arial" w:cs="Arial" w:eastAsia="Arial" w:hAnsi="Arial"/>
          <w:sz w:val="18"/>
          <w:szCs w:val="18"/>
          <w:color w:val="auto"/>
        </w:rPr>
        <w:t>” means Euroclear Bank, S.A./N.V., as operator of the Euroclear system.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Indebtedness</w:t>
      </w:r>
      <w:r>
        <w:rPr>
          <w:rFonts w:ascii="Arial" w:cs="Arial" w:eastAsia="Arial" w:hAnsi="Arial"/>
          <w:sz w:val="18"/>
          <w:szCs w:val="18"/>
          <w:color w:val="auto"/>
        </w:rPr>
        <w:t>” means Indebtedness of the Company and its Subsidiaries (other than Indebtedness under the Credit Agreement) in existence on the date hereof, until such amounts are repaid.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Extended Outside Date</w:t>
      </w:r>
      <w:r>
        <w:rPr>
          <w:rFonts w:ascii="Arial" w:cs="Arial" w:eastAsia="Arial" w:hAnsi="Arial"/>
          <w:sz w:val="16"/>
          <w:szCs w:val="16"/>
          <w:color w:val="auto"/>
        </w:rPr>
        <w:t>” means a date later than the Outside Date as selected by the parties to the Acquisition Agreement pursuant to the terms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the value that would be paid by a willing buyer to an unaffiliated willing seller in a transaction not involving distress or necessity of either party, determined in good faith by the Board of Directors of the Company (unless otherwise provided in this Indenture).</w:t>
      </w:r>
    </w:p>
    <w:p>
      <w:pPr>
        <w:spacing w:after="0" w:line="14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Charge Coverage Ratio</w:t>
      </w:r>
      <w:r>
        <w:rPr>
          <w:rFonts w:ascii="Arial" w:cs="Arial" w:eastAsia="Arial" w:hAnsi="Arial"/>
          <w:sz w:val="18"/>
          <w:szCs w:val="18"/>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8" w:name="page19"/>
    <w:bookmarkEnd w:id="18"/>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which the calculation of the Fixed Charge Coverage Ratio is made (the “</w:t>
      </w:r>
      <w:r>
        <w:rPr>
          <w:rFonts w:ascii="Arial" w:cs="Arial" w:eastAsia="Arial" w:hAnsi="Arial"/>
          <w:sz w:val="18"/>
          <w:szCs w:val="18"/>
          <w:b w:val="1"/>
          <w:bCs w:val="1"/>
          <w:i w:val="1"/>
          <w:iCs w:val="1"/>
          <w:color w:val="auto"/>
        </w:rPr>
        <w:t>Calculation Date</w:t>
      </w:r>
      <w:r>
        <w:rPr>
          <w:rFonts w:ascii="Arial" w:cs="Arial" w:eastAsia="Arial" w:hAnsi="Arial"/>
          <w:sz w:val="18"/>
          <w:szCs w:val="18"/>
          <w:color w:val="auto"/>
        </w:rPr>
        <w:t>”), then the Fixed Charge Coverage Ratio shall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460" w:firstLine="443"/>
        <w:spacing w:after="0" w:line="25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shall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as if they had occurred on the first day of the four-quarter reference period;</w:t>
      </w:r>
    </w:p>
    <w:p>
      <w:pPr>
        <w:spacing w:after="0" w:line="80"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shall be excluded;</w:t>
      </w:r>
    </w:p>
    <w:p>
      <w:pPr>
        <w:spacing w:after="0" w:line="62" w:lineRule="exact"/>
        <w:rPr>
          <w:rFonts w:ascii="Arial" w:cs="Arial" w:eastAsia="Arial" w:hAnsi="Arial"/>
          <w:sz w:val="18"/>
          <w:szCs w:val="18"/>
          <w:color w:val="auto"/>
        </w:rPr>
      </w:pPr>
    </w:p>
    <w:p>
      <w:pPr>
        <w:ind w:left="460" w:right="180" w:firstLine="443"/>
        <w:spacing w:after="0" w:line="286" w:lineRule="auto"/>
        <w:tabs>
          <w:tab w:leader="none" w:pos="11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Fixed Charges attributable to discontinued operations, as determined in accordance with GAAP, and operations or businesses (and ownership interests therein) disposed of prior to the Calculation Date, shall be excluded, but only to the extent that the obligations giving rise to such Fixed Charges shall not be obligations of the specified Person or any of its Restricted Subsidiaries following the Calculation Date;</w:t>
      </w:r>
    </w:p>
    <w:p>
      <w:pPr>
        <w:spacing w:after="0" w:line="57" w:lineRule="exact"/>
        <w:rPr>
          <w:rFonts w:ascii="Arial" w:cs="Arial" w:eastAsia="Arial" w:hAnsi="Arial"/>
          <w:sz w:val="17"/>
          <w:szCs w:val="17"/>
          <w:color w:val="auto"/>
        </w:rPr>
      </w:pPr>
    </w:p>
    <w:p>
      <w:pPr>
        <w:ind w:left="460" w:right="26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shall be deemed to have been a Restricted Subsidiary at all times during such four-quarter period;</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shall be deemed not to have been a Restricted Subsidiary at any time during such four-quarter period; and</w:t>
      </w:r>
    </w:p>
    <w:p>
      <w:pPr>
        <w:spacing w:after="0" w:line="62" w:lineRule="exact"/>
        <w:rPr>
          <w:rFonts w:ascii="Arial" w:cs="Arial" w:eastAsia="Arial" w:hAnsi="Arial"/>
          <w:sz w:val="18"/>
          <w:szCs w:val="18"/>
          <w:color w:val="auto"/>
        </w:rPr>
      </w:pPr>
    </w:p>
    <w:p>
      <w:pPr>
        <w:jc w:val="both"/>
        <w:ind w:left="460" w:right="40" w:firstLine="443"/>
        <w:spacing w:after="0" w:line="264"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shall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7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 xml:space="preserve">In addition, for purposes of calculating the Fixed Charge Coverage Ratio, whenever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is to be given to a transaction,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calculations shall be made (x) in accordance with Regulation S-X under the Securities Act or (y) as determined in good faith by a responsible financial or accounting officer of the Company and as set forth in an Officer’s Certificate delivered to the Trustee to be factually supportable and reasonably anticipated to be realizable within 18 months after the date of such transaction.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17" w:lineRule="exact"/>
        <w:rPr>
          <w:sz w:val="20"/>
          <w:szCs w:val="20"/>
          <w:color w:val="auto"/>
        </w:rPr>
      </w:pPr>
    </w:p>
    <w:p>
      <w:pPr>
        <w:ind w:left="460" w:right="100" w:firstLine="443"/>
        <w:spacing w:after="0" w:line="276" w:lineRule="auto"/>
        <w:tabs>
          <w:tab w:leader="none" w:pos="11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w:t>
      </w:r>
      <w:r>
        <w:rPr>
          <w:rFonts w:ascii="Arial" w:cs="Arial" w:eastAsia="Arial" w:hAnsi="Arial"/>
          <w:sz w:val="17"/>
          <w:szCs w:val="17"/>
          <w:i w:val="1"/>
          <w:iCs w:val="1"/>
          <w:color w:val="auto"/>
        </w:rPr>
        <w:t>plus</w:t>
      </w:r>
    </w:p>
    <w:p>
      <w:pPr>
        <w:spacing w:after="0" w:line="64" w:lineRule="exact"/>
        <w:rPr>
          <w:rFonts w:ascii="Arial" w:cs="Arial" w:eastAsia="Arial" w:hAnsi="Arial"/>
          <w:sz w:val="17"/>
          <w:szCs w:val="17"/>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9" w:name="page20"/>
    <w:bookmarkEnd w:id="19"/>
    <w:p>
      <w:pPr>
        <w:ind w:left="460" w:right="80" w:firstLine="443"/>
        <w:spacing w:after="0" w:line="308" w:lineRule="auto"/>
        <w:tabs>
          <w:tab w:leader="none" w:pos="1153"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7"/>
          <w:szCs w:val="17"/>
          <w:i w:val="1"/>
          <w:iCs w:val="1"/>
          <w:color w:val="auto"/>
        </w:rPr>
        <w:t>plus</w:t>
      </w:r>
    </w:p>
    <w:p>
      <w:pPr>
        <w:spacing w:after="0" w:line="38" w:lineRule="exact"/>
        <w:rPr>
          <w:rFonts w:ascii="Arial" w:cs="Arial" w:eastAsia="Arial" w:hAnsi="Arial"/>
          <w:sz w:val="17"/>
          <w:szCs w:val="17"/>
          <w:color w:val="auto"/>
        </w:rPr>
      </w:pPr>
    </w:p>
    <w:p>
      <w:pPr>
        <w:ind w:left="460" w:firstLine="443"/>
        <w:spacing w:after="0" w:line="276" w:lineRule="auto"/>
        <w:tabs>
          <w:tab w:leader="none" w:pos="115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product of (a) all dividends, whether paid or accrued and whether or not in cash, on any series of preferred stock or Disqualified Stock of such Person or any of its Restricted Subsidiaries, other than dividends on Equity Interests payable or accruing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determined on a consolidated basis and in accordance with GAAP.</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Borrowing Base</w:t>
      </w:r>
      <w:r>
        <w:rPr>
          <w:rFonts w:ascii="Arial" w:cs="Arial" w:eastAsia="Arial" w:hAnsi="Arial"/>
          <w:sz w:val="18"/>
          <w:szCs w:val="18"/>
          <w:color w:val="auto"/>
        </w:rPr>
        <w:t>” means, as of any date, an amount equal to:</w:t>
      </w:r>
    </w:p>
    <w:p>
      <w:pPr>
        <w:spacing w:after="0" w:line="117" w:lineRule="exact"/>
        <w:rPr>
          <w:sz w:val="20"/>
          <w:szCs w:val="20"/>
          <w:color w:val="auto"/>
        </w:rPr>
      </w:pPr>
    </w:p>
    <w:p>
      <w:pPr>
        <w:ind w:left="460" w:right="440" w:firstLine="443"/>
        <w:spacing w:after="0" w:line="277"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85% of the face amount of all accounts receivable owned by Foreign Subsidiaries of the Company as of the end of the most recent fiscal quarter preceding such date that were not more than 90 days past due;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700" w:firstLine="443"/>
        <w:spacing w:after="0" w:line="277"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65% of the book value of all inventory owned by Foreign Subsidiaries of the Company as of the end of the most recent fiscal quarter preceding such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any direct or indirect Restricted Subsidiary of the Company that is not a Domestic Subsidiary.</w:t>
      </w:r>
    </w:p>
    <w:p>
      <w:pPr>
        <w:spacing w:after="0" w:line="225"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14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2.06(f)(2) hereof, which is required to be placed on all Global Notes issued under this Indenture.</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Depositary or its nominee, substantially in the form of Exhibit A hereto and that bears the Global Note Legend and that has the “Schedule of Exchanges of Interests in the Global Note” attached thereto, issued in accordance with Section 2.01, 2.06(b)(3), 2.06(b)(4), or 2.06(d)(2) hereof.</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 Securities</w:t>
      </w:r>
      <w:r>
        <w:rPr>
          <w:rFonts w:ascii="Arial" w:cs="Arial" w:eastAsia="Arial" w:hAnsi="Arial"/>
          <w:sz w:val="18"/>
          <w:szCs w:val="18"/>
          <w:color w:val="auto"/>
        </w:rPr>
        <w:t>” means direct obligations of, or obligations guaranteed by, the United States of America, and the payment for which the United States pledges its full faith and credit.</w:t>
      </w:r>
    </w:p>
    <w:p>
      <w:pPr>
        <w:spacing w:after="0" w:line="170"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provided that Guarantee shall not include the pledge of the Capital Stock of an Unrestricted Subsidiary to secure Indebtedness of such Unrestricted Subsidiary.</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means each of:</w:t>
      </w:r>
    </w:p>
    <w:p>
      <w:pPr>
        <w:spacing w:after="0" w:line="117" w:lineRule="exact"/>
        <w:rPr>
          <w:sz w:val="20"/>
          <w:szCs w:val="20"/>
          <w:color w:val="auto"/>
        </w:rPr>
      </w:pPr>
    </w:p>
    <w:p>
      <w:pPr>
        <w:ind w:left="1160" w:hanging="25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Domestic Subsidiaries existing on the date of this Indenture and that executes this Indenture (if any); and</w:t>
      </w:r>
    </w:p>
    <w:p>
      <w:pPr>
        <w:spacing w:after="0" w:line="117" w:lineRule="exact"/>
        <w:rPr>
          <w:rFonts w:ascii="Arial" w:cs="Arial" w:eastAsia="Arial" w:hAnsi="Arial"/>
          <w:sz w:val="18"/>
          <w:szCs w:val="18"/>
          <w:color w:val="auto"/>
        </w:rPr>
      </w:pPr>
    </w:p>
    <w:p>
      <w:pPr>
        <w:ind w:left="460" w:right="80" w:firstLine="443"/>
        <w:spacing w:after="0" w:line="342" w:lineRule="auto"/>
        <w:tabs>
          <w:tab w:leader="none" w:pos="11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other Subsidiary of the Company that executes a Note Guarantee in accordance with the provisions of this Indenture, and their respective successors and assigns, in each case, until the Note Guarantee of such Person has been released in accordance with the provisions of this Indenture.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0" w:name="page21"/>
    <w:bookmarkEnd w:id="2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17" w:lineRule="exact"/>
        <w:rPr>
          <w:sz w:val="20"/>
          <w:szCs w:val="20"/>
          <w:color w:val="auto"/>
        </w:rPr>
      </w:pPr>
    </w:p>
    <w:p>
      <w:pPr>
        <w:ind w:left="460" w:right="200" w:firstLine="443"/>
        <w:spacing w:after="0" w:line="277"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the Person in whose name a Note is registered.</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IAI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without duplication, whether or not contingent:</w:t>
      </w:r>
    </w:p>
    <w:p>
      <w:pPr>
        <w:spacing w:after="0" w:line="62" w:lineRule="exact"/>
        <w:rPr>
          <w:sz w:val="20"/>
          <w:szCs w:val="20"/>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 in respect of sale and leaseback transactions;</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(other than trade payables not overdue by more than 60 days incurred in the ordinary course of such Person’s business);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17"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 xml:space="preserve">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Indebtedness shall not include the pledge of the Capital Stock of an Unrestricted Subsidiary to secure Indebtedness of such Unrestricted Subsidiary.</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117" w:lineRule="exact"/>
        <w:rPr>
          <w:sz w:val="20"/>
          <w:szCs w:val="20"/>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62"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the Guarantee by the specified Person of any indebtedness of any other Person, the maximum liability to which the specified Person may be subject upon the occurrence of the contingency giving rise to the obligation;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21" w:name="page22"/>
    <w:bookmarkEnd w:id="21"/>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respect of Indebtedness of another Person secured by a Lien on the assets of the specified Person, the lesser of:</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 so secured.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Notes</w:t>
      </w:r>
      <w:r>
        <w:rPr>
          <w:rFonts w:ascii="Arial" w:cs="Arial" w:eastAsia="Arial" w:hAnsi="Arial"/>
          <w:sz w:val="18"/>
          <w:szCs w:val="18"/>
          <w:color w:val="auto"/>
        </w:rPr>
        <w:t>” means the first $300.0 million aggregate principal amount of Notes issued under this Indenture on the date hereof.</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Purchasers</w:t>
      </w:r>
      <w:r>
        <w:rPr>
          <w:rFonts w:ascii="Arial" w:cs="Arial" w:eastAsia="Arial" w:hAnsi="Arial"/>
          <w:sz w:val="18"/>
          <w:szCs w:val="18"/>
          <w:color w:val="auto"/>
        </w:rPr>
        <w:t>” means each of Wells Fargo Securities, LLC, J.P. Morgan Securities LLC, BNP Paribas Securities Corp., ING Financial Markets LLC, U.S. Bancorp Investments, Inc.</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who are not also QIBs.</w:t>
      </w:r>
    </w:p>
    <w:p>
      <w:pPr>
        <w:spacing w:after="0" w:line="170"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Grade Ratings</w:t>
      </w:r>
      <w:r>
        <w:rPr>
          <w:rFonts w:ascii="Arial" w:cs="Arial" w:eastAsia="Arial" w:hAnsi="Arial"/>
          <w:sz w:val="18"/>
          <w:szCs w:val="18"/>
          <w:color w:val="auto"/>
        </w:rPr>
        <w:t>” means a rating equal to or higher than Baa3 (or the equivalent) by Moody’s and BBB- (or the equivalent) by S&amp;P, in each case with a stable or better outlook, or if either S&amp;P or Moody’s is not providing a rating on the Notes at any time, an equivalent rating by any other Rating Agency.</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or other extensions of credit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Subsidiary of the Company of a Person that holds an Investment in a third Person shall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shall be determined at the time the Investment is made and without giving effect to subsequent changes in value.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December 22, 2017, the date of the original issuance of the Notes under this Indenture.</w:t>
      </w:r>
    </w:p>
    <w:p>
      <w:pPr>
        <w:spacing w:after="0" w:line="225"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Holiday</w:t>
      </w:r>
      <w:r>
        <w:rPr>
          <w:rFonts w:ascii="Arial" w:cs="Arial" w:eastAsia="Arial" w:hAnsi="Arial"/>
          <w:sz w:val="18"/>
          <w:szCs w:val="18"/>
          <w:color w:val="auto"/>
        </w:rPr>
        <w:t>” means a Saturday, a Sunday or a day on which banking institutions in The City of New York or at a place of payment are authorized or required by law, regulation or executive order to remain closed.</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2" w:name="page23"/>
    <w:bookmarkEnd w:id="22"/>
    <w:p>
      <w:pPr>
        <w:ind w:right="3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means, with respect to any specified Person, the net income or loss of such Person, determined in accordance with GAAP and before any reduction in respect of preferred stock dividends, excluding, however:</w:t>
      </w:r>
    </w:p>
    <w:p>
      <w:pPr>
        <w:spacing w:after="0" w:line="62" w:lineRule="exact"/>
        <w:rPr>
          <w:sz w:val="20"/>
          <w:szCs w:val="20"/>
          <w:color w:val="auto"/>
        </w:rPr>
      </w:pPr>
    </w:p>
    <w:p>
      <w:pPr>
        <w:ind w:left="1160" w:hanging="257"/>
        <w:spacing w:after="0"/>
        <w:tabs>
          <w:tab w:leader="none" w:pos="11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gain (or loss), together with any related provision for taxes on such gain (but not loss), realized in connection with: (a) any Asset Sale; or</w:t>
      </w:r>
    </w:p>
    <w:p>
      <w:pPr>
        <w:spacing w:after="0" w:line="46" w:lineRule="exact"/>
        <w:rPr>
          <w:rFonts w:ascii="Arial" w:cs="Arial" w:eastAsia="Arial" w:hAnsi="Arial"/>
          <w:sz w:val="16"/>
          <w:szCs w:val="16"/>
          <w:color w:val="auto"/>
        </w:rPr>
      </w:pPr>
    </w:p>
    <w:p>
      <w:pPr>
        <w:ind w:left="460" w:right="260" w:firstLine="4"/>
        <w:spacing w:after="0" w:line="261" w:lineRule="auto"/>
        <w:tabs>
          <w:tab w:leader="none" w:pos="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disposition of any securities by such Person or any of its Restricted Subsidiaries or the extinguishment of any Indebtedness of such Person or any of its Restricted Subsidiaries; and</w:t>
      </w:r>
    </w:p>
    <w:p>
      <w:pPr>
        <w:spacing w:after="0" w:line="75" w:lineRule="exact"/>
        <w:rPr>
          <w:rFonts w:ascii="Arial" w:cs="Arial" w:eastAsia="Arial" w:hAnsi="Arial"/>
          <w:sz w:val="18"/>
          <w:szCs w:val="18"/>
          <w:color w:val="auto"/>
        </w:rPr>
      </w:pPr>
    </w:p>
    <w:p>
      <w:pPr>
        <w:ind w:left="1160" w:hanging="257"/>
        <w:spacing w:after="0"/>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Proceeds</w:t>
      </w:r>
      <w:r>
        <w:rPr>
          <w:rFonts w:ascii="Arial" w:cs="Arial" w:eastAsia="Arial" w:hAnsi="Arial"/>
          <w:sz w:val="16"/>
          <w:szCs w:val="16"/>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(1) the direct costs relating to such Asset Sale, including, without limitation, legal, accounting and investment banking fees, and sales or brokerage commissions, and any relocation expenses incurred as a result of the Asset Sale, (2) taxes paid or payable as a result of the Asset Sale, in each case, after taking into account any available tax credits or deductions and any tax sharing arrangements, (3) amounts required to be applied to the repayment of Indebtedness, other than Indebtedness under a Credit Facility, secured by a Lien on the asset or assets that were the subject of such Asset Sale, (4) all distributions and other payments required to be made to any Person owning a beneficial interest in assets subject to sale or minority interest holders in Subsidiaries or joint ventures as a result of such Asset Sale, (5) any reserve, established in accordance with GAAP, against any liabilities associated with the assets disposed of in such Asset Sale and retained by the Company or any Restricted Subsidiary of the Company after such Asset Sale and (6) any reserve, established in accordance with GAAP, with respect to the purchase price adjustments or indemnification obligations relating to such Asset Sale or otherwise in connection with such Asset Sale.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460" w:right="40" w:firstLine="443"/>
        <w:spacing w:after="0" w:line="286" w:lineRule="auto"/>
        <w:tabs>
          <w:tab w:leader="none" w:pos="11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to which neither the Company nor any of its Restricted Subsidiaries (a) provides credit support of any kind (including any undertaking, agreement or instrument that would constitute Indebtedness) (other than the stock of an Unrestricted Subsidiary pledged to secure Indebtedness of such Unrestricted Subsidiary), (b) is directly or indirectly liable as a guarantor or otherwise, or (c) constitutes the lender;</w:t>
      </w:r>
    </w:p>
    <w:p>
      <w:pPr>
        <w:spacing w:after="0" w:line="57" w:lineRule="exact"/>
        <w:rPr>
          <w:rFonts w:ascii="Arial" w:cs="Arial" w:eastAsia="Arial" w:hAnsi="Arial"/>
          <w:sz w:val="17"/>
          <w:szCs w:val="17"/>
          <w:color w:val="auto"/>
        </w:rPr>
      </w:pPr>
    </w:p>
    <w:p>
      <w:pPr>
        <w:ind w:left="460" w:right="160" w:firstLine="443"/>
        <w:spacing w:after="0" w:line="259"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of the Indebtedness to be accelerated or payable prior to its Stated Maturity; and</w:t>
      </w:r>
    </w:p>
    <w:p>
      <w:pPr>
        <w:spacing w:after="0" w:line="78" w:lineRule="exact"/>
        <w:rPr>
          <w:rFonts w:ascii="Arial" w:cs="Arial" w:eastAsia="Arial" w:hAnsi="Arial"/>
          <w:sz w:val="18"/>
          <w:szCs w:val="18"/>
          <w:color w:val="auto"/>
        </w:rPr>
      </w:pPr>
    </w:p>
    <w:p>
      <w:pPr>
        <w:ind w:left="460" w:right="140" w:firstLine="443"/>
        <w:spacing w:after="0" w:line="342" w:lineRule="auto"/>
        <w:tabs>
          <w:tab w:leader="none" w:pos="11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to which the lenders have been notified in writing that they shall not have any recourse to the stock or assets of the Company or any of its Restricted Subsidiaries (other than the stock of an Unrestricted Subsidiary pledged to secure Indebtedness of such Unrestricted Subsidiary).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 Guarantee</w:t>
      </w:r>
      <w:r>
        <w:rPr>
          <w:rFonts w:ascii="Arial" w:cs="Arial" w:eastAsia="Arial" w:hAnsi="Arial"/>
          <w:sz w:val="18"/>
          <w:szCs w:val="18"/>
          <w:color w:val="auto"/>
        </w:rPr>
        <w:t>” means the Guarantee by each Guarantor of the Company’s obligations under this Indenture and the Notes, executed pursuant to the provisions of this Indenture.</w:t>
      </w:r>
    </w:p>
    <w:p>
      <w:pPr>
        <w:spacing w:after="0" w:line="170"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3" w:name="page24"/>
    <w:bookmarkEnd w:id="23"/>
    <w:p>
      <w:pPr>
        <w:ind w:right="2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Offering Memorandum</w:t>
      </w:r>
      <w:r>
        <w:rPr>
          <w:rFonts w:ascii="Arial" w:cs="Arial" w:eastAsia="Arial" w:hAnsi="Arial"/>
          <w:sz w:val="18"/>
          <w:szCs w:val="18"/>
          <w:color w:val="auto"/>
        </w:rPr>
        <w:t>” means that certain offering memorandum related to the offering of the Notes dated December 5, 2017, pursuant to which the Notes were first offered to eligible purchasers in a private placement.</w:t>
      </w:r>
    </w:p>
    <w:p>
      <w:pPr>
        <w:spacing w:after="0" w:line="17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or any other obligor upon the Notes, the Chairman of the Board, the President, the Chief Executive Officer, the Chief Financial Officer, any Vice President, the Controller, the Treasurer or the Secretary (a) of such Person or (b) if such Person is owned or managed by a single entity, of such entity (or any other individual designated as an “Officer” for the purposes of this Indenture by the Board of Directors).</w:t>
      </w:r>
    </w:p>
    <w:p>
      <w:pPr>
        <w:spacing w:after="0" w:line="18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with respect to the Company or any other obligor upon the Notes, a certificate signed by one Officer of such Person that meets the requirements of Section 12.04 hereof.</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from legal counsel reasonably acceptable to the Trustee that meets the requirements of Section 12.04 hereof. The counsel may be an employee of or counsel to the Company or any Subsidiary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 means June 17, 2018.</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Business</w:t>
      </w:r>
      <w:r>
        <w:rPr>
          <w:rFonts w:ascii="Arial" w:cs="Arial" w:eastAsia="Arial" w:hAnsi="Arial"/>
          <w:sz w:val="18"/>
          <w:szCs w:val="18"/>
          <w:color w:val="auto"/>
        </w:rPr>
        <w:t>” means the lines of business engaged in by the Company or any Restricted Subsidiary on the Issue Date and any business reasonably related, complementary, corollary, synergistic or ancillary thereto (including related, complementary, synergistic or ancillary technologies) or reasonable extensions thereof. For the avoidance of doubt, the term “Permitted Business” includes any business engaged in by SSNI and its Subsidiaries on the Issue Date.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Investment in cash and Cash Equivalents;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Person, if as a result of such Investment:</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117" w:lineRule="exact"/>
        <w:rPr>
          <w:rFonts w:ascii="Arial" w:cs="Arial" w:eastAsia="Arial" w:hAnsi="Arial"/>
          <w:sz w:val="18"/>
          <w:szCs w:val="18"/>
          <w:color w:val="auto"/>
        </w:rPr>
      </w:pPr>
    </w:p>
    <w:p>
      <w:pPr>
        <w:ind w:left="920" w:right="660" w:firstLine="421"/>
        <w:spacing w:after="0" w:line="277" w:lineRule="auto"/>
        <w:tabs>
          <w:tab w:leader="none" w:pos="1595"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4.10 hereof;</w:t>
      </w:r>
    </w:p>
    <w:p>
      <w:pPr>
        <w:spacing w:after="0" w:line="62" w:lineRule="exact"/>
        <w:rPr>
          <w:rFonts w:ascii="Arial" w:cs="Arial" w:eastAsia="Arial" w:hAnsi="Arial"/>
          <w:sz w:val="18"/>
          <w:szCs w:val="18"/>
          <w:color w:val="auto"/>
        </w:rPr>
      </w:pPr>
    </w:p>
    <w:p>
      <w:pPr>
        <w:ind w:left="460" w:right="540" w:firstLine="443"/>
        <w:spacing w:after="0" w:line="27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acquisition of assets or Capital Stock solely in exchange for the issuance of Equity Interests (other than Disqualified Stock) of the Company;</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obligations of trade creditors or customers that were incurred in the ordinary course of business of the Company or any of its Restricted Subsidiaries and any Investments received in compromise or resolution of:</w:t>
      </w:r>
    </w:p>
    <w:p>
      <w:pPr>
        <w:spacing w:after="0" w:line="62" w:lineRule="exact"/>
        <w:rPr>
          <w:rFonts w:ascii="Arial" w:cs="Arial" w:eastAsia="Arial" w:hAnsi="Arial"/>
          <w:sz w:val="18"/>
          <w:szCs w:val="18"/>
          <w:color w:val="auto"/>
        </w:rPr>
      </w:pPr>
    </w:p>
    <w:p>
      <w:pPr>
        <w:jc w:val="both"/>
        <w:ind w:left="920" w:firstLine="421"/>
        <w:spacing w:after="0" w:line="264" w:lineRule="auto"/>
        <w:tabs>
          <w:tab w:leader="none" w:pos="15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24" w:name="page25"/>
    <w:bookmarkEnd w:id="24"/>
    <w:p>
      <w:pPr>
        <w:ind w:left="1140" w:hanging="259"/>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 arbitration or other disputes with Persons who are not Affiliates;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right="160" w:firstLine="443"/>
        <w:spacing w:after="0" w:line="277"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loans or advances to employees made in the ordinary course of business of the Company or any Restricted Subsidiary of the Company in an aggregate principal amount not to exceed $5.0 million at any one time outstanding;</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repurchases of the Notes (including the Note Guarantees);</w:t>
      </w:r>
    </w:p>
    <w:p>
      <w:pPr>
        <w:spacing w:after="0" w:line="117" w:lineRule="exact"/>
        <w:rPr>
          <w:rFonts w:ascii="Arial" w:cs="Arial" w:eastAsia="Arial" w:hAnsi="Arial"/>
          <w:sz w:val="18"/>
          <w:szCs w:val="18"/>
          <w:color w:val="auto"/>
        </w:rPr>
      </w:pPr>
    </w:p>
    <w:p>
      <w:pPr>
        <w:ind w:firstLine="443"/>
        <w:spacing w:after="0" w:line="257" w:lineRule="auto"/>
        <w:tabs>
          <w:tab w:leader="none" w:pos="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Investment in existence, or made pursuant to legally binding written commitments in existence, on the date of this Indenture or any Investment consisting of any extension, modification or renewal of any Investment existing on the date of this Indenture (excluding any such extension, modification or renewal involving additional advances, contributions or other investments of cash or property or other increases thereof unless it is a result of the accrual or accretion of interest or original issue discount or payment-in-kind pursuant to the terms, as of the date of this Indenture, of the original Investment so extended, modified or renewed);</w:t>
      </w:r>
    </w:p>
    <w:p>
      <w:pPr>
        <w:spacing w:after="0" w:line="80" w:lineRule="exact"/>
        <w:rPr>
          <w:rFonts w:ascii="Arial" w:cs="Arial" w:eastAsia="Arial" w:hAnsi="Arial"/>
          <w:sz w:val="18"/>
          <w:szCs w:val="18"/>
          <w:color w:val="auto"/>
        </w:rPr>
      </w:pPr>
    </w:p>
    <w:p>
      <w:pPr>
        <w:ind w:right="200" w:firstLine="443"/>
        <w:spacing w:after="0" w:line="277" w:lineRule="auto"/>
        <w:tabs>
          <w:tab w:leader="none" w:pos="7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guarantees of indebtedness of the Company or a Restricted Subsidiary permitted under Section 4.09 hereof and performance guarantees in the ordinary course of business;</w:t>
      </w:r>
    </w:p>
    <w:p>
      <w:pPr>
        <w:spacing w:after="0" w:line="62" w:lineRule="exact"/>
        <w:rPr>
          <w:rFonts w:ascii="Arial" w:cs="Arial" w:eastAsia="Arial" w:hAnsi="Arial"/>
          <w:sz w:val="18"/>
          <w:szCs w:val="18"/>
          <w:color w:val="auto"/>
        </w:rPr>
      </w:pPr>
    </w:p>
    <w:p>
      <w:pPr>
        <w:ind w:right="200" w:firstLine="443"/>
        <w:spacing w:after="0" w:line="277" w:lineRule="auto"/>
        <w:tabs>
          <w:tab w:leader="none" w:pos="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Investment made in connection with the purchase price adjustments, contingent purchase price payments or other earn-out obligations paid in connection with any Investment otherwise permitted under this Indenture;</w:t>
      </w:r>
    </w:p>
    <w:p>
      <w:pPr>
        <w:spacing w:after="0" w:line="62" w:lineRule="exact"/>
        <w:rPr>
          <w:rFonts w:ascii="Arial" w:cs="Arial" w:eastAsia="Arial" w:hAnsi="Arial"/>
          <w:sz w:val="18"/>
          <w:szCs w:val="18"/>
          <w:color w:val="auto"/>
        </w:rPr>
      </w:pPr>
    </w:p>
    <w:p>
      <w:pPr>
        <w:ind w:firstLine="443"/>
        <w:spacing w:after="0" w:line="297" w:lineRule="auto"/>
        <w:tabs>
          <w:tab w:leader="none" w:pos="7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Investments consisting of (i) purchases and acquisitions of inventory, supplies, materials and equipment or licenses, (ii) pledges or deposits with respect to leases or utilities provided to third parties, (iii) loans and advances to officers, directors and employees for business related travel expenses, moving expenses and other similar expenses or (iv) advances to customers or suppliers in the ordinary course of business that are, in conformity with GAAP, recorded as accounts receivable, prepaid expenses or deposits on the balance sheet of the Company or the Restricted Subsidiaries and endorsements for collection or deposit, in any case, in the ordinary course of business and otherwise in accordance with this Indenture;</w:t>
      </w:r>
    </w:p>
    <w:p>
      <w:pPr>
        <w:spacing w:after="0" w:line="50" w:lineRule="exact"/>
        <w:rPr>
          <w:rFonts w:ascii="Arial" w:cs="Arial" w:eastAsia="Arial" w:hAnsi="Arial"/>
          <w:sz w:val="16"/>
          <w:szCs w:val="16"/>
          <w:color w:val="auto"/>
        </w:rPr>
      </w:pPr>
    </w:p>
    <w:p>
      <w:pPr>
        <w:ind w:right="120" w:firstLine="443"/>
        <w:spacing w:after="0" w:line="277" w:lineRule="auto"/>
        <w:tabs>
          <w:tab w:leader="none" w:pos="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Investment to the extent that the consideration therefor is Capital Stock (other than Disqualified Stock) of the Company and only to the extent that the Cumulative Credit is not increased thereby; and</w:t>
      </w:r>
    </w:p>
    <w:p>
      <w:pPr>
        <w:spacing w:after="0" w:line="62" w:lineRule="exact"/>
        <w:rPr>
          <w:rFonts w:ascii="Arial" w:cs="Arial" w:eastAsia="Arial" w:hAnsi="Arial"/>
          <w:sz w:val="18"/>
          <w:szCs w:val="18"/>
          <w:color w:val="auto"/>
        </w:rPr>
      </w:pPr>
    </w:p>
    <w:p>
      <w:pPr>
        <w:ind w:right="120" w:firstLine="443"/>
        <w:spacing w:after="0" w:line="264" w:lineRule="auto"/>
        <w:tabs>
          <w:tab w:leader="none" w:pos="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(15) that are at the time outstanding, not to exceed the greater of (x) $50.0 million and (y) 2.0% of Total Assets.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right="320" w:firstLine="443"/>
        <w:spacing w:after="0" w:line="264" w:lineRule="auto"/>
        <w:tabs>
          <w:tab w:leader="none" w:pos="6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on assets of the Company or any Restricted Subsidiary securing Indebtedness and other Obligations under Credit Facilities that was incurred pursuant to clause (1) of the definition of Permitted Debt and/or securing cash management obligations and Hedging Obligations related thereto;</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117" w:lineRule="exact"/>
        <w:rPr>
          <w:rFonts w:ascii="Arial" w:cs="Arial" w:eastAsia="Arial" w:hAnsi="Arial"/>
          <w:sz w:val="18"/>
          <w:szCs w:val="18"/>
          <w:color w:val="auto"/>
        </w:rPr>
      </w:pPr>
    </w:p>
    <w:p>
      <w:pPr>
        <w:jc w:val="both"/>
        <w:ind w:right="120" w:firstLine="443"/>
        <w:spacing w:after="0" w:line="286" w:lineRule="auto"/>
        <w:tabs>
          <w:tab w:leader="none" w:pos="693"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Liens on property of a Person existing at the time such Person is merged with or into or consolidated with the Company or any Subsidiary of the Company; provided that such Liens were not incurred in contemplation of such merger or consolidation and do not extend to any assets other than those of the Person merged into or consolidated with the Company or the Subsidiary and proceeds thereof;</w:t>
      </w:r>
    </w:p>
    <w:p>
      <w:pPr>
        <w:spacing w:after="0" w:line="57" w:lineRule="exact"/>
        <w:rPr>
          <w:rFonts w:ascii="Arial" w:cs="Arial" w:eastAsia="Arial" w:hAnsi="Arial"/>
          <w:sz w:val="17"/>
          <w:szCs w:val="17"/>
          <w:color w:val="auto"/>
        </w:rPr>
      </w:pPr>
    </w:p>
    <w:p>
      <w:pPr>
        <w:ind w:right="180" w:firstLine="443"/>
        <w:spacing w:after="0" w:line="286" w:lineRule="auto"/>
        <w:tabs>
          <w:tab w:leader="none" w:pos="693"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Liens on property (including Capital Stock) existing at the time of acquisition of the property, or the acquisition of the Person owning such property, by the Company or any Subsidiary of the Company (including, without limitation, Liens securing Acquired Debt); provided that such Liens were not incurred in contemplation of such acquisition and do not extend to any assets other than those subject to such acquisition;</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25" w:name="page26"/>
    <w:bookmarkEnd w:id="25"/>
    <w:p>
      <w:pPr>
        <w:ind w:right="440" w:firstLine="443"/>
        <w:spacing w:after="0" w:line="277"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to secure the performance of statutory obligations, surety or appeal bonds, performance bonds or other obligations of a like nature incurred in the ordinary course of business;</w:t>
      </w:r>
    </w:p>
    <w:p>
      <w:pPr>
        <w:spacing w:after="0" w:line="62" w:lineRule="exact"/>
        <w:rPr>
          <w:rFonts w:ascii="Arial" w:cs="Arial" w:eastAsia="Arial" w:hAnsi="Arial"/>
          <w:sz w:val="18"/>
          <w:szCs w:val="18"/>
          <w:color w:val="auto"/>
        </w:rPr>
      </w:pPr>
    </w:p>
    <w:p>
      <w:pPr>
        <w:ind w:right="220" w:firstLine="443"/>
        <w:spacing w:after="0" w:line="276" w:lineRule="auto"/>
        <w:tabs>
          <w:tab w:leader="none" w:pos="6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purchase money security interests (as defined in Article 9 of the New York Uniform Commercial Code) and other Liens to secure Indebtedness (including Capital Lease Obligations) permitted by clause (3) of Section 4.09(b) hereof covering only the property, plant or equipment (including, without limitation, rental equipment purchased as inventory held for sale or lease) and other assets purchased in accordance with such clause (3) and the proceeds thereof (or in the case of Capital Lease Obligations, acquired with or financed by such Indebtedness) and incurred within 180 days after the date of the acquisition, or the completion of the construction or improvement, thereof;</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in existence, or made pursuant to legally binding written commitments in existence, on the Issue Date;</w:t>
      </w:r>
    </w:p>
    <w:p>
      <w:pPr>
        <w:spacing w:after="0" w:line="117" w:lineRule="exact"/>
        <w:rPr>
          <w:rFonts w:ascii="Arial" w:cs="Arial" w:eastAsia="Arial" w:hAnsi="Arial"/>
          <w:sz w:val="18"/>
          <w:szCs w:val="18"/>
          <w:color w:val="auto"/>
        </w:rPr>
      </w:pPr>
    </w:p>
    <w:p>
      <w:pPr>
        <w:jc w:val="both"/>
        <w:ind w:right="620" w:firstLine="443"/>
        <w:spacing w:after="0" w:line="264"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is required in conformity with GAAP has been made therefor;</w:t>
      </w:r>
    </w:p>
    <w:p>
      <w:pPr>
        <w:spacing w:after="0" w:line="73" w:lineRule="exact"/>
        <w:rPr>
          <w:rFonts w:ascii="Arial" w:cs="Arial" w:eastAsia="Arial" w:hAnsi="Arial"/>
          <w:sz w:val="18"/>
          <w:szCs w:val="18"/>
          <w:color w:val="auto"/>
        </w:rPr>
      </w:pPr>
    </w:p>
    <w:p>
      <w:pPr>
        <w:ind w:right="40" w:firstLine="443"/>
        <w:spacing w:after="0" w:line="286" w:lineRule="auto"/>
        <w:tabs>
          <w:tab w:leader="none" w:pos="6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landlord’s, mechanics’ Liens and other like Liens, and customary Liens retained by or granted to carriers, landlords and mechanics under the terms of agreements pursuant to which services are rendered or property is leased by such Persons to the Company or any of its Restricted Subsidiaries, in each case, incurred in the ordinary course of business;</w:t>
      </w:r>
    </w:p>
    <w:p>
      <w:pPr>
        <w:spacing w:after="0" w:line="57" w:lineRule="exact"/>
        <w:rPr>
          <w:rFonts w:ascii="Arial" w:cs="Arial" w:eastAsia="Arial" w:hAnsi="Arial"/>
          <w:sz w:val="17"/>
          <w:szCs w:val="17"/>
          <w:color w:val="auto"/>
        </w:rPr>
      </w:pPr>
    </w:p>
    <w:p>
      <w:pPr>
        <w:ind w:right="160" w:firstLine="443"/>
        <w:spacing w:after="0" w:line="277" w:lineRule="auto"/>
        <w:tabs>
          <w:tab w:leader="none" w:pos="7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leases or subleases granted to others that do not materially interfere with the ordinary course of business of the Company and its Restricted Subsidiaries;</w:t>
      </w:r>
    </w:p>
    <w:p>
      <w:pPr>
        <w:spacing w:after="0" w:line="62" w:lineRule="exact"/>
        <w:rPr>
          <w:rFonts w:ascii="Arial" w:cs="Arial" w:eastAsia="Arial" w:hAnsi="Arial"/>
          <w:sz w:val="18"/>
          <w:szCs w:val="18"/>
          <w:color w:val="auto"/>
        </w:rPr>
      </w:pPr>
    </w:p>
    <w:p>
      <w:pPr>
        <w:ind w:right="100" w:firstLine="443"/>
        <w:spacing w:after="0" w:line="259" w:lineRule="auto"/>
        <w:tabs>
          <w:tab w:leader="none" w:pos="7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minor survey exceptions, minor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Note Guarantees);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to secure any Permitted Refinancing Indebtedness permitted to be incurred under this Indenture; provided, however, that:</w:t>
      </w:r>
    </w:p>
    <w:p>
      <w:pPr>
        <w:spacing w:after="0" w:line="117" w:lineRule="exact"/>
        <w:rPr>
          <w:rFonts w:ascii="Arial" w:cs="Arial" w:eastAsia="Arial" w:hAnsi="Arial"/>
          <w:sz w:val="18"/>
          <w:szCs w:val="18"/>
          <w:color w:val="auto"/>
        </w:rPr>
      </w:pPr>
    </w:p>
    <w:p>
      <w:pPr>
        <w:ind w:left="460" w:right="260" w:firstLine="421"/>
        <w:spacing w:after="0" w:line="264" w:lineRule="auto"/>
        <w:tabs>
          <w:tab w:leader="none" w:pos="11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73" w:lineRule="exact"/>
        <w:rPr>
          <w:rFonts w:ascii="Arial" w:cs="Arial" w:eastAsia="Arial" w:hAnsi="Arial"/>
          <w:sz w:val="18"/>
          <w:szCs w:val="18"/>
          <w:color w:val="auto"/>
        </w:rPr>
      </w:pPr>
    </w:p>
    <w:p>
      <w:pPr>
        <w:ind w:left="460" w:firstLine="421"/>
        <w:spacing w:after="0" w:line="286" w:lineRule="auto"/>
        <w:tabs>
          <w:tab w:leader="none" w:pos="1135"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57" w:lineRule="exact"/>
        <w:rPr>
          <w:rFonts w:ascii="Arial" w:cs="Arial" w:eastAsia="Arial" w:hAnsi="Arial"/>
          <w:sz w:val="17"/>
          <w:szCs w:val="17"/>
          <w:color w:val="auto"/>
        </w:rPr>
      </w:pPr>
    </w:p>
    <w:p>
      <w:pPr>
        <w:ind w:right="560" w:firstLine="443"/>
        <w:spacing w:after="0" w:line="277" w:lineRule="auto"/>
        <w:tabs>
          <w:tab w:leader="none" w:pos="7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commercial letters of credit which encumber documents and other property relating to such letters of credit and products and proceeds thereof;</w:t>
      </w:r>
    </w:p>
    <w:p>
      <w:pPr>
        <w:spacing w:after="0" w:line="62" w:lineRule="exact"/>
        <w:rPr>
          <w:rFonts w:ascii="Arial" w:cs="Arial" w:eastAsia="Arial" w:hAnsi="Arial"/>
          <w:sz w:val="18"/>
          <w:szCs w:val="18"/>
          <w:color w:val="auto"/>
        </w:rPr>
      </w:pPr>
    </w:p>
    <w:p>
      <w:pPr>
        <w:ind w:right="540" w:firstLine="443"/>
        <w:spacing w:after="0" w:line="277" w:lineRule="auto"/>
        <w:tabs>
          <w:tab w:leader="none" w:pos="7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26" w:name="page27"/>
    <w:bookmarkEnd w:id="26"/>
    <w:p>
      <w:pPr>
        <w:ind w:right="160" w:firstLine="443"/>
        <w:spacing w:after="0" w:line="27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arising from precautionary filing of Uniform Commercial Code financing statements in connection with operating leases or purchase or consignment of goods;</w:t>
      </w:r>
    </w:p>
    <w:p>
      <w:pPr>
        <w:spacing w:after="0" w:line="62" w:lineRule="exact"/>
        <w:rPr>
          <w:rFonts w:ascii="Arial" w:cs="Arial" w:eastAsia="Arial" w:hAnsi="Arial"/>
          <w:sz w:val="18"/>
          <w:szCs w:val="18"/>
          <w:color w:val="auto"/>
        </w:rPr>
      </w:pPr>
    </w:p>
    <w:p>
      <w:pPr>
        <w:ind w:right="100" w:firstLine="443"/>
        <w:spacing w:after="0" w:line="264"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in favor of a banking institution arising as a matter of law encumbering deposits (including, without limitation, rights of set-off and credit balances) with respect to deposit accounts (as defined under the Uniform Commercial Code) that are within the general parameters customary to the banking industry;</w:t>
      </w:r>
    </w:p>
    <w:p>
      <w:pPr>
        <w:spacing w:after="0" w:line="73" w:lineRule="exact"/>
        <w:rPr>
          <w:rFonts w:ascii="Arial" w:cs="Arial" w:eastAsia="Arial" w:hAnsi="Arial"/>
          <w:sz w:val="18"/>
          <w:szCs w:val="18"/>
          <w:color w:val="auto"/>
        </w:rPr>
      </w:pPr>
    </w:p>
    <w:p>
      <w:pPr>
        <w:ind w:right="220" w:firstLine="443"/>
        <w:spacing w:after="0" w:line="259"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judgment Liens incurred as a result of a judgment by a court of competent jurisdiction that does not otherwise give rise to an Event of Default under this Indenture, so long as (x) such Liens are adequately bonded and (y) any appropriate legal proceedings which may have been duly initiated for the appeal or review of such judgment shall not have been terminated or the period within which such proceedings may be initiated shall not have expired;</w:t>
      </w:r>
    </w:p>
    <w:p>
      <w:pPr>
        <w:spacing w:after="0" w:line="78" w:lineRule="exact"/>
        <w:rPr>
          <w:rFonts w:ascii="Arial" w:cs="Arial" w:eastAsia="Arial" w:hAnsi="Arial"/>
          <w:sz w:val="18"/>
          <w:szCs w:val="18"/>
          <w:color w:val="auto"/>
        </w:rPr>
      </w:pPr>
    </w:p>
    <w:p>
      <w:pPr>
        <w:ind w:right="360" w:firstLine="443"/>
        <w:spacing w:after="0" w:line="27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Liens securing Indebtedness of Foreign Subsidiaries incurred pursuant to clause (13) of Section 4.09(b)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extend only to the assets of Foreign Subsidiaries;</w:t>
      </w:r>
    </w:p>
    <w:p>
      <w:pPr>
        <w:spacing w:after="0" w:line="62" w:lineRule="exact"/>
        <w:rPr>
          <w:rFonts w:ascii="Arial" w:cs="Arial" w:eastAsia="Arial" w:hAnsi="Arial"/>
          <w:sz w:val="18"/>
          <w:szCs w:val="18"/>
          <w:color w:val="auto"/>
        </w:rPr>
      </w:pPr>
    </w:p>
    <w:p>
      <w:pPr>
        <w:ind w:right="260" w:firstLine="443"/>
        <w:spacing w:after="0" w:line="27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on Equity Interests deemed to exist in connection with any options, put and call agreements, rights of first refusal and similar rights relating to Investments in Persons that are not Subsidiaries under this Indenture;</w:t>
      </w:r>
    </w:p>
    <w:p>
      <w:pPr>
        <w:spacing w:after="0" w:line="62" w:lineRule="exact"/>
        <w:rPr>
          <w:rFonts w:ascii="Arial" w:cs="Arial" w:eastAsia="Arial" w:hAnsi="Arial"/>
          <w:sz w:val="18"/>
          <w:szCs w:val="18"/>
          <w:color w:val="auto"/>
        </w:rPr>
      </w:pPr>
    </w:p>
    <w:p>
      <w:pPr>
        <w:ind w:right="320" w:firstLine="443"/>
        <w:spacing w:after="0" w:line="308" w:lineRule="auto"/>
        <w:tabs>
          <w:tab w:leader="none" w:pos="783"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Liens on property or assets securing Indebtedness used to defease or to satisfy and discharge the Notes in their entirety; provided that the incurrence of such Indebtedness and such defeasance and satisfaction and discharge were not prohibited by this Indenture;</w:t>
      </w:r>
    </w:p>
    <w:p>
      <w:pPr>
        <w:spacing w:after="0" w:line="38" w:lineRule="exact"/>
        <w:rPr>
          <w:rFonts w:ascii="Arial" w:cs="Arial" w:eastAsia="Arial" w:hAnsi="Arial"/>
          <w:sz w:val="17"/>
          <w:szCs w:val="17"/>
          <w:color w:val="auto"/>
        </w:rPr>
      </w:pPr>
    </w:p>
    <w:p>
      <w:pPr>
        <w:ind w:firstLine="443"/>
        <w:spacing w:after="0" w:line="27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liability insurance carriers and Liens on insurance proceeds or unearned premiums incurred in the ordinary course of business in connection with the financing of insurance premiums;</w:t>
      </w:r>
    </w:p>
    <w:p>
      <w:pPr>
        <w:spacing w:after="0" w:line="62" w:lineRule="exact"/>
        <w:rPr>
          <w:rFonts w:ascii="Arial" w:cs="Arial" w:eastAsia="Arial" w:hAnsi="Arial"/>
          <w:sz w:val="18"/>
          <w:szCs w:val="18"/>
          <w:color w:val="auto"/>
        </w:rPr>
      </w:pPr>
    </w:p>
    <w:p>
      <w:pPr>
        <w:ind w:right="80" w:firstLine="443"/>
        <w:spacing w:after="0" w:line="264"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pledges or deposits under workers’ compensation laws, unemployment insurance laws or similar legislation, or good faith deposits in connection with bids, tenders, contracts (other than for payment of Indebtedness) or leases to which the Company or any Subsidiary of the Company is a party;</w:t>
      </w:r>
    </w:p>
    <w:p>
      <w:pPr>
        <w:spacing w:after="0" w:line="73" w:lineRule="exact"/>
        <w:rPr>
          <w:rFonts w:ascii="Arial" w:cs="Arial" w:eastAsia="Arial" w:hAnsi="Arial"/>
          <w:sz w:val="18"/>
          <w:szCs w:val="18"/>
          <w:color w:val="auto"/>
        </w:rPr>
      </w:pPr>
    </w:p>
    <w:p>
      <w:pPr>
        <w:ind w:right="160" w:firstLine="443"/>
        <w:spacing w:after="0" w:line="27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$10.0 million at any one time outstanding;</w:t>
      </w:r>
    </w:p>
    <w:p>
      <w:pPr>
        <w:spacing w:after="0" w:line="62" w:lineRule="exact"/>
        <w:rPr>
          <w:rFonts w:ascii="Arial" w:cs="Arial" w:eastAsia="Arial" w:hAnsi="Arial"/>
          <w:sz w:val="18"/>
          <w:szCs w:val="18"/>
          <w:color w:val="auto"/>
        </w:rPr>
      </w:pPr>
    </w:p>
    <w:p>
      <w:pPr>
        <w:ind w:right="280" w:firstLine="443"/>
        <w:spacing w:after="0" w:line="27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on and pledges of the assets or Capital Stock of any Unrestricted Subsidiary securing any Indebtedness or other obligations of such Unrestricted Subsidiary;</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Liens on the Escrow Proceeds in favor of the Trustee for the benefit of the Holders of the Notes created pursuant to the Escrow Agreement;</w:t>
      </w:r>
    </w:p>
    <w:p>
      <w:pPr>
        <w:spacing w:after="0" w:line="140" w:lineRule="exact"/>
        <w:rPr>
          <w:rFonts w:ascii="Arial" w:cs="Arial" w:eastAsia="Arial" w:hAnsi="Arial"/>
          <w:sz w:val="16"/>
          <w:szCs w:val="16"/>
          <w:color w:val="auto"/>
        </w:rPr>
      </w:pPr>
    </w:p>
    <w:p>
      <w:pPr>
        <w:ind w:right="380" w:firstLine="443"/>
        <w:spacing w:after="0" w:line="27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relating to pooled deposit or sweep accounts to permit satisfaction of overdraft, cash pooling or similar obligations incurred in the ordinary course of business;</w:t>
      </w:r>
    </w:p>
    <w:p>
      <w:pPr>
        <w:spacing w:after="0" w:line="62" w:lineRule="exact"/>
        <w:rPr>
          <w:rFonts w:ascii="Arial" w:cs="Arial" w:eastAsia="Arial" w:hAnsi="Arial"/>
          <w:sz w:val="18"/>
          <w:szCs w:val="18"/>
          <w:color w:val="auto"/>
        </w:rPr>
      </w:pPr>
    </w:p>
    <w:p>
      <w:pPr>
        <w:ind w:right="260" w:firstLine="443"/>
        <w:spacing w:after="0" w:line="27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in the ordinary course of business;</w:t>
      </w:r>
    </w:p>
    <w:p>
      <w:pPr>
        <w:spacing w:after="0" w:line="62" w:lineRule="exact"/>
        <w:rPr>
          <w:rFonts w:ascii="Arial" w:cs="Arial" w:eastAsia="Arial" w:hAnsi="Arial"/>
          <w:sz w:val="18"/>
          <w:szCs w:val="18"/>
          <w:color w:val="auto"/>
        </w:rPr>
      </w:pPr>
    </w:p>
    <w:p>
      <w:pPr>
        <w:ind w:right="280" w:firstLine="443"/>
        <w:spacing w:after="0" w:line="264"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securing Hedging Obligations made in the ordinary course of business and entered into for bona fide hedging purposes (and not for speculative purposes) as determined in good faith by the Board of Directors or senior management of the Company; provided that such Hedging Obligations are permitted under this Indenture; and</w:t>
      </w:r>
    </w:p>
    <w:p>
      <w:pPr>
        <w:spacing w:after="0" w:line="73" w:lineRule="exact"/>
        <w:rPr>
          <w:rFonts w:ascii="Arial" w:cs="Arial" w:eastAsia="Arial" w:hAnsi="Arial"/>
          <w:sz w:val="18"/>
          <w:szCs w:val="18"/>
          <w:color w:val="auto"/>
        </w:rPr>
      </w:pPr>
    </w:p>
    <w:p>
      <w:pPr>
        <w:ind w:right="100" w:firstLine="443"/>
        <w:spacing w:after="0" w:line="308" w:lineRule="auto"/>
        <w:tabs>
          <w:tab w:leader="none" w:pos="783"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Liens incurred by the Company or any Restricted Subsidiary; provided that at the time any such Lien is incurred, the obligations secured by such Lien, when added to all other obligations secured by Liens incurred pursuant to this clause (30), shall not exceed $50.0 million.</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7" w:name="page28"/>
    <w:bookmarkEnd w:id="27"/>
    <w:p>
      <w:pPr>
        <w:ind w:right="1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Permitted Refinancing Indebtedness</w:t>
      </w:r>
      <w:r>
        <w:rPr>
          <w:rFonts w:ascii="Arial" w:cs="Arial" w:eastAsia="Arial" w:hAnsi="Arial"/>
          <w:sz w:val="18"/>
          <w:szCs w:val="18"/>
          <w:color w:val="auto"/>
        </w:rPr>
        <w:t>” means any Indebtedness of the Company or any of its Restricted Subsidiaries issued in exchange for, or the net proceeds of which are used to extend, renew, refund, refinance, replace, defease or discharge other Indebtedness of the Company or any of its Restricted Subsidiaries (other than intercompany Indebtedness); provided that:</w:t>
      </w:r>
    </w:p>
    <w:p>
      <w:pPr>
        <w:spacing w:after="0" w:line="73" w:lineRule="exact"/>
        <w:rPr>
          <w:sz w:val="20"/>
          <w:szCs w:val="20"/>
          <w:color w:val="auto"/>
        </w:rPr>
      </w:pPr>
    </w:p>
    <w:p>
      <w:pPr>
        <w:jc w:val="both"/>
        <w:ind w:left="460" w:right="160" w:firstLine="443"/>
        <w:spacing w:after="0" w:line="286" w:lineRule="auto"/>
        <w:tabs>
          <w:tab w:leader="none" w:pos="115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principal amount (or accreted value, if applicable) of such Permitted Refinancing Indebtedness does not exceed the principal amount (or accreted value, if applicable) of the Indebtedness extended, renewed, refunded, refinanced, replaced, defeased or discharged (plus all accrued interest on the Indebtedness and the amount of all fees and expenses, including premiums, incurred in connection therewith);</w:t>
      </w:r>
    </w:p>
    <w:p>
      <w:pPr>
        <w:spacing w:after="0" w:line="57" w:lineRule="exact"/>
        <w:rPr>
          <w:rFonts w:ascii="Arial" w:cs="Arial" w:eastAsia="Arial" w:hAnsi="Arial"/>
          <w:sz w:val="17"/>
          <w:szCs w:val="17"/>
          <w:color w:val="auto"/>
        </w:rPr>
      </w:pPr>
    </w:p>
    <w:p>
      <w:pPr>
        <w:ind w:left="460" w:right="100" w:firstLine="443"/>
        <w:spacing w:after="0" w:line="264"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renewed, refunded, refinanced, replaced, defeased or discharged;</w:t>
      </w:r>
    </w:p>
    <w:p>
      <w:pPr>
        <w:spacing w:after="0" w:line="73" w:lineRule="exact"/>
        <w:rPr>
          <w:rFonts w:ascii="Arial" w:cs="Arial" w:eastAsia="Arial" w:hAnsi="Arial"/>
          <w:sz w:val="18"/>
          <w:szCs w:val="18"/>
          <w:color w:val="auto"/>
        </w:rPr>
      </w:pPr>
    </w:p>
    <w:p>
      <w:pPr>
        <w:jc w:val="both"/>
        <w:ind w:left="460" w:firstLine="443"/>
        <w:spacing w:after="0" w:line="259"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Indebtedness being extended, renewed, refunded, refinanced, replaced, defeased or discharged is subordinated in right of payment to the Notes, such Permitted Refinancing Indebtedness is subordinated in right of payment to, the Notes on terms at least as favorable to the Holders of Notes as those contained in the documentation governing the Indebtedness being extended, renewed, refunded, refinanced, replaced, defeased or discharged; and</w:t>
      </w:r>
    </w:p>
    <w:p>
      <w:pPr>
        <w:spacing w:after="0" w:line="78"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Indebtedness is incurred either by the Company or by the Restricted Subsidiary who is the obligor on the Indebtedness being extended, renewed, refunded, refinanced, replaced, defeased or discharged.</w:t>
      </w:r>
    </w:p>
    <w:p>
      <w:pPr>
        <w:spacing w:after="0" w:line="17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Legend</w:t>
      </w:r>
      <w:r>
        <w:rPr>
          <w:rFonts w:ascii="Arial" w:cs="Arial" w:eastAsia="Arial" w:hAnsi="Arial"/>
          <w:sz w:val="18"/>
          <w:szCs w:val="18"/>
          <w:color w:val="auto"/>
        </w:rPr>
        <w:t>” means the legend set forth in Section 2.06(f)(1) hereof to be placed on all Notes issued under this Indenture except where otherwise permitted by the provisions of this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Agencies</w:t>
      </w:r>
      <w:r>
        <w:rPr>
          <w:rFonts w:ascii="Arial" w:cs="Arial" w:eastAsia="Arial" w:hAnsi="Arial"/>
          <w:sz w:val="18"/>
          <w:szCs w:val="18"/>
          <w:color w:val="auto"/>
        </w:rPr>
        <w:t>” means (i) each of Moody’s and S&amp;P, and (ii) if Moody’s or S&amp;P ceases to rate the Notes for reasons outside of the Company’s control, a “nationally recognized statistical rating organization” within the meaning of Rule 15cs-1(c)(2)(vi)(F) under the Exchange Act selected by the Company as a replacement agency for Moody’s or S&amp;P, as the case may be.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5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Regulation S Global Note</w:t>
      </w:r>
      <w:r>
        <w:rPr>
          <w:rFonts w:ascii="Arial" w:cs="Arial" w:eastAsia="Arial" w:hAnsi="Arial"/>
          <w:sz w:val="17"/>
          <w:szCs w:val="17"/>
          <w:color w:val="auto"/>
        </w:rPr>
        <w:t>” means a Global Note substantially in the form of Exhibit A hereto bearing the Global Note Legend, Private Placement Legend and Regulation S Legend and deposited with or on behalf of and registered in the name of the Depositary or its nominee, issued in a denomination equal to the outstanding principal amount of the Notes sold in reliance on Rule 903 of Regulation S.</w:t>
      </w:r>
    </w:p>
    <w:p>
      <w:pPr>
        <w:spacing w:after="0" w:line="166"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S Legend</w:t>
      </w:r>
      <w:r>
        <w:rPr>
          <w:rFonts w:ascii="Arial" w:cs="Arial" w:eastAsia="Arial" w:hAnsi="Arial"/>
          <w:sz w:val="18"/>
          <w:szCs w:val="18"/>
          <w:color w:val="auto"/>
        </w:rPr>
        <w:t>” means the legend set forth in Section 2.06(f)(3) hereof, which is required to be placed on all Regulation S Global Notes issued under this Indenture.</w:t>
      </w:r>
    </w:p>
    <w:p>
      <w:pPr>
        <w:spacing w:after="0" w:line="170"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Replacement Assets</w:t>
      </w:r>
      <w:r>
        <w:rPr>
          <w:rFonts w:ascii="Arial" w:cs="Arial" w:eastAsia="Arial" w:hAnsi="Arial"/>
          <w:sz w:val="18"/>
          <w:szCs w:val="18"/>
          <w:color w:val="auto"/>
        </w:rPr>
        <w:t>” means, on any date, property or assets (other than current assets that are not purchased accounts receivable) of a nature or type or that are used in a Permitted Business (or an Investment in a Permitted Business), which shall include the controlling or majority equity interest in any Person engaged in a Permitted Business.</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Officer</w:t>
      </w:r>
      <w:r>
        <w:rPr>
          <w:rFonts w:ascii="Arial" w:cs="Arial" w:eastAsia="Arial" w:hAnsi="Arial"/>
          <w:sz w:val="18"/>
          <w:szCs w:val="18"/>
          <w:color w:val="auto"/>
        </w:rPr>
        <w:t>” shall mean, when used with respect to the Trustee, any officer within the corporate trust department of the Trustee having direct responsibility for the administration of this Indenture, or to whom any corporate trust matter is referred because of such person’s knowledge of and familiarity with the particular subject.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8" w:name="page29"/>
    <w:bookmarkEnd w:id="2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Subsidiary</w:t>
      </w:r>
      <w:r>
        <w:rPr>
          <w:rFonts w:ascii="Arial" w:cs="Arial" w:eastAsia="Arial" w:hAnsi="Arial"/>
          <w:sz w:val="17"/>
          <w:szCs w:val="17"/>
          <w:color w:val="auto"/>
        </w:rPr>
        <w:t>” of a Person means any direct or indirect Subsidiary of the referent Person that is not an Unrestricted Subsidiary.</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means Standard &amp; Poor’s Financial Services LLC, a subsidiary of S&amp;P Global, Inc.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Secured Indebtedness</w:t>
      </w:r>
      <w:r>
        <w:rPr>
          <w:rFonts w:ascii="Arial" w:cs="Arial" w:eastAsia="Arial" w:hAnsi="Arial"/>
          <w:sz w:val="18"/>
          <w:szCs w:val="18"/>
          <w:color w:val="auto"/>
        </w:rPr>
        <w:t>” means any Indebtedness of the Company or any of its Restricted Subsidiaries secured by a Lien.</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Secured Leverage Ratio</w:t>
      </w:r>
      <w:r>
        <w:rPr>
          <w:rFonts w:ascii="Arial" w:cs="Arial" w:eastAsia="Arial" w:hAnsi="Arial"/>
          <w:sz w:val="16"/>
          <w:szCs w:val="16"/>
          <w:color w:val="auto"/>
        </w:rPr>
        <w:t>” means, as of the date of determination, the ratio of (a) the Secured Indebtedness of the Company and its Restricted Subsidiaries as of such date of determination (minus the aggregate amount of unrestricted cash and Cash Equivalents (which shall include cash and Cash Equivalents that are encumbered by a Permitted Lien), included in the consolidated balance sheet of the Company and its Restricted Subsidiaries as of the end of the most recent fiscal period for which internal financial statements are available and determined after giving pro forma effect to such incurrence of Indebtedness, and each other incurrence, assumption, guarantee, redemption, retirement and extinguishment of Indebtedness as of such date of determination) to (b) Consolidated Cash Flow of the Company and its Restricted Subsidiaries for the most recently ended four fiscal quarters ending immediately prior to such date for which internal financial statements are available. For purposes of determining the “Secured Leverage Ratio,” “Consolidated Cash Flow” shall be subject to the adjustments applicable to “Consolidated Cash Flow” as provided for in the definition of “Fixed Charge Coverage Ratio”.</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this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SSNI</w:t>
      </w:r>
      <w:r>
        <w:rPr>
          <w:rFonts w:ascii="Arial" w:cs="Arial" w:eastAsia="Arial" w:hAnsi="Arial"/>
          <w:sz w:val="18"/>
          <w:szCs w:val="18"/>
          <w:color w:val="auto"/>
        </w:rPr>
        <w:t>” means Silver Spring Networks, Inc., a Delaware corporation.</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SSNI Acquisition</w:t>
      </w:r>
      <w:r>
        <w:rPr>
          <w:rFonts w:ascii="Arial" w:cs="Arial" w:eastAsia="Arial" w:hAnsi="Arial"/>
          <w:sz w:val="18"/>
          <w:szCs w:val="18"/>
          <w:color w:val="auto"/>
        </w:rPr>
        <w:t>” means the acquisition by the Company, directly or indirectly, of all the outstanding shares of capital stock of SSNI pursuant to the Acquisition Agreement.</w:t>
      </w:r>
    </w:p>
    <w:p>
      <w:pPr>
        <w:spacing w:after="0" w:line="170"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the payment of interest or principal was scheduled to be paid in the documentation governing such Indebtedness, and shall not include any contingent obligations to repay, redeem or repurchase any such interest or principal prior to the date originally scheduled for the payment thereof.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9" w:name="page30"/>
    <w:bookmarkEnd w:id="2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60" w:right="300" w:firstLine="443"/>
        <w:spacing w:after="0" w:line="302" w:lineRule="auto"/>
        <w:tabs>
          <w:tab w:leader="none" w:pos="11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46" w:lineRule="exact"/>
        <w:rPr>
          <w:rFonts w:ascii="Arial" w:cs="Arial" w:eastAsia="Arial" w:hAnsi="Arial"/>
          <w:sz w:val="16"/>
          <w:szCs w:val="16"/>
          <w:color w:val="auto"/>
        </w:rPr>
      </w:pPr>
    </w:p>
    <w:p>
      <w:pPr>
        <w:ind w:left="460" w:right="100" w:firstLine="443"/>
        <w:spacing w:after="0" w:line="308" w:lineRule="auto"/>
        <w:tabs>
          <w:tab w:leader="none" w:pos="11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TIA</w:t>
      </w:r>
      <w:r>
        <w:rPr>
          <w:rFonts w:ascii="Arial" w:cs="Arial" w:eastAsia="Arial" w:hAnsi="Arial"/>
          <w:sz w:val="18"/>
          <w:szCs w:val="18"/>
          <w:color w:val="auto"/>
        </w:rPr>
        <w:t>” means the Trust Indenture Act of 1939, as amended (15 U.S.C. § § 77aaa 77bbbb).</w:t>
      </w:r>
    </w:p>
    <w:p>
      <w:pPr>
        <w:spacing w:after="0" w:line="225"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Assets</w:t>
      </w:r>
      <w:r>
        <w:rPr>
          <w:rFonts w:ascii="Arial" w:cs="Arial" w:eastAsia="Arial" w:hAnsi="Arial"/>
          <w:sz w:val="16"/>
          <w:szCs w:val="16"/>
          <w:color w:val="auto"/>
        </w:rPr>
        <w:t>” means, as of any date of determination, the total assets of the Company and its Restricted Subsidiaries on a consolidated basis, as shown on the most recent balance sheet of the Company and its Restricted Subsidiaries prepared in accordance with GAAP, after giving pro forma effect to any transaction giving rise to the need to make such calculation (including a pro forma application of the use of proceeds therefrom) on such date.</w:t>
      </w:r>
    </w:p>
    <w:p>
      <w:pPr>
        <w:spacing w:after="0" w:line="14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Leverage Ratio</w:t>
      </w:r>
      <w:r>
        <w:rPr>
          <w:rFonts w:ascii="Arial" w:cs="Arial" w:eastAsia="Arial" w:hAnsi="Arial"/>
          <w:sz w:val="16"/>
          <w:szCs w:val="16"/>
          <w:color w:val="auto"/>
        </w:rPr>
        <w:t>” means, as of any date of determination, the ratio of (a) Indebtedness of the Company and its Restricted Subsidiaries as of such date of determination (minus the aggregate amount of unrestricted cash and Cash Equivalents (which shall include cash and Cash Equivalents that are encumbered by a Permitted Lien), included in the consolidated balance sheet of the Company and its Restricted Subsidiaries as of the end of the most recent fiscal period for which internal financial statements are available and determined after giving pro forma effect to such incurrence of Indebtedness, and each other incurrence, assumption, guarantee, redemption, retirement and extinguishment of Indebtedness as of such date of determination) to (b) Consolidated Cash Flow of the Company and its Restricted Subsidiaries for the most recently ended four fiscal quarters ending immediately prior to such date for which internal financial statements are available. For purposes of determining the “Total Leverage Ratio,” “Consolidated Cash Flow” shall be subject to the adjustments applicable to “Consolidated Cash Flow” as provided for in the definition of “Fixed Charge Coverage Ratio”.</w:t>
      </w:r>
    </w:p>
    <w:p>
      <w:pPr>
        <w:spacing w:after="0" w:line="166"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means, collectively, the: (i) execution and delivery of this Indenture and related documentation, the issuance of the Notes offered hereby, the release of the proceeds thereof from any escrow or similar arrangement and the use of the proceeds thereof, (ii) closing of the new senior secured credit facilities (including the initial borrowings thereunder and the use of the proceeds thereof), (iii) merger of Ivory Merger Sub, Inc., a Delaware corporation and wholly-owned subsidiary of the Company, with and into SSNI, pursuant to the terms of the Acquisition Agreement, and the consummation of the other transactions contemplated thereby, after which SSNI shall be a wholly-owned Subsidiary of the Company, (iv) the repayment in full of all indebtedness outstanding under SSNI’s existing credit agreement and the refinancing of the Company’s existing senior secured credit facilities and (v) payment of fees, commissions and expenses in connection with the foregoing.</w:t>
      </w:r>
    </w:p>
    <w:p>
      <w:pPr>
        <w:spacing w:after="0" w:line="17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as of any date of determination, the weekly average rounded to the nearest 1/100th of a percentage point (for the most recently completed week for which such information is available as of the date that is two Business Days prior to the redemption date) of the yield to maturity at the time of computation of United States Treasury securities with a constant maturity (as compiled and published in the most recent Federal Reserve Statistical Release H.15 as of the applicable day during such week (or, if such Statistical Release is no longer published, any publicly available source for similar market data)) most nearly equal to the period from the redemption date to January 15, 2021; provided, however, that if the period from the redemption date to January 15, 2021, is not equal to the constant maturity of a United States Treasury security for which such yield is given, the Treasury Rate will be obtained by linear interpolation (calculated to the nearest one-twelfth of a year) from the weekly average yields of United States Treasury securities for which such yields are given, except that if the period from the redemption date to January 15, 2021, is less than one year, the weekly average yield on actively traded United States Treasury securities adjusted to a constant maturity of one year will be used. In each case, the Company or its agent shall obtain the Treasury Rate.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0" w:name="page31"/>
    <w:bookmarkEnd w:id="30"/>
    <w:p>
      <w:pPr>
        <w:ind w:right="6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party named as such in the preamble to this Indenture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Unrestricted Definitive Note</w:t>
      </w:r>
      <w:r>
        <w:rPr>
          <w:rFonts w:ascii="Arial" w:cs="Arial" w:eastAsia="Arial" w:hAnsi="Arial"/>
          <w:sz w:val="17"/>
          <w:szCs w:val="17"/>
          <w:color w:val="auto"/>
        </w:rPr>
        <w:t>” means a Definitive Note that does not bear and is not required to bear the Private Placement Legend.</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Unrestricted Subsidiary</w:t>
      </w:r>
      <w:r>
        <w:rPr>
          <w:rFonts w:ascii="Arial" w:cs="Arial" w:eastAsia="Arial" w:hAnsi="Arial"/>
          <w:sz w:val="16"/>
          <w:szCs w:val="16"/>
          <w:color w:val="auto"/>
        </w:rPr>
        <w:t>” means any Subsidiary of the Company (and any Subsidiary of such Subsidiary) that is designated by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Directors of the Company as an Unrestricted Subsidiary pursuant to a resolution of the Board of Directors, but only to the extent that such Subsidiary:</w:t>
      </w:r>
    </w:p>
    <w:p>
      <w:pPr>
        <w:spacing w:after="0" w:line="114" w:lineRule="exact"/>
        <w:rPr>
          <w:sz w:val="20"/>
          <w:szCs w:val="20"/>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460" w:right="180" w:firstLine="443"/>
        <w:spacing w:after="0" w:line="312" w:lineRule="auto"/>
        <w:tabs>
          <w:tab w:leader="none" w:pos="115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except as permitted by Section 4.11 hereof,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38" w:lineRule="exact"/>
        <w:rPr>
          <w:rFonts w:ascii="Arial" w:cs="Arial" w:eastAsia="Arial" w:hAnsi="Arial"/>
          <w:sz w:val="16"/>
          <w:szCs w:val="16"/>
          <w:color w:val="auto"/>
        </w:rPr>
      </w:pPr>
    </w:p>
    <w:p>
      <w:pPr>
        <w:ind w:left="460" w:right="560" w:firstLine="443"/>
        <w:spacing w:after="0" w:line="264"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73"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 (other than through the pledge of Equity Interests in such Unrestricted Subsidiary).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left="460" w:firstLine="443"/>
        <w:spacing w:after="0" w:line="264" w:lineRule="auto"/>
        <w:tabs>
          <w:tab w:leader="none" w:pos="1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shall elapse between such date and the making of such payment; by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20" w:type="dxa"/>
            <w:vAlign w:val="bottom"/>
            <w:gridSpan w:val="2"/>
          </w:tcPr>
          <w:p>
            <w:pPr>
              <w:jc w:val="center"/>
              <w:ind w:left="4434"/>
              <w:spacing w:after="0"/>
              <w:rPr>
                <w:sz w:val="20"/>
                <w:szCs w:val="20"/>
                <w:color w:val="auto"/>
              </w:rPr>
            </w:pPr>
            <w:r>
              <w:rPr>
                <w:rFonts w:ascii="Arial" w:cs="Arial" w:eastAsia="Arial" w:hAnsi="Arial"/>
                <w:sz w:val="14"/>
                <w:szCs w:val="14"/>
                <w:color w:val="auto"/>
                <w:w w:val="95"/>
              </w:rPr>
              <w:t>Defined</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24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1"/>
              </w:rPr>
              <w:t>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454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89"/>
              </w:rPr>
              <w:t>Section</w:t>
            </w:r>
          </w:p>
        </w:tc>
        <w:tc>
          <w:tcPr>
            <w:tcW w:w="0" w:type="dxa"/>
            <w:vAlign w:val="bottom"/>
          </w:tcPr>
          <w:p>
            <w:pPr>
              <w:spacing w:after="0"/>
              <w:rPr>
                <w:sz w:val="1"/>
                <w:szCs w:val="1"/>
                <w:color w:val="auto"/>
              </w:rPr>
            </w:pPr>
          </w:p>
        </w:tc>
      </w:tr>
      <w:tr>
        <w:trPr>
          <w:trHeight w:val="189"/>
        </w:trPr>
        <w:tc>
          <w:tcPr>
            <w:tcW w:w="2740" w:type="dxa"/>
            <w:vAlign w:val="bottom"/>
            <w:gridSpan w:val="2"/>
          </w:tcPr>
          <w:p>
            <w:pPr>
              <w:spacing w:after="0" w:line="18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 Transaction</w:t>
            </w:r>
            <w:r>
              <w:rPr>
                <w:rFonts w:ascii="Arial" w:cs="Arial" w:eastAsia="Arial" w:hAnsi="Arial"/>
                <w:sz w:val="18"/>
                <w:szCs w:val="18"/>
                <w:color w:val="auto"/>
              </w:rPr>
              <w:t>”</w:t>
            </w:r>
          </w:p>
        </w:tc>
        <w:tc>
          <w:tcPr>
            <w:tcW w:w="4540" w:type="dxa"/>
            <w:vAlign w:val="bottom"/>
          </w:tcPr>
          <w:p>
            <w:pPr>
              <w:spacing w:after="0"/>
              <w:rPr>
                <w:sz w:val="16"/>
                <w:szCs w:val="16"/>
                <w:color w:val="auto"/>
              </w:rPr>
            </w:pPr>
          </w:p>
        </w:tc>
        <w:tc>
          <w:tcPr>
            <w:tcW w:w="480" w:type="dxa"/>
            <w:vAlign w:val="bottom"/>
          </w:tcPr>
          <w:p>
            <w:pPr>
              <w:jc w:val="center"/>
              <w:spacing w:after="0" w:line="189" w:lineRule="exact"/>
              <w:rPr>
                <w:sz w:val="20"/>
                <w:szCs w:val="20"/>
                <w:color w:val="auto"/>
              </w:rPr>
            </w:pPr>
            <w:r>
              <w:rPr>
                <w:rFonts w:ascii="Arial" w:cs="Arial" w:eastAsia="Arial" w:hAnsi="Arial"/>
                <w:sz w:val="18"/>
                <w:szCs w:val="18"/>
                <w:color w:val="auto"/>
                <w:w w:val="85"/>
              </w:rPr>
              <w:t>4.11</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w:t>
            </w:r>
          </w:p>
        </w:tc>
        <w:tc>
          <w:tcPr>
            <w:tcW w:w="5020" w:type="dxa"/>
            <w:vAlign w:val="bottom"/>
            <w:gridSpan w:val="2"/>
          </w:tcPr>
          <w:p>
            <w:pPr>
              <w:jc w:val="center"/>
              <w:ind w:left="4454"/>
              <w:spacing w:after="0"/>
              <w:rPr>
                <w:sz w:val="20"/>
                <w:szCs w:val="20"/>
                <w:color w:val="auto"/>
              </w:rPr>
            </w:pPr>
            <w:r>
              <w:rPr>
                <w:rFonts w:ascii="Arial" w:cs="Arial" w:eastAsia="Arial" w:hAnsi="Arial"/>
                <w:sz w:val="18"/>
                <w:szCs w:val="18"/>
                <w:color w:val="auto"/>
                <w:w w:val="88"/>
              </w:rPr>
              <w:t>12.17</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 Offer</w:t>
            </w:r>
            <w:r>
              <w:rPr>
                <w:rFonts w:ascii="Arial" w:cs="Arial" w:eastAsia="Arial" w:hAnsi="Arial"/>
                <w:sz w:val="18"/>
                <w:szCs w:val="18"/>
                <w:color w:val="auto"/>
              </w:rPr>
              <w:t>”</w:t>
            </w:r>
          </w:p>
        </w:tc>
        <w:tc>
          <w:tcPr>
            <w:tcW w:w="5020" w:type="dxa"/>
            <w:vAlign w:val="bottom"/>
            <w:gridSpan w:val="2"/>
          </w:tcPr>
          <w:p>
            <w:pPr>
              <w:jc w:val="center"/>
              <w:ind w:left="4454"/>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Authentication Order</w:t>
            </w:r>
            <w:r>
              <w:rPr>
                <w:rFonts w:ascii="Arial" w:cs="Arial" w:eastAsia="Arial" w:hAnsi="Arial"/>
                <w:sz w:val="18"/>
                <w:szCs w:val="18"/>
                <w:color w:val="auto"/>
              </w:rPr>
              <w:t>”</w:t>
            </w:r>
          </w:p>
        </w:tc>
        <w:tc>
          <w:tcPr>
            <w:tcW w:w="5020" w:type="dxa"/>
            <w:vAlign w:val="bottom"/>
            <w:gridSpan w:val="2"/>
          </w:tcPr>
          <w:p>
            <w:pPr>
              <w:jc w:val="center"/>
              <w:ind w:left="4454"/>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40" w:type="dxa"/>
            <w:vAlign w:val="bottom"/>
          </w:tcPr>
          <w:p>
            <w:pPr>
              <w:jc w:val="right"/>
              <w:ind w:right="3174"/>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37"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540" w:type="dxa"/>
            <w:vAlign w:val="bottom"/>
            <w:gridSpan w:val="2"/>
          </w:tcPr>
          <w:p>
            <w:pPr>
              <w:jc w:val="center"/>
              <w:ind w:left="1951"/>
              <w:spacing w:after="0"/>
              <w:rPr>
                <w:sz w:val="20"/>
                <w:szCs w:val="20"/>
                <w:color w:val="auto"/>
              </w:rPr>
            </w:pPr>
            <w:r>
              <w:rPr>
                <w:rFonts w:ascii="Arial" w:cs="Arial" w:eastAsia="Arial" w:hAnsi="Arial"/>
                <w:sz w:val="14"/>
                <w:szCs w:val="14"/>
                <w:color w:val="auto"/>
                <w:w w:val="95"/>
              </w:rPr>
              <w:t>Defined</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490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1"/>
              </w:rPr>
              <w:t>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490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89"/>
              </w:rPr>
              <w:t>Section</w:t>
            </w:r>
          </w:p>
        </w:tc>
        <w:tc>
          <w:tcPr>
            <w:tcW w:w="0" w:type="dxa"/>
            <w:vAlign w:val="bottom"/>
          </w:tcPr>
          <w:p>
            <w:pPr>
              <w:spacing w:after="0"/>
              <w:rPr>
                <w:sz w:val="1"/>
                <w:szCs w:val="1"/>
                <w:color w:val="auto"/>
              </w:rPr>
            </w:pPr>
          </w:p>
        </w:tc>
      </w:tr>
      <w:tr>
        <w:trPr>
          <w:trHeight w:val="189"/>
        </w:trPr>
        <w:tc>
          <w:tcPr>
            <w:tcW w:w="5220" w:type="dxa"/>
            <w:vAlign w:val="bottom"/>
            <w:gridSpan w:val="2"/>
          </w:tcPr>
          <w:p>
            <w:pPr>
              <w:spacing w:after="0" w:line="18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Offer</w:t>
            </w:r>
            <w:r>
              <w:rPr>
                <w:rFonts w:ascii="Arial" w:cs="Arial" w:eastAsia="Arial" w:hAnsi="Arial"/>
                <w:sz w:val="18"/>
                <w:szCs w:val="18"/>
                <w:color w:val="auto"/>
              </w:rPr>
              <w:t>”</w:t>
            </w:r>
          </w:p>
        </w:tc>
        <w:tc>
          <w:tcPr>
            <w:tcW w:w="2060" w:type="dxa"/>
            <w:vAlign w:val="bottom"/>
          </w:tcPr>
          <w:p>
            <w:pPr>
              <w:spacing w:after="0"/>
              <w:rPr>
                <w:sz w:val="16"/>
                <w:szCs w:val="16"/>
                <w:color w:val="auto"/>
              </w:rPr>
            </w:pPr>
          </w:p>
        </w:tc>
        <w:tc>
          <w:tcPr>
            <w:tcW w:w="480" w:type="dxa"/>
            <w:vAlign w:val="bottom"/>
          </w:tcPr>
          <w:p>
            <w:pPr>
              <w:jc w:val="center"/>
              <w:spacing w:after="0" w:line="189" w:lineRule="exact"/>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Payment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“Change of Control Payment Date</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Covenant Defeasance</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8.03</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Covenant Suspension Event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4.20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Cumulative Credit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4.07</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Account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Agent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Agreement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Proceeds</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Excess Proceeds</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incur</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Defeasance</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8.02</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 Amount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 Period</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Debt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Default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4.07</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Reversion Date</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4.20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Mandatory Redemption</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3.10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Mandatory Redemption Amount</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3.10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Mandatory Redemption Date</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3.10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5.01</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Suspended Covenants</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4.20</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Period</w:t>
            </w:r>
            <w:r>
              <w:rPr>
                <w:rFonts w:ascii="Arial" w:cs="Arial" w:eastAsia="Arial" w:hAnsi="Arial"/>
                <w:sz w:val="18"/>
                <w:szCs w:val="18"/>
                <w:color w:val="auto"/>
              </w:rPr>
              <w:t>”</w:t>
            </w:r>
          </w:p>
        </w:tc>
        <w:tc>
          <w:tcPr>
            <w:tcW w:w="2540" w:type="dxa"/>
            <w:vAlign w:val="bottom"/>
            <w:gridSpan w:val="2"/>
          </w:tcPr>
          <w:p>
            <w:pPr>
              <w:jc w:val="center"/>
              <w:ind w:left="1971"/>
              <w:spacing w:after="0"/>
              <w:rPr>
                <w:sz w:val="20"/>
                <w:szCs w:val="20"/>
                <w:color w:val="auto"/>
              </w:rPr>
            </w:pPr>
            <w:r>
              <w:rPr>
                <w:rFonts w:ascii="Arial" w:cs="Arial" w:eastAsia="Arial" w:hAnsi="Arial"/>
                <w:sz w:val="18"/>
                <w:szCs w:val="18"/>
                <w:color w:val="auto"/>
                <w:w w:val="91"/>
              </w:rPr>
              <w:t>4.20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7"/>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437" w:hanging="437"/>
        <w:spacing w:after="0"/>
        <w:tabs>
          <w:tab w:leader="none" w:pos="4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417" w:hanging="417"/>
        <w:spacing w:after="0"/>
        <w:tabs>
          <w:tab w:leader="none" w:pos="4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417" w:hanging="417"/>
        <w:spacing w:after="0"/>
        <w:tabs>
          <w:tab w:leader="none" w:pos="4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437" w:hanging="437"/>
        <w:spacing w:after="0"/>
        <w:tabs>
          <w:tab w:leader="none" w:pos="4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117" w:lineRule="exact"/>
        <w:rPr>
          <w:rFonts w:ascii="Arial" w:cs="Arial" w:eastAsia="Arial" w:hAnsi="Arial"/>
          <w:sz w:val="18"/>
          <w:szCs w:val="18"/>
          <w:color w:val="auto"/>
        </w:rPr>
      </w:pPr>
    </w:p>
    <w:p>
      <w:pPr>
        <w:ind w:left="417" w:hanging="417"/>
        <w:spacing w:after="0"/>
        <w:tabs>
          <w:tab w:leader="none" w:pos="4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397" w:hanging="397"/>
        <w:spacing w:after="0"/>
        <w:tabs>
          <w:tab w:leader="none" w:pos="3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437" w:hanging="437"/>
        <w:spacing w:after="0"/>
        <w:tabs>
          <w:tab w:leader="none" w:pos="4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158" w:lineRule="exact"/>
        <w:rPr>
          <w:sz w:val="20"/>
          <w:szCs w:val="20"/>
          <w:color w:val="auto"/>
        </w:rPr>
      </w:pPr>
    </w:p>
    <w:p>
      <w:pPr>
        <w:jc w:val="center"/>
        <w:ind w:right="-297"/>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317"/>
          </w:cols>
          <w:pgMar w:left="1143" w:top="257" w:right="1440" w:bottom="1440" w:gutter="0" w:footer="0" w:header="0"/>
        </w:sectPr>
      </w:pPr>
    </w:p>
    <w:bookmarkStart w:id="32" w:name="page33"/>
    <w:bookmarkEnd w:id="32"/>
    <w:p>
      <w:pPr>
        <w:ind w:left="460" w:right="200" w:firstLine="443"/>
        <w:spacing w:after="0" w:line="277" w:lineRule="auto"/>
        <w:tabs>
          <w:tab w:leader="none" w:pos="1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sections of or rules under the Securities Act will be deemed to include substitute, replacement of successor sections or rules adopted by the SEC from time to time;</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2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Section, Article or other subdivision;</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2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unsecured Indebtedness shall not be deemed to be subordinate or junior to secured Indebtedness merely by virtue of its nature as unsecured Indebtedness; and</w:t>
      </w:r>
    </w:p>
    <w:p>
      <w:pPr>
        <w:spacing w:after="0" w:line="62" w:lineRule="exact"/>
        <w:rPr>
          <w:rFonts w:ascii="Arial" w:cs="Arial" w:eastAsia="Arial" w:hAnsi="Arial"/>
          <w:sz w:val="18"/>
          <w:szCs w:val="18"/>
          <w:color w:val="auto"/>
        </w:rPr>
      </w:pPr>
    </w:p>
    <w:p>
      <w:pPr>
        <w:ind w:left="1340" w:hanging="437"/>
        <w:spacing w:after="0"/>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references to Sections or Articles or Exhibits refer to Sections or Articles or Exhibits of or to this Indenture unless otherwise indicated.</w:t>
      </w:r>
    </w:p>
    <w:p>
      <w:pPr>
        <w:spacing w:after="0" w:line="200" w:lineRule="exact"/>
        <w:rPr>
          <w:sz w:val="20"/>
          <w:szCs w:val="20"/>
          <w:color w:val="auto"/>
        </w:rPr>
      </w:pPr>
    </w:p>
    <w:p>
      <w:pPr>
        <w:spacing w:after="0" w:line="26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4" w:lineRule="auto"/>
        <w:tabs>
          <w:tab w:leader="none" w:pos="115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notations, legends or endorsements required by law, stock exchange rule or usage. Each Note will be dated the date of its authentication. The Notes shall be in denominations of $2,000 and integral multiples of $1,000 thereof.</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terms and provisions contained in the Notes will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7" w:lineRule="exact"/>
        <w:rPr>
          <w:sz w:val="20"/>
          <w:szCs w:val="20"/>
          <w:color w:val="auto"/>
        </w:rPr>
      </w:pPr>
    </w:p>
    <w:p>
      <w:pPr>
        <w:ind w:right="80" w:firstLine="921"/>
        <w:spacing w:after="0" w:line="290" w:lineRule="auto"/>
        <w:tabs>
          <w:tab w:leader="none" w:pos="116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will be substantially in the form of Exhibit A hereto (including the Global Note Legend thereon</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 hereof.</w:t>
      </w:r>
    </w:p>
    <w:p>
      <w:pPr>
        <w:spacing w:after="0" w:line="166" w:lineRule="exact"/>
        <w:rPr>
          <w:rFonts w:ascii="Arial" w:cs="Arial" w:eastAsia="Arial" w:hAnsi="Arial"/>
          <w:sz w:val="16"/>
          <w:szCs w:val="16"/>
          <w:color w:val="auto"/>
        </w:rPr>
      </w:pPr>
    </w:p>
    <w:p>
      <w:pPr>
        <w:ind w:right="40" w:firstLine="921"/>
        <w:spacing w:after="0" w:line="312" w:lineRule="auto"/>
        <w:tabs>
          <w:tab w:leader="none" w:pos="1157"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 valid.</w:t>
      </w:r>
    </w:p>
    <w:p>
      <w:pPr>
        <w:spacing w:after="0" w:line="23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 Note will not be valid until authenticated by the manual signature of the Trustee. The signature will be conclusive evidence that the Note has been authenticated under this Indenture.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aggregate principal amount of Notes which may be authenticated under this Indenture is unlimited. The Company may, subject to Article 4 of this Indenture and applicable law, issue Additional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3" w:name="page34"/>
    <w:bookmarkEnd w:id="3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this Indenture. The Notes issued on the Issue Date and any Additional Notes subsequently issued shall be treated as a single class for all purposes under this Indenture. Furthermore, in the case of Additional Notes having the same “CUSIP” number as the Notes issued on the date hereof, such Additional notes shall be fungible with all other Notes for U.S. federal income tax purposes. At any time and from time to time after the execution of this Indenture, the Trustee shall, upon receipt of a written order of the Company signed by at least one Officer of the Company (an “</w:t>
      </w:r>
      <w:r>
        <w:rPr>
          <w:rFonts w:ascii="Arial" w:cs="Arial" w:eastAsia="Arial" w:hAnsi="Arial"/>
          <w:sz w:val="16"/>
          <w:szCs w:val="16"/>
          <w:b w:val="1"/>
          <w:bCs w:val="1"/>
          <w:i w:val="1"/>
          <w:iCs w:val="1"/>
          <w:color w:val="auto"/>
        </w:rPr>
        <w:t>Authentication Order</w:t>
      </w:r>
      <w:r>
        <w:rPr>
          <w:rFonts w:ascii="Arial" w:cs="Arial" w:eastAsia="Arial" w:hAnsi="Arial"/>
          <w:sz w:val="16"/>
          <w:szCs w:val="16"/>
          <w:color w:val="auto"/>
        </w:rPr>
        <w:t>”) and an Opinion of Counsel, authenticate Notes for (i) original issue in an aggregate principal amount specified in such Authentication Order and (ii) Additional Notes in such amounts as may be specified from time to time without limit, so long as such issuance is permitted under Article 4 of this Indenture and applicable law. The Authentication Order shall specify the amount of Notes to be authenticated and the date on which the Notes are to be authenticated.</w:t>
      </w:r>
    </w:p>
    <w:p>
      <w:pPr>
        <w:spacing w:after="0" w:line="167"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The Trustee may appoint an authenticating agent reasonably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the Company or an Affiliate of the Company.</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and Paying Agent</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Company will maintain an office or agency where Notes may be presented for registration of transfer or for exchange (“</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 and an office or agency where Notes may be presented for payment (“</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The Registrar will keep a register of the Notes and of their transfer and exchange.</w:t>
      </w:r>
    </w:p>
    <w:p>
      <w:pPr>
        <w:spacing w:after="0" w:line="18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promptly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The Company initially appoints the Trustee, and the Trustee hereby agrees, to act as the Registrar and Paying Agent and to act as Custodian with respect to the Global Notes. The Company has entered into a letter of representations with DTC in the form provided by DTC and the Trustee and each Agent are hereby authorized to act in accordance with such letter and Applicable Procedures.</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 will be responsible for making calculations called for under the Notes, including but not limited to determination of redemption price, premium, if any, and any additional amounts or other amounts payable on the Notes. The Company will make the calculations in good faith and provide a schedule of its calculations to the Trustee when requested by the Trustee, and the Trustee is entitled to rely conclusively on the accuracy of the Company’s calculations without independent verification.</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Paying Agent To Hold Money in Trust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The Company will require each Paying Agent other than the Trustee to agree in writing that the Paying Agent will hold in trust for the benefit of Holders or the Trustee all money held by the Paying Agent for the payment of principal or premium, if any, or interest on the Notes, and will promptly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4" w:name="page35"/>
    <w:bookmarkEnd w:id="3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2.05. </w:t>
      </w:r>
      <w:r>
        <w:rPr>
          <w:rFonts w:ascii="Arial" w:cs="Arial" w:eastAsia="Arial" w:hAnsi="Arial"/>
          <w:sz w:val="18"/>
          <w:szCs w:val="18"/>
          <w:i w:val="1"/>
          <w:iCs w:val="1"/>
          <w:color w:val="auto"/>
        </w:rPr>
        <w:t>Holder Lists.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Trustee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right="500" w:firstLine="921"/>
        <w:spacing w:after="0" w:line="286" w:lineRule="auto"/>
        <w:tabs>
          <w:tab w:leader="none" w:pos="1157"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Transfer and Exchange of Global Notes</w:t>
      </w:r>
      <w:r>
        <w:rPr>
          <w:rFonts w:ascii="Arial" w:cs="Arial" w:eastAsia="Arial" w:hAnsi="Arial"/>
          <w:sz w:val="17"/>
          <w:szCs w:val="17"/>
          <w:color w:val="auto"/>
        </w:rPr>
        <w:t>. A Global Note may not be transferred except as a whole by the Depositary to a nominee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by a nominee of the Depositary to the Depositary or to another nominee of the Depositary, or by the Depositary or any such nominee to a successor Depositary or a nominee of such successor Depositary. All Global Notes shall be exchangeable for Definitive Notes if:</w:t>
      </w:r>
    </w:p>
    <w:p>
      <w:pPr>
        <w:spacing w:after="0" w:line="57" w:lineRule="exact"/>
        <w:rPr>
          <w:rFonts w:ascii="Arial" w:cs="Arial" w:eastAsia="Arial" w:hAnsi="Arial"/>
          <w:sz w:val="17"/>
          <w:szCs w:val="17"/>
          <w:color w:val="auto"/>
        </w:rPr>
      </w:pPr>
    </w:p>
    <w:p>
      <w:pPr>
        <w:ind w:left="460" w:right="240" w:firstLine="443"/>
        <w:spacing w:after="0" w:line="264"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3"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Upon the occurrence of either of the preceding events in (1) or (2) above, Definitive Notes shall be issued in such names as the Depositary shall instruct the Trustee, and upon the occurrence of the preceding events in (3) above, Definitive Notes shall be issued in exchange for beneficial interests in a Global Note upon request therefor by the Depositary acting upon instruction of the holder of such beneficial interest in such Global Note.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67" w:lineRule="exact"/>
        <w:rPr>
          <w:sz w:val="20"/>
          <w:szCs w:val="20"/>
          <w:color w:val="auto"/>
        </w:rPr>
      </w:pPr>
    </w:p>
    <w:p>
      <w:pPr>
        <w:ind w:right="40" w:firstLine="921"/>
        <w:spacing w:after="0" w:line="257" w:lineRule="auto"/>
        <w:tabs>
          <w:tab w:leader="none" w:pos="1168"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80" w:lineRule="exact"/>
        <w:rPr>
          <w:rFonts w:ascii="Arial" w:cs="Arial" w:eastAsia="Arial" w:hAnsi="Arial"/>
          <w:sz w:val="18"/>
          <w:szCs w:val="18"/>
          <w:color w:val="auto"/>
        </w:rPr>
      </w:pPr>
    </w:p>
    <w:p>
      <w:pPr>
        <w:ind w:left="460" w:right="20" w:firstLine="443"/>
        <w:spacing w:after="0" w:line="293" w:lineRule="auto"/>
        <w:tabs>
          <w:tab w:leader="none" w:pos="1153"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Note</w:t>
      </w:r>
      <w:r>
        <w:rPr>
          <w:rFonts w:ascii="Arial" w:cs="Arial" w:eastAsia="Arial" w:hAnsi="Arial"/>
          <w:sz w:val="16"/>
          <w:szCs w:val="16"/>
          <w:color w:val="auto"/>
        </w:rPr>
        <w:t>. Beneficial interests in any Restricted Global Note may be transferred to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take delivery thereof in the form of a beneficial interest in the same Restricted Global Note in accordance with the transfer restrictions set forth in the Private Placement Legend;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expiration of the Restricted Period, transfers of beneficial interests in the Regulation S Global Note may not be made to a U.S. Person or for the account or benefit of a U.S. Person (other than the Initial Purchasers).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5" w:name="page36"/>
    <w:bookmarkEnd w:id="35"/>
    <w:p>
      <w:pPr>
        <w:ind w:left="460" w:right="520" w:firstLine="443"/>
        <w:spacing w:after="0" w:line="342" w:lineRule="auto"/>
        <w:tabs>
          <w:tab w:leader="none" w:pos="1153"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Other Transfers and Exchanges of Beneficial Interests in Global Notes. </w:t>
      </w:r>
      <w:r>
        <w:rPr>
          <w:rFonts w:ascii="Arial" w:cs="Arial" w:eastAsia="Arial" w:hAnsi="Arial"/>
          <w:sz w:val="16"/>
          <w:szCs w:val="16"/>
          <w:color w:val="auto"/>
        </w:rPr>
        <w:t>In connection with all transfers and exchanges of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that are not subject to Section 2.06(b)(1) above, the transferor of such beneficial interest must deliver to the Registrar either:</w:t>
      </w:r>
    </w:p>
    <w:p>
      <w:pPr>
        <w:spacing w:after="0" w:line="15" w:lineRule="exact"/>
        <w:rPr>
          <w:rFonts w:ascii="Arial" w:cs="Arial" w:eastAsia="Arial" w:hAnsi="Arial"/>
          <w:sz w:val="16"/>
          <w:szCs w:val="16"/>
          <w:color w:val="auto"/>
        </w:rPr>
      </w:pPr>
    </w:p>
    <w:p>
      <w:pPr>
        <w:ind w:left="1640" w:hanging="299"/>
        <w:spacing w:after="0"/>
        <w:tabs>
          <w:tab w:leader="none" w:pos="1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500" w:firstLine="389"/>
        <w:spacing w:after="0" w:line="264" w:lineRule="auto"/>
        <w:tabs>
          <w:tab w:leader="none" w:pos="2112" w:val="left"/>
        </w:tabs>
        <w:numPr>
          <w:ilvl w:val="2"/>
          <w:numId w:val="4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3" w:lineRule="exact"/>
        <w:rPr>
          <w:rFonts w:ascii="Arial" w:cs="Arial" w:eastAsia="Arial" w:hAnsi="Arial"/>
          <w:sz w:val="18"/>
          <w:szCs w:val="18"/>
          <w:color w:val="auto"/>
        </w:rPr>
      </w:pPr>
    </w:p>
    <w:p>
      <w:pPr>
        <w:ind w:left="1500" w:right="80" w:firstLine="389"/>
        <w:spacing w:after="0" w:line="277" w:lineRule="auto"/>
        <w:tabs>
          <w:tab w:leader="none" w:pos="2162" w:val="left"/>
        </w:tabs>
        <w:numPr>
          <w:ilvl w:val="2"/>
          <w:numId w:val="45"/>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500" w:right="80" w:firstLine="389"/>
        <w:spacing w:after="0" w:line="264" w:lineRule="auto"/>
        <w:tabs>
          <w:tab w:leader="none" w:pos="2112" w:val="left"/>
        </w:tabs>
        <w:numPr>
          <w:ilvl w:val="2"/>
          <w:numId w:val="4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3" w:lineRule="exact"/>
        <w:rPr>
          <w:rFonts w:ascii="Arial" w:cs="Arial" w:eastAsia="Arial" w:hAnsi="Arial"/>
          <w:sz w:val="18"/>
          <w:szCs w:val="18"/>
          <w:color w:val="auto"/>
        </w:rPr>
      </w:pPr>
    </w:p>
    <w:p>
      <w:pPr>
        <w:ind w:left="1500" w:right="740" w:firstLine="389"/>
        <w:spacing w:after="0" w:line="277" w:lineRule="auto"/>
        <w:tabs>
          <w:tab w:leader="none" w:pos="2162" w:val="left"/>
        </w:tabs>
        <w:numPr>
          <w:ilvl w:val="2"/>
          <w:numId w:val="45"/>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6" w:lineRule="exact"/>
        <w:rPr>
          <w:sz w:val="20"/>
          <w:szCs w:val="20"/>
          <w:color w:val="auto"/>
        </w:rPr>
      </w:pPr>
    </w:p>
    <w:p>
      <w:pPr>
        <w:jc w:val="both"/>
        <w:ind w:left="460" w:firstLine="443"/>
        <w:spacing w:after="0" w:line="264" w:lineRule="auto"/>
        <w:tabs>
          <w:tab w:leader="none" w:pos="115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Note. </w:t>
      </w:r>
      <w:r>
        <w:rPr>
          <w:rFonts w:ascii="Arial" w:cs="Arial" w:eastAsia="Arial" w:hAnsi="Arial"/>
          <w:sz w:val="18"/>
          <w:szCs w:val="18"/>
          <w:color w:val="auto"/>
        </w:rPr>
        <w:t>A beneficial interest in any Restricted Global Note may be transferred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 beneficial interest in another Restricted Global Note if the transfer complies with the requirements of Section 2.06(b)(2) above and the Registrar receives the following:</w:t>
      </w:r>
    </w:p>
    <w:p>
      <w:pPr>
        <w:spacing w:after="0" w:line="73" w:lineRule="exact"/>
        <w:rPr>
          <w:rFonts w:ascii="Arial" w:cs="Arial" w:eastAsia="Arial" w:hAnsi="Arial"/>
          <w:sz w:val="18"/>
          <w:szCs w:val="18"/>
          <w:color w:val="auto"/>
        </w:rPr>
      </w:pPr>
    </w:p>
    <w:p>
      <w:pPr>
        <w:ind w:left="920" w:right="540" w:firstLine="421"/>
        <w:spacing w:after="0" w:line="277" w:lineRule="auto"/>
        <w:tabs>
          <w:tab w:leader="none" w:pos="16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920" w:right="20" w:firstLine="421"/>
        <w:spacing w:after="0" w:line="277" w:lineRule="auto"/>
        <w:tabs>
          <w:tab w:leader="none" w:pos="16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920" w:right="580" w:firstLine="421"/>
        <w:spacing w:after="0" w:line="264" w:lineRule="auto"/>
        <w:tabs>
          <w:tab w:leader="none" w:pos="16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IAI Global Note, then the transferor must deliver a certificate in the form of Exhibit B hereto, including the certifications, certificates and Opinion of Counsel required by item (3) thereof, if applicable.</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any such transfer is effected at a time when an IAI Global Note has not yet been issued, the Company shall issue and, upon receipt of an Authentication Order in accordance with Section 2.02 hereof, the Trustee shall authenticate one or more IAI Global Notes in an aggregate principal amount equal to the aggregate principal amount of beneficial interests transferred pursuant to this subparagraph.</w:t>
      </w:r>
    </w:p>
    <w:p>
      <w:pPr>
        <w:spacing w:after="0" w:line="73" w:lineRule="exact"/>
        <w:rPr>
          <w:sz w:val="20"/>
          <w:szCs w:val="20"/>
          <w:color w:val="auto"/>
        </w:rPr>
      </w:pPr>
    </w:p>
    <w:p>
      <w:pPr>
        <w:ind w:left="460" w:right="320" w:firstLine="443"/>
        <w:spacing w:after="0" w:line="279" w:lineRule="auto"/>
        <w:tabs>
          <w:tab w:leader="none" w:pos="115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Transfer and Exchange of Beneficial Interests in a Restricted Global Note for Beneficial Interests in an Unrestricted Global Note</w:t>
      </w:r>
      <w:r>
        <w:rPr>
          <w:rFonts w:ascii="Arial" w:cs="Arial" w:eastAsia="Arial" w:hAnsi="Arial"/>
          <w:sz w:val="17"/>
          <w:szCs w:val="17"/>
          <w:color w:val="auto"/>
        </w:rPr>
        <w:t>.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63" w:lineRule="exact"/>
        <w:rPr>
          <w:rFonts w:ascii="Arial" w:cs="Arial" w:eastAsia="Arial" w:hAnsi="Arial"/>
          <w:sz w:val="17"/>
          <w:szCs w:val="17"/>
          <w:color w:val="auto"/>
        </w:rPr>
      </w:pPr>
    </w:p>
    <w:p>
      <w:pPr>
        <w:ind w:left="920" w:right="180" w:firstLine="421"/>
        <w:spacing w:after="0" w:line="264" w:lineRule="auto"/>
        <w:tabs>
          <w:tab w:leader="none" w:pos="1635"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6" w:name="page37"/>
    <w:bookmarkEnd w:id="36"/>
    <w:p>
      <w:pPr>
        <w:jc w:val="both"/>
        <w:ind w:left="920" w:right="200" w:firstLine="421"/>
        <w:spacing w:after="0" w:line="264" w:lineRule="auto"/>
        <w:tabs>
          <w:tab w:leader="none" w:pos="1625"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3" w:lineRule="exact"/>
        <w:rPr>
          <w:sz w:val="20"/>
          <w:szCs w:val="20"/>
          <w:color w:val="auto"/>
        </w:rPr>
      </w:pPr>
    </w:p>
    <w:p>
      <w:pPr>
        <w:ind w:left="920" w:right="60"/>
        <w:spacing w:after="0" w:line="286" w:lineRule="auto"/>
        <w:rPr>
          <w:sz w:val="20"/>
          <w:szCs w:val="20"/>
          <w:color w:val="auto"/>
        </w:rPr>
      </w:pPr>
      <w:r>
        <w:rPr>
          <w:rFonts w:ascii="Arial" w:cs="Arial" w:eastAsia="Arial" w:hAnsi="Arial"/>
          <w:sz w:val="17"/>
          <w:szCs w:val="17"/>
          <w:color w:val="auto"/>
        </w:rPr>
        <w:t>and, in each such case set forth in this paragraph (4), if the Registrar so requests or if the Applicable Procedures so require,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If any such transfer is effected pursuant to paragraph (4)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paragraph (4) above.</w:t>
      </w:r>
    </w:p>
    <w:p>
      <w:pPr>
        <w:spacing w:after="0" w:line="147" w:lineRule="exact"/>
        <w:rPr>
          <w:sz w:val="20"/>
          <w:szCs w:val="20"/>
          <w:color w:val="auto"/>
        </w:rPr>
      </w:pPr>
    </w:p>
    <w:p>
      <w:pPr>
        <w:jc w:val="both"/>
        <w:ind w:right="60" w:firstLine="913"/>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1160" w:hanging="239"/>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443"/>
        <w:spacing w:after="0" w:line="286" w:lineRule="auto"/>
        <w:tabs>
          <w:tab w:leader="none" w:pos="1153"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Notes to Restricted Definitive Notes. </w:t>
      </w:r>
      <w:r>
        <w:rPr>
          <w:rFonts w:ascii="Arial" w:cs="Arial" w:eastAsia="Arial" w:hAnsi="Arial"/>
          <w:sz w:val="17"/>
          <w:szCs w:val="17"/>
          <w:color w:val="auto"/>
        </w:rPr>
        <w:t>If any holder of a beneficial interest in a Restricted Global Note</w:t>
      </w:r>
      <w:r>
        <w:rPr>
          <w:rFonts w:ascii="Arial" w:cs="Arial" w:eastAsia="Arial" w:hAnsi="Arial"/>
          <w:sz w:val="17"/>
          <w:szCs w:val="17"/>
          <w:i w:val="1"/>
          <w:iCs w:val="1"/>
          <w:color w:val="auto"/>
        </w:rPr>
        <w:t xml:space="preserve"> </w:t>
      </w:r>
      <w:r>
        <w:rPr>
          <w:rFonts w:ascii="Arial" w:cs="Arial" w:eastAsia="Arial" w:hAnsi="Arial"/>
          <w:sz w:val="17"/>
          <w:szCs w:val="17"/>
          <w:color w:val="auto"/>
        </w:rPr>
        <w:t>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57" w:lineRule="exact"/>
        <w:rPr>
          <w:rFonts w:ascii="Arial" w:cs="Arial" w:eastAsia="Arial" w:hAnsi="Arial"/>
          <w:sz w:val="17"/>
          <w:szCs w:val="17"/>
          <w:color w:val="auto"/>
        </w:rPr>
      </w:pPr>
    </w:p>
    <w:p>
      <w:pPr>
        <w:ind w:left="920" w:right="500" w:firstLine="421"/>
        <w:spacing w:after="0" w:line="342" w:lineRule="auto"/>
        <w:tabs>
          <w:tab w:leader="none" w:pos="1635" w:val="left"/>
        </w:tabs>
        <w:numPr>
          <w:ilvl w:val="2"/>
          <w:numId w:val="50"/>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5" w:lineRule="exact"/>
        <w:rPr>
          <w:rFonts w:ascii="Arial" w:cs="Arial" w:eastAsia="Arial" w:hAnsi="Arial"/>
          <w:sz w:val="16"/>
          <w:szCs w:val="16"/>
          <w:color w:val="auto"/>
        </w:rPr>
      </w:pPr>
    </w:p>
    <w:p>
      <w:pPr>
        <w:ind w:left="920" w:right="200" w:firstLine="421"/>
        <w:spacing w:after="0" w:line="277" w:lineRule="auto"/>
        <w:tabs>
          <w:tab w:leader="none" w:pos="1625" w:val="left"/>
        </w:tabs>
        <w:numPr>
          <w:ilvl w:val="2"/>
          <w:numId w:val="5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920" w:firstLine="421"/>
        <w:spacing w:after="0" w:line="277" w:lineRule="auto"/>
        <w:tabs>
          <w:tab w:leader="none" w:pos="1625" w:val="left"/>
        </w:tabs>
        <w:numPr>
          <w:ilvl w:val="2"/>
          <w:numId w:val="5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62" w:lineRule="exact"/>
        <w:rPr>
          <w:rFonts w:ascii="Arial" w:cs="Arial" w:eastAsia="Arial" w:hAnsi="Arial"/>
          <w:sz w:val="18"/>
          <w:szCs w:val="18"/>
          <w:color w:val="auto"/>
        </w:rPr>
      </w:pPr>
    </w:p>
    <w:p>
      <w:pPr>
        <w:ind w:left="920" w:right="420" w:firstLine="421"/>
        <w:spacing w:after="0" w:line="342" w:lineRule="auto"/>
        <w:tabs>
          <w:tab w:leader="none" w:pos="1635" w:val="left"/>
        </w:tabs>
        <w:numPr>
          <w:ilvl w:val="2"/>
          <w:numId w:val="50"/>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5" w:lineRule="exact"/>
        <w:rPr>
          <w:rFonts w:ascii="Arial" w:cs="Arial" w:eastAsia="Arial" w:hAnsi="Arial"/>
          <w:sz w:val="16"/>
          <w:szCs w:val="16"/>
          <w:color w:val="auto"/>
        </w:rPr>
      </w:pPr>
    </w:p>
    <w:p>
      <w:pPr>
        <w:ind w:left="920" w:right="40" w:firstLine="421"/>
        <w:spacing w:after="0" w:line="286" w:lineRule="auto"/>
        <w:tabs>
          <w:tab w:leader="none" w:pos="1615" w:val="left"/>
        </w:tabs>
        <w:numPr>
          <w:ilvl w:val="2"/>
          <w:numId w:val="50"/>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an Institutional Accredited Investor in reliance on an exemption from the registration requirements of the Securities Act other than those listed in subparagraphs (A) through (B) above, a certificate to the effect set forth in Exhibit B hereto, including the certifications, certificates and Opinion of Counsel required by item (3) thereof, if applicable;</w:t>
      </w:r>
    </w:p>
    <w:p>
      <w:pPr>
        <w:spacing w:after="0" w:line="57" w:lineRule="exact"/>
        <w:rPr>
          <w:rFonts w:ascii="Arial" w:cs="Arial" w:eastAsia="Arial" w:hAnsi="Arial"/>
          <w:sz w:val="17"/>
          <w:szCs w:val="17"/>
          <w:color w:val="auto"/>
        </w:rPr>
      </w:pPr>
    </w:p>
    <w:p>
      <w:pPr>
        <w:ind w:left="920" w:right="100" w:firstLine="421"/>
        <w:spacing w:after="0" w:line="277" w:lineRule="auto"/>
        <w:tabs>
          <w:tab w:leader="none" w:pos="1605" w:val="left"/>
        </w:tabs>
        <w:numPr>
          <w:ilvl w:val="2"/>
          <w:numId w:val="5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920" w:firstLine="421"/>
        <w:spacing w:after="0" w:line="277" w:lineRule="auto"/>
        <w:tabs>
          <w:tab w:leader="none" w:pos="1635" w:val="left"/>
        </w:tabs>
        <w:numPr>
          <w:ilvl w:val="2"/>
          <w:numId w:val="5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7" w:name="page38"/>
    <w:bookmarkEnd w:id="3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70" w:lineRule="exact"/>
        <w:rPr>
          <w:sz w:val="20"/>
          <w:szCs w:val="20"/>
          <w:color w:val="auto"/>
        </w:rPr>
      </w:pPr>
    </w:p>
    <w:p>
      <w:pPr>
        <w:ind w:left="460" w:right="180" w:firstLine="443"/>
        <w:spacing w:after="0" w:line="264" w:lineRule="auto"/>
        <w:tabs>
          <w:tab w:leader="none" w:pos="1153"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Notes to Unrestricted Definitive Notes. </w:t>
      </w:r>
      <w:r>
        <w:rPr>
          <w:rFonts w:ascii="Arial" w:cs="Arial" w:eastAsia="Arial" w:hAnsi="Arial"/>
          <w:sz w:val="18"/>
          <w:szCs w:val="18"/>
          <w:color w:val="auto"/>
        </w:rPr>
        <w:t>A holder of a beneficial interest in a Restricted Global Note</w:t>
      </w:r>
      <w:r>
        <w:rPr>
          <w:rFonts w:ascii="Arial" w:cs="Arial" w:eastAsia="Arial" w:hAnsi="Arial"/>
          <w:sz w:val="18"/>
          <w:szCs w:val="18"/>
          <w:i w:val="1"/>
          <w:iCs w:val="1"/>
          <w:color w:val="auto"/>
        </w:rPr>
        <w:t xml:space="preserve"> </w:t>
      </w:r>
      <w:r>
        <w:rPr>
          <w:rFonts w:ascii="Arial" w:cs="Arial" w:eastAsia="Arial" w:hAnsi="Arial"/>
          <w:sz w:val="18"/>
          <w:szCs w:val="18"/>
          <w:color w:val="auto"/>
        </w:rPr>
        <w:t>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73" w:lineRule="exact"/>
        <w:rPr>
          <w:rFonts w:ascii="Arial" w:cs="Arial" w:eastAsia="Arial" w:hAnsi="Arial"/>
          <w:sz w:val="18"/>
          <w:szCs w:val="18"/>
          <w:color w:val="auto"/>
        </w:rPr>
      </w:pPr>
    </w:p>
    <w:p>
      <w:pPr>
        <w:ind w:left="920" w:right="280" w:firstLine="421"/>
        <w:spacing w:after="0" w:line="342" w:lineRule="auto"/>
        <w:tabs>
          <w:tab w:leader="none" w:pos="1635"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6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73" w:lineRule="exact"/>
        <w:rPr>
          <w:sz w:val="20"/>
          <w:szCs w:val="20"/>
          <w:color w:val="auto"/>
        </w:rPr>
      </w:pPr>
    </w:p>
    <w:p>
      <w:pPr>
        <w:ind w:left="920" w:right="100"/>
        <w:spacing w:after="0" w:line="286" w:lineRule="auto"/>
        <w:rPr>
          <w:sz w:val="20"/>
          <w:szCs w:val="20"/>
          <w:color w:val="auto"/>
        </w:rPr>
      </w:pPr>
      <w:r>
        <w:rPr>
          <w:rFonts w:ascii="Arial" w:cs="Arial" w:eastAsia="Arial" w:hAnsi="Arial"/>
          <w:sz w:val="17"/>
          <w:szCs w:val="17"/>
          <w:color w:val="auto"/>
        </w:rPr>
        <w:t>and, in each such case set forth in this paragraph (2), if the Registrar so requests or if the Applicable Procedures so require,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7" w:lineRule="exact"/>
        <w:rPr>
          <w:sz w:val="20"/>
          <w:szCs w:val="20"/>
          <w:color w:val="auto"/>
        </w:rPr>
      </w:pPr>
    </w:p>
    <w:p>
      <w:pPr>
        <w:ind w:left="460" w:right="120" w:firstLine="443"/>
        <w:spacing w:after="0" w:line="270" w:lineRule="auto"/>
        <w:tabs>
          <w:tab w:leader="none" w:pos="1153"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Unrestricted Global Notes to Unrestricted Definitive Notes. </w:t>
      </w:r>
      <w:r>
        <w:rPr>
          <w:rFonts w:ascii="Arial" w:cs="Arial" w:eastAsia="Arial" w:hAnsi="Arial"/>
          <w:sz w:val="17"/>
          <w:szCs w:val="17"/>
          <w:color w:val="auto"/>
        </w:rPr>
        <w:t>If any holder of a beneficial interest in an Unrestricted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285" w:lineRule="exact"/>
        <w:rPr>
          <w:rFonts w:ascii="Arial" w:cs="Arial" w:eastAsia="Arial" w:hAnsi="Arial"/>
          <w:sz w:val="17"/>
          <w:szCs w:val="17"/>
          <w:color w:val="auto"/>
        </w:rPr>
      </w:pPr>
    </w:p>
    <w:p>
      <w:pPr>
        <w:ind w:left="1180" w:hanging="259"/>
        <w:spacing w:after="0"/>
        <w:tabs>
          <w:tab w:leader="none" w:pos="118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117" w:lineRule="exact"/>
        <w:rPr>
          <w:sz w:val="20"/>
          <w:szCs w:val="20"/>
          <w:color w:val="auto"/>
        </w:rPr>
      </w:pPr>
    </w:p>
    <w:p>
      <w:pPr>
        <w:ind w:left="460" w:right="160" w:firstLine="443"/>
        <w:spacing w:after="0" w:line="312" w:lineRule="auto"/>
        <w:tabs>
          <w:tab w:leader="none" w:pos="1153"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Beneficial Interests in Restricted Global Notes. </w:t>
      </w:r>
      <w:r>
        <w:rPr>
          <w:rFonts w:ascii="Arial" w:cs="Arial" w:eastAsia="Arial" w:hAnsi="Arial"/>
          <w:sz w:val="16"/>
          <w:szCs w:val="16"/>
          <w:color w:val="auto"/>
        </w:rPr>
        <w:t>If any Holder of a Restricted Definitive Note proposes to</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38" w:lineRule="exact"/>
        <w:rPr>
          <w:rFonts w:ascii="Arial" w:cs="Arial" w:eastAsia="Arial" w:hAnsi="Arial"/>
          <w:sz w:val="16"/>
          <w:szCs w:val="16"/>
          <w:color w:val="auto"/>
        </w:rPr>
      </w:pPr>
    </w:p>
    <w:p>
      <w:pPr>
        <w:ind w:left="920" w:right="100" w:firstLine="421"/>
        <w:spacing w:after="0" w:line="277" w:lineRule="auto"/>
        <w:tabs>
          <w:tab w:leader="none" w:pos="1635"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8" w:name="page39"/>
    <w:bookmarkEnd w:id="38"/>
    <w:p>
      <w:pPr>
        <w:ind w:left="920" w:right="360" w:firstLine="421"/>
        <w:spacing w:after="0" w:line="277" w:lineRule="auto"/>
        <w:tabs>
          <w:tab w:leader="none" w:pos="162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Restricted Definitive Note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920" w:right="160" w:firstLine="421"/>
        <w:spacing w:after="0" w:line="277" w:lineRule="auto"/>
        <w:tabs>
          <w:tab w:leader="none" w:pos="16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62" w:lineRule="exact"/>
        <w:rPr>
          <w:rFonts w:ascii="Arial" w:cs="Arial" w:eastAsia="Arial" w:hAnsi="Arial"/>
          <w:sz w:val="18"/>
          <w:szCs w:val="18"/>
          <w:color w:val="auto"/>
        </w:rPr>
      </w:pPr>
    </w:p>
    <w:p>
      <w:pPr>
        <w:ind w:left="920" w:firstLine="421"/>
        <w:spacing w:after="0" w:line="342" w:lineRule="auto"/>
        <w:tabs>
          <w:tab w:leader="none" w:pos="16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15" w:lineRule="exact"/>
        <w:rPr>
          <w:rFonts w:ascii="Arial" w:cs="Arial" w:eastAsia="Arial" w:hAnsi="Arial"/>
          <w:sz w:val="16"/>
          <w:szCs w:val="16"/>
          <w:color w:val="auto"/>
        </w:rPr>
      </w:pPr>
    </w:p>
    <w:p>
      <w:pPr>
        <w:ind w:left="920" w:right="120" w:firstLine="421"/>
        <w:spacing w:after="0" w:line="286" w:lineRule="auto"/>
        <w:tabs>
          <w:tab w:leader="none" w:pos="16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57" w:lineRule="exact"/>
        <w:rPr>
          <w:rFonts w:ascii="Arial" w:cs="Arial" w:eastAsia="Arial" w:hAnsi="Arial"/>
          <w:sz w:val="17"/>
          <w:szCs w:val="17"/>
          <w:color w:val="auto"/>
        </w:rPr>
      </w:pPr>
    </w:p>
    <w:p>
      <w:pPr>
        <w:ind w:left="920" w:right="240" w:firstLine="421"/>
        <w:spacing w:after="0" w:line="277" w:lineRule="auto"/>
        <w:tabs>
          <w:tab w:leader="none" w:pos="16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920" w:right="620" w:firstLine="421"/>
        <w:spacing w:after="0" w:line="277" w:lineRule="auto"/>
        <w:tabs>
          <w:tab w:leader="none" w:pos="1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spacing w:after="0" w:line="181"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If any transfer to an IAI Global Note is effected at a time when an IAI Global Note has not yet been issued, the Company shall issue and, upon receipt of an Authentication Order in accordance with Section 2.02 hereof, the Trustee shall authenticate one or more IAI Global Notes in an aggregate principal amount equal to the aggregate principal amount of the Restricted Definitive Note transferred pursuant to this subparagraph.</w:t>
      </w:r>
    </w:p>
    <w:p>
      <w:pPr>
        <w:spacing w:after="0" w:line="57" w:lineRule="exact"/>
        <w:rPr>
          <w:sz w:val="20"/>
          <w:szCs w:val="20"/>
          <w:color w:val="auto"/>
        </w:rPr>
      </w:pPr>
    </w:p>
    <w:p>
      <w:pPr>
        <w:ind w:left="460" w:right="60" w:firstLine="443"/>
        <w:spacing w:after="0" w:line="264" w:lineRule="auto"/>
        <w:tabs>
          <w:tab w:leader="none" w:pos="1153"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Unrestricted Global Notes. </w:t>
      </w:r>
      <w:r>
        <w:rPr>
          <w:rFonts w:ascii="Arial" w:cs="Arial" w:eastAsia="Arial" w:hAnsi="Arial"/>
          <w:sz w:val="18"/>
          <w:szCs w:val="18"/>
          <w:color w:val="auto"/>
        </w:rPr>
        <w:t>A Holder of a Restricted Definitive Note may exchange such</w:t>
      </w:r>
      <w:r>
        <w:rPr>
          <w:rFonts w:ascii="Arial" w:cs="Arial" w:eastAsia="Arial" w:hAnsi="Arial"/>
          <w:sz w:val="18"/>
          <w:szCs w:val="18"/>
          <w:i w:val="1"/>
          <w:iCs w:val="1"/>
          <w:color w:val="auto"/>
        </w:rPr>
        <w:t xml:space="preserve"> </w:t>
      </w:r>
      <w:r>
        <w:rPr>
          <w:rFonts w:ascii="Arial" w:cs="Arial" w:eastAsia="Arial" w:hAnsi="Arial"/>
          <w:sz w:val="18"/>
          <w:szCs w:val="18"/>
          <w:color w:val="auto"/>
        </w:rPr>
        <w:t>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73" w:lineRule="exact"/>
        <w:rPr>
          <w:rFonts w:ascii="Arial" w:cs="Arial" w:eastAsia="Arial" w:hAnsi="Arial"/>
          <w:sz w:val="18"/>
          <w:szCs w:val="18"/>
          <w:color w:val="auto"/>
        </w:rPr>
      </w:pPr>
    </w:p>
    <w:p>
      <w:pPr>
        <w:ind w:left="920" w:right="400" w:firstLine="421"/>
        <w:spacing w:after="0" w:line="277" w:lineRule="auto"/>
        <w:tabs>
          <w:tab w:leader="none" w:pos="1635"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62" w:lineRule="exact"/>
        <w:rPr>
          <w:rFonts w:ascii="Arial" w:cs="Arial" w:eastAsia="Arial" w:hAnsi="Arial"/>
          <w:sz w:val="18"/>
          <w:szCs w:val="18"/>
          <w:color w:val="auto"/>
        </w:rPr>
      </w:pPr>
    </w:p>
    <w:p>
      <w:pPr>
        <w:ind w:left="920" w:right="160" w:firstLine="421"/>
        <w:spacing w:after="0" w:line="264" w:lineRule="auto"/>
        <w:tabs>
          <w:tab w:leader="none" w:pos="16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3" w:lineRule="exact"/>
        <w:rPr>
          <w:sz w:val="20"/>
          <w:szCs w:val="20"/>
          <w:color w:val="auto"/>
        </w:rPr>
      </w:pPr>
    </w:p>
    <w:p>
      <w:pPr>
        <w:ind w:left="920" w:right="80"/>
        <w:spacing w:after="0" w:line="286" w:lineRule="auto"/>
        <w:rPr>
          <w:sz w:val="20"/>
          <w:szCs w:val="20"/>
          <w:color w:val="auto"/>
        </w:rPr>
      </w:pPr>
      <w:r>
        <w:rPr>
          <w:rFonts w:ascii="Arial" w:cs="Arial" w:eastAsia="Arial" w:hAnsi="Arial"/>
          <w:sz w:val="17"/>
          <w:szCs w:val="17"/>
          <w:color w:val="auto"/>
        </w:rPr>
        <w:t>and, in each such case set forth in this paragraph (2), if the Registrar so requests or if the Applicable Procedures so require,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9" w:name="page40"/>
    <w:bookmarkEnd w:id="39"/>
    <w:p>
      <w:pPr>
        <w:ind w:right="5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satisfaction of the conditions of any of the subparagraphs in this Section 2.06(d)(2), the Trustee will cancel the Definitive Notes and increase or cause to be increased the aggregate principal amount of the Unrestricted Global Note.</w:t>
      </w:r>
    </w:p>
    <w:p>
      <w:pPr>
        <w:spacing w:after="0" w:line="62" w:lineRule="exact"/>
        <w:rPr>
          <w:sz w:val="20"/>
          <w:szCs w:val="20"/>
          <w:color w:val="auto"/>
        </w:rPr>
      </w:pPr>
    </w:p>
    <w:p>
      <w:pPr>
        <w:jc w:val="both"/>
        <w:ind w:left="460" w:firstLine="443"/>
        <w:spacing w:after="0" w:line="302" w:lineRule="auto"/>
        <w:tabs>
          <w:tab w:leader="none" w:pos="1153"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Notes to Beneficial Interests in Unrestricted Global Notes. </w:t>
      </w:r>
      <w:r>
        <w:rPr>
          <w:rFonts w:ascii="Arial" w:cs="Arial" w:eastAsia="Arial" w:hAnsi="Arial"/>
          <w:sz w:val="16"/>
          <w:szCs w:val="16"/>
          <w:color w:val="auto"/>
        </w:rPr>
        <w:t>A Holder of an Unrestricted Definitive Note may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54"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subparagraphs (2)(B) or (3) 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87" w:lineRule="exact"/>
        <w:rPr>
          <w:sz w:val="20"/>
          <w:szCs w:val="20"/>
          <w:color w:val="auto"/>
        </w:rPr>
      </w:pPr>
    </w:p>
    <w:p>
      <w:pPr>
        <w:ind w:right="100" w:firstLine="921"/>
        <w:spacing w:after="0" w:line="297" w:lineRule="auto"/>
        <w:tabs>
          <w:tab w:leader="none" w:pos="1157"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Definitive Notes for Definitive Notes. </w:t>
      </w:r>
      <w:r>
        <w:rPr>
          <w:rFonts w:ascii="Arial" w:cs="Arial" w:eastAsia="Arial" w:hAnsi="Arial"/>
          <w:sz w:val="16"/>
          <w:szCs w:val="16"/>
          <w:color w:val="auto"/>
        </w:rPr>
        <w:t>Upon request by a Holder of Definitive Notes and such Holder’s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50" w:lineRule="exact"/>
        <w:rPr>
          <w:rFonts w:ascii="Arial" w:cs="Arial" w:eastAsia="Arial" w:hAnsi="Arial"/>
          <w:sz w:val="16"/>
          <w:szCs w:val="16"/>
          <w:color w:val="auto"/>
        </w:rPr>
      </w:pPr>
    </w:p>
    <w:p>
      <w:pPr>
        <w:ind w:left="460" w:right="100" w:firstLine="443"/>
        <w:spacing w:after="0" w:line="277" w:lineRule="auto"/>
        <w:tabs>
          <w:tab w:leader="none" w:pos="1153"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Restricted Definitive Notes. </w:t>
      </w:r>
      <w:r>
        <w:rPr>
          <w:rFonts w:ascii="Arial" w:cs="Arial" w:eastAsia="Arial" w:hAnsi="Arial"/>
          <w:sz w:val="18"/>
          <w:szCs w:val="18"/>
          <w:color w:val="auto"/>
        </w:rPr>
        <w:t>Any Restricted Definitive Note may be transferred to and registered in the name of</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who take delivery thereof in the form of a Restricted Definitive Note if the Registrar receives the following:</w:t>
      </w:r>
    </w:p>
    <w:p>
      <w:pPr>
        <w:spacing w:after="0" w:line="62" w:lineRule="exact"/>
        <w:rPr>
          <w:rFonts w:ascii="Arial" w:cs="Arial" w:eastAsia="Arial" w:hAnsi="Arial"/>
          <w:sz w:val="18"/>
          <w:szCs w:val="18"/>
          <w:color w:val="auto"/>
        </w:rPr>
      </w:pPr>
    </w:p>
    <w:p>
      <w:pPr>
        <w:ind w:left="920" w:right="540" w:firstLine="421"/>
        <w:spacing w:after="0" w:line="277" w:lineRule="auto"/>
        <w:tabs>
          <w:tab w:leader="none" w:pos="1635"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the transfer shall be made pursuant to Rule 144A,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920" w:right="320" w:firstLine="421"/>
        <w:spacing w:after="0" w:line="277" w:lineRule="auto"/>
        <w:tabs>
          <w:tab w:leader="none" w:pos="1625"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the transfer shall be made pursuant to Rule 903 or Rule 904,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920" w:right="160" w:firstLine="421"/>
        <w:spacing w:after="0" w:line="264" w:lineRule="auto"/>
        <w:tabs>
          <w:tab w:leader="none" w:pos="1625"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the transfer shall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73" w:lineRule="exact"/>
        <w:rPr>
          <w:rFonts w:ascii="Arial" w:cs="Arial" w:eastAsia="Arial" w:hAnsi="Arial"/>
          <w:sz w:val="18"/>
          <w:szCs w:val="18"/>
          <w:color w:val="auto"/>
        </w:rPr>
      </w:pPr>
    </w:p>
    <w:p>
      <w:pPr>
        <w:ind w:left="460" w:right="200" w:firstLine="443"/>
        <w:spacing w:after="0" w:line="264" w:lineRule="auto"/>
        <w:tabs>
          <w:tab w:leader="none" w:pos="1153"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Unrestricted Definitive Notes. </w:t>
      </w:r>
      <w:r>
        <w:rPr>
          <w:rFonts w:ascii="Arial" w:cs="Arial" w:eastAsia="Arial" w:hAnsi="Arial"/>
          <w:sz w:val="18"/>
          <w:szCs w:val="18"/>
          <w:color w:val="auto"/>
        </w:rPr>
        <w:t>Any Restricted Definitive Note may be exchanged by the Holder thereof for an</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Definitive Note or transferred to a Person or Persons who take delivery thereof in the form of an Unrestricted Definitive Note if the Registrar receives the following:</w:t>
      </w:r>
    </w:p>
    <w:p>
      <w:pPr>
        <w:spacing w:after="0" w:line="73" w:lineRule="exact"/>
        <w:rPr>
          <w:rFonts w:ascii="Arial" w:cs="Arial" w:eastAsia="Arial" w:hAnsi="Arial"/>
          <w:sz w:val="18"/>
          <w:szCs w:val="18"/>
          <w:color w:val="auto"/>
        </w:rPr>
      </w:pPr>
    </w:p>
    <w:p>
      <w:pPr>
        <w:ind w:left="920" w:right="340" w:firstLine="421"/>
        <w:spacing w:after="0" w:line="277" w:lineRule="auto"/>
        <w:tabs>
          <w:tab w:leader="none" w:pos="1635"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62" w:lineRule="exact"/>
        <w:rPr>
          <w:rFonts w:ascii="Arial" w:cs="Arial" w:eastAsia="Arial" w:hAnsi="Arial"/>
          <w:sz w:val="18"/>
          <w:szCs w:val="18"/>
          <w:color w:val="auto"/>
        </w:rPr>
      </w:pPr>
    </w:p>
    <w:p>
      <w:pPr>
        <w:jc w:val="both"/>
        <w:ind w:left="920" w:right="20" w:firstLine="421"/>
        <w:spacing w:after="0" w:line="342" w:lineRule="auto"/>
        <w:tabs>
          <w:tab w:leader="none" w:pos="1625" w:val="left"/>
        </w:tabs>
        <w:numPr>
          <w:ilvl w:val="2"/>
          <w:numId w:val="58"/>
        </w:numPr>
        <w:rPr>
          <w:rFonts w:ascii="Arial" w:cs="Arial" w:eastAsia="Arial" w:hAnsi="Arial"/>
          <w:sz w:val="16"/>
          <w:szCs w:val="16"/>
          <w:color w:val="auto"/>
        </w:rPr>
      </w:pPr>
      <w:r>
        <w:rPr>
          <w:rFonts w:ascii="Arial" w:cs="Arial" w:eastAsia="Arial" w:hAnsi="Arial"/>
          <w:sz w:val="16"/>
          <w:szCs w:val="16"/>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0" w:name="page41"/>
    <w:bookmarkEnd w:id="40"/>
    <w:p>
      <w:pPr>
        <w:ind w:left="90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in each such case set forth in this paragraph (2), if the Registrar so requests,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3" w:lineRule="exact"/>
        <w:rPr>
          <w:sz w:val="20"/>
          <w:szCs w:val="20"/>
          <w:color w:val="auto"/>
        </w:rPr>
      </w:pPr>
    </w:p>
    <w:p>
      <w:pPr>
        <w:ind w:left="440" w:right="40" w:firstLine="443"/>
        <w:spacing w:after="0" w:line="264" w:lineRule="auto"/>
        <w:tabs>
          <w:tab w:leader="none" w:pos="1133"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Unrestricted Definitive Notes. </w:t>
      </w:r>
      <w:r>
        <w:rPr>
          <w:rFonts w:ascii="Arial" w:cs="Arial" w:eastAsia="Arial" w:hAnsi="Arial"/>
          <w:sz w:val="18"/>
          <w:szCs w:val="18"/>
          <w:color w:val="auto"/>
        </w:rPr>
        <w:t>A Holder of Unrestricted Definitive Notes may transfer such Notes to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289" w:lineRule="exact"/>
        <w:rPr>
          <w:sz w:val="20"/>
          <w:szCs w:val="20"/>
          <w:color w:val="auto"/>
        </w:rPr>
      </w:pPr>
    </w:p>
    <w:p>
      <w:pPr>
        <w:ind w:left="-20" w:right="840" w:firstLine="921"/>
        <w:spacing w:after="0" w:line="277"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w:t>
      </w:r>
    </w:p>
    <w:p>
      <w:pPr>
        <w:spacing w:after="0" w:line="279" w:lineRule="exact"/>
        <w:rPr>
          <w:sz w:val="20"/>
          <w:szCs w:val="20"/>
          <w:color w:val="auto"/>
        </w:rPr>
      </w:pPr>
    </w:p>
    <w:p>
      <w:pPr>
        <w:ind w:left="1140" w:hanging="257"/>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80" w:firstLine="421"/>
        <w:spacing w:after="0" w:line="277" w:lineRule="auto"/>
        <w:tabs>
          <w:tab w:leader="none" w:pos="161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62" w:lineRule="exact"/>
        <w:rPr>
          <w:sz w:val="20"/>
          <w:szCs w:val="20"/>
          <w:color w:val="auto"/>
        </w:rPr>
      </w:pPr>
    </w:p>
    <w:p>
      <w:pPr>
        <w:ind w:left="1480" w:right="220"/>
        <w:spacing w:after="0" w:line="276"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64" w:lineRule="exact"/>
        <w:rPr>
          <w:sz w:val="20"/>
          <w:szCs w:val="20"/>
          <w:color w:val="auto"/>
        </w:rPr>
      </w:pPr>
    </w:p>
    <w:p>
      <w:pPr>
        <w:ind w:left="1480"/>
        <w:spacing w:after="0" w:line="267" w:lineRule="auto"/>
        <w:rPr>
          <w:sz w:val="20"/>
          <w:szCs w:val="20"/>
          <w:color w:val="auto"/>
        </w:rPr>
      </w:pPr>
      <w:r>
        <w:rPr>
          <w:rFonts w:ascii="Arial" w:cs="Arial" w:eastAsia="Arial" w:hAnsi="Arial"/>
          <w:sz w:val="17"/>
          <w:szCs w:val="17"/>
          <w:color w:val="auto"/>
        </w:rPr>
        <w:t>THE HOLDER OF THIS SECURITY, BY ITS ACCEPTANCE HEREOF, AGREES ON ITS OWN BEHALF AND ON BEHALF OF ANY INVESTOR ACCOUNT FOR WHICH IT HAS PURCHASED SECURITIES, TO OFFER, SELL OR OTHERWISE TRANSFER SUCH SECURITY, PRIOR TO THE DATE (THE “RESALE RESTRICTION TERMINATION DATE”) THAT IS [IN THE CASE OF RULE 144A NOTES: ONE YEAR] [IN THE CASE OF REGULATION S NOTES: 40 DAYS] AFTER THE LATER OF THE ORIGINAL ISSUE DATE HEREOF AND THE LAST DATE ON WHICH THE COMPANY OR ANY AFFILIATE OF THE COMPANY WAS THE OWNER OF THIS SECURITY (OR ANY PREDECESSOR OF SUCH SECURITY), ONLY (A) TO THE COMPANY,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THAT OCCUR OUTSIDE THE UNITED STATES WITHIN THE MEANING OF REGULATION S UNDER THE SECURITIES ACT, (E) TO AN INSTITUTIONAL “ACCREDITED INVESTOR” WITHIN THE MEANING OF RULE 501(a)(1), (2), (3) OR (7) UNDER THE SECURITIES ACT THAT IS ACQUIRING THE SECURITY FOR ITS OWN ACCOUNT OR FOR THE ACCOUNT OF ANOTHER SUCH INSTITUTIONAL ACCREDITED INVESTOR, IN EACH CASE IN A MINIMUM PRINCIPAL AMOUNT OF THE SECURITIES OF $250,000, FOR INVESTMENT PURPOSES AND NOT WITH A VIEW TO OR FOR OFFER OR SALE IN CONNECTION WITH ANY DISTRIBUTION IN VIOLATION OF THE SECURITIES ACT, OR (F) PURSUANT TO ANOTHER AVAILABLE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274" w:right="239" w:bottom="1440" w:gutter="0" w:footer="0" w:header="0"/>
        </w:sectPr>
      </w:pPr>
    </w:p>
    <w:bookmarkStart w:id="41" w:name="page42"/>
    <w:bookmarkEnd w:id="41"/>
    <w:p>
      <w:pPr>
        <w:ind w:left="1460" w:right="28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EXEMPTION FROM THE REGISTRATION REQUIREMENTS OF THE SECURITIES ACT, SUBJECT TO THE COMPANY’S AND THE TRUSTEE’S RIGHT PRIOR TO ANY SUCH OFFER, SALE OR TRANSFER PURSUANT TO CLAUSES (D), (E) OR</w:t>
      </w:r>
    </w:p>
    <w:p>
      <w:pPr>
        <w:ind w:left="1460" w:right="40" w:hanging="8"/>
        <w:spacing w:after="0" w:line="255" w:lineRule="auto"/>
        <w:tabs>
          <w:tab w:leader="none" w:pos="1722" w:val="left"/>
        </w:tabs>
        <w:numPr>
          <w:ilvl w:val="2"/>
          <w:numId w:val="62"/>
        </w:numPr>
        <w:rPr>
          <w:rFonts w:ascii="Arial" w:cs="Arial" w:eastAsia="Arial" w:hAnsi="Arial"/>
          <w:sz w:val="18"/>
          <w:szCs w:val="18"/>
          <w:color w:val="auto"/>
        </w:rPr>
      </w:pPr>
      <w:r>
        <w:rPr>
          <w:rFonts w:ascii="Arial" w:cs="Arial" w:eastAsia="Arial" w:hAnsi="Arial"/>
          <w:sz w:val="18"/>
          <w:szCs w:val="18"/>
          <w:color w:val="auto"/>
        </w:rPr>
        <w:t>TO REQUIRE THE DELIVERY OF AN OPINION OF COUNSEL, CERTIFICATION AND/OR OTHER INFORMATION SATISFACTORY TO EACH OF THEM. THIS LEGEND SHALL BE REMOVED UPON THE REQUEST OF THE HOLDER AFTER THE RESALE RESTRICTION TERMINATION DATE.”</w:t>
      </w:r>
    </w:p>
    <w:p>
      <w:pPr>
        <w:spacing w:after="0" w:line="82" w:lineRule="exact"/>
        <w:rPr>
          <w:rFonts w:ascii="Arial" w:cs="Arial" w:eastAsia="Arial" w:hAnsi="Arial"/>
          <w:sz w:val="18"/>
          <w:szCs w:val="18"/>
          <w:color w:val="auto"/>
        </w:rPr>
      </w:pPr>
    </w:p>
    <w:p>
      <w:pPr>
        <w:ind w:left="1580" w:hanging="279"/>
        <w:spacing w:after="0"/>
        <w:tabs>
          <w:tab w:leader="none" w:pos="15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Notwithstanding the foregoing, any Global Note or Definitive Note issued pursuant to subparagraphs (b)(4), (c)(2), (c)(3), (d)(2), (d)</w:t>
      </w:r>
    </w:p>
    <w:p>
      <w:pPr>
        <w:spacing w:after="0" w:line="46" w:lineRule="exact"/>
        <w:rPr>
          <w:rFonts w:ascii="Arial" w:cs="Arial" w:eastAsia="Arial" w:hAnsi="Arial"/>
          <w:sz w:val="16"/>
          <w:szCs w:val="16"/>
          <w:color w:val="auto"/>
        </w:rPr>
      </w:pPr>
    </w:p>
    <w:p>
      <w:pPr>
        <w:ind w:left="880" w:right="300"/>
        <w:spacing w:after="0" w:line="261" w:lineRule="auto"/>
        <w:rPr>
          <w:rFonts w:ascii="Arial" w:cs="Arial" w:eastAsia="Arial" w:hAnsi="Arial"/>
          <w:sz w:val="16"/>
          <w:szCs w:val="16"/>
          <w:color w:val="auto"/>
        </w:rPr>
      </w:pPr>
      <w:r>
        <w:rPr>
          <w:rFonts w:ascii="Arial" w:cs="Arial" w:eastAsia="Arial" w:hAnsi="Arial"/>
          <w:sz w:val="18"/>
          <w:szCs w:val="18"/>
          <w:color w:val="auto"/>
        </w:rPr>
        <w:t>(3), (e)(2), or (e)(3) of this Section 2.06 (and all Notes issued in exchange therefor or substitution thereof) will not bear the Private Placement Legend.</w:t>
      </w:r>
    </w:p>
    <w:p>
      <w:pPr>
        <w:spacing w:after="0" w:line="75" w:lineRule="exact"/>
        <w:rPr>
          <w:rFonts w:ascii="Arial" w:cs="Arial" w:eastAsia="Arial" w:hAnsi="Arial"/>
          <w:sz w:val="16"/>
          <w:szCs w:val="16"/>
          <w:color w:val="auto"/>
        </w:rPr>
      </w:pPr>
    </w:p>
    <w:p>
      <w:pPr>
        <w:ind w:left="1120" w:hanging="257"/>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117" w:lineRule="exact"/>
        <w:rPr>
          <w:sz w:val="20"/>
          <w:szCs w:val="20"/>
          <w:color w:val="auto"/>
        </w:rPr>
      </w:pPr>
    </w:p>
    <w:p>
      <w:pPr>
        <w:ind w:left="880" w:right="80"/>
        <w:spacing w:after="0" w:line="272" w:lineRule="auto"/>
        <w:rPr>
          <w:sz w:val="20"/>
          <w:szCs w:val="20"/>
          <w:color w:val="auto"/>
        </w:rPr>
      </w:pPr>
      <w:r>
        <w:rPr>
          <w:rFonts w:ascii="Arial" w:cs="Arial" w:eastAsia="Arial" w:hAnsi="Arial"/>
          <w:sz w:val="17"/>
          <w:szCs w:val="17"/>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70" w:lineRule="exact"/>
        <w:rPr>
          <w:sz w:val="20"/>
          <w:szCs w:val="20"/>
          <w:color w:val="auto"/>
        </w:rPr>
      </w:pPr>
    </w:p>
    <w:p>
      <w:pPr>
        <w:ind w:left="880"/>
        <w:spacing w:after="0" w:line="253"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Regulation S Legend</w:t>
      </w:r>
      <w:r>
        <w:rPr>
          <w:rFonts w:ascii="Arial" w:cs="Arial" w:eastAsia="Arial" w:hAnsi="Arial"/>
          <w:sz w:val="18"/>
          <w:szCs w:val="18"/>
          <w:color w:val="auto"/>
        </w:rPr>
        <w:t>. Each Regulation S Global Note will bear a legend in substantially the following form:</w:t>
      </w:r>
    </w:p>
    <w:p>
      <w:pPr>
        <w:spacing w:after="0" w:line="117" w:lineRule="exact"/>
        <w:rPr>
          <w:sz w:val="20"/>
          <w:szCs w:val="20"/>
          <w:color w:val="auto"/>
        </w:rPr>
      </w:pPr>
    </w:p>
    <w:p>
      <w:pPr>
        <w:ind w:left="880" w:right="120"/>
        <w:spacing w:after="0" w:line="264" w:lineRule="auto"/>
        <w:rPr>
          <w:sz w:val="20"/>
          <w:szCs w:val="20"/>
          <w:color w:val="auto"/>
        </w:rPr>
      </w:pPr>
      <w:r>
        <w:rPr>
          <w:rFonts w:ascii="Arial" w:cs="Arial" w:eastAsia="Arial" w:hAnsi="Arial"/>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81" w:lineRule="exact"/>
        <w:rPr>
          <w:sz w:val="20"/>
          <w:szCs w:val="20"/>
          <w:color w:val="auto"/>
        </w:rPr>
      </w:pPr>
    </w:p>
    <w:p>
      <w:pPr>
        <w:jc w:val="both"/>
        <w:ind w:left="-40" w:right="80" w:firstLine="921"/>
        <w:spacing w:after="0" w:line="312" w:lineRule="auto"/>
        <w:tabs>
          <w:tab w:leader="none" w:pos="1128"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Cancellation and/or Adjustment of Global Notes</w:t>
      </w:r>
      <w:r>
        <w:rPr>
          <w:rFonts w:ascii="Arial" w:cs="Arial" w:eastAsia="Arial" w:hAnsi="Arial"/>
          <w:sz w:val="16"/>
          <w:szCs w:val="16"/>
          <w:color w:val="auto"/>
        </w:rPr>
        <w:t>. At such time as all beneficial interests in a particular Global Note have been exchanged for</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80" w:top="274" w:right="259" w:bottom="1440" w:gutter="0" w:footer="0" w:header="0"/>
        </w:sectPr>
      </w:pPr>
    </w:p>
    <w:bookmarkStart w:id="42" w:name="page43"/>
    <w:bookmarkEnd w:id="42"/>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266" w:lineRule="exact"/>
        <w:rPr>
          <w:sz w:val="20"/>
          <w:szCs w:val="20"/>
          <w:color w:val="auto"/>
        </w:rPr>
      </w:pPr>
    </w:p>
    <w:p>
      <w:pPr>
        <w:ind w:left="1180" w:hanging="259"/>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and the Trustee may require payment of a sum sufficient to cover any transfer tax or similar governmental charge payable in connection therewith (other than any such transfer taxes or similar governmental charge payable upon exchange or transfer pursuant to Sections 2.10, 3.06, 3.09, 4.10, 4.15 and 9.05 hereof).</w:t>
      </w:r>
    </w:p>
    <w:p>
      <w:pPr>
        <w:spacing w:after="0" w:line="78"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jc w:val="both"/>
        <w:ind w:left="460" w:right="260" w:firstLine="443"/>
        <w:spacing w:after="0" w:line="264"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920" w:right="300" w:firstLine="421"/>
        <w:spacing w:after="0" w:line="342" w:lineRule="auto"/>
        <w:tabs>
          <w:tab w:leader="none" w:pos="1635" w:val="left"/>
        </w:tabs>
        <w:numPr>
          <w:ilvl w:val="2"/>
          <w:numId w:val="67"/>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5" w:lineRule="exact"/>
        <w:rPr>
          <w:rFonts w:ascii="Arial" w:cs="Arial" w:eastAsia="Arial" w:hAnsi="Arial"/>
          <w:sz w:val="16"/>
          <w:szCs w:val="16"/>
          <w:color w:val="auto"/>
        </w:rPr>
      </w:pPr>
    </w:p>
    <w:p>
      <w:pPr>
        <w:ind w:left="920" w:right="280" w:firstLine="421"/>
        <w:spacing w:after="0" w:line="277" w:lineRule="auto"/>
        <w:tabs>
          <w:tab w:leader="none" w:pos="1625" w:val="left"/>
        </w:tabs>
        <w:numPr>
          <w:ilvl w:val="2"/>
          <w:numId w:val="67"/>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to register the transfer of or to exchange a Note between a record date and the next succeeding interest payment date.</w:t>
      </w:r>
    </w:p>
    <w:p>
      <w:pPr>
        <w:spacing w:after="0" w:line="117" w:lineRule="exact"/>
        <w:rPr>
          <w:rFonts w:ascii="Arial" w:cs="Arial" w:eastAsia="Arial" w:hAnsi="Arial"/>
          <w:sz w:val="18"/>
          <w:szCs w:val="18"/>
          <w:color w:val="auto"/>
        </w:rPr>
      </w:pPr>
    </w:p>
    <w:p>
      <w:pPr>
        <w:ind w:left="460" w:right="260" w:firstLine="443"/>
        <w:spacing w:after="0" w:line="312" w:lineRule="auto"/>
        <w:tabs>
          <w:tab w:leader="none" w:pos="1153"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shall authenticate Global Notes and Definitive Notes in accordance with the provisions of Section 2.02 hereof.</w:t>
      </w:r>
    </w:p>
    <w:p>
      <w:pPr>
        <w:spacing w:after="0" w:line="117" w:lineRule="exact"/>
        <w:rPr>
          <w:rFonts w:ascii="Arial" w:cs="Arial" w:eastAsia="Arial" w:hAnsi="Arial"/>
          <w:sz w:val="18"/>
          <w:szCs w:val="18"/>
          <w:color w:val="auto"/>
        </w:rPr>
      </w:pPr>
    </w:p>
    <w:p>
      <w:pPr>
        <w:ind w:left="460" w:right="520" w:firstLine="443"/>
        <w:spacing w:after="0" w:line="277" w:lineRule="auto"/>
        <w:tabs>
          <w:tab w:leader="none" w:pos="11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PDF.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3" w:name="page44"/>
    <w:bookmarkEnd w:id="4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2.07. </w:t>
      </w:r>
      <w:r>
        <w:rPr>
          <w:rFonts w:ascii="Arial" w:cs="Arial" w:eastAsia="Arial" w:hAnsi="Arial"/>
          <w:sz w:val="18"/>
          <w:szCs w:val="18"/>
          <w:i w:val="1"/>
          <w:iCs w:val="1"/>
          <w:color w:val="auto"/>
        </w:rPr>
        <w:t>Replacement Notes</w:t>
      </w:r>
      <w:r>
        <w:rPr>
          <w:rFonts w:ascii="Arial" w:cs="Arial" w:eastAsia="Arial" w:hAnsi="Arial"/>
          <w:sz w:val="18"/>
          <w:szCs w:val="18"/>
          <w:color w:val="auto"/>
        </w:rPr>
        <w:t>.</w:t>
      </w:r>
    </w:p>
    <w:p>
      <w:pPr>
        <w:spacing w:after="0" w:line="117" w:lineRule="exact"/>
        <w:rPr>
          <w:sz w:val="20"/>
          <w:szCs w:val="20"/>
          <w:color w:val="auto"/>
        </w:rPr>
      </w:pPr>
    </w:p>
    <w:p>
      <w:pPr>
        <w:ind w:right="200" w:firstLine="913"/>
        <w:spacing w:after="0" w:line="297" w:lineRule="auto"/>
        <w:rPr>
          <w:sz w:val="20"/>
          <w:szCs w:val="20"/>
          <w:color w:val="auto"/>
        </w:rPr>
      </w:pPr>
      <w:r>
        <w:rPr>
          <w:rFonts w:ascii="Arial" w:cs="Arial" w:eastAsia="Arial" w:hAnsi="Arial"/>
          <w:sz w:val="16"/>
          <w:szCs w:val="16"/>
          <w:color w:val="auto"/>
        </w:rPr>
        <w:t>If any mutilated Note is surrendered to the Trustee or either the Company or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for its expenses in replacing a Note.</w:t>
      </w:r>
    </w:p>
    <w:p>
      <w:pPr>
        <w:spacing w:after="0" w:line="15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Every replacement Note issued in accordance with this Section 2.07 is an additional obligation of the Company and will be entitled to all of the benefits of this Indenture equally and proportionately with all other Notes duly issued hereunder.</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188"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 for value.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248"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Treasury Notes</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shall be protected in relying on any such direction, waiver or consent, only Notes that a Responsible Officer of the Trustee knows are so owned will be so disregarded.</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Notes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Holders of temporary Notes shall be entitled to all of the benefits of this Indenture.</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in its customary manner. Certification of the disposition of all canceled Notes will be delivered to the Company upon its written request therefor. The Company may not issue new Notes to replace Notes that it has paid or that have been delivered to the Trustee for cancellation.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4" w:name="page45"/>
    <w:bookmarkEnd w:id="4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2.12. </w:t>
      </w:r>
      <w:r>
        <w:rPr>
          <w:rFonts w:ascii="Arial" w:cs="Arial" w:eastAsia="Arial" w:hAnsi="Arial"/>
          <w:sz w:val="18"/>
          <w:szCs w:val="18"/>
          <w:i w:val="1"/>
          <w:iCs w:val="1"/>
          <w:color w:val="auto"/>
        </w:rPr>
        <w:t>Defaulted Interest</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Company shall notify the Trustee in writing of the amount of defaulted interest proposed to be paid on each Note and the date of the proposed payment. The Company shall fix or cause to be fixed each such special record date and payment date; provided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shall send to Holders a notice that states the special record date, the related payment date and the amount of such interest to be paid.</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CUSIP, ISIN and Common Code Numbers.</w:t>
      </w:r>
    </w:p>
    <w:p>
      <w:pPr>
        <w:spacing w:after="0" w:line="117"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The Company in issuing the Notes may use “CUSIP” numbers, ISINs and “Common Code” numbers (in each case if then generally in use) and, if so, the Trustee shall use “CUSIP” numbers, ISINs and “Common Code” numbers in notices of redemption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Company shall promptly notify the Trustee in writing of any change in the “CUSIP” numbers, ISINs and “Common Code” numbers applicable to the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Notices to Trustee</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30 days but not more than 60 days before a redemption date, an Officer’s Certificate setting forth:</w:t>
      </w:r>
    </w:p>
    <w:p>
      <w:pPr>
        <w:spacing w:after="0" w:line="62" w:lineRule="exact"/>
        <w:rPr>
          <w:sz w:val="20"/>
          <w:szCs w:val="20"/>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Selection of Notes To Be Redeemed or Purchased</w:t>
      </w:r>
      <w:r>
        <w:rPr>
          <w:rFonts w:ascii="Arial" w:cs="Arial" w:eastAsia="Arial" w:hAnsi="Arial"/>
          <w:sz w:val="18"/>
          <w:szCs w:val="18"/>
          <w:color w:val="auto"/>
        </w:rPr>
        <w:t>.</w:t>
      </w:r>
    </w:p>
    <w:p>
      <w:pPr>
        <w:spacing w:after="0" w:line="117" w:lineRule="exact"/>
        <w:rPr>
          <w:sz w:val="20"/>
          <w:szCs w:val="20"/>
          <w:color w:val="auto"/>
        </w:rPr>
      </w:pPr>
    </w:p>
    <w:p>
      <w:pPr>
        <w:ind w:right="300" w:firstLine="913"/>
        <w:spacing w:after="0" w:line="312" w:lineRule="auto"/>
        <w:rPr>
          <w:sz w:val="20"/>
          <w:szCs w:val="20"/>
          <w:color w:val="auto"/>
        </w:rPr>
      </w:pPr>
      <w:r>
        <w:rPr>
          <w:rFonts w:ascii="Arial" w:cs="Arial" w:eastAsia="Arial" w:hAnsi="Arial"/>
          <w:sz w:val="16"/>
          <w:szCs w:val="16"/>
          <w:color w:val="auto"/>
        </w:rPr>
        <w:t xml:space="preserve">If less than all of the Notes are to be redeemed or purchased in an offer to purchase at any time, Notes for redemption or purchase shall be selected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by such method as the Trustee deems fair and appropriate (or, in the case of Global Notes, beneficial interests in such Notes may be selected for redemption by the applicable clearing system in accordance with customary procedures), in whole multiples of $1,000.</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In the event of partial redemption or purchase of certificated Notes, the particular Notes to be redeemed or purchased will be selected, unless otherwise provided herein, not less than 30 days nor more than 60 days prior to the redemption or purchase date by the Trustee from the outstanding Notes not previously called for redemption or purchase.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5" w:name="page46"/>
    <w:bookmarkEnd w:id="45"/>
    <w:p>
      <w:pPr>
        <w:ind w:right="1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promptly notify the Company in writing of the certificated Notes selected for redemption or purchase and, in the case of any Note selected for partial redemption or purchase, the principal amount thereof to be redeemed or purchased. Notes and portions of Notes selected will be in amounts of $2,000 or whole multiples of $1,000 thereof; except that if all of the Notes of a Holder are to be redeemed or purchased, the entire outstanding amount of Notes held by such Holder, even if not in the amount of $2,000 or a whole multiple of $1,000 thereof, shall be redeemed or purchased. Except as provided in the preceding sentence, provisions of this Indenture that apply to Notes called for redemption or purchase also apply to portions of Notes called for redemption or purchase.</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Subject to the provisions of Section 3.09 hereof, at least 30 days but not more than 60 days before a redemption date, the Company will send a notice of redemption to each Holder whose Notes are to be redeemed at its registered address, except that redemption notices may be sent more than 60 days prior to a redemption date if the notice is issued in connection with a defeasance of the Notes or a satisfaction and discharge of this Indenture pursuant to Articles VIII or XI hereof.</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117"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jc w:val="both"/>
        <w:ind w:left="460" w:right="300" w:firstLine="443"/>
        <w:spacing w:after="0" w:line="264"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Holder of Notes upon cancellation of the original Note;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 redeemed; and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 Notes.</w:t>
      </w:r>
    </w:p>
    <w:p>
      <w:pPr>
        <w:spacing w:after="0" w:line="248"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Effect of Notice of Redemption</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Once notice of redemption is sent in accordance with Section 3.03 hereof, Notes called for redemption become irrevocably due and payable on the redemption date at the redemption price.</w:t>
      </w:r>
    </w:p>
    <w:p>
      <w:pPr>
        <w:spacing w:after="0" w:line="17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Notices of any redemption of the Notes may be subject to the satisfaction of one or more conditions precedent established by the Company, in its sole discretion. If applicable, such notice shall state that, at the discretion of the Company, the redemption date may be delayed until such time as any or all such conditions shall be satisfied (or waived). In addition, the Company may provide in any such notice that payment of the redemption price and the performance of its obligations with respect to such redemption may not be performed by another Person.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4" w:right="299" w:bottom="1440" w:gutter="0" w:footer="0" w:header="0"/>
        </w:sectPr>
      </w:pPr>
    </w:p>
    <w:bookmarkStart w:id="46" w:name="page47"/>
    <w:bookmarkEnd w:id="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3.05. </w:t>
      </w:r>
      <w:r>
        <w:rPr>
          <w:rFonts w:ascii="Arial" w:cs="Arial" w:eastAsia="Arial" w:hAnsi="Arial"/>
          <w:sz w:val="18"/>
          <w:szCs w:val="18"/>
          <w:i w:val="1"/>
          <w:iCs w:val="1"/>
          <w:color w:val="auto"/>
        </w:rPr>
        <w:t>Deposit of Redemption or Purchase Price</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One Business Day prior to the redemption or purchase date, the Company shall deposit with the Trustee or with the Paying Agent money sufficient to pay the redemption or purchase price, as applicable, of and accrued and unpaid interest on all Notes to be redeemed or purchased on that date. The Trustee or the Paying Agent shall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15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Notes Redeemed or Purchased in Part</w:t>
      </w:r>
      <w:r>
        <w:rPr>
          <w:rFonts w:ascii="Arial" w:cs="Arial" w:eastAsia="Arial" w:hAnsi="Arial"/>
          <w:sz w:val="18"/>
          <w:szCs w:val="18"/>
          <w:color w:val="auto"/>
        </w:rPr>
        <w:t>.</w:t>
      </w:r>
    </w:p>
    <w:p>
      <w:pPr>
        <w:spacing w:after="0" w:line="117"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57" w:lineRule="auto"/>
        <w:tabs>
          <w:tab w:leader="none" w:pos="1158"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At any time prior to January 15, 2021, the Company may on any one or more occasions redeem up to 35% of the aggregate principal amount of Notes issued under this Indenture upon not less than 30 days nor more than 60 days prior notice at a redemption price of 105.000% of the principal amount thereof, plus accrued and unpaid interest, if any, on the Notes to be redeemed to the redemption date, subject to the rights of Holders of record on the relevant record date to receive interest due on the relevant interest payment date, with the net cash proceeds of one or more Equity Offerings of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80"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this Indenture (excluding Notes held by the Company and its Subsidiaries) remains outstanding immediately after the occurrence of such redemption;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redemption occurs within 60 days of the date of the closing of Equity Offering.</w:t>
      </w:r>
    </w:p>
    <w:p>
      <w:pPr>
        <w:spacing w:after="0" w:line="225" w:lineRule="exact"/>
        <w:rPr>
          <w:rFonts w:ascii="Arial" w:cs="Arial" w:eastAsia="Arial" w:hAnsi="Arial"/>
          <w:sz w:val="18"/>
          <w:szCs w:val="18"/>
          <w:color w:val="auto"/>
        </w:rPr>
      </w:pPr>
    </w:p>
    <w:p>
      <w:pPr>
        <w:ind w:right="300" w:firstLine="921"/>
        <w:spacing w:after="0" w:line="264" w:lineRule="auto"/>
        <w:tabs>
          <w:tab w:leader="none" w:pos="116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redemption or notice of any redemption with the proceeds of an Equity Offering pursuant to Section 3.07(a) hereof may, at the Company’s discretion, be subject to one or more conditions precedent, including, but not limited to, completion of such Equity Offering and may be given prior to the completion thereof.</w:t>
      </w:r>
    </w:p>
    <w:p>
      <w:pPr>
        <w:spacing w:after="0" w:line="181" w:lineRule="exact"/>
        <w:rPr>
          <w:rFonts w:ascii="Arial" w:cs="Arial" w:eastAsia="Arial" w:hAnsi="Arial"/>
          <w:sz w:val="18"/>
          <w:szCs w:val="18"/>
          <w:color w:val="auto"/>
        </w:rPr>
      </w:pPr>
    </w:p>
    <w:p>
      <w:pPr>
        <w:ind w:right="60" w:firstLine="921"/>
        <w:spacing w:after="0" w:line="259" w:lineRule="auto"/>
        <w:tabs>
          <w:tab w:leader="none" w:pos="11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At any time prior to January 15, 2021, the Company may redeem all or a part of the notes upon notice as described in Section 3.03 at a redemption price equal to 100% of the principal amount of the notes redeemed plus the Applicable Premium as of, and accrued and unpaid interest, if any, to, but excluding the date of redemption, subject to the rights of holders of record on the relevant record date to receive interest due on the relevant interest payment date.</w:t>
      </w:r>
    </w:p>
    <w:p>
      <w:pPr>
        <w:spacing w:after="0" w:line="186" w:lineRule="exact"/>
        <w:rPr>
          <w:rFonts w:ascii="Arial" w:cs="Arial" w:eastAsia="Arial" w:hAnsi="Arial"/>
          <w:sz w:val="18"/>
          <w:szCs w:val="18"/>
          <w:color w:val="auto"/>
        </w:rPr>
      </w:pPr>
    </w:p>
    <w:p>
      <w:pPr>
        <w:ind w:right="660" w:firstLine="921"/>
        <w:spacing w:after="0" w:line="277" w:lineRule="auto"/>
        <w:tabs>
          <w:tab w:leader="none" w:pos="1168"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Except pursuant to paragraphs (a), (b) and (c) of this Section 3.07, the Notes will not be redeemable at the Company’s option prior to January 15,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7" w:name="page48"/>
    <w:bookmarkEnd w:id="47"/>
    <w:p>
      <w:pPr>
        <w:ind w:firstLine="921"/>
        <w:spacing w:after="0" w:line="279" w:lineRule="auto"/>
        <w:tabs>
          <w:tab w:leader="none" w:pos="1158"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or after January 15, 2021, the Company may redeem all or a part of the Notes upon not less than 30 nor more than 60 days’ notice, at the redemption prices (expressed as percentages of principal amount) set forth below plus accrued and unpaid interest, if any, on the Notes redeemed, to the applicable redemption date, if redeemed during the twelve-month period beginning on January 15 of the years indicated below, subject to the rights of Holders of Notes on the relevant record date to receive interest on the relevant interest payment date:</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6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2021</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102.500%</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2022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101.250%</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and after the applicable redemption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 Any redemption pursuant to this Section 3.07 shall be made pursuant to the provisions of Sections 3.01 through 3.06 hereof.</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Mandatory Redemption</w:t>
      </w:r>
      <w:r>
        <w:rPr>
          <w:rFonts w:ascii="Arial" w:cs="Arial" w:eastAsia="Arial" w:hAnsi="Arial"/>
          <w:sz w:val="18"/>
          <w:szCs w:val="18"/>
          <w:color w:val="auto"/>
        </w:rPr>
        <w:t>.</w:t>
      </w:r>
    </w:p>
    <w:p>
      <w:pPr>
        <w:spacing w:after="0" w:line="11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Company is not required to make mandatory redemption or sinking fund payments with respect to the Notes, other than as set forth in Section 3.10 hereof.</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Offer to Purchase by Application of Excess Proceeds</w:t>
      </w:r>
      <w:r>
        <w:rPr>
          <w:rFonts w:ascii="Arial" w:cs="Arial" w:eastAsia="Arial" w:hAnsi="Arial"/>
          <w:sz w:val="18"/>
          <w:szCs w:val="18"/>
          <w:color w:val="auto"/>
        </w:rPr>
        <w:t>.</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offer to all Holders to purchase Notes (an “</w:t>
      </w:r>
      <w:r>
        <w:rPr>
          <w:rFonts w:ascii="Arial" w:cs="Arial" w:eastAsia="Arial" w:hAnsi="Arial"/>
          <w:sz w:val="18"/>
          <w:szCs w:val="18"/>
          <w:b w:val="1"/>
          <w:bCs w:val="1"/>
          <w:i w:val="1"/>
          <w:iCs w:val="1"/>
          <w:color w:val="auto"/>
        </w:rPr>
        <w:t>Asset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Sale Offer</w:t>
      </w:r>
      <w:r>
        <w:rPr>
          <w:rFonts w:ascii="Arial" w:cs="Arial" w:eastAsia="Arial" w:hAnsi="Arial"/>
          <w:sz w:val="18"/>
          <w:szCs w:val="18"/>
          <w:color w:val="auto"/>
        </w:rPr>
        <w:t>”), it will follow the procedures specified below.</w:t>
      </w:r>
    </w:p>
    <w:p>
      <w:pPr>
        <w:spacing w:after="0" w:line="170"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The Asset Sale Offer shall be made to all Holders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7"/>
          <w:szCs w:val="17"/>
          <w:b w:val="1"/>
          <w:bCs w:val="1"/>
          <w:i w:val="1"/>
          <w:iCs w:val="1"/>
          <w:color w:val="auto"/>
        </w:rPr>
        <w:t>Offer Period</w:t>
      </w:r>
      <w:r>
        <w:rPr>
          <w:rFonts w:ascii="Arial" w:cs="Arial" w:eastAsia="Arial" w:hAnsi="Arial"/>
          <w:sz w:val="17"/>
          <w:szCs w:val="17"/>
          <w:color w:val="auto"/>
        </w:rPr>
        <w:t>”). No later than three Business Days after the termination of the Offer Period (the “</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the Company will apply all Excess Proceeds (the “</w:t>
      </w:r>
      <w:r>
        <w:rPr>
          <w:rFonts w:ascii="Arial" w:cs="Arial" w:eastAsia="Arial" w:hAnsi="Arial"/>
          <w:sz w:val="17"/>
          <w:szCs w:val="17"/>
          <w:b w:val="1"/>
          <w:bCs w:val="1"/>
          <w:i w:val="1"/>
          <w:iCs w:val="1"/>
          <w:color w:val="auto"/>
        </w:rPr>
        <w:t>Offer Amount</w:t>
      </w:r>
      <w:r>
        <w:rPr>
          <w:rFonts w:ascii="Arial" w:cs="Arial" w:eastAsia="Arial" w:hAnsi="Arial"/>
          <w:sz w:val="17"/>
          <w:szCs w:val="17"/>
          <w:color w:val="auto"/>
        </w:rPr>
        <w:t xml:space="preserve">”) to the purchase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78"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Holders who tender Notes pursuant to the Asset Sale Offer.</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Upon the commencement of an Asset Sale Offer, the Company will deliver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73" w:lineRule="exact"/>
        <w:rPr>
          <w:sz w:val="20"/>
          <w:szCs w:val="20"/>
          <w:color w:val="auto"/>
        </w:rPr>
      </w:pPr>
    </w:p>
    <w:p>
      <w:pPr>
        <w:ind w:left="460" w:right="20" w:firstLine="443"/>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hereof and the length of time the Asset Sale Offer will remain open;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Asset Sale Offer will cease to accrue interest on and after the Purchase Date;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274" w:right="379" w:bottom="1440" w:gutter="0" w:footer="0" w:header="0"/>
        </w:sectPr>
      </w:pPr>
    </w:p>
    <w:bookmarkStart w:id="48" w:name="page49"/>
    <w:bookmarkEnd w:id="48"/>
    <w:p>
      <w:pPr>
        <w:ind w:left="460" w:right="480" w:firstLine="443"/>
        <w:spacing w:after="0" w:line="277" w:lineRule="auto"/>
        <w:tabs>
          <w:tab w:leader="none" w:pos="1153"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Holders electing to have a Note purchased pursuant to an Asset Sale Offer may elect to have Notes purchased in whole multiples of $1,000 only;</w:t>
      </w:r>
    </w:p>
    <w:p>
      <w:pPr>
        <w:spacing w:after="0" w:line="62" w:lineRule="exact"/>
        <w:rPr>
          <w:rFonts w:ascii="Arial" w:cs="Arial" w:eastAsia="Arial" w:hAnsi="Arial"/>
          <w:sz w:val="18"/>
          <w:szCs w:val="18"/>
          <w:color w:val="auto"/>
        </w:rPr>
      </w:pPr>
    </w:p>
    <w:p>
      <w:pPr>
        <w:ind w:left="460" w:right="20" w:firstLine="443"/>
        <w:spacing w:after="0" w:line="286" w:lineRule="auto"/>
        <w:tabs>
          <w:tab w:leader="none" w:pos="11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57" w:lineRule="exact"/>
        <w:rPr>
          <w:rFonts w:ascii="Arial" w:cs="Arial" w:eastAsia="Arial" w:hAnsi="Arial"/>
          <w:sz w:val="17"/>
          <w:szCs w:val="17"/>
          <w:color w:val="auto"/>
        </w:rPr>
      </w:pPr>
    </w:p>
    <w:p>
      <w:pPr>
        <w:jc w:val="both"/>
        <w:ind w:left="460" w:right="80" w:firstLine="443"/>
        <w:spacing w:after="0" w:line="286" w:lineRule="auto"/>
        <w:tabs>
          <w:tab w:leader="none" w:pos="11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that Holders will be entitled to withdraw their election if the Company,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57" w:lineRule="exact"/>
        <w:rPr>
          <w:rFonts w:ascii="Arial" w:cs="Arial" w:eastAsia="Arial" w:hAnsi="Arial"/>
          <w:sz w:val="17"/>
          <w:szCs w:val="17"/>
          <w:color w:val="auto"/>
        </w:rPr>
      </w:pPr>
    </w:p>
    <w:p>
      <w:pPr>
        <w:ind w:left="460" w:right="100" w:firstLine="443"/>
        <w:spacing w:after="0" w:line="259" w:lineRule="auto"/>
        <w:tabs>
          <w:tab w:leader="none" w:pos="11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by holders thereof exceeds the Offer Amount, the Company will select the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be purchased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principal amount of Notes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(with such adjustments as may be deemed appropriate by the Company so that only Notes in denominations of $2,000, or whole multiples of $1,000 thereof, will be purchased); and</w:t>
      </w:r>
    </w:p>
    <w:p>
      <w:pPr>
        <w:spacing w:after="0" w:line="78"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will be issued new Notes equal in principal amount to the unpurchased portion of the Notes surrendered (or transferred by book-entry transfer).</w:t>
      </w:r>
    </w:p>
    <w:p>
      <w:pPr>
        <w:spacing w:after="0" w:line="17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the Offer Amount of Notes or portions thereof properly tendered and not withdrawn pursuant to the Asset Sale Offer, or if less than the Offer Amount has been properly tendered and not withdrawn, all Notes properly tendered and not withdrawn,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Business Days after the Purchase Date) deliver to each Holder of the Notes properly tendered and not withdrawn an amount equal to the purchase price of the Notes tendered by such Holder and accepted by the Company for purchase, and the Company will promptly issue a new Note, and the Trustee, upon receipt of an Authentication Order from the Company, will authenticate and deliver (or cause to be transferred by book entry) such new Note to such Holder, in a principal amount equal to any unpurchased portion of the Note surrendered. Any Note not so accepted shall be promptly delivered by the Company to the Holder thereof. The Company will publicly announce the results of the Asset Sale Offer on the Purchase Date.</w:t>
      </w:r>
    </w:p>
    <w:p>
      <w:pPr>
        <w:spacing w:after="0" w:line="169"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Sections 3.01 through 3.06 hereof.</w:t>
      </w:r>
    </w:p>
    <w:p>
      <w:pPr>
        <w:spacing w:after="0" w:line="170"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i w:val="1"/>
          <w:iCs w:val="1"/>
          <w:color w:val="auto"/>
        </w:rPr>
        <w:t>Special Mandatory Redemption.</w:t>
      </w:r>
      <w:r>
        <w:rPr>
          <w:rFonts w:ascii="Arial" w:cs="Arial" w:eastAsia="Arial" w:hAnsi="Arial"/>
          <w:sz w:val="17"/>
          <w:szCs w:val="17"/>
          <w:color w:val="auto"/>
        </w:rPr>
        <w:t xml:space="preserve"> The Escrow Agreement (as defined below in Section 4.21 hereof) shall provide that if (i) the Escrow Agent has not received the Officer’s Certificate described in Section 4(a) of the Escrow Agreement on or prior to the Outside Date or the Extended Outside Date, as applicable, or (ii) the Company notifies the Escrow Agent in writing that the SSNI Acquisition will not be consummated or otherwise announces that the Acquisition Agreement has been terminated, then the Escrow Proceeds (including investment earnings thereon and proceeds thereof) shall be released, in accordance with the Escrow Agreement, to the Trustee on the first Business Day following the Outside Date, the Extended Outside Date or the date of such notification or announcement, as applicable (the “</w:t>
      </w:r>
      <w:r>
        <w:rPr>
          <w:rFonts w:ascii="Arial" w:cs="Arial" w:eastAsia="Arial" w:hAnsi="Arial"/>
          <w:sz w:val="17"/>
          <w:szCs w:val="17"/>
          <w:b w:val="1"/>
          <w:bCs w:val="1"/>
          <w:i w:val="1"/>
          <w:iCs w:val="1"/>
          <w:color w:val="auto"/>
        </w:rPr>
        <w:t>Special Mandatory Redemption Date</w:t>
      </w:r>
      <w:r>
        <w:rPr>
          <w:rFonts w:ascii="Arial" w:cs="Arial" w:eastAsia="Arial" w:hAnsi="Arial"/>
          <w:sz w:val="17"/>
          <w:szCs w:val="17"/>
          <w:color w:val="auto"/>
        </w:rPr>
        <w:t>”). In no event will the Special Mandatory Redemption Date be later than September 30, 2018. On the Special Mandatory Redemption Date or as otherwise required by the applicable procedures of DTC, the Company shall redeem all of the Notes (the “</w:t>
      </w:r>
      <w:r>
        <w:rPr>
          <w:rFonts w:ascii="Arial" w:cs="Arial" w:eastAsia="Arial" w:hAnsi="Arial"/>
          <w:sz w:val="17"/>
          <w:szCs w:val="17"/>
          <w:b w:val="1"/>
          <w:bCs w:val="1"/>
          <w:i w:val="1"/>
          <w:iCs w:val="1"/>
          <w:color w:val="auto"/>
        </w:rPr>
        <w:t>Special Mandatory Redemption</w:t>
      </w:r>
      <w:r>
        <w:rPr>
          <w:rFonts w:ascii="Arial" w:cs="Arial" w:eastAsia="Arial" w:hAnsi="Arial"/>
          <w:sz w:val="17"/>
          <w:szCs w:val="17"/>
          <w:color w:val="auto"/>
        </w:rPr>
        <w:t>”) at a redemption price (the “</w:t>
      </w:r>
      <w:r>
        <w:rPr>
          <w:rFonts w:ascii="Arial" w:cs="Arial" w:eastAsia="Arial" w:hAnsi="Arial"/>
          <w:sz w:val="17"/>
          <w:szCs w:val="17"/>
          <w:b w:val="1"/>
          <w:bCs w:val="1"/>
          <w:i w:val="1"/>
          <w:iCs w:val="1"/>
          <w:color w:val="auto"/>
        </w:rPr>
        <w:t>Special Mandatory Redemption Amount</w:t>
      </w:r>
      <w:r>
        <w:rPr>
          <w:rFonts w:ascii="Arial" w:cs="Arial" w:eastAsia="Arial" w:hAnsi="Arial"/>
          <w:sz w:val="17"/>
          <w:szCs w:val="17"/>
          <w:color w:val="auto"/>
        </w:rPr>
        <w:t>”) equal to 101% of the principal amount of the Notes redeemed, plus accrued and unpaid interest to, but excluding, the Special Mandatory Redemption Date, subject to the rights of Holders of record on the relevant record date to receive interest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9" w:name="page50"/>
    <w:bookmarkEnd w:id="4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on the relevant interest payment date falling on or prior to the Special Mandatory Redemption Date. The Company shall deliver to the Trustee and DTC, no later than the date that is one Business Day prior to the Special Mandatory Redemption Date, a redemption notice setting forth the Special Mandatory Redemption Date. On the Special Mandatory Redemption Date, the Trustee shall pay to the Company any Escrow Proceeds in excess of the amount necessary to effect the Special Mandatory Redemption.</w:t>
      </w:r>
    </w:p>
    <w:p>
      <w:pPr>
        <w:spacing w:after="0" w:line="39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Company will pay or cause to be paid the principal of, premium, if any, and interest, if any, on, the Notes on the dates and in the manner provided in the Notes. Principal and premium, if any, and interest, if any,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8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principal at the rate equal to 1% per annum in excess of the then applicable interest rate on the Notes to the extent lawful; it will pay interest (including post-petition interest in any proceeding under any Bankruptcy Law) on overdue installments of interest (without regard to any applicable grace period) at the same rate to the extent lawful.</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93" w:lineRule="exact"/>
        <w:rPr>
          <w:sz w:val="20"/>
          <w:szCs w:val="20"/>
          <w:color w:val="auto"/>
        </w:rPr>
      </w:pPr>
    </w:p>
    <w:p>
      <w:pPr>
        <w:jc w:val="both"/>
        <w:ind w:right="160" w:firstLine="913"/>
        <w:spacing w:after="0" w:line="302"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154"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w:t>
      </w:r>
    </w:p>
    <w:p>
      <w:pPr>
        <w:spacing w:after="0" w:line="117" w:lineRule="exact"/>
        <w:rPr>
          <w:sz w:val="20"/>
          <w:szCs w:val="20"/>
          <w:color w:val="auto"/>
        </w:rPr>
      </w:pPr>
    </w:p>
    <w:p>
      <w:pPr>
        <w:ind w:right="540" w:firstLine="921"/>
        <w:spacing w:after="0" w:line="277" w:lineRule="auto"/>
        <w:tabs>
          <w:tab w:leader="none" w:pos="1158" w:val="left"/>
        </w:tabs>
        <w:numPr>
          <w:ilvl w:val="1"/>
          <w:numId w:val="75"/>
        </w:numPr>
        <w:rPr>
          <w:rFonts w:ascii="Arial" w:cs="Arial" w:eastAsia="Arial" w:hAnsi="Arial"/>
          <w:sz w:val="18"/>
          <w:szCs w:val="18"/>
          <w:color w:val="auto"/>
        </w:rPr>
      </w:pPr>
      <w:r>
        <w:rPr>
          <w:rFonts w:ascii="Arial" w:cs="Arial" w:eastAsia="Arial" w:hAnsi="Arial"/>
          <w:sz w:val="18"/>
          <w:szCs w:val="18"/>
          <w:color w:val="auto"/>
        </w:rPr>
        <w:t>Whether or not required by the rules and regulations of the SEC, so long as any Notes are outstanding, the Company will furnish to the Trustee and, upon request, the Holders of Notes, within the time periods specified in the SEC’s rules and regulations: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Company were required to file such reports.</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based on the Company’s status as an “accelerated filer” or “large accelerated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0" w:name="page51"/>
    <w:bookmarkEnd w:id="50"/>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filer” (each as defined in Rule 12b-2 under the Exchange Act) or as a “non-accelerated filer” (as used in Rule 12b-2 under the Exchange Act), as the case may be, under the SEC’s rules and regulations. Each annual report on Form 10-K will include a report on the Company’s consolidated financial statements by the Company’s certified independent accountants. In addition, the Company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as soon as practicable thereafter.</w:t>
      </w:r>
    </w:p>
    <w:p>
      <w:pPr>
        <w:spacing w:after="0" w:line="173" w:lineRule="exact"/>
        <w:rPr>
          <w:sz w:val="20"/>
          <w:szCs w:val="20"/>
          <w:color w:val="auto"/>
        </w:rPr>
      </w:pPr>
    </w:p>
    <w:p>
      <w:pPr>
        <w:jc w:val="both"/>
        <w:ind w:right="100" w:firstLine="913"/>
        <w:spacing w:after="0" w:line="276" w:lineRule="auto"/>
        <w:rPr>
          <w:sz w:val="20"/>
          <w:szCs w:val="20"/>
          <w:color w:val="auto"/>
        </w:rPr>
      </w:pPr>
      <w:r>
        <w:rPr>
          <w:rFonts w:ascii="Arial" w:cs="Arial" w:eastAsia="Arial" w:hAnsi="Arial"/>
          <w:sz w:val="17"/>
          <w:szCs w:val="17"/>
          <w:color w:val="auto"/>
        </w:rPr>
        <w:t>If, at any time, the Company is no longer subject to the periodic reporting requirements of the Exchange Act for any reason, the Company will nevertheless continue filing the reports specified in this Section 4.03(a) with the SEC within the time periods specified above unless the SEC will not accept such a filing. The Company will not take any action for the purpose of causing the SEC not to accept any such filings. If, notwithstanding the foregoing, the SEC will not accept the Company’s filings for any reason, the Company will post the reports referred to in this Section 4.03(a) on its website within the time periods that would apply if the Company were required to file those reports with the SEC.</w:t>
      </w:r>
    </w:p>
    <w:p>
      <w:pPr>
        <w:spacing w:after="0" w:line="173" w:lineRule="exact"/>
        <w:rPr>
          <w:sz w:val="20"/>
          <w:szCs w:val="20"/>
          <w:color w:val="auto"/>
        </w:rPr>
      </w:pPr>
    </w:p>
    <w:p>
      <w:pPr>
        <w:ind w:right="20" w:firstLine="921"/>
        <w:spacing w:after="0" w:line="302" w:lineRule="auto"/>
        <w:tabs>
          <w:tab w:leader="none" w:pos="1168" w:val="left"/>
        </w:tabs>
        <w:numPr>
          <w:ilvl w:val="1"/>
          <w:numId w:val="77"/>
        </w:numPr>
        <w:rPr>
          <w:rFonts w:ascii="Arial" w:cs="Arial" w:eastAsia="Arial" w:hAnsi="Arial"/>
          <w:sz w:val="16"/>
          <w:szCs w:val="16"/>
          <w:color w:val="auto"/>
        </w:rPr>
      </w:pPr>
      <w:r>
        <w:rPr>
          <w:rFonts w:ascii="Arial" w:cs="Arial" w:eastAsia="Arial" w:hAnsi="Arial"/>
          <w:sz w:val="16"/>
          <w:szCs w:val="16"/>
          <w:color w:val="auto"/>
        </w:rPr>
        <w:t>If the Company has designated any of its Subsidiaries as Unrestricted Subsidiaries, then the quarterly and annual financial information required by Section 4.03(a) will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154" w:lineRule="exact"/>
        <w:rPr>
          <w:rFonts w:ascii="Arial" w:cs="Arial" w:eastAsia="Arial" w:hAnsi="Arial"/>
          <w:sz w:val="16"/>
          <w:szCs w:val="16"/>
          <w:color w:val="auto"/>
        </w:rPr>
      </w:pPr>
    </w:p>
    <w:p>
      <w:pPr>
        <w:ind w:left="1160" w:hanging="239"/>
        <w:spacing w:after="0"/>
        <w:tabs>
          <w:tab w:leader="none" w:pos="11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For so long as any Notes remain outstanding, if at any time they are not required to file with the SEC the reports required by paragraphs</w:t>
      </w:r>
    </w:p>
    <w:p>
      <w:pPr>
        <w:spacing w:after="0" w:line="34" w:lineRule="exact"/>
        <w:rPr>
          <w:rFonts w:ascii="Arial" w:cs="Arial" w:eastAsia="Arial" w:hAnsi="Arial"/>
          <w:sz w:val="17"/>
          <w:szCs w:val="17"/>
          <w:color w:val="auto"/>
        </w:rPr>
      </w:pPr>
    </w:p>
    <w:p>
      <w:pPr>
        <w:ind w:right="360" w:firstLine="8"/>
        <w:spacing w:after="0" w:line="261" w:lineRule="auto"/>
        <w:tabs>
          <w:tab w:leader="none" w:pos="2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and (b) of this Section 4.03, the Company and the Guarantors will furnish to the Holders of Notes and to securities analysts and prospective investors, upon their request, the information required to be delivered pursuant to Rule 144A(d)(4) under the Securities Act.</w:t>
      </w:r>
    </w:p>
    <w:p>
      <w:pPr>
        <w:spacing w:after="0" w:line="183" w:lineRule="exact"/>
        <w:rPr>
          <w:rFonts w:ascii="Arial" w:cs="Arial" w:eastAsia="Arial" w:hAnsi="Arial"/>
          <w:sz w:val="18"/>
          <w:szCs w:val="18"/>
          <w:color w:val="auto"/>
        </w:rPr>
      </w:pPr>
    </w:p>
    <w:p>
      <w:pPr>
        <w:ind w:firstLine="921"/>
        <w:spacing w:after="0" w:line="255" w:lineRule="auto"/>
        <w:tabs>
          <w:tab w:leader="none" w:pos="11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Notwithstanding the foregoing, in the event that any direct or indirect parent of the Company is or becomes a Guarantor of the Notes, the Company may satisfy its obligations under this Section 4.03 with respect to financial information relating to the Company by furnishing financial information relating to such direct or indirect parent; provided that the same is accompanied by consolidating information that explains in reasonable detail the differences between the information relating to such direct or indirect parent and any of its Subsidiaries other than the Company and its Restricted Subsidiaries, on the one hand, and the information relating to the Company, the Guarantors and the other Restricted Subsidiaries of the Company on a standalone basis, on the other hand.</w:t>
      </w:r>
    </w:p>
    <w:p>
      <w:pPr>
        <w:spacing w:after="0" w:line="193" w:lineRule="exact"/>
        <w:rPr>
          <w:rFonts w:ascii="Arial" w:cs="Arial" w:eastAsia="Arial" w:hAnsi="Arial"/>
          <w:sz w:val="18"/>
          <w:szCs w:val="18"/>
          <w:color w:val="auto"/>
        </w:rPr>
      </w:pPr>
    </w:p>
    <w:p>
      <w:pPr>
        <w:ind w:right="20" w:firstLine="921"/>
        <w:spacing w:after="0" w:line="293" w:lineRule="auto"/>
        <w:tabs>
          <w:tab w:leader="none" w:pos="1158"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Delivery of reports, information and documents to the Trustee is for informational purposes only and the Trustee’s receipt of such reports or other documents, as applicable, shall not constitute constructive notice of any information contained therein or determinable from information contained therein, including the Company’s compliance with any of its covenants under this Indenture (as to which the Trustee is entitled to rely exclusively on Officer’s Certificates). The Trustee shall not be obligated to monitor or confirm, on a continuing basis or otherwise, the Company’s or any other Person’s compliance with the covenants described above or with respect to any reports or other documents filed under this Indenture; provided, however, that nothing herein shall relieve the Trustee of any obligations to monitor the Company’s timely delivery of all reports described in the first paragraph of this Section 4.03.</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55" w:lineRule="auto"/>
        <w:tabs>
          <w:tab w:leader="none" w:pos="11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and each Guarantor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51" w:name="page52"/>
    <w:bookmarkEnd w:id="5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87" w:lineRule="exact"/>
        <w:rPr>
          <w:sz w:val="20"/>
          <w:szCs w:val="20"/>
          <w:color w:val="auto"/>
        </w:rPr>
      </w:pPr>
    </w:p>
    <w:p>
      <w:pPr>
        <w:ind w:right="160" w:firstLine="921"/>
        <w:spacing w:after="0" w:line="264" w:lineRule="auto"/>
        <w:tabs>
          <w:tab w:leader="none" w:pos="11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shall deliver to a Responsible Officer of the Trustee, forthwith upon any Officer becoming aware of any Default or Event of Default, an Officer’s Certificate specifying such Default or Event of Default and what action the Company is taking or proposes to take with respect thereto.</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Stay, Extension and Usury Laws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60" w:right="100" w:firstLine="443"/>
        <w:spacing w:after="0" w:line="279" w:lineRule="auto"/>
        <w:tabs>
          <w:tab w:leader="none" w:pos="1153" w:val="left"/>
        </w:tabs>
        <w:numPr>
          <w:ilvl w:val="0"/>
          <w:numId w:val="82"/>
        </w:numPr>
        <w:rPr>
          <w:rFonts w:ascii="Arial" w:cs="Arial" w:eastAsia="Arial" w:hAnsi="Arial"/>
          <w:sz w:val="17"/>
          <w:szCs w:val="17"/>
          <w:color w:val="auto"/>
        </w:rPr>
      </w:pPr>
      <w:r>
        <w:rPr>
          <w:rFonts w:ascii="Arial" w:cs="Arial" w:eastAsia="Arial" w:hAnsi="Arial"/>
          <w:sz w:val="17"/>
          <w:szCs w:val="17"/>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except dividends or distributions payable solely in Equity Interests (other than Disqualified Stock) of the Company;</w:t>
      </w:r>
    </w:p>
    <w:p>
      <w:pPr>
        <w:spacing w:after="0" w:line="63"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the Company) any Equity Interests of the Company or any direct or indirect parent of the Company held by Persons other than the Company or a Restricted Subsidiary;</w:t>
      </w:r>
    </w:p>
    <w:p>
      <w:pPr>
        <w:spacing w:after="0" w:line="73" w:lineRule="exact"/>
        <w:rPr>
          <w:rFonts w:ascii="Arial" w:cs="Arial" w:eastAsia="Arial" w:hAnsi="Arial"/>
          <w:sz w:val="18"/>
          <w:szCs w:val="18"/>
          <w:color w:val="auto"/>
        </w:rPr>
      </w:pPr>
    </w:p>
    <w:p>
      <w:pPr>
        <w:ind w:left="460" w:right="100" w:firstLine="443"/>
        <w:spacing w:after="0" w:line="276" w:lineRule="auto"/>
        <w:tabs>
          <w:tab w:leader="none" w:pos="1153" w:val="left"/>
        </w:tabs>
        <w:numPr>
          <w:ilvl w:val="0"/>
          <w:numId w:val="82"/>
        </w:numPr>
        <w:rPr>
          <w:rFonts w:ascii="Arial" w:cs="Arial" w:eastAsia="Arial" w:hAnsi="Arial"/>
          <w:sz w:val="17"/>
          <w:szCs w:val="17"/>
          <w:color w:val="auto"/>
        </w:rPr>
      </w:pPr>
      <w:r>
        <w:rPr>
          <w:rFonts w:ascii="Arial" w:cs="Arial" w:eastAsia="Arial" w:hAnsi="Arial"/>
          <w:sz w:val="17"/>
          <w:szCs w:val="17"/>
          <w:color w:val="auto"/>
        </w:rPr>
        <w:t>make any payment on or with respect to, or purchase, redeem, defease or otherwise acquire or retire for value any Indebtedness of the Company or any Guarantor that is contractually subordinated to the Notes or to any Note Guarantee (excluding any intercompany Indebtedness between or among the Company and any of its Restricted Subsidiaries), except any purchase, redemption or other acquisition thereof or a payment of interest or principal, in each case, at the Stated Maturity thereof or in anticipation of the Stated Maturity thereof when due within one year of such redemption, repurchase, defeasance or other acquisition or retirement; or</w:t>
      </w:r>
    </w:p>
    <w:p>
      <w:pPr>
        <w:spacing w:after="0" w:line="64"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these clauses (1) through (4) above being collectively referred to as “</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27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at the time of and after giving effect to such Restricted Payment:</w:t>
      </w:r>
    </w:p>
    <w:p>
      <w:pPr>
        <w:spacing w:after="0" w:line="117"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Default has occurred and is continuing or would occur as a consequence of such Restricted Payment;</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4.09(a) hereof; and</w:t>
      </w:r>
    </w:p>
    <w:p>
      <w:pPr>
        <w:spacing w:after="0" w:line="73" w:lineRule="exact"/>
        <w:rPr>
          <w:rFonts w:ascii="Arial" w:cs="Arial" w:eastAsia="Arial" w:hAnsi="Arial"/>
          <w:sz w:val="18"/>
          <w:szCs w:val="18"/>
          <w:color w:val="auto"/>
        </w:rPr>
      </w:pPr>
    </w:p>
    <w:p>
      <w:pPr>
        <w:ind w:left="460" w:right="500" w:firstLine="443"/>
        <w:spacing w:after="0" w:line="264"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date of this Indenture (excluding Restricted Payments permitted by clauses (2) through (13) of paragraph (b) of this Section 4.07), is less than the sum, without duplication (the “</w:t>
      </w:r>
      <w:r>
        <w:rPr>
          <w:rFonts w:ascii="Arial" w:cs="Arial" w:eastAsia="Arial" w:hAnsi="Arial"/>
          <w:sz w:val="18"/>
          <w:szCs w:val="18"/>
          <w:b w:val="1"/>
          <w:bCs w:val="1"/>
          <w:i w:val="1"/>
          <w:iCs w:val="1"/>
          <w:color w:val="auto"/>
        </w:rPr>
        <w:t>Cumulative Credit</w:t>
      </w:r>
      <w:r>
        <w:rPr>
          <w:rFonts w:ascii="Arial" w:cs="Arial" w:eastAsia="Arial" w:hAnsi="Arial"/>
          <w:sz w:val="18"/>
          <w:szCs w:val="18"/>
          <w:color w:val="auto"/>
        </w:rPr>
        <w:t>”), of:</w:t>
      </w:r>
    </w:p>
    <w:p>
      <w:pPr>
        <w:spacing w:after="0" w:line="73" w:lineRule="exact"/>
        <w:rPr>
          <w:rFonts w:ascii="Arial" w:cs="Arial" w:eastAsia="Arial" w:hAnsi="Arial"/>
          <w:sz w:val="18"/>
          <w:szCs w:val="18"/>
          <w:color w:val="auto"/>
        </w:rPr>
      </w:pPr>
    </w:p>
    <w:p>
      <w:pPr>
        <w:jc w:val="both"/>
        <w:ind w:left="920" w:right="100" w:firstLine="421"/>
        <w:spacing w:after="0" w:line="264" w:lineRule="auto"/>
        <w:tabs>
          <w:tab w:leader="none" w:pos="1635"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the Company for the period (taken as one accounting period) from October 1, 2017 to the end of the Company’s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73" w:lineRule="exact"/>
        <w:rPr>
          <w:rFonts w:ascii="Arial" w:cs="Arial" w:eastAsia="Arial" w:hAnsi="Arial"/>
          <w:sz w:val="18"/>
          <w:szCs w:val="18"/>
          <w:color w:val="auto"/>
        </w:rPr>
      </w:pPr>
    </w:p>
    <w:p>
      <w:pPr>
        <w:ind w:left="920" w:firstLine="421"/>
        <w:spacing w:after="0" w:line="276" w:lineRule="auto"/>
        <w:tabs>
          <w:tab w:leader="none" w:pos="1625" w:val="left"/>
        </w:tabs>
        <w:numPr>
          <w:ilvl w:val="2"/>
          <w:numId w:val="83"/>
        </w:numPr>
        <w:rPr>
          <w:rFonts w:ascii="Arial" w:cs="Arial" w:eastAsia="Arial" w:hAnsi="Arial"/>
          <w:sz w:val="17"/>
          <w:szCs w:val="17"/>
          <w:color w:val="auto"/>
        </w:rPr>
      </w:pPr>
      <w:r>
        <w:rPr>
          <w:rFonts w:ascii="Arial" w:cs="Arial" w:eastAsia="Arial" w:hAnsi="Arial"/>
          <w:sz w:val="17"/>
          <w:szCs w:val="17"/>
          <w:color w:val="auto"/>
        </w:rPr>
        <w:t xml:space="preserve">100% of the aggregate net cash proceeds and the Fair Market Value of marketable securities or other property received by the Company since the date of this Indenture as a contribution to its common equity capital or from the issue or sale of Equity Interests (other than Disqualified Stock) of the Company or from the issue or sale of convertible or exchangeable Disqualified Stock or convertible or exchangeable debt securities of the Company that have been converted into or exchanged for such Equity Interests other than Disqualified Stock (other than Equity Interests (or Disqualified Stock or debt securities) sold to a Subsidiary of the Company); </w:t>
      </w:r>
      <w:r>
        <w:rPr>
          <w:rFonts w:ascii="Arial" w:cs="Arial" w:eastAsia="Arial" w:hAnsi="Arial"/>
          <w:sz w:val="17"/>
          <w:szCs w:val="17"/>
          <w:i w:val="1"/>
          <w:iCs w:val="1"/>
          <w:color w:val="auto"/>
        </w:rPr>
        <w:t>plus</w:t>
      </w:r>
    </w:p>
    <w:p>
      <w:pPr>
        <w:spacing w:after="0" w:line="64" w:lineRule="exact"/>
        <w:rPr>
          <w:rFonts w:ascii="Arial" w:cs="Arial" w:eastAsia="Arial" w:hAnsi="Arial"/>
          <w:sz w:val="17"/>
          <w:szCs w:val="17"/>
          <w:color w:val="auto"/>
        </w:rPr>
      </w:pPr>
    </w:p>
    <w:p>
      <w:pPr>
        <w:ind w:left="920" w:right="40" w:firstLine="421"/>
        <w:spacing w:after="0" w:line="279" w:lineRule="auto"/>
        <w:tabs>
          <w:tab w:leader="none" w:pos="1625" w:val="left"/>
        </w:tabs>
        <w:numPr>
          <w:ilvl w:val="2"/>
          <w:numId w:val="83"/>
        </w:numPr>
        <w:rPr>
          <w:rFonts w:ascii="Arial" w:cs="Arial" w:eastAsia="Arial" w:hAnsi="Arial"/>
          <w:sz w:val="17"/>
          <w:szCs w:val="17"/>
          <w:color w:val="auto"/>
        </w:rPr>
      </w:pPr>
      <w:r>
        <w:rPr>
          <w:rFonts w:ascii="Arial" w:cs="Arial" w:eastAsia="Arial" w:hAnsi="Arial"/>
          <w:sz w:val="17"/>
          <w:szCs w:val="17"/>
          <w:color w:val="auto"/>
        </w:rPr>
        <w:t xml:space="preserve">to the extent that any Restricted Investment made by the Company or any of its Restricted Subsidiaries in any Person after the date of this Indenture is subsequently sold for cash or otherwise liquidated or repaid for cash (including, without limitation, by repurchase, repayment or redemption of such Restricted Investment by such Person), the cash return of capital (excluding dividends and distributions) to the Company or any of its Restricted Subsidiaries with respect to such Restricted Investment (less the cost of disposition, if any); </w:t>
      </w:r>
      <w:r>
        <w:rPr>
          <w:rFonts w:ascii="Arial" w:cs="Arial" w:eastAsia="Arial" w:hAnsi="Arial"/>
          <w:sz w:val="17"/>
          <w:szCs w:val="17"/>
          <w:i w:val="1"/>
          <w:iCs w:val="1"/>
          <w:color w:val="auto"/>
        </w:rPr>
        <w:t>plus</w:t>
      </w:r>
    </w:p>
    <w:p>
      <w:pPr>
        <w:spacing w:after="0" w:line="63" w:lineRule="exact"/>
        <w:rPr>
          <w:rFonts w:ascii="Arial" w:cs="Arial" w:eastAsia="Arial" w:hAnsi="Arial"/>
          <w:sz w:val="17"/>
          <w:szCs w:val="17"/>
          <w:color w:val="auto"/>
        </w:rPr>
      </w:pPr>
    </w:p>
    <w:p>
      <w:pPr>
        <w:ind w:left="920" w:right="180" w:firstLine="421"/>
        <w:spacing w:after="0" w:line="312" w:lineRule="auto"/>
        <w:tabs>
          <w:tab w:leader="none" w:pos="1635" w:val="left"/>
        </w:tabs>
        <w:numPr>
          <w:ilvl w:val="2"/>
          <w:numId w:val="83"/>
        </w:numPr>
        <w:rPr>
          <w:rFonts w:ascii="Arial" w:cs="Arial" w:eastAsia="Arial" w:hAnsi="Arial"/>
          <w:sz w:val="16"/>
          <w:szCs w:val="16"/>
          <w:color w:val="auto"/>
        </w:rPr>
      </w:pPr>
      <w:r>
        <w:rPr>
          <w:rFonts w:ascii="Arial" w:cs="Arial" w:eastAsia="Arial" w:hAnsi="Arial"/>
          <w:sz w:val="16"/>
          <w:szCs w:val="16"/>
          <w:color w:val="auto"/>
        </w:rPr>
        <w:t>if any Unrestricted Subsidiary of the Company (i) is redesignated as a Restricted Subsidiary, the Fair Market Value of the Company’s Investment in such Unrestricted Subsidiary as of the date of such redesignation or (ii) pays any cash dividends or cash distributions to the Company or any of its Restricted Subsidiaries, 100% of any such cash dividends or cash distributions made after the date of this Indenture.</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provisions of Section 4.07(a) hereof will not prohibit, so long as no Default has occurred and is continuing or would be caused thereby:</w:t>
      </w:r>
    </w:p>
    <w:p>
      <w:pPr>
        <w:spacing w:after="0" w:line="140" w:lineRule="exact"/>
        <w:rPr>
          <w:sz w:val="20"/>
          <w:szCs w:val="20"/>
          <w:color w:val="auto"/>
        </w:rPr>
      </w:pPr>
    </w:p>
    <w:p>
      <w:pPr>
        <w:ind w:left="460" w:firstLine="443"/>
        <w:spacing w:after="0" w:line="264" w:lineRule="auto"/>
        <w:tabs>
          <w:tab w:leader="none" w:pos="115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payment of any dividend or distribution or the consummation of any irrevocable redemption within 60 days after the date of declaration of the dividend or distribution or the giving of a redemption notice, as the case may be, if at the date of declaration or the giving of a redemption notice, the dividend, distribution or redemption payment would have complied with the provisions of this Indenture;</w:t>
      </w:r>
    </w:p>
    <w:p>
      <w:pPr>
        <w:spacing w:after="0" w:line="73" w:lineRule="exact"/>
        <w:rPr>
          <w:rFonts w:ascii="Arial" w:cs="Arial" w:eastAsia="Arial" w:hAnsi="Arial"/>
          <w:sz w:val="18"/>
          <w:szCs w:val="18"/>
          <w:color w:val="auto"/>
        </w:rPr>
      </w:pPr>
    </w:p>
    <w:p>
      <w:pPr>
        <w:jc w:val="both"/>
        <w:ind w:left="460" w:firstLine="443"/>
        <w:spacing w:after="0" w:line="288" w:lineRule="auto"/>
        <w:tabs>
          <w:tab w:leader="none" w:pos="1153"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the making of any Restricted Payment in exchange for, or within 60 days out of the net cash proceeds of the sale (other than to a Subsidiary of the Company) of, Equity Interests of the Company (other than Disqualified Stock) or within 60 days from the contribution of common equity capital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net cash proceeds that are utilized for any such Restricted Payment will be excluded from clause</w:t>
      </w:r>
    </w:p>
    <w:p>
      <w:pPr>
        <w:ind w:left="460"/>
        <w:spacing w:after="0"/>
        <w:rPr>
          <w:rFonts w:ascii="Arial" w:cs="Arial" w:eastAsia="Arial" w:hAnsi="Arial"/>
          <w:sz w:val="16"/>
          <w:szCs w:val="16"/>
          <w:color w:val="auto"/>
        </w:rPr>
      </w:pPr>
      <w:r>
        <w:rPr>
          <w:rFonts w:ascii="Arial" w:cs="Arial" w:eastAsia="Arial" w:hAnsi="Arial"/>
          <w:sz w:val="18"/>
          <w:szCs w:val="18"/>
          <w:color w:val="auto"/>
        </w:rPr>
        <w:t>(3)(B) of Section 4.07(a) hereof;</w:t>
      </w:r>
    </w:p>
    <w:p>
      <w:pPr>
        <w:spacing w:after="0" w:line="102" w:lineRule="exact"/>
        <w:rPr>
          <w:rFonts w:ascii="Arial" w:cs="Arial" w:eastAsia="Arial" w:hAnsi="Arial"/>
          <w:sz w:val="16"/>
          <w:szCs w:val="16"/>
          <w:color w:val="auto"/>
        </w:rPr>
      </w:pPr>
    </w:p>
    <w:p>
      <w:pPr>
        <w:jc w:val="both"/>
        <w:ind w:left="460" w:right="100" w:firstLine="443"/>
        <w:spacing w:after="0" w:line="264" w:lineRule="auto"/>
        <w:tabs>
          <w:tab w:leader="none" w:pos="115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the Company or any Guarantor that is contractually subordinated or junior in right of payment to the Notes or to any Note Guarantee, including premium, if any, and accrued interest, within 60 days with the net cash proceeds from an incurrence of Permitted Refinancing Indebtedness;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53" w:name="page54"/>
    <w:bookmarkEnd w:id="53"/>
    <w:p>
      <w:pPr>
        <w:ind w:right="320" w:firstLine="443"/>
        <w:spacing w:after="0" w:line="277" w:lineRule="auto"/>
        <w:tabs>
          <w:tab w:leader="none" w:pos="693"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payment of any dividend (or, in the case of any partnership or limited liability company, any similar distribution) or the making of any loan or advance by a Restricted Subsidiary of the Company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62" w:lineRule="exact"/>
        <w:rPr>
          <w:rFonts w:ascii="Arial" w:cs="Arial" w:eastAsia="Arial" w:hAnsi="Arial"/>
          <w:sz w:val="18"/>
          <w:szCs w:val="18"/>
          <w:color w:val="auto"/>
        </w:rPr>
      </w:pPr>
    </w:p>
    <w:p>
      <w:pPr>
        <w:ind w:right="20" w:firstLine="443"/>
        <w:spacing w:after="0" w:line="270" w:lineRule="auto"/>
        <w:tabs>
          <w:tab w:leader="none" w:pos="693"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repurchase, redemption or other acquisition or retirement for value of any Equity Interests of the Company or any Restricted Subsidiary of the Company held by any current or former officer, director, employee or consultant of the Company or any of its Restricted Subsidiaries (or permitted transferees, heirs or estates of such current or former officer, director, employee or consultant) pursuant to any equity subscription agreement, stock option agreement, shareholders’ agreement or similar agreement, plan or arrangement;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price paid for all such repurchased, redeemed, acquired or retired Equity Interests may not exceed (a) $2.5 million in any calendar year (with unused amounts in any calendar year being carried over to succeeding calendar years subject to a maximum (without giving effect to clause (b)) of $5.0 million in any calendar year), plus (b) the aggregate cash proceeds received by the Company and its Restricted Subsidiaries from any issuance or reissuance of Equity Interests to directors, officers, employees and consultants and the proceeds of any “key man” life insurance policies;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cancellation of Indebtedness owing to the Company or its Restricted Subsidiaries from members of management in connection with such repurchase of Equity Interests will not be deemed to be a Restricted Payment;</w:t>
      </w:r>
    </w:p>
    <w:p>
      <w:pPr>
        <w:spacing w:after="0" w:line="69" w:lineRule="exact"/>
        <w:rPr>
          <w:rFonts w:ascii="Arial" w:cs="Arial" w:eastAsia="Arial" w:hAnsi="Arial"/>
          <w:sz w:val="17"/>
          <w:szCs w:val="17"/>
          <w:color w:val="auto"/>
        </w:rPr>
      </w:pPr>
    </w:p>
    <w:p>
      <w:pPr>
        <w:ind w:right="380" w:firstLine="443"/>
        <w:spacing w:after="0" w:line="277" w:lineRule="auto"/>
        <w:tabs>
          <w:tab w:leader="none" w:pos="6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warrants or similar rights to the extent such Equity Interests represent a portion of the exercise price of those stock options, warrants or similar rights;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cash payments in lieu of issuance of fractional shares in connection with the exercise of stock options, warrants or similar rights;</w:t>
      </w:r>
    </w:p>
    <w:p>
      <w:pPr>
        <w:spacing w:after="0" w:line="117" w:lineRule="exact"/>
        <w:rPr>
          <w:rFonts w:ascii="Arial" w:cs="Arial" w:eastAsia="Arial" w:hAnsi="Arial"/>
          <w:sz w:val="18"/>
          <w:szCs w:val="18"/>
          <w:color w:val="auto"/>
        </w:rPr>
      </w:pPr>
    </w:p>
    <w:p>
      <w:pPr>
        <w:ind w:firstLine="443"/>
        <w:spacing w:after="0" w:line="264" w:lineRule="auto"/>
        <w:tabs>
          <w:tab w:leader="none" w:pos="6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or distributions to holders of any class or series of Disqualified Stock of the Company or any class or series of preferred stock of any Restricted Subsidiary of the Company issued on or after the date of this Indenture in accordance with the Fixed Charge Coverage Ratio test described in Section 4.09 hereof;</w:t>
      </w:r>
    </w:p>
    <w:p>
      <w:pPr>
        <w:spacing w:after="0" w:line="73" w:lineRule="exact"/>
        <w:rPr>
          <w:rFonts w:ascii="Arial" w:cs="Arial" w:eastAsia="Arial" w:hAnsi="Arial"/>
          <w:sz w:val="18"/>
          <w:szCs w:val="18"/>
          <w:color w:val="auto"/>
        </w:rPr>
      </w:pPr>
    </w:p>
    <w:p>
      <w:pPr>
        <w:ind w:right="380" w:firstLine="443"/>
        <w:spacing w:after="0" w:line="264" w:lineRule="auto"/>
        <w:tabs>
          <w:tab w:leader="none" w:pos="6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purchases of fractional Equity Interests of the Company, (x) for aggregate consideration not to exceed $1.0 million since the date of this Indenture or (y) arising out of a consolidation, merger or sale of all or substantially all of the properties or assets of the Company and its Restricted Subsidiaries, taken as a whole, that is permitted pursuant to Section 5.01 hereof;</w:t>
      </w:r>
    </w:p>
    <w:p>
      <w:pPr>
        <w:spacing w:after="0" w:line="73" w:lineRule="exact"/>
        <w:rPr>
          <w:rFonts w:ascii="Arial" w:cs="Arial" w:eastAsia="Arial" w:hAnsi="Arial"/>
          <w:sz w:val="18"/>
          <w:szCs w:val="18"/>
          <w:color w:val="auto"/>
        </w:rPr>
      </w:pPr>
    </w:p>
    <w:p>
      <w:pPr>
        <w:ind w:right="100" w:firstLine="443"/>
        <w:spacing w:after="0" w:line="264" w:lineRule="auto"/>
        <w:tabs>
          <w:tab w:leader="none" w:pos="783"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payments or distributions in an amount determined by judgment or settlement approved by a court of competent jurisdiction, solely in the nature of satisfaction of dissenting stockholder rights, pursuant to or in connection with a consolidation, merger or transfer of assets that complies with Section 5.01 hereof;</w:t>
      </w:r>
    </w:p>
    <w:p>
      <w:pPr>
        <w:spacing w:after="0" w:line="73" w:lineRule="exact"/>
        <w:rPr>
          <w:rFonts w:ascii="Arial" w:cs="Arial" w:eastAsia="Arial" w:hAnsi="Arial"/>
          <w:sz w:val="18"/>
          <w:szCs w:val="18"/>
          <w:color w:val="auto"/>
        </w:rPr>
      </w:pPr>
    </w:p>
    <w:p>
      <w:pPr>
        <w:ind w:right="700" w:firstLine="443"/>
        <w:spacing w:after="0" w:line="277" w:lineRule="auto"/>
        <w:tabs>
          <w:tab w:leader="none" w:pos="7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payments made in connection with the transactions that are described in the Offering Memorandum, regardless of whether such payments are made on the date of this Indenture or thereafter;</w:t>
      </w:r>
    </w:p>
    <w:p>
      <w:pPr>
        <w:spacing w:after="0" w:line="62" w:lineRule="exact"/>
        <w:rPr>
          <w:rFonts w:ascii="Arial" w:cs="Arial" w:eastAsia="Arial" w:hAnsi="Arial"/>
          <w:sz w:val="18"/>
          <w:szCs w:val="18"/>
          <w:color w:val="auto"/>
        </w:rPr>
      </w:pPr>
    </w:p>
    <w:p>
      <w:pPr>
        <w:ind w:right="40" w:firstLine="443"/>
        <w:spacing w:after="0" w:line="297" w:lineRule="auto"/>
        <w:tabs>
          <w:tab w:leader="none" w:pos="783" w:val="left"/>
        </w:tabs>
        <w:numPr>
          <w:ilvl w:val="0"/>
          <w:numId w:val="85"/>
        </w:numPr>
        <w:rPr>
          <w:rFonts w:ascii="Arial" w:cs="Arial" w:eastAsia="Arial" w:hAnsi="Arial"/>
          <w:sz w:val="16"/>
          <w:szCs w:val="16"/>
          <w:color w:val="auto"/>
        </w:rPr>
      </w:pPr>
      <w:r>
        <w:rPr>
          <w:rFonts w:ascii="Arial" w:cs="Arial" w:eastAsia="Arial" w:hAnsi="Arial"/>
          <w:sz w:val="16"/>
          <w:szCs w:val="16"/>
          <w:color w:val="auto"/>
        </w:rPr>
        <w:t>upon the occurrence of a Change of Control and within 60 days after completion of the offer to purchase pursuant to the repurchase of Notes upon a Change of Control covenant in accordance with the terms of this Indenture (including the purchase of all Notes tendered), any purchase or redemption of Indebtedness of the Company or any Guarantor, that is contractually subordinated or junior in right of payment to the Notes or to any Note Guarantee, or Disqualified Stock of the Company that is required to be repurchased or redeemed pursuant to the terms thereof as a result of a Change of Control, at a purchase price not greater than 101% of the outstanding principal amount thereof (plus accrued and unpaid interest thereon);</w:t>
      </w:r>
    </w:p>
    <w:p>
      <w:pPr>
        <w:spacing w:after="0" w:line="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274" w:right="239" w:bottom="1440" w:gutter="0" w:footer="0" w:header="0"/>
        </w:sectPr>
      </w:pPr>
    </w:p>
    <w:bookmarkStart w:id="54" w:name="page55"/>
    <w:bookmarkEnd w:id="54"/>
    <w:p>
      <w:pPr>
        <w:ind w:left="460" w:right="200" w:firstLine="443"/>
        <w:spacing w:after="0" w:line="277" w:lineRule="auto"/>
        <w:tabs>
          <w:tab w:leader="none" w:pos="1243"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Restricted Payments in an aggregate amount not to exceed (x) $25.0 million in any fiscal year and (y) $75.0 million since the date of this Indenture; and</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2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Restricted Payments (in addition to Restricted Payments under the above clauses (1) through (13)), so long as, after giving pro forma effect to the payment of any such Restricted Payment, the Total Leverage Ratio shall be no greater than 2.50 to 1.00.</w:t>
      </w:r>
    </w:p>
    <w:p>
      <w:pPr>
        <w:spacing w:after="0" w:line="170"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will be determined by the Board of Directors of the Company whose resolution with respect thereto will be delivered to the Trustee. The Board of Directors’ determination must be based upon an opinion or appraisal issued by an accounting, appraisal or investment banking firm of national standing if the Fair Market Value exceeds $35.0 million.</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Dividend and Other Payment Restrictions Affecting Restricted Subsidiaries</w:t>
      </w:r>
      <w:r>
        <w:rPr>
          <w:rFonts w:ascii="Arial" w:cs="Arial" w:eastAsia="Arial" w:hAnsi="Arial"/>
          <w:sz w:val="18"/>
          <w:szCs w:val="18"/>
          <w:color w:val="auto"/>
        </w:rPr>
        <w:t>.</w:t>
      </w:r>
    </w:p>
    <w:p>
      <w:pPr>
        <w:spacing w:after="0" w:line="117" w:lineRule="exact"/>
        <w:rPr>
          <w:sz w:val="20"/>
          <w:szCs w:val="20"/>
          <w:color w:val="auto"/>
        </w:rPr>
      </w:pPr>
    </w:p>
    <w:p>
      <w:pPr>
        <w:ind w:right="400" w:firstLine="921"/>
        <w:spacing w:after="0" w:line="277" w:lineRule="auto"/>
        <w:tabs>
          <w:tab w:leader="none" w:pos="1158"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consensual encumbrance or restriction on the ability of any Restricted Subsidiary to:</w:t>
      </w:r>
    </w:p>
    <w:p>
      <w:pPr>
        <w:spacing w:after="0" w:line="62" w:lineRule="exact"/>
        <w:rPr>
          <w:rFonts w:ascii="Arial" w:cs="Arial" w:eastAsia="Arial" w:hAnsi="Arial"/>
          <w:sz w:val="18"/>
          <w:szCs w:val="18"/>
          <w:color w:val="auto"/>
        </w:rPr>
      </w:pPr>
    </w:p>
    <w:p>
      <w:pPr>
        <w:ind w:left="460" w:right="40" w:firstLine="443"/>
        <w:spacing w:after="0" w:line="342" w:lineRule="auto"/>
        <w:tabs>
          <w:tab w:leader="none" w:pos="1153" w:val="left"/>
        </w:tabs>
        <w:numPr>
          <w:ilvl w:val="0"/>
          <w:numId w:val="88"/>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make loans or advances to the Company or any of its Restricted Subsidiaries;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its Restricted Subsidiaries.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restrictions in Section 4.08(a) hereof will not apply to encumbrances or restrictions existing under or by reason of:</w:t>
      </w:r>
    </w:p>
    <w:p>
      <w:pPr>
        <w:spacing w:after="0" w:line="117" w:lineRule="exact"/>
        <w:rPr>
          <w:sz w:val="20"/>
          <w:szCs w:val="20"/>
          <w:color w:val="auto"/>
        </w:rPr>
      </w:pPr>
    </w:p>
    <w:p>
      <w:pPr>
        <w:ind w:left="460" w:right="180" w:firstLine="443"/>
        <w:spacing w:after="0" w:line="257" w:lineRule="auto"/>
        <w:tabs>
          <w:tab w:leader="none" w:pos="11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agreements governing Existing Indebtedness and Credit Facilities as in effect on the date of this Indenture and any amendments, modifications, restatements, renewals, increases, supplements, refundings, replacements or refinancings of those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amendments, modifications, restatements, renewals, increases, supplements, refundings, replacements or refinancings are not materially more restrictive, taken as a whole, with respect to such dividend and other payment restrictions than those contained in those agreements on the date of this Indenture;</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Indenture, the Notes and the Note Guarantees;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applicable law, rule, regulation or order (or other governmental approval, license or permit);</w:t>
      </w:r>
    </w:p>
    <w:p>
      <w:pPr>
        <w:spacing w:after="0" w:line="117" w:lineRule="exact"/>
        <w:rPr>
          <w:rFonts w:ascii="Arial" w:cs="Arial" w:eastAsia="Arial" w:hAnsi="Arial"/>
          <w:sz w:val="18"/>
          <w:szCs w:val="18"/>
          <w:color w:val="auto"/>
        </w:rPr>
      </w:pPr>
    </w:p>
    <w:p>
      <w:pPr>
        <w:ind w:left="460" w:right="20" w:firstLine="443"/>
        <w:spacing w:after="0" w:line="257" w:lineRule="auto"/>
        <w:tabs>
          <w:tab w:leader="none" w:pos="11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this Indenture to be incurred;</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customary non-assignment provisions or subletting restrictions in leases, contracts and licenses entered into in the ordinary course of business;</w:t>
      </w:r>
    </w:p>
    <w:p>
      <w:pPr>
        <w:spacing w:after="0" w:line="140" w:lineRule="exact"/>
        <w:rPr>
          <w:rFonts w:ascii="Arial" w:cs="Arial" w:eastAsia="Arial" w:hAnsi="Arial"/>
          <w:sz w:val="16"/>
          <w:szCs w:val="16"/>
          <w:color w:val="auto"/>
        </w:rPr>
      </w:pPr>
    </w:p>
    <w:p>
      <w:pPr>
        <w:ind w:left="460" w:right="60" w:firstLine="443"/>
        <w:spacing w:after="0" w:line="277" w:lineRule="auto"/>
        <w:tabs>
          <w:tab w:leader="none" w:pos="11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restrict the transfer of the property purchased or leased;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55" w:name="page56"/>
    <w:bookmarkEnd w:id="55"/>
    <w:p>
      <w:pPr>
        <w:ind w:right="80" w:firstLine="443"/>
        <w:spacing w:after="0" w:line="259" w:lineRule="auto"/>
        <w:tabs>
          <w:tab w:leader="none" w:pos="693"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agreement for the sale or other disposition of a Restricted Subsidiary (including, without limitation, the Capital Stock or all or substantially all of the assets of that Restricted Subsidiary) that restricts distributions by that Restricted Subsidiary pending the sale or other disposition (which limitation, in the case of a sale or disposition of all or substantially all assets, is applicable only to the property or assets that are the subject of such agreement);</w:t>
      </w:r>
    </w:p>
    <w:p>
      <w:pPr>
        <w:spacing w:after="0" w:line="78" w:lineRule="exact"/>
        <w:rPr>
          <w:rFonts w:ascii="Arial" w:cs="Arial" w:eastAsia="Arial" w:hAnsi="Arial"/>
          <w:sz w:val="18"/>
          <w:szCs w:val="18"/>
          <w:color w:val="auto"/>
        </w:rPr>
      </w:pPr>
    </w:p>
    <w:p>
      <w:pPr>
        <w:ind w:right="20" w:firstLine="443"/>
        <w:spacing w:after="0" w:line="342" w:lineRule="auto"/>
        <w:tabs>
          <w:tab w:leader="none" w:pos="693"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Permitted Refinancing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15" w:lineRule="exact"/>
        <w:rPr>
          <w:rFonts w:ascii="Arial" w:cs="Arial" w:eastAsia="Arial" w:hAnsi="Arial"/>
          <w:sz w:val="16"/>
          <w:szCs w:val="16"/>
          <w:color w:val="auto"/>
        </w:rPr>
      </w:pPr>
    </w:p>
    <w:p>
      <w:pPr>
        <w:ind w:right="180" w:firstLine="443"/>
        <w:spacing w:after="0" w:line="277" w:lineRule="auto"/>
        <w:tabs>
          <w:tab w:leader="none" w:pos="6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4.12 hereof that limit the right of the debtor to dispose of the assets subject to such Liens;</w:t>
      </w:r>
    </w:p>
    <w:p>
      <w:pPr>
        <w:spacing w:after="0" w:line="62" w:lineRule="exact"/>
        <w:rPr>
          <w:rFonts w:ascii="Arial" w:cs="Arial" w:eastAsia="Arial" w:hAnsi="Arial"/>
          <w:sz w:val="18"/>
          <w:szCs w:val="18"/>
          <w:color w:val="auto"/>
        </w:rPr>
      </w:pPr>
    </w:p>
    <w:p>
      <w:pPr>
        <w:ind w:right="140" w:firstLine="443"/>
        <w:spacing w:after="0" w:line="312" w:lineRule="auto"/>
        <w:tabs>
          <w:tab w:leader="none" w:pos="7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provisions limiting the disposition or distribution of assets or property in joint venture agreements, asset sale agreements, sale-leaseback agreements, stock sale agreements, limited liability company organizational documents and other similar agreements entered into with the approval of the Company’s Board of Directors, which limitation is applicable only to the property or assets that are the subject of such agreements;</w:t>
      </w:r>
    </w:p>
    <w:p>
      <w:pPr>
        <w:spacing w:after="0" w:line="38" w:lineRule="exact"/>
        <w:rPr>
          <w:rFonts w:ascii="Arial" w:cs="Arial" w:eastAsia="Arial" w:hAnsi="Arial"/>
          <w:sz w:val="16"/>
          <w:szCs w:val="16"/>
          <w:color w:val="auto"/>
        </w:rPr>
      </w:pPr>
    </w:p>
    <w:p>
      <w:pPr>
        <w:ind w:right="300" w:firstLine="443"/>
        <w:spacing w:after="0" w:line="277" w:lineRule="auto"/>
        <w:tabs>
          <w:tab w:leader="none" w:pos="7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contracts with customers or leases with lessors entered into in the ordinary course of business that impose customary restrictions on cash, Cash Equivalents, marketable securities, or other deposits or net worth or transfers of property;</w:t>
      </w:r>
    </w:p>
    <w:p>
      <w:pPr>
        <w:spacing w:after="0" w:line="62" w:lineRule="exact"/>
        <w:rPr>
          <w:rFonts w:ascii="Arial" w:cs="Arial" w:eastAsia="Arial" w:hAnsi="Arial"/>
          <w:sz w:val="18"/>
          <w:szCs w:val="18"/>
          <w:color w:val="auto"/>
        </w:rPr>
      </w:pPr>
    </w:p>
    <w:p>
      <w:pPr>
        <w:ind w:right="180" w:firstLine="443"/>
        <w:spacing w:after="0" w:line="312" w:lineRule="auto"/>
        <w:tabs>
          <w:tab w:leader="none" w:pos="7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agreements governing Indebtedness of Foreign Subsidiaries incurred pursuant to clause (13) of Section 4.09(b)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determines in good faith that such encumbrances and restrictions (x) will not cause the Company to not have the funds necessary to pay the principal of or interest on the Notes and (y) are not materially more restrictive, taken as a whole, than is customary in comparable financings;</w:t>
      </w:r>
    </w:p>
    <w:p>
      <w:pPr>
        <w:spacing w:after="0" w:line="38" w:lineRule="exact"/>
        <w:rPr>
          <w:rFonts w:ascii="Arial" w:cs="Arial" w:eastAsia="Arial" w:hAnsi="Arial"/>
          <w:sz w:val="16"/>
          <w:szCs w:val="16"/>
          <w:color w:val="auto"/>
        </w:rPr>
      </w:pPr>
    </w:p>
    <w:p>
      <w:pPr>
        <w:ind w:firstLine="443"/>
        <w:spacing w:after="0" w:line="257" w:lineRule="auto"/>
        <w:tabs>
          <w:tab w:leader="none" w:pos="7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agreements governing Hedging Obligations incurred in the ordinary course of business and permitted to be incurred under the provisions of Section 4.09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determines in good faith that such encumbrances and restrictions (x) will not cause the Company to not have the funds necessary to pay the principal of or interest on the Notes and (y) such restrictions are not materially more restrictive, taken as a whole, with respect to such dividend and other payment restrictions applicable to such Restricted Subsidiary than those contained in the agreements covered by clauses (1) or (2) of this paragraph;</w:t>
      </w:r>
    </w:p>
    <w:p>
      <w:pPr>
        <w:spacing w:after="0" w:line="80" w:lineRule="exact"/>
        <w:rPr>
          <w:rFonts w:ascii="Arial" w:cs="Arial" w:eastAsia="Arial" w:hAnsi="Arial"/>
          <w:sz w:val="18"/>
          <w:szCs w:val="18"/>
          <w:color w:val="auto"/>
        </w:rPr>
      </w:pPr>
    </w:p>
    <w:p>
      <w:pPr>
        <w:ind w:right="160" w:firstLine="443"/>
        <w:spacing w:after="0" w:line="259" w:lineRule="auto"/>
        <w:tabs>
          <w:tab w:leader="none" w:pos="7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any instrument governing any Indebtedness or Capital Stock of any Unrestricted Subsidiary as in effect on the date, if any, that such Unrestricted Subsidiary is redesignated as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encumbrance or restriction is not applicable to any Person, or to the property or assets of any Person, other than such redesignated Restricted Subsidiary and its Subsidiaries (immediately prior to such redesignation) and their respective properties and assets;</w:t>
      </w:r>
    </w:p>
    <w:p>
      <w:pPr>
        <w:spacing w:after="0" w:line="78" w:lineRule="exact"/>
        <w:rPr>
          <w:rFonts w:ascii="Arial" w:cs="Arial" w:eastAsia="Arial" w:hAnsi="Arial"/>
          <w:sz w:val="18"/>
          <w:szCs w:val="18"/>
          <w:color w:val="auto"/>
        </w:rPr>
      </w:pPr>
    </w:p>
    <w:p>
      <w:pPr>
        <w:ind w:right="760" w:firstLine="443"/>
        <w:spacing w:after="0" w:line="277" w:lineRule="auto"/>
        <w:tabs>
          <w:tab w:leader="none" w:pos="7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restrictions in effect on the Issue Date that are contained in charter documents or shareholder agreements relating to any Restricted Subsidiary; and</w:t>
      </w:r>
    </w:p>
    <w:p>
      <w:pPr>
        <w:spacing w:after="0" w:line="62" w:lineRule="exact"/>
        <w:rPr>
          <w:rFonts w:ascii="Arial" w:cs="Arial" w:eastAsia="Arial" w:hAnsi="Arial"/>
          <w:sz w:val="18"/>
          <w:szCs w:val="18"/>
          <w:color w:val="auto"/>
        </w:rPr>
      </w:pPr>
    </w:p>
    <w:p>
      <w:pPr>
        <w:ind w:right="20" w:firstLine="443"/>
        <w:spacing w:after="0" w:line="302" w:lineRule="auto"/>
        <w:tabs>
          <w:tab w:leader="none" w:pos="7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agreements governing other Indebtedness permitted to be incurred under Section 4.09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determines in good faith that such encumbrances and restrictions (x) will not cause the Company to not have the funds necessary to pay the principal of or interest on the notes and (y) such restrictions are not materially more restrictive, taken as a whole, with respect to such dividend and other payment restrictions applicable to such Restricted Subsidiary than those contained in the agreements covered by clauses (1) or (2) of this paragraph.</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700" w:top="274" w:right="239" w:bottom="144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4.09. </w:t>
      </w:r>
      <w:r>
        <w:rPr>
          <w:rFonts w:ascii="Arial" w:cs="Arial" w:eastAsia="Arial" w:hAnsi="Arial"/>
          <w:sz w:val="18"/>
          <w:szCs w:val="18"/>
          <w:i w:val="1"/>
          <w:iCs w:val="1"/>
          <w:color w:val="auto"/>
        </w:rPr>
        <w:t>Incurrence of Indebtedness and Issuance of Preferred Stock</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70" w:lineRule="auto"/>
        <w:tabs>
          <w:tab w:leader="none" w:pos="1158"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7"/>
          <w:szCs w:val="17"/>
          <w:b w:val="1"/>
          <w:bCs w:val="1"/>
          <w:i w:val="1"/>
          <w:iCs w:val="1"/>
          <w:color w:val="auto"/>
        </w:rPr>
        <w:t>incur</w:t>
      </w:r>
      <w:r>
        <w:rPr>
          <w:rFonts w:ascii="Arial" w:cs="Arial" w:eastAsia="Arial" w:hAnsi="Arial"/>
          <w:sz w:val="17"/>
          <w:szCs w:val="17"/>
          <w:color w:val="auto"/>
        </w:rPr>
        <w:t xml:space="preserve">”) any Indebtedness (including Acquired Debt), and the Company will not issue any Disqualified Stock and will not permit any of its Restricted Subsidiaries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Company may incur Indebtedness (including Acquired Debt) or issue Disqualified Stock and the Guarantors may incur</w:t>
      </w:r>
      <w:r>
        <w:rPr>
          <w:rFonts w:ascii="Arial" w:cs="Arial" w:eastAsia="Arial" w:hAnsi="Arial"/>
          <w:sz w:val="17"/>
          <w:szCs w:val="17"/>
          <w:i w:val="1"/>
          <w:iCs w:val="1"/>
          <w:color w:val="auto"/>
        </w:rPr>
        <w:t xml:space="preserve"> </w:t>
      </w:r>
      <w:r>
        <w:rPr>
          <w:rFonts w:ascii="Arial" w:cs="Arial" w:eastAsia="Arial" w:hAnsi="Arial"/>
          <w:sz w:val="17"/>
          <w:szCs w:val="17"/>
          <w:color w:val="auto"/>
        </w:rPr>
        <w:t>Indebtedness (including Acquired Debt) or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1.0,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181" w:lineRule="exact"/>
        <w:rPr>
          <w:rFonts w:ascii="Arial" w:cs="Arial" w:eastAsia="Arial" w:hAnsi="Arial"/>
          <w:sz w:val="17"/>
          <w:szCs w:val="17"/>
          <w:color w:val="auto"/>
        </w:rPr>
      </w:pPr>
    </w:p>
    <w:p>
      <w:pPr>
        <w:ind w:left="1180" w:hanging="259"/>
        <w:spacing w:after="0"/>
        <w:tabs>
          <w:tab w:leader="none" w:pos="11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provisions of Section 4.09(a) hereof will not prohibit the incurrence of any of the following items of Indebtedness (collectively,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Debt</w:t>
      </w:r>
      <w:r>
        <w:rPr>
          <w:rFonts w:ascii="Arial" w:cs="Arial" w:eastAsia="Arial" w:hAnsi="Arial"/>
          <w:sz w:val="18"/>
          <w:szCs w:val="18"/>
          <w:color w:val="auto"/>
        </w:rPr>
        <w:t>”):</w:t>
      </w:r>
    </w:p>
    <w:p>
      <w:pPr>
        <w:spacing w:after="0" w:line="103" w:lineRule="exact"/>
        <w:rPr>
          <w:sz w:val="20"/>
          <w:szCs w:val="20"/>
          <w:color w:val="auto"/>
        </w:rPr>
      </w:pPr>
    </w:p>
    <w:p>
      <w:pPr>
        <w:ind w:left="460" w:right="20" w:firstLine="443"/>
        <w:spacing w:after="0" w:line="288" w:lineRule="auto"/>
        <w:tabs>
          <w:tab w:leader="none" w:pos="1153"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incurrence by the Company and any Restricted Subsidiary of Indebtedness and letters of credit and bank guarantees under Credit Facilities in an aggregate principal amount at any one time outstanding under this clause (1) (with letters of credit and bank guarantees being deemed to have a principal amount equal to the maximum potential liability of the Company and its Restricted Subsidiaries thereunder) not to exceed (a) the greater of</w:t>
      </w:r>
    </w:p>
    <w:p>
      <w:pPr>
        <w:ind w:left="460" w:firstLine="4"/>
        <w:spacing w:after="0" w:line="253" w:lineRule="auto"/>
        <w:tabs>
          <w:tab w:leader="none" w:pos="7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$1.450 billion and (y) an amount such that,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giving effect to the incurrence of such Indebtedness (and the application of the net proceeds therefrom), the Secured Leverage Ratio would be less than 3.25 to 1.00, </w:t>
      </w:r>
      <w:r>
        <w:rPr>
          <w:rFonts w:ascii="Arial" w:cs="Arial" w:eastAsia="Arial" w:hAnsi="Arial"/>
          <w:sz w:val="18"/>
          <w:szCs w:val="18"/>
          <w:i w:val="1"/>
          <w:iCs w:val="1"/>
          <w:color w:val="auto"/>
        </w:rPr>
        <w:t>less</w:t>
      </w:r>
      <w:r>
        <w:rPr>
          <w:rFonts w:ascii="Arial" w:cs="Arial" w:eastAsia="Arial" w:hAnsi="Arial"/>
          <w:sz w:val="18"/>
          <w:szCs w:val="18"/>
          <w:color w:val="auto"/>
        </w:rPr>
        <w:t xml:space="preserve"> (b) the aggregate amount of all Net Proceeds of Asset Sales applied by the Company or any of its Restricted Subsidiaries since the date of this Indenture to repay permanently any term Indebtedness under a Credit Facility or to repay permanently any revolving credit Indebtedness under a Credit Facility and effect a corresponding permanent commitment reduction thereunder pursuant to Section 4.10 hereof;</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incurrence by the Company and any of its Restricted Subsidiaries of the Existing Indebtedness;</w:t>
      </w:r>
    </w:p>
    <w:p>
      <w:pPr>
        <w:spacing w:after="0" w:line="117" w:lineRule="exact"/>
        <w:rPr>
          <w:rFonts w:ascii="Arial" w:cs="Arial" w:eastAsia="Arial" w:hAnsi="Arial"/>
          <w:sz w:val="18"/>
          <w:szCs w:val="18"/>
          <w:color w:val="auto"/>
        </w:rPr>
      </w:pPr>
    </w:p>
    <w:p>
      <w:pPr>
        <w:ind w:left="460" w:right="80" w:firstLine="443"/>
        <w:spacing w:after="0" w:line="291" w:lineRule="auto"/>
        <w:tabs>
          <w:tab w:leader="none" w:pos="1153"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incurrence by the Company and any of its Restricted Subsidiaries of Indebtedness represented by: Capital Lease Obligations, mortgage financings, industrial revenue bonds and purchase money obligations, in each case, incurred for the purpose of financing all or any part of the purchase price or cost of design, development, construction, installation or improvement of property, plant or equipment or other asset used or useful in the business of the Company or any of its Restricted Subsidiaries (whether through the direct purchase of assets or the Capital Stock of any Person owning such assets and whether such Indebtedness is owed to the seller or Person carrying out such construction or improvement or to any third party) in an aggregate principal amount, including all Permitted Refinancing Indebtedness incurred to renew, refund, refinance, replace, defease or discharge any Indebtedness incurred pursuant to this clause (3), not to exceed the greater of (x) $75.0 million and (y) 3.0% of Total Assets at any time outstanding;</w:t>
      </w:r>
    </w:p>
    <w:p>
      <w:pPr>
        <w:spacing w:after="0" w:line="59" w:lineRule="exact"/>
        <w:rPr>
          <w:rFonts w:ascii="Arial" w:cs="Arial" w:eastAsia="Arial" w:hAnsi="Arial"/>
          <w:sz w:val="16"/>
          <w:szCs w:val="16"/>
          <w:color w:val="auto"/>
        </w:rPr>
      </w:pPr>
    </w:p>
    <w:p>
      <w:pPr>
        <w:ind w:left="460" w:right="20" w:firstLine="443"/>
        <w:spacing w:after="0" w:line="286" w:lineRule="auto"/>
        <w:tabs>
          <w:tab w:leader="none" w:pos="1153"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Permitted Refinancing Indebtedness in exchange for, or the net proceeds of which are used to renew, refund, refinance, replace, defease or discharge any Indebtedness (other than intercompany Indebtedness) that was permitted by this Indenture to be incurred under Section 4.09(a) hereof or clauses (2), (5), (14) or (17) of this Section 4.09(b);</w:t>
      </w:r>
    </w:p>
    <w:p>
      <w:pPr>
        <w:spacing w:after="0" w:line="57" w:lineRule="exact"/>
        <w:rPr>
          <w:rFonts w:ascii="Arial" w:cs="Arial" w:eastAsia="Arial" w:hAnsi="Arial"/>
          <w:sz w:val="17"/>
          <w:szCs w:val="17"/>
          <w:color w:val="auto"/>
        </w:rPr>
      </w:pPr>
    </w:p>
    <w:p>
      <w:pPr>
        <w:ind w:left="460" w:right="180" w:firstLine="443"/>
        <w:spacing w:after="0" w:line="277" w:lineRule="auto"/>
        <w:tabs>
          <w:tab w:leader="none" w:pos="1153"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and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920" w:right="60" w:firstLine="421"/>
        <w:spacing w:after="0" w:line="264" w:lineRule="auto"/>
        <w:tabs>
          <w:tab w:leader="none" w:pos="1635" w:val="left"/>
        </w:tabs>
        <w:numPr>
          <w:ilvl w:val="2"/>
          <w:numId w:val="93"/>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the payee is not the Company or a Guarantor, such Indebtedness must be expressly subordinated to the prior payment in full in cash of all Obligations then due with respect to the Notes, in the case of the Company, or the Note Guarantee, in the case of a Guarantor;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7" w:name="page58"/>
    <w:bookmarkEnd w:id="57"/>
    <w:p>
      <w:pPr>
        <w:ind w:left="460" w:right="40" w:firstLine="421"/>
        <w:spacing w:after="0" w:line="279" w:lineRule="auto"/>
        <w:tabs>
          <w:tab w:leader="none" w:pos="1165" w:val="left"/>
        </w:tabs>
        <w:numPr>
          <w:ilvl w:val="1"/>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subsequent issuance or transfer of Equity Interests that results in any such Indebtedness being held by a Person other than the Company or a Restricted Subsidiary of the Company and (ii) any sale or other transfer of any such Indebtedness to a Person that is not either the Company or a Restricted Subsidiary of the Company, will be deemed, in each case, to constitute an incurrence of such Indebtedness by the Company or such Restricted Subsidiary, as the case may be, that was not permitted by this clause (5);</w:t>
      </w:r>
    </w:p>
    <w:p>
      <w:pPr>
        <w:spacing w:after="0" w:line="63" w:lineRule="exact"/>
        <w:rPr>
          <w:rFonts w:ascii="Arial" w:cs="Arial" w:eastAsia="Arial" w:hAnsi="Arial"/>
          <w:sz w:val="17"/>
          <w:szCs w:val="17"/>
          <w:color w:val="auto"/>
        </w:rPr>
      </w:pPr>
    </w:p>
    <w:p>
      <w:pPr>
        <w:ind w:right="200" w:firstLine="443"/>
        <w:spacing w:after="0" w:line="277" w:lineRule="auto"/>
        <w:tabs>
          <w:tab w:leader="none" w:pos="6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issuance by any of the Company’s Restricted Subsidiaries to the Company or to any of its Restricted Subsidiaries of shares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460" w:right="260" w:firstLine="421"/>
        <w:spacing w:after="0" w:line="277" w:lineRule="auto"/>
        <w:tabs>
          <w:tab w:leader="none" w:pos="117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62" w:lineRule="exact"/>
        <w:rPr>
          <w:rFonts w:ascii="Arial" w:cs="Arial" w:eastAsia="Arial" w:hAnsi="Arial"/>
          <w:sz w:val="18"/>
          <w:szCs w:val="18"/>
          <w:color w:val="auto"/>
        </w:rPr>
      </w:pPr>
    </w:p>
    <w:p>
      <w:pPr>
        <w:ind w:left="460" w:firstLine="421"/>
        <w:spacing w:after="0" w:line="264" w:lineRule="auto"/>
        <w:tabs>
          <w:tab w:leader="none" w:pos="116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the Company or a Restricted Subsidiary of the Company, will be deemed, in each case, to constitute an issuance of such preferred stock by such Restricted Subsidiary that was not permitted by this clause (6);</w:t>
      </w:r>
    </w:p>
    <w:p>
      <w:pPr>
        <w:spacing w:after="0" w:line="73" w:lineRule="exact"/>
        <w:rPr>
          <w:rFonts w:ascii="Arial" w:cs="Arial" w:eastAsia="Arial" w:hAnsi="Arial"/>
          <w:sz w:val="18"/>
          <w:szCs w:val="18"/>
          <w:color w:val="auto"/>
        </w:rPr>
      </w:pPr>
    </w:p>
    <w:p>
      <w:pPr>
        <w:ind w:right="100" w:firstLine="443"/>
        <w:spacing w:after="0" w:line="264" w:lineRule="auto"/>
        <w:tabs>
          <w:tab w:leader="none" w:pos="6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 and entered into for bona fide hedging purposes (and not for speculative purposes) as determined in good faith by the Board of Directors or senior management of the Company;</w:t>
      </w:r>
    </w:p>
    <w:p>
      <w:pPr>
        <w:spacing w:after="0" w:line="73" w:lineRule="exact"/>
        <w:rPr>
          <w:rFonts w:ascii="Arial" w:cs="Arial" w:eastAsia="Arial" w:hAnsi="Arial"/>
          <w:sz w:val="18"/>
          <w:szCs w:val="18"/>
          <w:color w:val="auto"/>
        </w:rPr>
      </w:pPr>
    </w:p>
    <w:p>
      <w:pPr>
        <w:ind w:right="60" w:firstLine="443"/>
        <w:spacing w:after="0" w:line="312" w:lineRule="auto"/>
        <w:tabs>
          <w:tab w:leader="none" w:pos="693"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guarantee by the Company or any of the Guarantors of Indebtedness of the Company or a Restricted Subsidiary of the Company that was permitted to be incurred by another provision of this Section 4.09;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Indebtedness being guaranteed is subordinated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then the Guarantee shall be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as applicable, to the same extent as the Indebtedness guaranteed;</w:t>
      </w:r>
    </w:p>
    <w:p>
      <w:pPr>
        <w:spacing w:after="0" w:line="38" w:lineRule="exact"/>
        <w:rPr>
          <w:rFonts w:ascii="Arial" w:cs="Arial" w:eastAsia="Arial" w:hAnsi="Arial"/>
          <w:sz w:val="16"/>
          <w:szCs w:val="16"/>
          <w:color w:val="auto"/>
        </w:rPr>
      </w:pPr>
    </w:p>
    <w:p>
      <w:pPr>
        <w:ind w:right="80" w:firstLine="443"/>
        <w:spacing w:after="0" w:line="276" w:lineRule="auto"/>
        <w:tabs>
          <w:tab w:leader="none" w:pos="693"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Indebtedness incurred by the Company or any of its Restricted Subsidiaries constituting reimbursement obligations with respect to letters of credit issued or incurred in the ordinary course of business, including without limitation letters of credit or bank guarantees in respect of workers’ compensation claims or self-insurance, or other Indebtedness with respect to reimbursement type obligations regarding workers’ compensation claims or self-insurance;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either upon the drawing of such letters of credit or bank guarantees or the incurrence of such Indebtedness, such obligations are reimbursed within 30 days following such drawing or incurrence or self-insurance;</w:t>
      </w:r>
    </w:p>
    <w:p>
      <w:pPr>
        <w:spacing w:after="0" w:line="64"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in respect of workers’ compensation claims, health and other types of social security benefits, unemployment and other self-insurance obligations, bankers’ acceptances, performance, surety and bid bonds, cash management obligations and netting, overdraft protection and other similar facilities or arrangements and completion guarantees in the ordinary course of business;</w:t>
      </w:r>
    </w:p>
    <w:p>
      <w:pPr>
        <w:spacing w:after="0" w:line="78" w:lineRule="exact"/>
        <w:rPr>
          <w:rFonts w:ascii="Arial" w:cs="Arial" w:eastAsia="Arial" w:hAnsi="Arial"/>
          <w:sz w:val="18"/>
          <w:szCs w:val="18"/>
          <w:color w:val="auto"/>
        </w:rPr>
      </w:pPr>
    </w:p>
    <w:p>
      <w:pPr>
        <w:ind w:right="160" w:firstLine="443"/>
        <w:spacing w:after="0" w:line="264" w:lineRule="auto"/>
        <w:tabs>
          <w:tab w:leader="none" w:pos="7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73" w:lineRule="exact"/>
        <w:rPr>
          <w:rFonts w:ascii="Arial" w:cs="Arial" w:eastAsia="Arial" w:hAnsi="Arial"/>
          <w:sz w:val="18"/>
          <w:szCs w:val="18"/>
          <w:color w:val="auto"/>
        </w:rPr>
      </w:pPr>
    </w:p>
    <w:p>
      <w:pPr>
        <w:ind w:right="40" w:firstLine="443"/>
        <w:spacing w:after="0" w:line="286" w:lineRule="auto"/>
        <w:tabs>
          <w:tab w:leader="none" w:pos="783"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arising from agreements of the Company or any of its Restricted Subsidiaries providing for indemnification, guarantees, adjustment of purchase price, earn-outs or similar obligations, in each case, incurred in connection with the acquisition or disposition of any Restricted Subsidiary, business, property or asset;</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00"/>
          </w:cols>
          <w:pgMar w:left="700" w:top="274" w:right="299" w:bottom="1440" w:gutter="0" w:footer="0" w:header="0"/>
        </w:sectPr>
      </w:pPr>
    </w:p>
    <w:bookmarkStart w:id="58" w:name="page59"/>
    <w:bookmarkEnd w:id="58"/>
    <w:p>
      <w:pPr>
        <w:ind w:left="460" w:right="60" w:firstLine="443"/>
        <w:spacing w:after="0" w:line="259" w:lineRule="auto"/>
        <w:tabs>
          <w:tab w:leader="none" w:pos="1243"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incurrence by Foreign Subsidiaries of Indebtedness in an aggregate principal amount at any time outstanding, including all Permitted Refinancing Indebtedness incurred to renew, refund, refinance, replace, defease or discharge any Indebtedness incurred pursuant to this clause (13), not to exceed the greater of (x) $50.0 million (or the equivalent thereof, measured at the time of each incurrence, in applicable foreign currency) and (y) an amount equal to the Foreign Borrowing Base as of the date of such occurrence;</w:t>
      </w:r>
    </w:p>
    <w:p>
      <w:pPr>
        <w:spacing w:after="0" w:line="78" w:lineRule="exact"/>
        <w:rPr>
          <w:rFonts w:ascii="Arial" w:cs="Arial" w:eastAsia="Arial" w:hAnsi="Arial"/>
          <w:sz w:val="18"/>
          <w:szCs w:val="18"/>
          <w:color w:val="auto"/>
        </w:rPr>
      </w:pPr>
    </w:p>
    <w:p>
      <w:pPr>
        <w:ind w:left="460" w:right="460" w:firstLine="443"/>
        <w:spacing w:after="0" w:line="342" w:lineRule="auto"/>
        <w:tabs>
          <w:tab w:leader="none" w:pos="1243"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Indebtedness to the extent the net proceeds thereof are promptly deposited in trust to defease the Notes or to satisfy and discharge this Indenture, in each case in accordance with the terms of this Indenture;</w:t>
      </w:r>
    </w:p>
    <w:p>
      <w:pPr>
        <w:spacing w:after="0" w:line="15" w:lineRule="exact"/>
        <w:rPr>
          <w:rFonts w:ascii="Arial" w:cs="Arial" w:eastAsia="Arial" w:hAnsi="Arial"/>
          <w:sz w:val="16"/>
          <w:szCs w:val="16"/>
          <w:color w:val="auto"/>
        </w:rPr>
      </w:pPr>
    </w:p>
    <w:p>
      <w:pPr>
        <w:ind w:left="460" w:right="140" w:firstLine="443"/>
        <w:spacing w:after="0" w:line="293" w:lineRule="auto"/>
        <w:tabs>
          <w:tab w:leader="none" w:pos="1243"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Indebtedness of the Company or any Guarantor incurred to finance an acquisition, merger, consolidation or amalgamation, including all Permitted Refinancing Indebtedness incurred to renew, refund, refinance, replace, defease or discharge any Indebtedness incurred pursuant to this clause (15);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the date of such acquisition, merger, consolidation or amalgamation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as if the same had occurred at the beginning of the applicable four-quarter period, the Company would either (A) be permitted to incur at least $1.00 of additional Indebtedness pursuant to the Fixed Charge Coverage Ratio test set forth in Section 4.09(a) or (B) have a Fixed Charge Coverage Ratio of not less than the Fixed Charge Coverage Ratio of the Company immediately prior to such acquisition, merger, consolidation or amalgamation;</w:t>
      </w:r>
    </w:p>
    <w:p>
      <w:pPr>
        <w:spacing w:after="0" w:line="56" w:lineRule="exact"/>
        <w:rPr>
          <w:rFonts w:ascii="Arial" w:cs="Arial" w:eastAsia="Arial" w:hAnsi="Arial"/>
          <w:sz w:val="16"/>
          <w:szCs w:val="16"/>
          <w:color w:val="auto"/>
        </w:rPr>
      </w:pPr>
    </w:p>
    <w:p>
      <w:pPr>
        <w:ind w:left="460" w:right="20" w:firstLine="443"/>
        <w:spacing w:after="0" w:line="264" w:lineRule="auto"/>
        <w:tabs>
          <w:tab w:leader="none" w:pos="12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owed on a short-term basis of not longer than 30 days to banks and other financial institutions incurred in the ordinary course of business with such banks or financial institutions in connection with ordinary banking arrangements to manage cash balances of the Company or the Restricted Subsidiaries;</w:t>
      </w:r>
    </w:p>
    <w:p>
      <w:pPr>
        <w:spacing w:after="0" w:line="73" w:lineRule="exact"/>
        <w:rPr>
          <w:rFonts w:ascii="Arial" w:cs="Arial" w:eastAsia="Arial" w:hAnsi="Arial"/>
          <w:sz w:val="18"/>
          <w:szCs w:val="18"/>
          <w:color w:val="auto"/>
        </w:rPr>
      </w:pPr>
    </w:p>
    <w:p>
      <w:pPr>
        <w:ind w:left="460" w:right="60" w:firstLine="443"/>
        <w:spacing w:after="0" w:line="277" w:lineRule="auto"/>
        <w:tabs>
          <w:tab w:leader="none" w:pos="12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(not including any Additional Notes) issued on the Issue Date and the related Notes Guarantees; and</w:t>
      </w:r>
    </w:p>
    <w:p>
      <w:pPr>
        <w:spacing w:after="0" w:line="62" w:lineRule="exact"/>
        <w:rPr>
          <w:rFonts w:ascii="Arial" w:cs="Arial" w:eastAsia="Arial" w:hAnsi="Arial"/>
          <w:sz w:val="18"/>
          <w:szCs w:val="18"/>
          <w:color w:val="auto"/>
        </w:rPr>
      </w:pPr>
    </w:p>
    <w:p>
      <w:pPr>
        <w:ind w:left="460" w:right="200" w:firstLine="443"/>
        <w:spacing w:after="0" w:line="312" w:lineRule="auto"/>
        <w:tabs>
          <w:tab w:leader="none" w:pos="1243"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additional Indebtedness, Disqualified Stock or preferred stock in an aggregate principal amount (or accreted value, as applicable) at any time outstanding, including all Permitted Refinancing Indebtedness incurred to renew, refund, refinance, replace, defease or discharge any Indebtedness incurred pursuant to this clause (18), not to exceed $100.0 million.</w:t>
      </w:r>
    </w:p>
    <w:p>
      <w:pPr>
        <w:spacing w:after="0" w:line="14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The Company will not incur, and will not permit any Guarantor to incur, any Indebtedness (including Permitted Debt) that is contractually subordinated in right of payment to any other Indebtedness of the Company or such Guarantor unless such Indebtedness is also contractually subordinated in right of payment to the Notes and the applicable Note Guarantee on substantially identical terms;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Indebtedness will be deemed to be contractually subordinated in right of payment to any other Indebtedness of the Company solely by virtue of being unsecured or by virtue of being secured on a first or junior Lien basis.</w:t>
      </w:r>
    </w:p>
    <w:p>
      <w:pPr>
        <w:spacing w:after="0" w:line="18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For purposes of determining compliance with this Section 4.09, in the event that an item of proposed Indebtedness, Disqualified Stock or preferred stock meets the criteria of more than one of the categories of Permitted Debt described in clauses (1) through (18) above, or is entitled to be incurred pursuant to Section 4.09(a) hereof, the Company will be permitted to classify such item of Indebtedness, Disqualified Stock or preferred stock on the date of its incurrence, or later reclassify all or any portion of such item of Indebtedness, Disqualified Stock or preferred stock in any manner that complies with this Section 4.09. Notwithstanding the foregoing, Indebtedness under Credit Facilities that is outstanding on the date on which Notes are first issued and authenticated under this Indenture will at all times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4.09;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of any such accrual, accretion or payment is included in Fixed Charges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9" w:name="page60"/>
    <w:bookmarkEnd w:id="59"/>
    <w:p>
      <w:pPr>
        <w:jc w:val="both"/>
        <w:ind w:right="5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Company as accrued. Notwithstanding any other provision of this Section 4.09, the maximum amount of Indebtedness that the Company or any Restricted Subsidiary may incur pursuant to this Section 4.09 shall not be deemed to be exceeded solely as a result of fluctuations in exchange rates or currency values.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Asset Sales.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117" w:lineRule="exact"/>
        <w:rPr>
          <w:sz w:val="20"/>
          <w:szCs w:val="20"/>
          <w:color w:val="auto"/>
        </w:rPr>
      </w:pPr>
    </w:p>
    <w:p>
      <w:pPr>
        <w:ind w:left="460" w:right="220" w:firstLine="443"/>
        <w:spacing w:after="0" w:line="277" w:lineRule="auto"/>
        <w:tabs>
          <w:tab w:leader="none" w:pos="11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the Asset Sale at least equal to the Fair Market Value of the assets or Equity Interests issued or sold or otherwise disposed of; and</w:t>
      </w:r>
    </w:p>
    <w:p>
      <w:pPr>
        <w:spacing w:after="0" w:line="62" w:lineRule="exact"/>
        <w:rPr>
          <w:rFonts w:ascii="Arial" w:cs="Arial" w:eastAsia="Arial" w:hAnsi="Arial"/>
          <w:sz w:val="18"/>
          <w:szCs w:val="18"/>
          <w:color w:val="auto"/>
        </w:rPr>
      </w:pPr>
    </w:p>
    <w:p>
      <w:pPr>
        <w:ind w:left="460" w:right="440" w:firstLine="443"/>
        <w:spacing w:after="0" w:line="277" w:lineRule="auto"/>
        <w:tabs>
          <w:tab w:leader="none" w:pos="11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or Cash Equivalents. For purposes of this provision, each of the following will be deemed to be cash:</w:t>
      </w:r>
    </w:p>
    <w:p>
      <w:pPr>
        <w:spacing w:after="0" w:line="62" w:lineRule="exact"/>
        <w:rPr>
          <w:rFonts w:ascii="Arial" w:cs="Arial" w:eastAsia="Arial" w:hAnsi="Arial"/>
          <w:sz w:val="18"/>
          <w:szCs w:val="18"/>
          <w:color w:val="auto"/>
        </w:rPr>
      </w:pPr>
    </w:p>
    <w:p>
      <w:pPr>
        <w:ind w:left="920" w:right="40" w:firstLine="421"/>
        <w:spacing w:after="0" w:line="286" w:lineRule="auto"/>
        <w:tabs>
          <w:tab w:leader="none" w:pos="1635" w:val="left"/>
        </w:tabs>
        <w:numPr>
          <w:ilvl w:val="1"/>
          <w:numId w:val="97"/>
        </w:numPr>
        <w:rPr>
          <w:rFonts w:ascii="Arial" w:cs="Arial" w:eastAsia="Arial" w:hAnsi="Arial"/>
          <w:sz w:val="17"/>
          <w:szCs w:val="17"/>
          <w:color w:val="auto"/>
        </w:rPr>
      </w:pPr>
      <w:r>
        <w:rPr>
          <w:rFonts w:ascii="Arial" w:cs="Arial" w:eastAsia="Arial" w:hAnsi="Arial"/>
          <w:sz w:val="17"/>
          <w:szCs w:val="17"/>
          <w:color w:val="auto"/>
        </w:rPr>
        <w:t>any liabilities, as shown on the Company’s most recent consolidated balance sheet, of the Company or any Restricted Subsidiary (other than contingent liabilities and liabilities that are by their terms subordinated to the Notes or any Note Guarantee) that are assumed by the transferee of any such assets and for which the Company or such Restricted Subsidiary has been released in writing;</w:t>
      </w:r>
    </w:p>
    <w:p>
      <w:pPr>
        <w:spacing w:after="0" w:line="57" w:lineRule="exact"/>
        <w:rPr>
          <w:rFonts w:ascii="Arial" w:cs="Arial" w:eastAsia="Arial" w:hAnsi="Arial"/>
          <w:sz w:val="17"/>
          <w:szCs w:val="17"/>
          <w:color w:val="auto"/>
        </w:rPr>
      </w:pPr>
    </w:p>
    <w:p>
      <w:pPr>
        <w:ind w:left="920" w:right="20" w:firstLine="421"/>
        <w:spacing w:after="0" w:line="264" w:lineRule="auto"/>
        <w:tabs>
          <w:tab w:leader="none" w:pos="16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converted by the Company or such Restricted Subsidiary into cash or Cash Equivalents within 180 days of the receipt thereof, to the extent of the cash or Cash Equivalents received in that conversion;</w:t>
      </w:r>
    </w:p>
    <w:p>
      <w:pPr>
        <w:spacing w:after="0" w:line="73" w:lineRule="exact"/>
        <w:rPr>
          <w:rFonts w:ascii="Arial" w:cs="Arial" w:eastAsia="Arial" w:hAnsi="Arial"/>
          <w:sz w:val="18"/>
          <w:szCs w:val="18"/>
          <w:color w:val="auto"/>
        </w:rPr>
      </w:pPr>
    </w:p>
    <w:p>
      <w:pPr>
        <w:ind w:left="920" w:right="100" w:firstLine="421"/>
        <w:spacing w:after="0" w:line="257" w:lineRule="auto"/>
        <w:tabs>
          <w:tab w:leader="none" w:pos="16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Designated Non-cash Consideration received by the Company or such Restricted Subsidiary in such Asset Sale having an aggregate fair market value, taken together with all other Designated Non-cash Consideration received pursuant to this clause (C) that is at that time outstanding, not to exceed $150.0 million at the time of the receipt of such Designated Non-cash Consideration, with the Fair Market Value of each item of Designated Non-cash Consideration being measured at the time received and without giving effect to subsequent changes in value; and</w:t>
      </w:r>
    </w:p>
    <w:p>
      <w:pPr>
        <w:spacing w:after="0" w:line="80" w:lineRule="exact"/>
        <w:rPr>
          <w:rFonts w:ascii="Arial" w:cs="Arial" w:eastAsia="Arial" w:hAnsi="Arial"/>
          <w:sz w:val="18"/>
          <w:szCs w:val="18"/>
          <w:color w:val="auto"/>
        </w:rPr>
      </w:pPr>
    </w:p>
    <w:p>
      <w:pPr>
        <w:ind w:left="1640" w:hanging="299"/>
        <w:spacing w:after="0"/>
        <w:tabs>
          <w:tab w:leader="none" w:pos="16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stock or assets of the kind referred to in clauses (2) or (4) of the second succeeding paragraph of this Section 4.10.</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Within 365 days after the receipt of any Net Proceeds from an Asset Sale, the Company (or the applicable Restricted Subsidiary, as the case may be) may apply such Net Proceeds:</w:t>
      </w:r>
    </w:p>
    <w:p>
      <w:pPr>
        <w:spacing w:after="0" w:line="62" w:lineRule="exact"/>
        <w:rPr>
          <w:sz w:val="20"/>
          <w:szCs w:val="20"/>
          <w:color w:val="auto"/>
        </w:rPr>
      </w:pPr>
    </w:p>
    <w:p>
      <w:pPr>
        <w:ind w:left="460" w:right="40" w:firstLine="443"/>
        <w:spacing w:after="0" w:line="259"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prepay, repay or purchase (x) Indebtedness and other Obligations under the Credit Agreement or (y) any other Indebtedness that is secured; provided that in connection with any prepayment, repayment or purchase of Indebtedness pursuant to this clause (1), the Company or such Restricted Subsidiary shall retire such Indebtedness and shall cause the related commitment (if any) to be permanently reduced in an amount equal to the principal amount so prepaid, repaid or purchased;</w:t>
      </w:r>
    </w:p>
    <w:p>
      <w:pPr>
        <w:spacing w:after="0" w:line="78"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or a majority of the Capital Stock of, another Permitted Business, if, after giving effect to any such acquisition of Capital Stock, the Permitted Business is or becomes a Restricted Subsidiary of the Company;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make a capital expenditure or purchase construction or industrial equipment;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acquire or license other assets (other than Capital Stock) and that are used or useful in a Permitted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acquire Replacement Assets;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60" w:name="page61"/>
    <w:bookmarkEnd w:id="60"/>
    <w:p>
      <w:pPr>
        <w:ind w:left="460" w:right="140" w:firstLine="443"/>
        <w:spacing w:after="0" w:line="277"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repay Indebtedness of a Restricted Subsidiary that is not a Guarantor, other than Indebtedness owed to the Company or another Restricted Subsidiary.</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170" w:lineRule="exact"/>
        <w:rPr>
          <w:sz w:val="20"/>
          <w:szCs w:val="20"/>
          <w:color w:val="auto"/>
        </w:rPr>
      </w:pPr>
    </w:p>
    <w:p>
      <w:pPr>
        <w:ind w:right="80" w:firstLine="913"/>
        <w:spacing w:after="0" w:line="269" w:lineRule="auto"/>
        <w:rPr>
          <w:sz w:val="20"/>
          <w:szCs w:val="20"/>
          <w:color w:val="auto"/>
        </w:rPr>
      </w:pPr>
      <w:r>
        <w:rPr>
          <w:rFonts w:ascii="Arial" w:cs="Arial" w:eastAsia="Arial" w:hAnsi="Arial"/>
          <w:sz w:val="17"/>
          <w:szCs w:val="17"/>
          <w:color w:val="auto"/>
        </w:rPr>
        <w:t>Any Net Proceeds from Asset Sales that are not applied or invested as described above will constitute “</w:t>
      </w:r>
      <w:r>
        <w:rPr>
          <w:rFonts w:ascii="Arial" w:cs="Arial" w:eastAsia="Arial" w:hAnsi="Arial"/>
          <w:sz w:val="17"/>
          <w:szCs w:val="17"/>
          <w:b w:val="1"/>
          <w:bCs w:val="1"/>
          <w:i w:val="1"/>
          <w:iCs w:val="1"/>
          <w:color w:val="auto"/>
        </w:rPr>
        <w:t>Excess Proceeds</w:t>
      </w:r>
      <w:r>
        <w:rPr>
          <w:rFonts w:ascii="Arial" w:cs="Arial" w:eastAsia="Arial" w:hAnsi="Arial"/>
          <w:sz w:val="17"/>
          <w:szCs w:val="17"/>
          <w:color w:val="auto"/>
        </w:rPr>
        <w:t xml:space="preserve">.” When the aggregate amount of Excess Proceeds exceeds $25.0 million, within 30 days thereof, unless waived or modified with the consent of the Holders of at least a majority in aggregate principal amount of the Notes then outstanding, the Company will make an Asset Sale Offer to all Holders of Notes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this Indenture with respect to offers to purchase or redeem with the proceeds of sales of assets in accordance with Section 3.09 hereof to purchase the maximum principal amount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that may be purchased out of the Excess Proceeds. The offer price in any Asset Sale Offer will be equal to 100% of the principal amount plus accrued and unpaid interest, if any, to the date of purchase, and will be payable in cash. If any Excess Proceeds remain after consummation of an Asset Sale Offer, the Company may use those Excess Proceeds for any purpose not otherwise prohibited by this Indenture. If the aggregate principal amount of Notes and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tendered into such Asset Sale Offer exceeds the amount of Excess Proceeds, the Company will select the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to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completion of each Asset Sale Offer, the amount of Excess Proceeds will be reset at zero.</w:t>
      </w:r>
    </w:p>
    <w:p>
      <w:pPr>
        <w:spacing w:after="0" w:line="18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Section 3.09 hereof or this Section 4.10, the Company will comply with the applicable securities laws and regulations and will not be deemed to have breached its obligations under Section 3.09 hereof or this Section 4.10 by virtue of such compliance.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w:t>
      </w:r>
    </w:p>
    <w:p>
      <w:pPr>
        <w:spacing w:after="0" w:line="117" w:lineRule="exact"/>
        <w:rPr>
          <w:sz w:val="20"/>
          <w:szCs w:val="20"/>
          <w:color w:val="auto"/>
        </w:rPr>
      </w:pPr>
    </w:p>
    <w:p>
      <w:pPr>
        <w:jc w:val="both"/>
        <w:ind w:right="340" w:firstLine="921"/>
        <w:spacing w:after="0" w:line="312" w:lineRule="auto"/>
        <w:tabs>
          <w:tab w:leader="none" w:pos="115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6"/>
          <w:szCs w:val="16"/>
          <w:b w:val="1"/>
          <w:bCs w:val="1"/>
          <w:i w:val="1"/>
          <w:iCs w:val="1"/>
          <w:color w:val="auto"/>
        </w:rPr>
        <w:t>Affiliate Transaction</w:t>
      </w:r>
      <w:r>
        <w:rPr>
          <w:rFonts w:ascii="Arial" w:cs="Arial" w:eastAsia="Arial" w:hAnsi="Arial"/>
          <w:sz w:val="16"/>
          <w:szCs w:val="16"/>
          <w:color w:val="auto"/>
        </w:rPr>
        <w:t>”), unless:</w:t>
      </w:r>
    </w:p>
    <w:p>
      <w:pPr>
        <w:spacing w:after="0" w:line="38" w:lineRule="exact"/>
        <w:rPr>
          <w:rFonts w:ascii="Arial" w:cs="Arial" w:eastAsia="Arial" w:hAnsi="Arial"/>
          <w:sz w:val="16"/>
          <w:szCs w:val="16"/>
          <w:color w:val="auto"/>
        </w:rPr>
      </w:pPr>
    </w:p>
    <w:p>
      <w:pPr>
        <w:ind w:left="460" w:right="160" w:firstLine="443"/>
        <w:spacing w:after="0" w:line="264"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Affiliate Transaction is on terms that, when taken as a whole, are not materially less favorable to the Company or the relevant Restricted Subsidiary than those that would have been obtained in a comparable transaction by the Company or such Restricted Subsidiary with an unrelated Person;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 with respect to any Affiliate Transaction or series of related Affiliate Transactions involving aggregate consideration in excess of</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$25.0 million, a resolution of the Board of Directors of the Company set forth in an Officer’s Certificate certifying that such Affiliate Transaction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complies with clause (1) of this Section 4.11(a) and that such Affiliate Transaction has been approved by a majority of the disinterested members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 the Board of Directors of the Company; and</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(B) with respect to any Affiliate Transaction or series of related Affiliate Transactions involving aggregate consideration in excess of</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$50.0 million, an opinion as to the fairness to the Company or such Restricted Subsidiary of such Affiliate Transaction from a financial point of</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view issued by an accounting, appraisal or investment banking firm of national standing.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61" w:name="page62"/>
    <w:bookmarkEnd w:id="61"/>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following items will not be deemed to be Affiliate Transactions and, therefore, will not be subject to the provisions of Section 4.11(a)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03" w:lineRule="exact"/>
        <w:rPr>
          <w:sz w:val="20"/>
          <w:szCs w:val="20"/>
          <w:color w:val="auto"/>
        </w:rPr>
      </w:pPr>
    </w:p>
    <w:p>
      <w:pPr>
        <w:ind w:left="460" w:right="100" w:firstLine="443"/>
        <w:spacing w:after="0" w:line="259"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employment agreement, employee benefit plan, indemnification agreement or arrangement for directors, officers, employees, agents and consultants, stock option, stock repurchase agreement, consulting agreement, severance agreement, insurance plan or any similar agreement, plan or arrangement, in each case entered into by the Company or any of its Restricted Subsidiaries in the ordinary course of business and payments pursuant thereto;</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117" w:lineRule="exact"/>
        <w:rPr>
          <w:rFonts w:ascii="Arial" w:cs="Arial" w:eastAsia="Arial" w:hAnsi="Arial"/>
          <w:sz w:val="18"/>
          <w:szCs w:val="18"/>
          <w:color w:val="auto"/>
        </w:rPr>
      </w:pPr>
    </w:p>
    <w:p>
      <w:pPr>
        <w:ind w:left="460" w:right="400" w:firstLine="443"/>
        <w:spacing w:after="0" w:line="277"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the Company) that is an Affiliate of the Company solely because the Company owns, directly or through a Restricted Subsidiary, an Equity Interest in, or controls, such Person;</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payment of reasonable directors’ fees;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fees paid or payable in any calendar year to any director who is an Affiliate of the Company in a capacity other than as a director of the Company shall not be greater than the aggregate fees paid or payable in such year to any other director who is not otherwise an Affiliate of the Company;</w:t>
      </w:r>
    </w:p>
    <w:p>
      <w:pPr>
        <w:spacing w:after="0" w:line="73"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directors, officers or employees of the Company or its Restricted Subsidiaries or to holders of Equity Interests in the Company;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Payments and Permitted Investments that do not violate Section 4.07 hereof;</w:t>
      </w:r>
    </w:p>
    <w:p>
      <w:pPr>
        <w:spacing w:after="0" w:line="117"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loans and advances paid to officers, directors or employees of the Company or any of its Restricted Subsidiaries in the ordinary course of business in accordance with past practice of the Company or such Restricted Subsidiary;</w:t>
      </w:r>
    </w:p>
    <w:p>
      <w:pPr>
        <w:spacing w:after="0" w:line="62" w:lineRule="exact"/>
        <w:rPr>
          <w:rFonts w:ascii="Arial" w:cs="Arial" w:eastAsia="Arial" w:hAnsi="Arial"/>
          <w:sz w:val="18"/>
          <w:szCs w:val="18"/>
          <w:color w:val="auto"/>
        </w:rPr>
      </w:pPr>
    </w:p>
    <w:p>
      <w:pPr>
        <w:jc w:val="both"/>
        <w:ind w:left="460" w:right="20" w:firstLine="443"/>
        <w:spacing w:after="0" w:line="259"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entered into after the Reversion Date pursuant to a contract, agreement, loan, advance or guaranty with, or for the benefit of, any Affiliate of the Company entered into during the Suspension Period, or as the same may be amended, modified or replaced from time to time so long as any such amendment, modification or replacement is not materially less favorable to the Company or the Holders of Notes than the applicable contract, agreement, loan, advance or guaranty entered into during the Suspension Period;</w:t>
      </w:r>
    </w:p>
    <w:p>
      <w:pPr>
        <w:spacing w:after="0" w:line="78" w:lineRule="exact"/>
        <w:rPr>
          <w:rFonts w:ascii="Arial" w:cs="Arial" w:eastAsia="Arial" w:hAnsi="Arial"/>
          <w:sz w:val="18"/>
          <w:szCs w:val="18"/>
          <w:color w:val="auto"/>
        </w:rPr>
      </w:pPr>
    </w:p>
    <w:p>
      <w:pPr>
        <w:ind w:left="460" w:right="20" w:firstLine="443"/>
        <w:spacing w:after="0" w:line="293" w:lineRule="auto"/>
        <w:tabs>
          <w:tab w:leader="none" w:pos="115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transactions with Affiliates that are customers, suppliers, contractors, joint venture partners or purchasers or sellers of goods or services, in each case which are in the ordinary course of business and otherwise in compliance with the terms of this Indenture, and which are fair to the Company and its Restricted Subsidiaries, as applicable, in the reasonable determination of the Board of Directors, chief executive officer or chief financial officer of the Company or its Restricted Subsidiaries, as applicable, or are on terms that, taken as a whole, are materially not less favorable to the Company or such Restricted Subsidiary than could be obtained, at the time of such transaction or, if such transaction is pursuant to a written agreement, at the time of the execution of the agreement providing therefor, in a comparable arm’s-length transaction with a Person that is not an Affiliate;</w:t>
      </w:r>
    </w:p>
    <w:p>
      <w:pPr>
        <w:spacing w:after="0" w:line="56" w:lineRule="exact"/>
        <w:rPr>
          <w:rFonts w:ascii="Arial" w:cs="Arial" w:eastAsia="Arial" w:hAnsi="Arial"/>
          <w:sz w:val="16"/>
          <w:szCs w:val="16"/>
          <w:color w:val="auto"/>
        </w:rPr>
      </w:pPr>
    </w:p>
    <w:p>
      <w:pPr>
        <w:ind w:left="1240" w:hanging="337"/>
        <w:spacing w:after="0"/>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permitted under Section 5.01 hereof;</w:t>
      </w:r>
    </w:p>
    <w:p>
      <w:pPr>
        <w:spacing w:after="0" w:line="117" w:lineRule="exact"/>
        <w:rPr>
          <w:rFonts w:ascii="Arial" w:cs="Arial" w:eastAsia="Arial" w:hAnsi="Arial"/>
          <w:sz w:val="18"/>
          <w:szCs w:val="18"/>
          <w:color w:val="auto"/>
        </w:rPr>
      </w:pPr>
    </w:p>
    <w:p>
      <w:pPr>
        <w:ind w:left="460" w:right="140" w:firstLine="443"/>
        <w:spacing w:after="0" w:line="264" w:lineRule="auto"/>
        <w:tabs>
          <w:tab w:leader="none" w:pos="12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transactions between the Company or any of its Restricted Subsidiaries and any Person that is an Affiliate of the Company or any of its Restricted Subsidiaries solely because a director of such Person is also a director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director abstains from voting as a director on any matter involving such other Person; and</w:t>
      </w:r>
    </w:p>
    <w:p>
      <w:pPr>
        <w:spacing w:after="0" w:line="73" w:lineRule="exact"/>
        <w:rPr>
          <w:rFonts w:ascii="Arial" w:cs="Arial" w:eastAsia="Arial" w:hAnsi="Arial"/>
          <w:sz w:val="18"/>
          <w:szCs w:val="18"/>
          <w:color w:val="auto"/>
        </w:rPr>
      </w:pPr>
    </w:p>
    <w:p>
      <w:pPr>
        <w:ind w:left="460" w:right="20" w:firstLine="443"/>
        <w:spacing w:after="0" w:line="264" w:lineRule="auto"/>
        <w:tabs>
          <w:tab w:leader="none" w:pos="124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with any Person solely in its capacity as a holder of Indebtedness or Capital Stock of the Company or any of its Restricted Subsidiaries if such transaction provides for equal treatment of such Person and all other holders, in their capacity as holders, of the same series of such Indebtedness or of the same class of such Capital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62" w:name="page63"/>
    <w:bookmarkEnd w:id="6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4.12. </w:t>
      </w:r>
      <w:r>
        <w:rPr>
          <w:rFonts w:ascii="Arial" w:cs="Arial" w:eastAsia="Arial" w:hAnsi="Arial"/>
          <w:sz w:val="18"/>
          <w:szCs w:val="18"/>
          <w:i w:val="1"/>
          <w:iCs w:val="1"/>
          <w:color w:val="auto"/>
        </w:rPr>
        <w:t>Liens</w:t>
      </w:r>
      <w:r>
        <w:rPr>
          <w:rFonts w:ascii="Arial" w:cs="Arial" w:eastAsia="Arial" w:hAnsi="Arial"/>
          <w:sz w:val="18"/>
          <w:szCs w:val="18"/>
          <w:color w:val="auto"/>
        </w:rPr>
        <w:t>.</w:t>
      </w:r>
    </w:p>
    <w:p>
      <w:pPr>
        <w:spacing w:after="0" w:line="117" w:lineRule="exact"/>
        <w:rPr>
          <w:sz w:val="20"/>
          <w:szCs w:val="20"/>
          <w:color w:val="auto"/>
        </w:rPr>
      </w:pPr>
    </w:p>
    <w:p>
      <w:pPr>
        <w:ind w:right="120" w:firstLine="921"/>
        <w:spacing w:after="0" w:line="297" w:lineRule="auto"/>
        <w:tabs>
          <w:tab w:leader="none" w:pos="115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Restricted Subsidiaries to, create, incur, assume or otherwise cause or suffer to exist or become effective any Lien of any kind upon any of their property or assets securing Indebtedness, now owned or hereafter acquired, unless all payments due under this Indenture and the Notes are secured on an equal and ratable basis with the obligations so secured until such time as such obligations are no longer secured by a Lien. Any Lien created for the benefit of the holders of Notes pursuant to the preceding sentence shall provide that such Lien shall be automatically and unconditionally released upon the release of the other Lien referred to in the preceding sentence. The foregoing shall not apply to:</w:t>
      </w:r>
    </w:p>
    <w:p>
      <w:pPr>
        <w:spacing w:after="0" w:line="50" w:lineRule="exact"/>
        <w:rPr>
          <w:rFonts w:ascii="Arial" w:cs="Arial" w:eastAsia="Arial" w:hAnsi="Arial"/>
          <w:sz w:val="16"/>
          <w:szCs w:val="16"/>
          <w:color w:val="auto"/>
        </w:rPr>
      </w:pPr>
    </w:p>
    <w:p>
      <w:pPr>
        <w:ind w:left="460" w:right="20" w:firstLine="443"/>
        <w:spacing w:after="0" w:line="277" w:lineRule="auto"/>
        <w:tabs>
          <w:tab w:leader="none" w:pos="11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Liens to secure Indebtedness permitted to be incurred under Section 4.09;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(1), at the time of incurrence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the Secured Leverage Ratio shall not exceed 3.25 to 1.00;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Business Activities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engage in any business other than the Permitted Business, except to such extent as would not be material to the Company and its Restricted Subsidiaries taken as a whole.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Corporate Existence</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Subject to Article V hereof, the Company shall do or cause to be done all things necessary to preserve and keep in full force and effect:</w:t>
      </w:r>
    </w:p>
    <w:p>
      <w:pPr>
        <w:spacing w:after="0" w:line="129" w:lineRule="exact"/>
        <w:rPr>
          <w:sz w:val="20"/>
          <w:szCs w:val="20"/>
          <w:color w:val="auto"/>
        </w:rPr>
      </w:pPr>
    </w:p>
    <w:p>
      <w:pPr>
        <w:ind w:left="460" w:right="700" w:firstLine="443"/>
        <w:spacing w:after="0" w:line="308" w:lineRule="auto"/>
        <w:tabs>
          <w:tab w:leader="none" w:pos="115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38" w:lineRule="exact"/>
        <w:rPr>
          <w:rFonts w:ascii="Arial" w:cs="Arial" w:eastAsia="Arial" w:hAnsi="Arial"/>
          <w:sz w:val="17"/>
          <w:szCs w:val="17"/>
          <w:color w:val="auto"/>
        </w:rPr>
      </w:pPr>
    </w:p>
    <w:p>
      <w:pPr>
        <w:ind w:left="460" w:right="120" w:firstLine="443"/>
        <w:spacing w:after="0" w:line="279" w:lineRule="auto"/>
        <w:tabs>
          <w:tab w:leader="none" w:pos="115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the rights (charter and statutory), licenses and franchises of the Company and its Subsidiaries;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i w:val="1"/>
          <w:iCs w:val="1"/>
          <w:color w:val="auto"/>
        </w:rPr>
        <w:t>Offer to Repurchase Upon Change of Control</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5" w:lineRule="auto"/>
        <w:tabs>
          <w:tab w:leader="none" w:pos="115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Upon the occurrence of a Change of Control, the Company will make an offer (a “</w:t>
      </w:r>
      <w:r>
        <w:rPr>
          <w:rFonts w:ascii="Arial" w:cs="Arial" w:eastAsia="Arial" w:hAnsi="Arial"/>
          <w:sz w:val="18"/>
          <w:szCs w:val="18"/>
          <w:b w:val="1"/>
          <w:bCs w:val="1"/>
          <w:i w:val="1"/>
          <w:iCs w:val="1"/>
          <w:color w:val="auto"/>
        </w:rPr>
        <w:t>Change of Control Offer</w:t>
      </w:r>
      <w:r>
        <w:rPr>
          <w:rFonts w:ascii="Arial" w:cs="Arial" w:eastAsia="Arial" w:hAnsi="Arial"/>
          <w:sz w:val="18"/>
          <w:szCs w:val="18"/>
          <w:color w:val="auto"/>
        </w:rPr>
        <w:t>”) to each Holder to repurchase all or any part (equal to $2,000 or an integral multiple of $1,000 in excess thereof) of that Holder’s Notes at a purchase price in cash equal to 101% of the aggregate principal amount of Notes repurchased plus accrued and unpaid interest, if any, on the Notes repurchased to the date of purchase (the “</w:t>
      </w:r>
      <w:r>
        <w:rPr>
          <w:rFonts w:ascii="Arial" w:cs="Arial" w:eastAsia="Arial" w:hAnsi="Arial"/>
          <w:sz w:val="18"/>
          <w:szCs w:val="18"/>
          <w:b w:val="1"/>
          <w:bCs w:val="1"/>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 Payment Date</w:t>
      </w:r>
      <w:r>
        <w:rPr>
          <w:rFonts w:ascii="Arial" w:cs="Arial" w:eastAsia="Arial" w:hAnsi="Arial"/>
          <w:sz w:val="18"/>
          <w:szCs w:val="18"/>
          <w:color w:val="auto"/>
        </w:rPr>
        <w:t>”), subject to the rights of Holders of Notes on the relevant record date to receive interest due on the relevant interest payment date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Payment</w:t>
      </w:r>
      <w:r>
        <w:rPr>
          <w:rFonts w:ascii="Arial" w:cs="Arial" w:eastAsia="Arial" w:hAnsi="Arial"/>
          <w:sz w:val="18"/>
          <w:szCs w:val="18"/>
          <w:color w:val="auto"/>
        </w:rPr>
        <w:t>”). Within 30 days following any Change of Control, the Company will send a notice to each Holder describing the transaction or transactions that constitute the Change of Control and stating:</w:t>
      </w:r>
    </w:p>
    <w:p>
      <w:pPr>
        <w:spacing w:after="0" w:line="85"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4.15 and that all Notes properly tendered and not withdrawn will be accepted for payment;</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purchase price and the Change of Control Payment Date, which shall be no earlier than 30 days and no later than 60 days from the date such notice is sent;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3" w:name="page64"/>
    <w:bookmarkEnd w:id="63"/>
    <w:p>
      <w:pPr>
        <w:ind w:left="460" w:right="120" w:firstLine="443"/>
        <w:spacing w:after="0" w:line="277"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unless the Company defaults in the payment of the Change of Control Payment, all Notes accepted for payment pursuant to the Change of Control Offer will cease to accrue interest on and after the Change of Control Payment Date;</w:t>
      </w:r>
    </w:p>
    <w:p>
      <w:pPr>
        <w:spacing w:after="0" w:line="62" w:lineRule="exact"/>
        <w:rPr>
          <w:rFonts w:ascii="Arial" w:cs="Arial" w:eastAsia="Arial" w:hAnsi="Arial"/>
          <w:sz w:val="18"/>
          <w:szCs w:val="18"/>
          <w:color w:val="auto"/>
        </w:rPr>
      </w:pPr>
    </w:p>
    <w:p>
      <w:pPr>
        <w:ind w:left="460" w:right="320" w:firstLine="443"/>
        <w:spacing w:after="0" w:line="312" w:lineRule="auto"/>
        <w:tabs>
          <w:tab w:leader="none" w:pos="11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that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38" w:lineRule="exact"/>
        <w:rPr>
          <w:rFonts w:ascii="Arial" w:cs="Arial" w:eastAsia="Arial" w:hAnsi="Arial"/>
          <w:sz w:val="16"/>
          <w:szCs w:val="16"/>
          <w:color w:val="auto"/>
        </w:rPr>
      </w:pPr>
    </w:p>
    <w:p>
      <w:pPr>
        <w:ind w:left="460" w:right="420" w:firstLine="443"/>
        <w:spacing w:after="0" w:line="312" w:lineRule="auto"/>
        <w:tabs>
          <w:tab w:leader="none" w:pos="11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a facsimile transmission or letter setting forth the name of the Holder, the principal amount of Notes delivered for purchase, and a statement that such Holder is withdrawing his election to have the Notes purchased; and</w:t>
      </w:r>
    </w:p>
    <w:p>
      <w:pPr>
        <w:spacing w:after="0" w:line="38" w:lineRule="exact"/>
        <w:rPr>
          <w:rFonts w:ascii="Arial" w:cs="Arial" w:eastAsia="Arial" w:hAnsi="Arial"/>
          <w:sz w:val="16"/>
          <w:szCs w:val="16"/>
          <w:color w:val="auto"/>
        </w:rPr>
      </w:pPr>
    </w:p>
    <w:p>
      <w:pPr>
        <w:ind w:left="460" w:right="100" w:firstLine="443"/>
        <w:spacing w:after="0" w:line="342" w:lineRule="auto"/>
        <w:tabs>
          <w:tab w:leader="none" w:pos="11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thereof.</w:t>
      </w:r>
    </w:p>
    <w:p>
      <w:pPr>
        <w:spacing w:after="0" w:line="12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Sections 3.09 or 4.15 hereof, the Company will comply with the applicable securities laws and regulations and will not be deemed to have breached its obligations under Section 3.09 hereof or this Section 4.15 by virtue of such compliance.</w:t>
      </w:r>
    </w:p>
    <w:p>
      <w:pPr>
        <w:spacing w:after="0" w:line="188" w:lineRule="exact"/>
        <w:rPr>
          <w:sz w:val="20"/>
          <w:szCs w:val="20"/>
          <w:color w:val="auto"/>
        </w:rPr>
      </w:pPr>
    </w:p>
    <w:p>
      <w:pPr>
        <w:ind w:left="1180" w:hanging="259"/>
        <w:spacing w:after="0"/>
        <w:tabs>
          <w:tab w:leader="none" w:pos="11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460" w:right="520" w:firstLine="443"/>
        <w:spacing w:after="0" w:line="277" w:lineRule="auto"/>
        <w:tabs>
          <w:tab w:leader="none" w:pos="11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460" w:right="640" w:firstLine="443"/>
        <w:spacing w:after="0" w:line="277" w:lineRule="auto"/>
        <w:tabs>
          <w:tab w:leader="none" w:pos="11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The Paying Agent will promptly deliver to each Holder of Notes properly tendered the Change of Control Payment for such Notes, and the Trustee will promptly authenticate and deliver (or cause to be transferred by book entry) to each Holder a new Note equal in principal amount to any unpurchased portion of the Notes surrendered,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new note will be in a principal amount of $2,000 or an integral multiple of $1,000 in excess thereof. Any notes so accepted for payment will cease to accrue interest on and after the Change of Control Payment Date. The Company will publicly announce the results of the Change of Control Offer on or as soon as practicable after the Change of Control Payment Date.</w:t>
      </w:r>
    </w:p>
    <w:p>
      <w:pPr>
        <w:spacing w:after="0" w:line="173" w:lineRule="exact"/>
        <w:rPr>
          <w:sz w:val="20"/>
          <w:szCs w:val="20"/>
          <w:color w:val="auto"/>
        </w:rPr>
      </w:pPr>
    </w:p>
    <w:p>
      <w:pPr>
        <w:jc w:val="both"/>
        <w:ind w:right="80" w:firstLine="921"/>
        <w:spacing w:after="0" w:line="279" w:lineRule="auto"/>
        <w:tabs>
          <w:tab w:leader="none" w:pos="115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4.15, the Company may make a Change of Control Offer prior to the consummation of a Change of Control, and conditioned on the occurrence of such Change of Control, if a definitive agreement is in place for such Change of Control at the time the Company makes such Change of Control Offer. In such case, the notice described in Section 4.15(a) shall state that the Change of Control Offer is conditioned on the Change of Control being consummated on or prior to the Change of Control Payment Date.</w:t>
      </w:r>
    </w:p>
    <w:p>
      <w:pPr>
        <w:spacing w:after="0" w:line="171" w:lineRule="exact"/>
        <w:rPr>
          <w:rFonts w:ascii="Arial" w:cs="Arial" w:eastAsia="Arial" w:hAnsi="Arial"/>
          <w:sz w:val="17"/>
          <w:szCs w:val="17"/>
          <w:color w:val="auto"/>
        </w:rPr>
      </w:pPr>
    </w:p>
    <w:p>
      <w:pPr>
        <w:ind w:right="200" w:firstLine="921"/>
        <w:spacing w:after="0" w:line="277" w:lineRule="auto"/>
        <w:tabs>
          <w:tab w:leader="none" w:pos="116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4.15, the Company will not be required to make a Change of Control Offer upon a Change of Control if (1) a third party makes the Change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64" w:name="page65"/>
    <w:bookmarkEnd w:id="6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Offer in the manner, at the times and otherwise in compliance with the requirements set forth in this Section 4.15 and purchases all Notes properly tendered and not withdrawn under the Change of Control Offer, (2) notice of redemption has been given pursuant to Section 3.07 hereof, unless and until there is a default in payment of the applicable redemption price, or (3) the requirements set forth in this Section 4.15 are waived or modified with the consent of the Holders of a majority in aggregate principal amount of Notes then outstanding.</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The Company will not, and will not permit any of its Restricted Subsidiaries to, enter into any sale and leaseback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any Guarantor may enter into a sale and leaseback transaction if:</w:t>
      </w:r>
    </w:p>
    <w:p>
      <w:pPr>
        <w:spacing w:after="0" w:line="103" w:lineRule="exact"/>
        <w:rPr>
          <w:sz w:val="20"/>
          <w:szCs w:val="20"/>
          <w:color w:val="auto"/>
        </w:rPr>
      </w:pPr>
    </w:p>
    <w:p>
      <w:pPr>
        <w:jc w:val="both"/>
        <w:ind w:left="460" w:right="280" w:firstLine="443"/>
        <w:spacing w:after="0" w:line="264" w:lineRule="auto"/>
        <w:tabs>
          <w:tab w:leader="none" w:pos="11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or that Guarantor, as applicable, could have (a) incurred Indebtedness in an amount equal to the Attributable Debt relating to such sale and leaseback transaction under the Fixed Charge Coverage Ratio test set forth in Section 4.09(a) hereof and (b) incurred a Lien to secure such Indebtedness pursuant to the provisions of Section 4.12 hereof;</w:t>
      </w:r>
    </w:p>
    <w:p>
      <w:pPr>
        <w:spacing w:after="0" w:line="73"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of the property that is the subject of that sale and leaseback transaction; and</w:t>
      </w:r>
    </w:p>
    <w:p>
      <w:pPr>
        <w:spacing w:after="0" w:line="62" w:lineRule="exact"/>
        <w:rPr>
          <w:rFonts w:ascii="Arial" w:cs="Arial" w:eastAsia="Arial" w:hAnsi="Arial"/>
          <w:sz w:val="18"/>
          <w:szCs w:val="18"/>
          <w:color w:val="auto"/>
        </w:rPr>
      </w:pPr>
    </w:p>
    <w:p>
      <w:pPr>
        <w:ind w:left="460" w:right="520" w:firstLine="443"/>
        <w:spacing w:after="0" w:line="277" w:lineRule="auto"/>
        <w:tabs>
          <w:tab w:leader="none" w:pos="11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transfer of assets in that sale and leaseback transaction is permitted by, and the Company applies the proceeds of such transaction in compliance with, Section 4.10 hereof.</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i w:val="1"/>
          <w:iCs w:val="1"/>
          <w:color w:val="auto"/>
        </w:rPr>
        <w:t>Payments for Consent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pay or cause to be paid any consideration to or for the benefit of any Holder of Notes for or as an inducement to any consent, waiver or amendment of any of the terms or provisions of this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Additional Note Guarantees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Company shall cause each Restricted Subsidiary that guarantees borrowings of the Company under any Credit Facility to become a Guarantor and execute a supplemental indenture and deliver an Opinion of Counsel within 30 days of the date on which it became a guarantor of borrowings of the Company under any Credit Facility. The form of such supplemental indenture is attached as Exhibit E hereto.</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Designation of Restricted and Unrestricted Subsidiaries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Board of Directors of the Company may designate any Restricted Subsidiary to be an Unrestricted Subsidiary; provided that:</w:t>
      </w:r>
    </w:p>
    <w:p>
      <w:pPr>
        <w:spacing w:after="0" w:line="225" w:lineRule="exact"/>
        <w:rPr>
          <w:sz w:val="20"/>
          <w:szCs w:val="20"/>
          <w:color w:val="auto"/>
        </w:rPr>
      </w:pPr>
    </w:p>
    <w:p>
      <w:pPr>
        <w:ind w:left="1160" w:hanging="239"/>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designation would not cause a Default or Event of Default;</w:t>
      </w:r>
    </w:p>
    <w:p>
      <w:pPr>
        <w:spacing w:after="0" w:line="225" w:lineRule="exact"/>
        <w:rPr>
          <w:rFonts w:ascii="Arial" w:cs="Arial" w:eastAsia="Arial" w:hAnsi="Arial"/>
          <w:sz w:val="18"/>
          <w:szCs w:val="18"/>
          <w:color w:val="auto"/>
        </w:rPr>
      </w:pPr>
    </w:p>
    <w:p>
      <w:pPr>
        <w:jc w:val="both"/>
        <w:ind w:right="440" w:firstLine="921"/>
        <w:spacing w:after="0" w:line="279" w:lineRule="auto"/>
        <w:tabs>
          <w:tab w:leader="none" w:pos="116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aggregate Fair Market Value of all outstanding Investments owned by the Company and its Restricted Subsidiaries in the Subsidiary designated as unrestricted will be deemed to be an Investment made as of the time of the designation and will reduce the amount available for Restricted Payments under Section 4.07 hereof or under one or more clauses of the definition of Permitted Investments, as determined by the Company; provided, further, that such designation will only be permitted if the Investment would be permitted at that time; and</w:t>
      </w:r>
    </w:p>
    <w:p>
      <w:pPr>
        <w:spacing w:after="0" w:line="171" w:lineRule="exact"/>
        <w:rPr>
          <w:rFonts w:ascii="Arial" w:cs="Arial" w:eastAsia="Arial" w:hAnsi="Arial"/>
          <w:sz w:val="17"/>
          <w:szCs w:val="17"/>
          <w:color w:val="auto"/>
        </w:rPr>
      </w:pPr>
    </w:p>
    <w:p>
      <w:pPr>
        <w:ind w:left="1160" w:hanging="239"/>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designation otherwise meets the definition of an Unrestricted Subsidiary.</w:t>
      </w:r>
    </w:p>
    <w:p>
      <w:pPr>
        <w:spacing w:after="0" w:line="225"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Any designation of a Subsidiary of the Company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Section 4.07 hereof. If, at any time, any Unrestricted Subsidiary would fail to meet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5" w:name="page66"/>
    <w:bookmarkEnd w:id="6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such covenant. The Board of Directors of the Company may at any time designate any Unrestricted Subsidiary to be a Restricted Subsidiary by delivery to the Trustee of an Officer’s Certificate setting forth such designation;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179"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Any designation of a Subsidiary of the Company as a 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Indenture.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i w:val="1"/>
          <w:iCs w:val="1"/>
          <w:color w:val="auto"/>
        </w:rPr>
        <w:t>Covenant Suspension</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If, on any date, (i) the Notes have Investment Grade Ratings from both Rating Agencies, and (ii) no Default has occurred and is continuing under this Indenture (the occurrence of the events described in the foregoing clauses (i) and (ii) being collectively referred to as a “</w:t>
      </w:r>
      <w:r>
        <w:rPr>
          <w:rFonts w:ascii="Arial" w:cs="Arial" w:eastAsia="Arial" w:hAnsi="Arial"/>
          <w:sz w:val="17"/>
          <w:szCs w:val="17"/>
          <w:b w:val="1"/>
          <w:bCs w:val="1"/>
          <w:i w:val="1"/>
          <w:iCs w:val="1"/>
          <w:color w:val="auto"/>
        </w:rPr>
        <w:t>Covenant Suspension Event</w:t>
      </w:r>
      <w:r>
        <w:rPr>
          <w:rFonts w:ascii="Arial" w:cs="Arial" w:eastAsia="Arial" w:hAnsi="Arial"/>
          <w:sz w:val="17"/>
          <w:szCs w:val="17"/>
          <w:color w:val="auto"/>
        </w:rPr>
        <w:t>”) then, beginning on that day and continuing at all times thereafter until the Reversion Date (as defined below), the restrictions described in Sections 4.07, 4.08, 4.09, 4.10, 4.11 and 5.01(4) shall no longer be applicable to the Notes (collectively, the “</w:t>
      </w:r>
      <w:r>
        <w:rPr>
          <w:rFonts w:ascii="Arial" w:cs="Arial" w:eastAsia="Arial" w:hAnsi="Arial"/>
          <w:sz w:val="17"/>
          <w:szCs w:val="17"/>
          <w:b w:val="1"/>
          <w:bCs w:val="1"/>
          <w:i w:val="1"/>
          <w:iCs w:val="1"/>
          <w:color w:val="auto"/>
        </w:rPr>
        <w:t>Suspended Covenants</w:t>
      </w:r>
      <w:r>
        <w:rPr>
          <w:rFonts w:ascii="Arial" w:cs="Arial" w:eastAsia="Arial" w:hAnsi="Arial"/>
          <w:sz w:val="17"/>
          <w:szCs w:val="17"/>
          <w:color w:val="auto"/>
        </w:rPr>
        <w:t>”).</w:t>
      </w:r>
    </w:p>
    <w:p>
      <w:pPr>
        <w:spacing w:after="0" w:line="17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In the event that the Company and the Restricted Subsidiaries are not subject to the Suspended Covenants under this Indenture for any period of time as a result of the foregoing, and on any subsequent date (the “</w:t>
      </w:r>
      <w:r>
        <w:rPr>
          <w:rFonts w:ascii="Arial" w:cs="Arial" w:eastAsia="Arial" w:hAnsi="Arial"/>
          <w:sz w:val="17"/>
          <w:szCs w:val="17"/>
          <w:b w:val="1"/>
          <w:bCs w:val="1"/>
          <w:i w:val="1"/>
          <w:iCs w:val="1"/>
          <w:color w:val="auto"/>
        </w:rPr>
        <w:t>Reversion Date</w:t>
      </w:r>
      <w:r>
        <w:rPr>
          <w:rFonts w:ascii="Arial" w:cs="Arial" w:eastAsia="Arial" w:hAnsi="Arial"/>
          <w:sz w:val="17"/>
          <w:szCs w:val="17"/>
          <w:color w:val="auto"/>
        </w:rPr>
        <w:t>”) one or both of the Rating Agencies withdraw their Investment Grade Rating or downgrade the rating assigned to the Notes below an Investment Grade Rating, then the Company and the Restricted Subsidiaries will thereafter again be subject to the Suspended Covenants under this Indenture with respect to future events. The period of time between the Covenant Suspension Event and the Reversion Date is referred to in this description as the “</w:t>
      </w:r>
      <w:r>
        <w:rPr>
          <w:rFonts w:ascii="Arial" w:cs="Arial" w:eastAsia="Arial" w:hAnsi="Arial"/>
          <w:sz w:val="17"/>
          <w:szCs w:val="17"/>
          <w:b w:val="1"/>
          <w:bCs w:val="1"/>
          <w:i w:val="1"/>
          <w:iCs w:val="1"/>
          <w:color w:val="auto"/>
        </w:rPr>
        <w:t>Suspension Period</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73"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On each Reversion Date, all Indebtedness incurred, or Disqualified Stock or preferred stock issued, during the preceding Suspension Period will be classified as having been Incurred or issued pursuant to Section 4.09(b)(2). Calculations made after the Reversion Date of the amount available to be made as Restricted Payments in Section 4.07 will be made as though the covenant described in Section 4.07 had been in effect prior to, and during, the Suspension Period. As described above, no Default or Event of Default will be deemed to have occurred on the Reversion Date as a result of any actions taken by the Company or the Restricted Subsidiaries during the Suspension Period. On and after each Reversion Date, the Company and its Subsidiaries shall be permitted to consummate the transactions contemplated by any contract entered into during the Suspension Period so long as such contract and such consummation would have been permitted during such Suspension Period.</w:t>
      </w:r>
    </w:p>
    <w:p>
      <w:pPr>
        <w:spacing w:after="0" w:line="17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For purposes of Section 4.08, on the Reversion Date, any consensual encumbrances or restrictions of the type specified in Section 4.08(a)(1), (2) or (3) entered into during the Suspension Period will be deemed to have been in effect on the date of this Indenture, so that they are permitted under Section 4.08(b)(1).</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Section 4.10, on the Reversion Date, the unutilized Excess Proceeds amount will be reset to zero.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a Suspension Period, the Company may not designate any of its Subsidiaries as Unrestricted Subsidiaries.</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Company shall deliver an Officer’s Certificate to the Trustee notifying the Trustee of the commencement of any Suspension Period or the occurrence of any Reversion Date promptly after such commencement or occurrence, as the case may be, and the Trustee shall have no obligation to monitor or determine whether a Suspension Period or a Reversion Date has occurred or exists.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6" w:name="page67"/>
    <w:bookmarkEnd w:id="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4.21. </w:t>
      </w:r>
      <w:r>
        <w:rPr>
          <w:rFonts w:ascii="Arial" w:cs="Arial" w:eastAsia="Arial" w:hAnsi="Arial"/>
          <w:sz w:val="18"/>
          <w:szCs w:val="18"/>
          <w:i w:val="1"/>
          <w:iCs w:val="1"/>
          <w:color w:val="auto"/>
        </w:rPr>
        <w:t>Escrow of Proceeds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Concurrently with the issuance of the Notes on the Issue Date, the Company shall enter into an escrow agreement (as amended, supplemented or modified from time to time, the “</w:t>
      </w:r>
      <w:r>
        <w:rPr>
          <w:rFonts w:ascii="Arial" w:cs="Arial" w:eastAsia="Arial" w:hAnsi="Arial"/>
          <w:sz w:val="17"/>
          <w:szCs w:val="17"/>
          <w:b w:val="1"/>
          <w:bCs w:val="1"/>
          <w:i w:val="1"/>
          <w:iCs w:val="1"/>
          <w:color w:val="auto"/>
        </w:rPr>
        <w:t>Escrow Agreement</w:t>
      </w:r>
      <w:r>
        <w:rPr>
          <w:rFonts w:ascii="Arial" w:cs="Arial" w:eastAsia="Arial" w:hAnsi="Arial"/>
          <w:sz w:val="17"/>
          <w:szCs w:val="17"/>
          <w:color w:val="auto"/>
        </w:rPr>
        <w:t>”) with the Trustee and U.S. Bank National Association, as escrow agent (in such capacity, together with its successors, the “</w:t>
      </w:r>
      <w:r>
        <w:rPr>
          <w:rFonts w:ascii="Arial" w:cs="Arial" w:eastAsia="Arial" w:hAnsi="Arial"/>
          <w:sz w:val="17"/>
          <w:szCs w:val="17"/>
          <w:b w:val="1"/>
          <w:bCs w:val="1"/>
          <w:i w:val="1"/>
          <w:iCs w:val="1"/>
          <w:color w:val="auto"/>
        </w:rPr>
        <w:t>Escrow Agent</w:t>
      </w:r>
      <w:r>
        <w:rPr>
          <w:rFonts w:ascii="Arial" w:cs="Arial" w:eastAsia="Arial" w:hAnsi="Arial"/>
          <w:sz w:val="17"/>
          <w:szCs w:val="17"/>
          <w:color w:val="auto"/>
        </w:rPr>
        <w:t>”). Pursuant to the Escrow Agreement, the Initial Purchasers of the Notes shall deliver and deposit into an escrow account (the “</w:t>
      </w:r>
      <w:r>
        <w:rPr>
          <w:rFonts w:ascii="Arial" w:cs="Arial" w:eastAsia="Arial" w:hAnsi="Arial"/>
          <w:sz w:val="17"/>
          <w:szCs w:val="17"/>
          <w:b w:val="1"/>
          <w:bCs w:val="1"/>
          <w:i w:val="1"/>
          <w:iCs w:val="1"/>
          <w:color w:val="auto"/>
        </w:rPr>
        <w:t>Escrow Account</w:t>
      </w:r>
      <w:r>
        <w:rPr>
          <w:rFonts w:ascii="Arial" w:cs="Arial" w:eastAsia="Arial" w:hAnsi="Arial"/>
          <w:sz w:val="17"/>
          <w:szCs w:val="17"/>
          <w:color w:val="auto"/>
        </w:rPr>
        <w:t>”) with the Escrow Agent an amount in cash that is equal to the net proceeds from the sale of the Notes, and (ii) the Company shall deliver and deposit (or cause to be delivered and deposited) into the Escrow Account with the Escrow Agent an amount in cash that, when taken together with the amount deposited pursuant to the foregoing clause (i), is equal to 101.0% of the principal amount of the Notes, plus interest that will accrue on the Notes to, but not including, the Special Mandatory Redemption Date, assuming for purposes of the interest calculation in this clause (ii) that the Company notifies the Escrow Agent on the Outside Date that the SSNI Acquisition will not be consummated. The amount of cash in the Escrow Account, together with any other property from time to time held by the Escrow Agent in the Escrow Account, is collectively referred to as the “</w:t>
      </w:r>
      <w:r>
        <w:rPr>
          <w:rFonts w:ascii="Arial" w:cs="Arial" w:eastAsia="Arial" w:hAnsi="Arial"/>
          <w:sz w:val="17"/>
          <w:szCs w:val="17"/>
          <w:b w:val="1"/>
          <w:bCs w:val="1"/>
          <w:i w:val="1"/>
          <w:iCs w:val="1"/>
          <w:color w:val="auto"/>
        </w:rPr>
        <w:t>Escrow Proceeds</w:t>
      </w:r>
      <w:r>
        <w:rPr>
          <w:rFonts w:ascii="Arial" w:cs="Arial" w:eastAsia="Arial" w:hAnsi="Arial"/>
          <w:sz w:val="17"/>
          <w:szCs w:val="17"/>
          <w:color w:val="auto"/>
        </w:rPr>
        <w:t>”. In the event the parties to the Acquisition Agreement agree to extend the Termination Date (as defined in the Acquisition Agreement) pursuant to the terms and conditions of the Acquisition Agreement to a date that is later than the Outside Date and unless the Company has directed the Escrow Agent to release the Escrow Proceeds in accordance with Section 4(a) of the Escrow Agreement or delivers notice to the Escrow Agent in accordance with Section 4(b) of the Escrow Agreement, on the date such parties agree to such extension of the Termination Date (as defined in the Acquisition Agreement) the Company shall deposit (or cause to be deposited) into the Escrow Account an amount of cash equal to the amount of interest that would accrue on the Notes from the first Business Day following the Outside Date to, but not including, the first Business Day following the Extended Outside Date, as calculated by the Company in accordance with the Indenture.</w:t>
      </w:r>
    </w:p>
    <w:p>
      <w:pPr>
        <w:spacing w:after="0" w:line="18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Prior to the consummation of the SSNI Acquisition, periodic interest payments due under this Indenture shall be paid from the Escrow Proceeds. Amounts not paid as periodic interest shall be held in the Escrow Account until the earlier of (i) the date on which the Company delivers to the Escrow Agent the Officer’s Certificate pursuant to Section 4(a) of the Escrow Agreement and (ii) the Special Mandatory Redemption Date. The Company shall grant the Trustee, for its benefit and the benefit of the Holders, subject to certain liens of the Escrow Agent, a first-priority security interest in the Escrow Account and all deposits and investment property therein to secure the payment of the Special Mandatory Redemption Amount; provided, however, that such lien and security interest shall automatically be released and terminate at such time as the Escrow Proceeds are released from escrow on the Escrow Release Date. Prior to the Escrow Release Date, the Notes shall be secured only by a pledge of the Escrow Account and the Escrow Proceeds.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Merger, Consolidation or Sale of Assets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Company shall not, directly or indirectly: (1) consolidate or merge with or into another Person (whether or not the Company is the surviving corporation); or (2) sell, assign, transfer, convey or otherwise dispose of all or substantially all of the properties or assets of the Company and its Restricted Subsidiaries taken as a whole, in one or more related transactions, to another Person, unless:</w:t>
      </w:r>
    </w:p>
    <w:p>
      <w:pPr>
        <w:spacing w:after="0" w:line="73" w:lineRule="exact"/>
        <w:rPr>
          <w:sz w:val="20"/>
          <w:szCs w:val="20"/>
          <w:color w:val="auto"/>
        </w:rPr>
      </w:pPr>
    </w:p>
    <w:p>
      <w:pPr>
        <w:ind w:left="460" w:right="60" w:firstLine="443"/>
        <w:spacing w:after="0" w:line="286" w:lineRule="auto"/>
        <w:tabs>
          <w:tab w:leader="none" w:pos="115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either: (a) the Company is the surviving corporation; or (b) the Person formed by or surviving any such consolidation or merger (if other than the Company) or to which such sale, assignment, transfer, conveyance or other disposition has been made (the “</w:t>
      </w:r>
      <w:r>
        <w:rPr>
          <w:rFonts w:ascii="Arial" w:cs="Arial" w:eastAsia="Arial" w:hAnsi="Arial"/>
          <w:sz w:val="17"/>
          <w:szCs w:val="17"/>
          <w:b w:val="1"/>
          <w:bCs w:val="1"/>
          <w:i w:val="1"/>
          <w:iCs w:val="1"/>
          <w:color w:val="auto"/>
        </w:rPr>
        <w:t>Surviving Entity</w:t>
      </w:r>
      <w:r>
        <w:rPr>
          <w:rFonts w:ascii="Arial" w:cs="Arial" w:eastAsia="Arial" w:hAnsi="Arial"/>
          <w:sz w:val="17"/>
          <w:szCs w:val="17"/>
          <w:color w:val="auto"/>
        </w:rPr>
        <w:t>”) is a corporation organized or existing under the laws of the United States, any state of the United States or the District of Columbia;</w:t>
      </w:r>
    </w:p>
    <w:p>
      <w:pPr>
        <w:spacing w:after="0" w:line="57" w:lineRule="exact"/>
        <w:rPr>
          <w:rFonts w:ascii="Arial" w:cs="Arial" w:eastAsia="Arial" w:hAnsi="Arial"/>
          <w:sz w:val="17"/>
          <w:szCs w:val="17"/>
          <w:color w:val="auto"/>
        </w:rPr>
      </w:pPr>
    </w:p>
    <w:p>
      <w:pPr>
        <w:ind w:left="460" w:right="20" w:firstLine="443"/>
        <w:spacing w:after="0" w:line="264" w:lineRule="auto"/>
        <w:tabs>
          <w:tab w:leader="none" w:pos="115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Surviving Entity expressly assumes all the obligations of the Company under the Notes, this Indenture and Escrow Agreement pursuant to a supplemental indenture or one or more agreements reasonably satisfactory to the Trustee and (solely with respect to the Escrow Agreement) the Escrow Agent;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67" w:name="page68"/>
    <w:bookmarkEnd w:id="67"/>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after such transaction, no Default or Event of Default shall have occurred and be continuing; and</w:t>
      </w:r>
    </w:p>
    <w:p>
      <w:pPr>
        <w:spacing w:after="0" w:line="117"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or the Surviving Entity would, on the date of such transaction after giving pro forma effect thereto and any related financing transactions as if the same had occurred at the beginning of the applicable four-quarter period, either (A) be permitted to incur at least $1.00 of additional Indebtedness pursuant to the Fixed Charge Coverage Ratio test set forth in Section 4.09(a) hereof or (B) have a Fixed Charge Coverage Ratio of not less than the Fixed Charge Coverage Ratio of the Company immediately prior to such merger, sale, assignment, transfer, lease, conveyance or other disposition; and</w:t>
      </w:r>
    </w:p>
    <w:p>
      <w:pPr>
        <w:spacing w:after="0" w:line="80" w:lineRule="exact"/>
        <w:rPr>
          <w:rFonts w:ascii="Arial" w:cs="Arial" w:eastAsia="Arial" w:hAnsi="Arial"/>
          <w:sz w:val="18"/>
          <w:szCs w:val="18"/>
          <w:color w:val="auto"/>
        </w:rPr>
      </w:pPr>
    </w:p>
    <w:p>
      <w:pPr>
        <w:ind w:left="460" w:right="320" w:firstLine="443"/>
        <w:spacing w:after="0" w:line="259" w:lineRule="auto"/>
        <w:tabs>
          <w:tab w:leader="none" w:pos="11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or the Surviving Entity has delivered to the Trustee an Officer’s Certificate and an opinion of counsel, each stating that such consolidation, merger, sale, assignment, transfer, conveyance, lease or other disposition and such supplemental indenture, if any, comply with the Indenture; the Trustee will accept such certificate and opinion as sufficient evidence of the satisfaction of the conditions precedent set forth in this covenant, in which event it will be conclusive and binding on the Holders.</w:t>
      </w:r>
    </w:p>
    <w:p>
      <w:pPr>
        <w:spacing w:after="0" w:line="187"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In addition, the Company will not, directly or indirectly, lease all or substantially all of the properties and assets of the Company and its Restricted Subsidiaries taken as a whole, in one or more related transactions, to any other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Section 5.01 will not apply to:</w:t>
      </w:r>
    </w:p>
    <w:p>
      <w:pPr>
        <w:spacing w:after="0" w:line="117" w:lineRule="exact"/>
        <w:rPr>
          <w:sz w:val="20"/>
          <w:szCs w:val="20"/>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merger of the Company with an Affiliate solely for the purpose of reincorporating the Company in another jurisdiction; or</w:t>
      </w:r>
    </w:p>
    <w:p>
      <w:pPr>
        <w:spacing w:after="0" w:line="117" w:lineRule="exact"/>
        <w:rPr>
          <w:rFonts w:ascii="Arial" w:cs="Arial" w:eastAsia="Arial" w:hAnsi="Arial"/>
          <w:sz w:val="18"/>
          <w:szCs w:val="18"/>
          <w:color w:val="auto"/>
        </w:rPr>
      </w:pPr>
    </w:p>
    <w:p>
      <w:pPr>
        <w:ind w:left="460" w:right="720" w:firstLine="443"/>
        <w:spacing w:after="0" w:line="277" w:lineRule="auto"/>
        <w:tabs>
          <w:tab w:leader="none" w:pos="11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the Company and its Restricted Subsidiaries.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Corporation Substituted</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predecessor Company shall not be relieved from the obligation to pay the principal of and interest on the Notes except in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of a sale of all of the Company’s assets in a transaction that is subject to, and that complies with the provisions of, Section 5.01 hereof.</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p>
      <w:pPr>
        <w:spacing w:after="0" w:line="117"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default in the payment when due (at maturity, upon redemption or otherwise) of the principal of, or premium, if any, on, the Notes;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the provisions of Section 5.01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8" w:name="page69"/>
    <w:bookmarkEnd w:id="68"/>
    <w:p>
      <w:pPr>
        <w:ind w:left="700" w:hanging="257"/>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by the Company or any of its Restricted Subsidiaries to comply with the provisions of Section 4.15 hereof;</w:t>
      </w:r>
    </w:p>
    <w:p>
      <w:pPr>
        <w:spacing w:after="0" w:line="117" w:lineRule="exact"/>
        <w:rPr>
          <w:rFonts w:ascii="Arial" w:cs="Arial" w:eastAsia="Arial" w:hAnsi="Arial"/>
          <w:sz w:val="18"/>
          <w:szCs w:val="18"/>
          <w:color w:val="auto"/>
        </w:rPr>
      </w:pPr>
    </w:p>
    <w:p>
      <w:pPr>
        <w:ind w:right="100" w:firstLine="443"/>
        <w:spacing w:after="0" w:line="264" w:lineRule="auto"/>
        <w:tabs>
          <w:tab w:leader="none" w:pos="69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for 60 days after written notice to the Company by the Trustee or the Holders of at least 25% in aggregate principal amount of the Notes then outstanding voting as a single class to comply with any of the other agreements in this Indenture;</w:t>
      </w:r>
    </w:p>
    <w:p>
      <w:pPr>
        <w:spacing w:after="0" w:line="73" w:lineRule="exact"/>
        <w:rPr>
          <w:rFonts w:ascii="Arial" w:cs="Arial" w:eastAsia="Arial" w:hAnsi="Arial"/>
          <w:sz w:val="18"/>
          <w:szCs w:val="18"/>
          <w:color w:val="auto"/>
        </w:rPr>
      </w:pPr>
    </w:p>
    <w:p>
      <w:pPr>
        <w:ind w:firstLine="443"/>
        <w:spacing w:after="0" w:line="259" w:lineRule="auto"/>
        <w:tabs>
          <w:tab w:leader="none" w:pos="69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of this Indenture, if that default:</w:t>
      </w:r>
    </w:p>
    <w:p>
      <w:pPr>
        <w:spacing w:after="0" w:line="78" w:lineRule="exact"/>
        <w:rPr>
          <w:rFonts w:ascii="Arial" w:cs="Arial" w:eastAsia="Arial" w:hAnsi="Arial"/>
          <w:sz w:val="18"/>
          <w:szCs w:val="18"/>
          <w:color w:val="auto"/>
        </w:rPr>
      </w:pPr>
    </w:p>
    <w:p>
      <w:pPr>
        <w:ind w:left="460" w:right="100" w:firstLine="421"/>
        <w:spacing w:after="0" w:line="264" w:lineRule="auto"/>
        <w:tabs>
          <w:tab w:leader="none" w:pos="117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at final maturity thereof, the principal amount of which exceeds $10.0 million in the aggregate, prior to the expiration of the grace period provided in such Indebtedness on the date of such default (a “</w:t>
      </w:r>
      <w:r>
        <w:rPr>
          <w:rFonts w:ascii="Arial" w:cs="Arial" w:eastAsia="Arial" w:hAnsi="Arial"/>
          <w:sz w:val="18"/>
          <w:szCs w:val="18"/>
          <w:b w:val="1"/>
          <w:bCs w:val="1"/>
          <w:i w:val="1"/>
          <w:iCs w:val="1"/>
          <w:color w:val="auto"/>
        </w:rPr>
        <w:t>Payment Default</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1160" w:hanging="279"/>
        <w:spacing w:after="0"/>
        <w:tabs>
          <w:tab w:leader="none" w:pos="11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$50.0 million or more (or its foreign currency equivalent);</w:t>
      </w:r>
    </w:p>
    <w:p>
      <w:pPr>
        <w:spacing w:after="0" w:line="73" w:lineRule="exact"/>
        <w:rPr>
          <w:sz w:val="20"/>
          <w:szCs w:val="20"/>
          <w:color w:val="auto"/>
        </w:rPr>
      </w:pPr>
    </w:p>
    <w:p>
      <w:pPr>
        <w:ind w:right="20" w:firstLine="443"/>
        <w:spacing w:after="0" w:line="293" w:lineRule="auto"/>
        <w:tabs>
          <w:tab w:leader="none" w:pos="69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failure by the Company or any of its Restricted Subsidiaries to pay final judgments entered by a court or courts of competent jurisdiction aggregating in excess of $50.0 million (or its foreign currency equivalent), which judgments are not paid, discharged or stayed for a period of 60 consecutive days; notwithstanding the foregoing, a judgment rendered by a tribunal or assembly that ignores recognized standards of law or justice (as determined in good faith by the Board of Directors or senior management of the Company) shall not give rise to an Event of Default so long as it could not be reasonably likely to have a material adverse effect on (i) the business, condition (financial or otherwise), operations, performance, properties or prospects of the Company and its Restricted Subsidiaries, taken as a whole, or (ii) the ability of the Company to service the Notes;</w:t>
      </w:r>
    </w:p>
    <w:p>
      <w:pPr>
        <w:spacing w:after="0" w:line="56" w:lineRule="exact"/>
        <w:rPr>
          <w:rFonts w:ascii="Arial" w:cs="Arial" w:eastAsia="Arial" w:hAnsi="Arial"/>
          <w:sz w:val="16"/>
          <w:szCs w:val="16"/>
          <w:color w:val="auto"/>
        </w:rPr>
      </w:pPr>
    </w:p>
    <w:p>
      <w:pPr>
        <w:ind w:right="120" w:firstLine="443"/>
        <w:spacing w:after="0" w:line="264" w:lineRule="auto"/>
        <w:tabs>
          <w:tab w:leader="none" w:pos="69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permitted by this Indenture, any Note Guarantee is held in any judicial proceeding to be unenforceable or invalid or ceases for any reason to be in full force and effect, or any Guarantor, or any Person acting on behalf of any Guarantor, denies or disaffirms its obligations under its Note Guarantee;</w:t>
      </w:r>
    </w:p>
    <w:p>
      <w:pPr>
        <w:spacing w:after="0" w:line="73" w:lineRule="exact"/>
        <w:rPr>
          <w:rFonts w:ascii="Arial" w:cs="Arial" w:eastAsia="Arial" w:hAnsi="Arial"/>
          <w:sz w:val="18"/>
          <w:szCs w:val="18"/>
          <w:color w:val="auto"/>
        </w:rPr>
      </w:pPr>
    </w:p>
    <w:p>
      <w:pPr>
        <w:ind w:right="20" w:firstLine="443"/>
        <w:spacing w:after="0" w:line="277" w:lineRule="auto"/>
        <w:tabs>
          <w:tab w:leader="none" w:pos="69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failure by the Company to pay or cause to be paid the Special Mandatory Redemption on the Special Mandatory Redemption Date, if any, as described in Section 3.10 hereof;</w:t>
      </w:r>
    </w:p>
    <w:p>
      <w:pPr>
        <w:spacing w:after="0" w:line="62" w:lineRule="exact"/>
        <w:rPr>
          <w:rFonts w:ascii="Arial" w:cs="Arial" w:eastAsia="Arial" w:hAnsi="Arial"/>
          <w:sz w:val="18"/>
          <w:szCs w:val="18"/>
          <w:color w:val="auto"/>
        </w:rPr>
      </w:pPr>
    </w:p>
    <w:p>
      <w:pPr>
        <w:ind w:right="20" w:firstLine="443"/>
        <w:spacing w:after="0" w:line="264" w:lineRule="auto"/>
        <w:tabs>
          <w:tab w:leader="none" w:pos="78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or any of its Restricted Subsidiaries that is a Significant Subsidiary or any group of Restricted Subsidiaries that, taken together (as of the latest audited consolidated financial statements for the Company), would constitute a Significant Subsidiary, pursuant to or within the meaning of any Bankruptcy Law:</w:t>
      </w:r>
    </w:p>
    <w:p>
      <w:pPr>
        <w:spacing w:after="0" w:line="73" w:lineRule="exact"/>
        <w:rPr>
          <w:rFonts w:ascii="Arial" w:cs="Arial" w:eastAsia="Arial" w:hAnsi="Arial"/>
          <w:sz w:val="18"/>
          <w:szCs w:val="18"/>
          <w:color w:val="auto"/>
        </w:rPr>
      </w:pPr>
    </w:p>
    <w:p>
      <w:pPr>
        <w:ind w:left="1180" w:hanging="299"/>
        <w:spacing w:after="0"/>
        <w:tabs>
          <w:tab w:leader="none" w:pos="11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117" w:lineRule="exact"/>
        <w:rPr>
          <w:rFonts w:ascii="Arial" w:cs="Arial" w:eastAsia="Arial" w:hAnsi="Arial"/>
          <w:sz w:val="18"/>
          <w:szCs w:val="18"/>
          <w:color w:val="auto"/>
        </w:rPr>
      </w:pPr>
    </w:p>
    <w:p>
      <w:pPr>
        <w:ind w:left="460" w:right="460" w:firstLine="421"/>
        <w:spacing w:after="0" w:line="277" w:lineRule="auto"/>
        <w:tabs>
          <w:tab w:leader="none" w:pos="116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62" w:lineRule="exact"/>
        <w:rPr>
          <w:rFonts w:ascii="Arial" w:cs="Arial" w:eastAsia="Arial" w:hAnsi="Arial"/>
          <w:sz w:val="18"/>
          <w:szCs w:val="18"/>
          <w:color w:val="auto"/>
        </w:rPr>
      </w:pPr>
    </w:p>
    <w:p>
      <w:pPr>
        <w:ind w:left="460" w:right="860" w:firstLine="421"/>
        <w:spacing w:after="0" w:line="277" w:lineRule="auto"/>
        <w:tabs>
          <w:tab w:leader="none" w:pos="116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sequestrator or other similar official of it or for all or substantially all of its property;</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20"/>
          </w:cols>
          <w:pgMar w:left="700" w:top="274" w:right="279" w:bottom="1440" w:gutter="0" w:footer="0" w:header="0"/>
        </w:sectPr>
      </w:pPr>
    </w:p>
    <w:bookmarkStart w:id="69" w:name="page70"/>
    <w:bookmarkEnd w:id="69"/>
    <w:p>
      <w:pPr>
        <w:ind w:left="1640" w:hanging="299"/>
        <w:spacing w:after="0"/>
        <w:tabs>
          <w:tab w:leader="none" w:pos="16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makes a general assignment for the benefit of its creditors; or</w:t>
      </w:r>
    </w:p>
    <w:p>
      <w:pPr>
        <w:spacing w:after="0" w:line="117" w:lineRule="exact"/>
        <w:rPr>
          <w:rFonts w:ascii="Arial" w:cs="Arial" w:eastAsia="Arial" w:hAnsi="Arial"/>
          <w:sz w:val="18"/>
          <w:szCs w:val="18"/>
          <w:color w:val="auto"/>
        </w:rPr>
      </w:pPr>
    </w:p>
    <w:p>
      <w:pPr>
        <w:ind w:left="1620" w:hanging="279"/>
        <w:spacing w:after="0"/>
        <w:tabs>
          <w:tab w:leader="none" w:pos="1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and</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920" w:right="60" w:firstLine="421"/>
        <w:spacing w:after="0" w:line="276" w:lineRule="auto"/>
        <w:tabs>
          <w:tab w:leader="none" w:pos="1635"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is for relief against the Company or any of its Restricted Subsidiaries that is a Significant Subsidiary or any group of Restricted Subsidiaries that, taken together (as of the date of the latest audited consolidated financial statements for the Company), would constitute a Significant Subsidiary, in a proceeding in which the Company, any such Restricted Subsidiary that is a Significant Subsidiary or any such group of Restricted Subsidiaries that, taken together (as of the date of the latest audited consolidated financial statements for the Company), would constitute a Significant Subsidiary, is to be adjudicated bankrupt or insolvent;</w:t>
      </w:r>
    </w:p>
    <w:p>
      <w:pPr>
        <w:spacing w:after="0" w:line="64" w:lineRule="exact"/>
        <w:rPr>
          <w:rFonts w:ascii="Arial" w:cs="Arial" w:eastAsia="Arial" w:hAnsi="Arial"/>
          <w:sz w:val="17"/>
          <w:szCs w:val="17"/>
          <w:color w:val="auto"/>
        </w:rPr>
      </w:pPr>
    </w:p>
    <w:p>
      <w:pPr>
        <w:ind w:left="920" w:firstLine="421"/>
        <w:spacing w:after="0" w:line="276" w:lineRule="auto"/>
        <w:tabs>
          <w:tab w:leader="none" w:pos="1625"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appoints a receiver, liquidator, assignee, trustee, sequestrator or other similar official of the Company or any of its Restricted Subsidiaries that is a Significant Subsidiary or any group of Restricted Subsidiaries that, taken together (as of the date of the latest audited consolidated financial statements for the Company), would constitute a Significant Subsidiary, or for all or substantially all of the property of the Company, any of its Restricted Subsidiaries that is a Significant Subsidiary or any group of Restricted Subsidiaries that, taken together (as of the date of the latest audited consolidated financial statements for the Company), would constitute a Significant Subsidiary; or</w:t>
      </w:r>
    </w:p>
    <w:p>
      <w:pPr>
        <w:spacing w:after="0" w:line="64" w:lineRule="exact"/>
        <w:rPr>
          <w:rFonts w:ascii="Arial" w:cs="Arial" w:eastAsia="Arial" w:hAnsi="Arial"/>
          <w:sz w:val="17"/>
          <w:szCs w:val="17"/>
          <w:color w:val="auto"/>
        </w:rPr>
      </w:pPr>
    </w:p>
    <w:p>
      <w:pPr>
        <w:ind w:left="920" w:right="360" w:firstLine="421"/>
        <w:spacing w:after="0" w:line="286" w:lineRule="auto"/>
        <w:tabs>
          <w:tab w:leader="none" w:pos="1625" w:val="left"/>
        </w:tabs>
        <w:numPr>
          <w:ilvl w:val="1"/>
          <w:numId w:val="121"/>
        </w:numPr>
        <w:rPr>
          <w:rFonts w:ascii="Arial" w:cs="Arial" w:eastAsia="Arial" w:hAnsi="Arial"/>
          <w:sz w:val="17"/>
          <w:szCs w:val="17"/>
          <w:color w:val="auto"/>
        </w:rPr>
      </w:pPr>
      <w:r>
        <w:rPr>
          <w:rFonts w:ascii="Arial" w:cs="Arial" w:eastAsia="Arial" w:hAnsi="Arial"/>
          <w:sz w:val="17"/>
          <w:szCs w:val="17"/>
          <w:color w:val="auto"/>
        </w:rPr>
        <w:t>orders the liquidation of the Company, any of its Restricted Subsidiaries that is a Significant Subsidiary or any group of Restricted Subsidiaries that, taken together (as of the date of the latest audited consolidated financial statements for the Company), would constitute a Significant Subsidiary; and the order or decree remains unstayed and in effect for 60 consecutive days.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In the case of an Event of Default specified in clause (10) or (11) of Section 6.01 hereof, with respect to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If an Event of Default arises pursuant to clause (6) of Section 6.01 hereof, such Event of Default shall cease to exist if, at any time prior to the acceleration of the Notes, (x) the Company cures the underlying Payment Default or the holders of the applicable Indebtedness waive the underlying Payment Default or rescind the acceleration of such Indebtedness, in each case in accordance with the terms of the applicable Indebtedness and (y) the cure, waiver or rescission does not conflict with any judgment or decree of a court of competent jurisdiction.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Upon any such declaration, the Notes shall become due and payable immediately.</w:t>
      </w:r>
    </w:p>
    <w:p>
      <w:pPr>
        <w:spacing w:after="0" w:line="225"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The Holders of a majority in aggregate principal amount of the then outstanding Notes by notice to the Trustee may, on behalf of the Holders of all of the Notes, rescind an acceleration or waive any existing Default or Event of Default (except a continuing Default or Event of Default in the payment of interest or premium, if any, on, or the principal of, the Notes) and its consequences under this Indenture, if:</w:t>
      </w:r>
    </w:p>
    <w:p>
      <w:pPr>
        <w:spacing w:after="0" w:line="73" w:lineRule="exact"/>
        <w:rPr>
          <w:sz w:val="20"/>
          <w:szCs w:val="20"/>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rescission or waiver would not conflict with any judgment or decree of a court of competent jurisdiction;</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existing Events of Default, except nonpayment of principal or interest that has become due solely because of the acceleration, have been cured or waived;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70" w:name="page71"/>
    <w:bookmarkEnd w:id="70"/>
    <w:p>
      <w:pPr>
        <w:ind w:left="460" w:right="900" w:firstLine="443"/>
        <w:spacing w:after="0" w:line="277"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interest on overdue installments of interest and overdue principal, which has become due otherwise than by such declaration of acceleration, has been paid, to the extent the payment of such interest is lawful; and</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has paid the Trustee its reasonable compensation and reimbursed the Trustee for its reasonable expenses (including the fees and expenses of its counsel), disbursements and advances.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and premium, if any, and interest on the Notes or to enforce the performance of any provision of the Notes or this Indenture.</w:t>
      </w:r>
    </w:p>
    <w:p>
      <w:pPr>
        <w:spacing w:after="0" w:line="170"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Control by Majority</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in its sole discretion may be unduly prejudicial to the rights of other Holders of Notes or that may involve the Trustee in personal liability.</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Holder may pursue a remedy with respect to this Indenture or the Notes only if:</w:t>
      </w:r>
    </w:p>
    <w:p>
      <w:pPr>
        <w:spacing w:after="0" w:line="117" w:lineRule="exact"/>
        <w:rPr>
          <w:sz w:val="20"/>
          <w:szCs w:val="20"/>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Holder gives to the Trustee written notice that an Event of Default is continuing;</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Holders of at least 25% in aggregate principal amount of the then outstanding Notes make a written request to the Trustee to pursue the</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remedy;</w:t>
      </w:r>
    </w:p>
    <w:p>
      <w:pPr>
        <w:spacing w:after="0" w:line="102" w:lineRule="exact"/>
        <w:rPr>
          <w:rFonts w:ascii="Arial" w:cs="Arial" w:eastAsia="Arial" w:hAnsi="Arial"/>
          <w:sz w:val="17"/>
          <w:szCs w:val="17"/>
          <w:color w:val="auto"/>
        </w:rPr>
      </w:pPr>
    </w:p>
    <w:p>
      <w:pPr>
        <w:ind w:left="460" w:right="100" w:firstLine="443"/>
        <w:spacing w:after="0" w:line="277"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Holder or Holders offer and, if requested, provide to the Trustee security or indemnity reasonably satisfactory to the Trustee against any loss, liability or expense;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Trustee does not comply with the request within 60 days after receipt of the request and the offer of security and/or indemnity; and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Holders of a majority in aggregate principal amount of the then outstanding Notes do not give the Trustee a direction inconsistent with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71" w:name="page72"/>
    <w:bookmarkEnd w:id="71"/>
    <w:p>
      <w:pPr>
        <w:ind w:right="5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Holder of a Note may not use this Indenture to prejudice the rights of another Holder of a Note or to obtain a preference or priority over another Holder of a Note.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of Notes To Receive Payment</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86" w:lineRule="auto"/>
        <w:rPr>
          <w:sz w:val="20"/>
          <w:szCs w:val="20"/>
          <w:color w:val="auto"/>
        </w:rPr>
      </w:pPr>
      <w:r>
        <w:rPr>
          <w:rFonts w:ascii="Arial" w:cs="Arial" w:eastAsia="Arial" w:hAnsi="Arial"/>
          <w:sz w:val="17"/>
          <w:szCs w:val="17"/>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Trustee collects any money pursuant to this Article VI, it shall pay out the money in the following order:</w:t>
      </w:r>
    </w:p>
    <w:p>
      <w:pPr>
        <w:spacing w:after="0" w:line="117" w:lineRule="exact"/>
        <w:rPr>
          <w:sz w:val="20"/>
          <w:szCs w:val="20"/>
          <w:color w:val="auto"/>
        </w:rPr>
      </w:pPr>
    </w:p>
    <w:p>
      <w:pPr>
        <w:ind w:left="460" w:right="260" w:firstLine="43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incurred, and all advances made, by the Trustee and the costs and expenses of collection;</w:t>
      </w:r>
    </w:p>
    <w:p>
      <w:pPr>
        <w:spacing w:after="0" w:line="62" w:lineRule="exact"/>
        <w:rPr>
          <w:sz w:val="20"/>
          <w:szCs w:val="20"/>
          <w:color w:val="auto"/>
        </w:rPr>
      </w:pPr>
    </w:p>
    <w:p>
      <w:pPr>
        <w:ind w:left="460" w:right="160" w:firstLine="438"/>
        <w:spacing w:after="0" w:line="342" w:lineRule="auto"/>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Holders of Notes for amounts due and unpaid on the Notes for principal, premium, if any, and interest, ratably, without preference or</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of any kind, according to the amounts due and payable on the Notes for principal, premium, if any and interest, respectively; and</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72" w:name="page73"/>
    <w:bookmarkEnd w:id="7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6.11. </w:t>
      </w:r>
      <w:r>
        <w:rPr>
          <w:rFonts w:ascii="Arial" w:cs="Arial" w:eastAsia="Arial" w:hAnsi="Arial"/>
          <w:sz w:val="18"/>
          <w:szCs w:val="18"/>
          <w:i w:val="1"/>
          <w:iCs w:val="1"/>
          <w:color w:val="auto"/>
        </w:rPr>
        <w:t>Undertaking for Costs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jc w:val="both"/>
        <w:ind w:right="200" w:firstLine="921"/>
        <w:spacing w:after="0" w:line="264" w:lineRule="auto"/>
        <w:tabs>
          <w:tab w:leader="none" w:pos="115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3" w:lineRule="exact"/>
        <w:rPr>
          <w:rFonts w:ascii="Arial" w:cs="Arial" w:eastAsia="Arial" w:hAnsi="Arial"/>
          <w:sz w:val="18"/>
          <w:szCs w:val="18"/>
          <w:color w:val="auto"/>
        </w:rPr>
      </w:pPr>
    </w:p>
    <w:p>
      <w:pPr>
        <w:ind w:left="460" w:right="40" w:firstLine="443"/>
        <w:spacing w:after="0" w:line="276" w:lineRule="auto"/>
        <w:tabs>
          <w:tab w:leader="none" w:pos="115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without investigation, as to the truth of the statements and the correctness of the opinions expressed therein, upon certificates or opinions furnished to the Trustee and conforming to the requirements of this Indenture, but need not verify the contents thereof. However, in the case of certificates or opinions specifically required hereunder to be furnished to it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72" w:lineRule="exact"/>
        <w:rPr>
          <w:rFonts w:ascii="Arial" w:cs="Arial" w:eastAsia="Arial" w:hAnsi="Arial"/>
          <w:sz w:val="17"/>
          <w:szCs w:val="17"/>
          <w:color w:val="auto"/>
        </w:rPr>
      </w:pPr>
    </w:p>
    <w:p>
      <w:pPr>
        <w:ind w:left="1160" w:hanging="239"/>
        <w:spacing w:after="0"/>
        <w:tabs>
          <w:tab w:leader="none" w:pos="11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 misconduct,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 that:</w:t>
      </w:r>
    </w:p>
    <w:p>
      <w:pPr>
        <w:spacing w:after="0" w:line="103" w:lineRule="exact"/>
        <w:rPr>
          <w:sz w:val="20"/>
          <w:szCs w:val="20"/>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Sections 6.02, 6.04 or 6.05 hereof.</w:t>
      </w:r>
    </w:p>
    <w:p>
      <w:pPr>
        <w:spacing w:after="0" w:line="170" w:lineRule="exact"/>
        <w:rPr>
          <w:rFonts w:ascii="Arial" w:cs="Arial" w:eastAsia="Arial" w:hAnsi="Arial"/>
          <w:sz w:val="18"/>
          <w:szCs w:val="18"/>
          <w:color w:val="auto"/>
        </w:rPr>
      </w:pPr>
    </w:p>
    <w:p>
      <w:pPr>
        <w:ind w:right="40" w:firstLine="921"/>
        <w:spacing w:after="0" w:line="277" w:lineRule="auto"/>
        <w:tabs>
          <w:tab w:leader="none" w:pos="116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 and Section 7.02.</w:t>
      </w:r>
    </w:p>
    <w:p>
      <w:pPr>
        <w:spacing w:after="0" w:line="170" w:lineRule="exact"/>
        <w:rPr>
          <w:rFonts w:ascii="Arial" w:cs="Arial" w:eastAsia="Arial" w:hAnsi="Arial"/>
          <w:sz w:val="18"/>
          <w:szCs w:val="18"/>
          <w:color w:val="auto"/>
        </w:rPr>
      </w:pPr>
    </w:p>
    <w:p>
      <w:pPr>
        <w:ind w:right="180" w:firstLine="921"/>
        <w:spacing w:after="0" w:line="312" w:lineRule="auto"/>
        <w:tabs>
          <w:tab w:leader="none" w:pos="115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No provision of this Indenture will require the Trustee to expend or risk its own funds or incur any liability. The Trustee will be under no obligation to exercise any of its rights and powers under this Indenture at the request of any Holders, unless such Holder has offered to the Trustee security and/or indemnity satisfactory to it against any loss, liability or expense which might be incurred by it in compliance with such request or direction.</w:t>
      </w:r>
    </w:p>
    <w:p>
      <w:pPr>
        <w:spacing w:after="0" w:line="146" w:lineRule="exact"/>
        <w:rPr>
          <w:rFonts w:ascii="Arial" w:cs="Arial" w:eastAsia="Arial" w:hAnsi="Arial"/>
          <w:sz w:val="16"/>
          <w:szCs w:val="16"/>
          <w:color w:val="auto"/>
        </w:rPr>
      </w:pPr>
    </w:p>
    <w:p>
      <w:pPr>
        <w:ind w:right="100" w:firstLine="921"/>
        <w:spacing w:after="0" w:line="277" w:lineRule="auto"/>
        <w:tabs>
          <w:tab w:leader="none" w:pos="113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274" w:right="319" w:bottom="1440" w:gutter="0" w:footer="0" w:header="0"/>
        </w:sectPr>
      </w:pPr>
    </w:p>
    <w:bookmarkStart w:id="73" w:name="page74"/>
    <w:bookmarkEnd w:id="7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7.02. </w:t>
      </w:r>
      <w:r>
        <w:rPr>
          <w:rFonts w:ascii="Arial" w:cs="Arial" w:eastAsia="Arial" w:hAnsi="Arial"/>
          <w:sz w:val="18"/>
          <w:szCs w:val="18"/>
          <w:i w:val="1"/>
          <w:iCs w:val="1"/>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520" w:firstLine="921"/>
        <w:spacing w:after="0" w:line="277" w:lineRule="auto"/>
        <w:tabs>
          <w:tab w:leader="none" w:pos="115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ind w:right="80" w:firstLine="921"/>
        <w:spacing w:after="0" w:line="279" w:lineRule="auto"/>
        <w:tabs>
          <w:tab w:leader="none" w:pos="116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of its own selection and the advice of such counsel or any Opinion of Counsel will be full and complete authorization and protection from liability in respect of any action taken, suffered or omitted by it hereunder in good faith and in reliance thereon.</w:t>
      </w:r>
    </w:p>
    <w:p>
      <w:pPr>
        <w:spacing w:after="0" w:line="171" w:lineRule="exact"/>
        <w:rPr>
          <w:rFonts w:ascii="Arial" w:cs="Arial" w:eastAsia="Arial" w:hAnsi="Arial"/>
          <w:sz w:val="17"/>
          <w:szCs w:val="17"/>
          <w:color w:val="auto"/>
        </w:rPr>
      </w:pPr>
    </w:p>
    <w:p>
      <w:pPr>
        <w:ind w:right="240" w:firstLine="921"/>
        <w:spacing w:after="0" w:line="264" w:lineRule="auto"/>
        <w:tabs>
          <w:tab w:leader="none" w:pos="115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Trustee may act through its attorneys, accountants, experts and such other professionals as the Trustee deems necessary, advisable or appropriate and shall not be responsible for the misconduct or negligence of any attorney, accountant, expert or other such professional appointed with due care.</w:t>
      </w:r>
    </w:p>
    <w:p>
      <w:pPr>
        <w:spacing w:after="0" w:line="181" w:lineRule="exact"/>
        <w:rPr>
          <w:rFonts w:ascii="Arial" w:cs="Arial" w:eastAsia="Arial" w:hAnsi="Arial"/>
          <w:sz w:val="18"/>
          <w:szCs w:val="18"/>
          <w:color w:val="auto"/>
        </w:rPr>
      </w:pPr>
    </w:p>
    <w:p>
      <w:pPr>
        <w:ind w:right="400" w:firstLine="921"/>
        <w:spacing w:after="0" w:line="277" w:lineRule="auto"/>
        <w:tabs>
          <w:tab w:leader="none" w:pos="116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420" w:firstLine="921"/>
        <w:spacing w:after="0" w:line="277" w:lineRule="auto"/>
        <w:tabs>
          <w:tab w:leader="none" w:pos="115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jc w:val="both"/>
        <w:ind w:right="240" w:firstLine="921"/>
        <w:spacing w:after="0" w:line="264" w:lineRule="auto"/>
        <w:tabs>
          <w:tab w:leader="none" w:pos="113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right="80" w:firstLine="921"/>
        <w:spacing w:after="0" w:line="291" w:lineRule="auto"/>
        <w:tabs>
          <w:tab w:leader="none" w:pos="116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Trustee shall not be deemed to have knowledge of any Default or Event of Default, or knowledge of any cure of any Default or Event of Default, unless (1) a Responsible Officer of the Trustee has received written notice of default from the Company in accordance with Section 4.04 hereof or</w:t>
      </w:r>
    </w:p>
    <w:p>
      <w:pPr>
        <w:ind w:firstLine="8"/>
        <w:spacing w:after="0" w:line="261"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other written notice of any event which is in fact any Default or Event of Default is received by a Responsible Officer of the Trustee at the Corporate Trust Office of the Trustee from the Company or any Holder, and such notice references the Notes and this Indenture.</w:t>
      </w:r>
    </w:p>
    <w:p>
      <w:pPr>
        <w:spacing w:after="0" w:line="183" w:lineRule="exact"/>
        <w:rPr>
          <w:rFonts w:ascii="Arial" w:cs="Arial" w:eastAsia="Arial" w:hAnsi="Arial"/>
          <w:sz w:val="18"/>
          <w:szCs w:val="18"/>
          <w:color w:val="auto"/>
        </w:rPr>
      </w:pPr>
    </w:p>
    <w:p>
      <w:pPr>
        <w:jc w:val="both"/>
        <w:ind w:right="80" w:firstLine="921"/>
        <w:spacing w:after="0" w:line="264" w:lineRule="auto"/>
        <w:tabs>
          <w:tab w:leader="none" w:pos="116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pursuant to the terms of this Indenture.</w:t>
      </w:r>
    </w:p>
    <w:p>
      <w:pPr>
        <w:spacing w:after="0" w:line="181" w:lineRule="exact"/>
        <w:rPr>
          <w:rFonts w:ascii="Arial" w:cs="Arial" w:eastAsia="Arial" w:hAnsi="Arial"/>
          <w:sz w:val="18"/>
          <w:szCs w:val="18"/>
          <w:color w:val="auto"/>
        </w:rPr>
      </w:pPr>
    </w:p>
    <w:p>
      <w:pPr>
        <w:ind w:right="320" w:firstLine="921"/>
        <w:spacing w:after="0" w:line="312" w:lineRule="auto"/>
        <w:tabs>
          <w:tab w:leader="none" w:pos="112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by the Company and not superseded.</w:t>
      </w:r>
    </w:p>
    <w:p>
      <w:pPr>
        <w:spacing w:after="0" w:line="146" w:lineRule="exact"/>
        <w:rPr>
          <w:rFonts w:ascii="Arial" w:cs="Arial" w:eastAsia="Arial" w:hAnsi="Arial"/>
          <w:sz w:val="16"/>
          <w:szCs w:val="16"/>
          <w:color w:val="auto"/>
        </w:rPr>
      </w:pPr>
    </w:p>
    <w:p>
      <w:pPr>
        <w:ind w:left="1140" w:hanging="219"/>
        <w:spacing w:after="0"/>
        <w:tabs>
          <w:tab w:leader="none" w:pos="11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permissive rights of the Trustee set forth herein shall not be construed as duties of the Trustee.</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it must eliminate such conflict within 90 days or resign.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Agent may do the same with like rights and duties. The Trustee is also subject to Sections 7.10 and 7.11 hereof.</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74" w:name="page75"/>
    <w:bookmarkEnd w:id="7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right="320" w:firstLine="913"/>
        <w:spacing w:after="0" w:line="279" w:lineRule="auto"/>
        <w:rPr>
          <w:sz w:val="20"/>
          <w:szCs w:val="20"/>
          <w:color w:val="auto"/>
        </w:rPr>
      </w:pPr>
      <w:r>
        <w:rPr>
          <w:rFonts w:ascii="Arial" w:cs="Arial" w:eastAsia="Arial" w:hAnsi="Arial"/>
          <w:sz w:val="17"/>
          <w:szCs w:val="17"/>
          <w:color w:val="auto"/>
        </w:rPr>
        <w:t>If a Default or Event of Default occurs and is continuing and if a Responsible Officer of the Trustee has received written notice thereof, the Trustee will send to Holders of Notes a notice of the Default or Event of Default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 of the Notes</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57" w:lineRule="auto"/>
        <w:tabs>
          <w:tab w:leader="none" w:pos="11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Within 60 days after each May 15 beginning with the May 15 following the date of this Indenture, and for so long as Notes remain outstanding, the Trustee will send to the Holders of the Notes a brief report dated as of such reporting date that would comply with TIA § 313(a) (but if no event described in TIA § 313(a) has occurred within the twelve months preceding the reporting date, no report need be transmitted). The Trustee shall also transmit by mail to Holders the reports specified in TIA § 313(b)(2). Reports required pursuant to this Section 7.06 shall be transmitted by mail as set out in TIA § 313(c).</w:t>
      </w:r>
    </w:p>
    <w:p>
      <w:pPr>
        <w:spacing w:after="0" w:line="188"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copy of each report at the time it is sent to the Holders of Notes shall be sent by the Trustee to the Company and filed by the Trustee with the SEC and each stock exchange on which the Notes are listed. The Company shall promptly notify the Trustee when the Notes are listed on any stock exchange or any delisting thereof.</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w:t>
      </w:r>
    </w:p>
    <w:p>
      <w:pPr>
        <w:spacing w:after="0" w:line="117" w:lineRule="exact"/>
        <w:rPr>
          <w:sz w:val="20"/>
          <w:szCs w:val="20"/>
          <w:color w:val="auto"/>
        </w:rPr>
      </w:pPr>
    </w:p>
    <w:p>
      <w:pPr>
        <w:ind w:right="120" w:firstLine="921"/>
        <w:spacing w:after="0" w:line="257" w:lineRule="auto"/>
        <w:tabs>
          <w:tab w:leader="none" w:pos="115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attorneys, accountants, experts and other professionals as the Trustee deems necessary, advisable or appropriate.</w:t>
      </w:r>
    </w:p>
    <w:p>
      <w:pPr>
        <w:spacing w:after="0" w:line="188" w:lineRule="exact"/>
        <w:rPr>
          <w:rFonts w:ascii="Arial" w:cs="Arial" w:eastAsia="Arial" w:hAnsi="Arial"/>
          <w:sz w:val="18"/>
          <w:szCs w:val="18"/>
          <w:color w:val="auto"/>
        </w:rPr>
      </w:pPr>
    </w:p>
    <w:p>
      <w:pPr>
        <w:ind w:firstLine="921"/>
        <w:spacing w:after="0" w:line="288" w:lineRule="auto"/>
        <w:tabs>
          <w:tab w:leader="none" w:pos="116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and the Guarantors, jointly and severally, will indemnify the Trustee, and hold it harmless, against any and all losses, claims, damages, liabilities or expenses incurred by it arising out of or in connection with this Indenture and the acceptance or administration of its duties under this Indenture, including the costs and expenses of enforcing this Indenture against the Company and the Guarantors (including this Section 7.07) and defending itself against or investigating any claim (whether asserted by the Company, the Guarantors, any Holder or any other Person) or liability in connection with the exercise or performance of any of its powers or duties hereunder, except to the extent any such loss, liability or expense is determined by a court of competent jurisdiction in a final non-appealable order to have been caused by its own negligence or willful misconduct. The Trustee will notify the Company in writing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75" w:name="page76"/>
    <w:bookmarkEnd w:id="75"/>
    <w:p>
      <w:pPr>
        <w:ind w:left="1160" w:hanging="239"/>
        <w:spacing w:after="0"/>
        <w:tabs>
          <w:tab w:leader="none" w:pos="11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the Company and the Guarantors under this Section 7.07 will survive the satisfaction and discharge of this Indenture.</w:t>
      </w:r>
    </w:p>
    <w:p>
      <w:pPr>
        <w:spacing w:after="0" w:line="236" w:lineRule="exact"/>
        <w:rPr>
          <w:rFonts w:ascii="Arial" w:cs="Arial" w:eastAsia="Arial" w:hAnsi="Arial"/>
          <w:sz w:val="17"/>
          <w:szCs w:val="17"/>
          <w:color w:val="auto"/>
        </w:rPr>
      </w:pPr>
    </w:p>
    <w:p>
      <w:pPr>
        <w:ind w:right="120" w:firstLine="921"/>
        <w:spacing w:after="0" w:line="264"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Notes on all money or property held or collected by the Trustee, except that held in trust to pay principal and interest on particular Notes. Such Lien will survive the satisfaction and discharge of this Indenture and the resignation or removal of the Trustee.</w:t>
      </w:r>
    </w:p>
    <w:p>
      <w:pPr>
        <w:spacing w:after="0" w:line="181" w:lineRule="exact"/>
        <w:rPr>
          <w:rFonts w:ascii="Arial" w:cs="Arial" w:eastAsia="Arial" w:hAnsi="Arial"/>
          <w:sz w:val="18"/>
          <w:szCs w:val="18"/>
          <w:color w:val="auto"/>
        </w:rPr>
      </w:pPr>
    </w:p>
    <w:p>
      <w:pPr>
        <w:ind w:right="40" w:firstLine="921"/>
        <w:spacing w:after="0" w:line="264" w:lineRule="auto"/>
        <w:tabs>
          <w:tab w:leader="none" w:pos="11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6.01(8) or (9) hereof occurs, the expenses and the compensation for the services (including the fees and expenses of its agents and counsel) are intended to constitute expenses of administration under any Bankruptcy Law.</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r>
        <w:rPr>
          <w:rFonts w:ascii="Arial" w:cs="Arial" w:eastAsia="Arial" w:hAnsi="Arial"/>
          <w:sz w:val="18"/>
          <w:szCs w:val="18"/>
          <w:color w:val="auto"/>
        </w:rPr>
        <w:t>.</w:t>
      </w:r>
    </w:p>
    <w:p>
      <w:pPr>
        <w:spacing w:after="0" w:line="117" w:lineRule="exact"/>
        <w:rPr>
          <w:sz w:val="20"/>
          <w:szCs w:val="20"/>
          <w:color w:val="auto"/>
        </w:rPr>
      </w:pPr>
    </w:p>
    <w:p>
      <w:pPr>
        <w:ind w:right="440" w:firstLine="921"/>
        <w:spacing w:after="0" w:line="277" w:lineRule="auto"/>
        <w:tabs>
          <w:tab w:leader="none" w:pos="115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jc w:val="both"/>
        <w:ind w:right="160" w:firstLine="921"/>
        <w:spacing w:after="0" w:line="286" w:lineRule="auto"/>
        <w:tabs>
          <w:tab w:leader="none" w:pos="116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Trustee may resign in writing at any time on thirty (30) days’ prior written notice and be discharged from the trust hereby created by so notifying the Company. The Holders of a majority in aggregate principal amount of the then outstanding Notes may remove the Trustee on thirty (30) days’ prior written notice by so notifying the Trustee and the Company in writing. The Company may remove the Trustee if:</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260" w:firstLine="921"/>
        <w:spacing w:after="0" w:line="264" w:lineRule="auto"/>
        <w:tabs>
          <w:tab w:leader="none" w:pos="115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81" w:lineRule="exact"/>
        <w:rPr>
          <w:rFonts w:ascii="Arial" w:cs="Arial" w:eastAsia="Arial" w:hAnsi="Arial"/>
          <w:sz w:val="18"/>
          <w:szCs w:val="18"/>
          <w:color w:val="auto"/>
        </w:rPr>
      </w:pPr>
    </w:p>
    <w:p>
      <w:pPr>
        <w:ind w:firstLine="921"/>
        <w:spacing w:after="0" w:line="264" w:lineRule="auto"/>
        <w:tabs>
          <w:tab w:leader="none" w:pos="116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at the expense of the Company, the Company, or the Holders of at least 10% in aggregate principal amount of the then outstanding Notes may petition any court of competent jurisdiction for the appointment of a successor Trustee.</w:t>
      </w:r>
    </w:p>
    <w:p>
      <w:pPr>
        <w:spacing w:after="0" w:line="181" w:lineRule="exact"/>
        <w:rPr>
          <w:rFonts w:ascii="Arial" w:cs="Arial" w:eastAsia="Arial" w:hAnsi="Arial"/>
          <w:sz w:val="18"/>
          <w:szCs w:val="18"/>
          <w:color w:val="auto"/>
        </w:rPr>
      </w:pPr>
    </w:p>
    <w:p>
      <w:pPr>
        <w:ind w:right="300" w:firstLine="921"/>
        <w:spacing w:after="0" w:line="308" w:lineRule="auto"/>
        <w:tabs>
          <w:tab w:leader="none" w:pos="115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right="20" w:firstLine="921"/>
        <w:spacing w:after="0" w:line="302" w:lineRule="auto"/>
        <w:tabs>
          <w:tab w:leader="none" w:pos="113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send a notice of its succession to Holders. The retiring Trustee will promptly transfer all property held by it as Trustee to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all sums owing to the Trustee hereunder have been paid and subject to the Lien provided for in Section 7.07 hereof.</w:t>
      </w:r>
    </w:p>
    <w:p>
      <w:pPr>
        <w:spacing w:after="0" w:line="154"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Notwithstanding replacement of the Trustee pursuant to this Section 7.08, the Company’s obligations under Section 7.07 hereof will continue for the benefit of the retiring Trustee.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6" w:name="page77"/>
    <w:bookmarkEnd w:id="7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7.09. </w:t>
      </w:r>
      <w:r>
        <w:rPr>
          <w:rFonts w:ascii="Arial" w:cs="Arial" w:eastAsia="Arial" w:hAnsi="Arial"/>
          <w:sz w:val="18"/>
          <w:szCs w:val="18"/>
          <w:i w:val="1"/>
          <w:iCs w:val="1"/>
          <w:color w:val="auto"/>
        </w:rPr>
        <w:t>Successor Trustee by Merger, etc</w:t>
      </w:r>
      <w:r>
        <w:rPr>
          <w:rFonts w:ascii="Arial" w:cs="Arial" w:eastAsia="Arial" w:hAnsi="Arial"/>
          <w:sz w:val="18"/>
          <w:szCs w:val="18"/>
          <w:color w:val="auto"/>
        </w:rPr>
        <w:t>.</w:t>
      </w:r>
    </w:p>
    <w:p>
      <w:pPr>
        <w:spacing w:after="0" w:line="117" w:lineRule="exact"/>
        <w:rPr>
          <w:sz w:val="20"/>
          <w:szCs w:val="20"/>
          <w:color w:val="auto"/>
        </w:rPr>
      </w:pPr>
    </w:p>
    <w:p>
      <w:pPr>
        <w:jc w:val="both"/>
        <w:ind w:right="160" w:firstLine="913"/>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 Disqualification</w:t>
      </w:r>
      <w:r>
        <w:rPr>
          <w:rFonts w:ascii="Arial" w:cs="Arial" w:eastAsia="Arial" w:hAnsi="Arial"/>
          <w:sz w:val="18"/>
          <w:szCs w:val="18"/>
          <w:color w:val="auto"/>
        </w:rPr>
        <w:t>.</w:t>
      </w:r>
    </w:p>
    <w:p>
      <w:pPr>
        <w:spacing w:after="0" w:line="117"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Trustee is subject to TIA § 310(b).</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Preferential Collection of Claims Against Company</w:t>
      </w:r>
      <w:r>
        <w:rPr>
          <w:rFonts w:ascii="Arial" w:cs="Arial" w:eastAsia="Arial" w:hAnsi="Arial"/>
          <w:sz w:val="18"/>
          <w:szCs w:val="18"/>
          <w:color w:val="auto"/>
        </w:rPr>
        <w:t>.</w:t>
      </w:r>
    </w:p>
    <w:p>
      <w:pPr>
        <w:spacing w:after="0" w:line="117" w:lineRule="exact"/>
        <w:rPr>
          <w:sz w:val="20"/>
          <w:szCs w:val="20"/>
          <w:color w:val="auto"/>
        </w:rPr>
      </w:pPr>
    </w:p>
    <w:p>
      <w:pPr>
        <w:jc w:val="both"/>
        <w:ind w:right="180" w:firstLine="913"/>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 therein.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Option To Effect Legal Defeasance or Covenant Defeasance</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Company may at any time, at the option of its Board of Directors evidenced by a resolution set forth in an Officer’s Certificate delivered to the Trustee, elect to have either Section 8.02 or 8.03 hereof be applied to all outstanding Notes and Note Guarantees upon compliance with the conditions set forth below in this Article VIII.</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Legal Defeasance and Discharge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Upon the Company’s exercise under Section 8.01 hereof of the option applicable to this Section 8.02, the Company and each of the Guarantors will, subject to the satisfaction of the conditions set forth in Section 8.04 hereof, be deemed to have been discharged from their obligations with respect to all outstanding Notes (including the Note Guarantees) on the date the conditions set forth below are satisfied (hereinafter, “</w:t>
      </w:r>
      <w:r>
        <w:rPr>
          <w:rFonts w:ascii="Arial" w:cs="Arial" w:eastAsia="Arial" w:hAnsi="Arial"/>
          <w:sz w:val="16"/>
          <w:szCs w:val="16"/>
          <w:b w:val="1"/>
          <w:bCs w:val="1"/>
          <w:i w:val="1"/>
          <w:iCs w:val="1"/>
          <w:color w:val="auto"/>
        </w:rPr>
        <w:t>Legal Defeasance</w:t>
      </w:r>
      <w:r>
        <w:rPr>
          <w:rFonts w:ascii="Arial" w:cs="Arial" w:eastAsia="Arial" w:hAnsi="Arial"/>
          <w:sz w:val="16"/>
          <w:szCs w:val="16"/>
          <w:color w:val="auto"/>
        </w:rPr>
        <w:t>”).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in form and substance reasonably satisfactory to the Trustee), except for the following provisions which will survive until otherwise terminated or discharged hereunder:</w:t>
      </w:r>
    </w:p>
    <w:p>
      <w:pPr>
        <w:spacing w:after="0" w:line="58" w:lineRule="exact"/>
        <w:rPr>
          <w:sz w:val="20"/>
          <w:szCs w:val="20"/>
          <w:color w:val="auto"/>
        </w:rPr>
      </w:pPr>
    </w:p>
    <w:p>
      <w:pPr>
        <w:ind w:left="460" w:right="320" w:firstLine="443"/>
        <w:spacing w:after="0" w:line="277" w:lineRule="auto"/>
        <w:tabs>
          <w:tab w:leader="none" w:pos="11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in Section 8.04 hereof;</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II and Section 4.02 hereof;</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 the Company’s and the Guarantors’ obligations in connection therewith;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this Article VIII.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7" w:name="page78"/>
    <w:bookmarkEnd w:id="77"/>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compliance with this Article VIII, the Company may exercise its option under this Section 8.02 notwithstanding the prior exercise of its option under Section 8.03 hereof.</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Upon the Company’s exercise under Section 8.01 hereof of the option applicable to this Section 8.03, the Company and each of the Guarantors will, subject to the satisfaction of the conditions set forth in Section 8.04 hereof, be released from each of their obligations under the covenants contained in Sections 4.07, 4.08, 4.09, 4.10, 4.11, 4.12, 4.13, 4.15, 4.16, 4.17, 4.18 and 4.19 hereof and clause (4) of Section 5.01 hereof with respect to the outstanding Notes on and after the date the conditions set forth in Section 8.04 hereof are satisfied (hereinafter, “</w:t>
      </w:r>
      <w:r>
        <w:rPr>
          <w:rFonts w:ascii="Arial" w:cs="Arial" w:eastAsia="Arial" w:hAnsi="Arial"/>
          <w:sz w:val="16"/>
          <w:szCs w:val="16"/>
          <w:b w:val="1"/>
          <w:bCs w:val="1"/>
          <w:i w:val="1"/>
          <w:iCs w:val="1"/>
          <w:color w:val="auto"/>
        </w:rPr>
        <w:t>Covenant Defeasance</w:t>
      </w:r>
      <w:r>
        <w:rPr>
          <w:rFonts w:ascii="Arial" w:cs="Arial" w:eastAsia="Arial" w:hAnsi="Arial"/>
          <w:sz w:val="16"/>
          <w:szCs w:val="16"/>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Sections 6.01(3) through 6.01(6) hereof will not constitute Events of Default.</w:t>
      </w:r>
    </w:p>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Conditions to Legal or Covenant Defeasance</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17" w:lineRule="exact"/>
        <w:rPr>
          <w:sz w:val="20"/>
          <w:szCs w:val="20"/>
          <w:color w:val="auto"/>
        </w:rPr>
      </w:pPr>
    </w:p>
    <w:p>
      <w:pPr>
        <w:ind w:left="460" w:right="60" w:firstLine="443"/>
        <w:spacing w:after="0" w:line="276" w:lineRule="auto"/>
        <w:tabs>
          <w:tab w:leader="none" w:pos="115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Holders,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64" w:lineRule="exact"/>
        <w:rPr>
          <w:rFonts w:ascii="Arial" w:cs="Arial" w:eastAsia="Arial" w:hAnsi="Arial"/>
          <w:sz w:val="17"/>
          <w:szCs w:val="17"/>
          <w:color w:val="auto"/>
        </w:rPr>
      </w:pPr>
    </w:p>
    <w:p>
      <w:pPr>
        <w:ind w:left="460" w:right="40" w:firstLine="443"/>
        <w:spacing w:after="0" w:line="255"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satisfactory to the Trustee confirming that (a) the Company has received from, or there has been published by, the Internal Revenue Service a ruling or (b) since the date of this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85" w:lineRule="exact"/>
        <w:rPr>
          <w:rFonts w:ascii="Arial" w:cs="Arial" w:eastAsia="Arial" w:hAnsi="Arial"/>
          <w:sz w:val="18"/>
          <w:szCs w:val="18"/>
          <w:color w:val="auto"/>
        </w:rPr>
      </w:pPr>
    </w:p>
    <w:p>
      <w:pPr>
        <w:ind w:left="460" w:right="60" w:firstLine="443"/>
        <w:spacing w:after="0" w:line="259"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Default has occurred and is continuing on the date of such deposit (other than a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78" w:name="page79"/>
    <w:bookmarkEnd w:id="78"/>
    <w:p>
      <w:pPr>
        <w:ind w:left="460" w:right="220" w:firstLine="443"/>
        <w:spacing w:after="0" w:line="264"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3" w:lineRule="exact"/>
        <w:rPr>
          <w:rFonts w:ascii="Arial" w:cs="Arial" w:eastAsia="Arial" w:hAnsi="Arial"/>
          <w:sz w:val="18"/>
          <w:szCs w:val="18"/>
          <w:color w:val="auto"/>
        </w:rPr>
      </w:pPr>
    </w:p>
    <w:p>
      <w:pPr>
        <w:ind w:left="460" w:right="100" w:firstLine="443"/>
        <w:spacing w:after="0" w:line="264"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73" w:lineRule="exact"/>
        <w:rPr>
          <w:rFonts w:ascii="Arial" w:cs="Arial" w:eastAsia="Arial" w:hAnsi="Arial"/>
          <w:sz w:val="18"/>
          <w:szCs w:val="18"/>
          <w:color w:val="auto"/>
        </w:rPr>
      </w:pPr>
    </w:p>
    <w:p>
      <w:pPr>
        <w:ind w:left="460" w:right="480" w:firstLine="443"/>
        <w:spacing w:after="0" w:line="308" w:lineRule="auto"/>
        <w:tabs>
          <w:tab w:leader="none" w:pos="115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must deliver to the Trustee an Officer’s Certificate and an Opinion of Counsel, reasonably satisfactory to the Trustee each stating that all conditions precedent relating to the Legal Defeasance or the Covenant Defeasance have been complied with.</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Deposited Money and Government Securities To Be Held in Trust; Other Miscellaneous Provisions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97" w:lineRule="auto"/>
        <w:tabs>
          <w:tab w:leader="none" w:pos="11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6"/>
          <w:szCs w:val="16"/>
          <w:i w:val="1"/>
          <w:iCs w:val="1"/>
          <w:color w:val="auto"/>
        </w:rPr>
        <w:t>Trustee</w:t>
      </w:r>
      <w:r>
        <w:rPr>
          <w:rFonts w:ascii="Arial" w:cs="Arial" w:eastAsia="Arial" w:hAnsi="Arial"/>
          <w:sz w:val="16"/>
          <w:szCs w:val="16"/>
          <w:color w:val="auto"/>
        </w:rPr>
        <w:t>”) pursuant to Section 8.04 hereof in respect of the outstanding Notes will be held in trust and applied by the Trustee, in accordance with the provisions of such Notes and this Indenture, to the payment, either directly or through any Paying Agent (other than the Company)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8" w:lineRule="exact"/>
        <w:rPr>
          <w:rFonts w:ascii="Arial" w:cs="Arial" w:eastAsia="Arial" w:hAnsi="Arial"/>
          <w:sz w:val="16"/>
          <w:szCs w:val="16"/>
          <w:color w:val="auto"/>
        </w:rPr>
      </w:pPr>
    </w:p>
    <w:p>
      <w:pPr>
        <w:ind w:right="40" w:firstLine="921"/>
        <w:spacing w:after="0" w:line="264" w:lineRule="auto"/>
        <w:tabs>
          <w:tab w:leader="none" w:pos="11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will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rFonts w:ascii="Arial" w:cs="Arial" w:eastAsia="Arial" w:hAnsi="Arial"/>
          <w:sz w:val="18"/>
          <w:szCs w:val="18"/>
          <w:color w:val="auto"/>
        </w:rPr>
      </w:pPr>
    </w:p>
    <w:p>
      <w:pPr>
        <w:ind w:right="120" w:firstLine="921"/>
        <w:spacing w:after="0" w:line="257" w:lineRule="auto"/>
        <w:tabs>
          <w:tab w:leader="none" w:pos="11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Notwithstanding anything in this Article VIII to the contrary, the Trustee will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Trustee or such Paying Agent, before being required to make any such repayment, may at the direction and expense of the Company cause to be published once, in the </w:t>
      </w:r>
      <w:r>
        <w:rPr>
          <w:rFonts w:ascii="Arial" w:cs="Arial" w:eastAsia="Arial" w:hAnsi="Arial"/>
          <w:sz w:val="17"/>
          <w:szCs w:val="17"/>
          <w:i w:val="1"/>
          <w:iCs w:val="1"/>
          <w:color w:val="auto"/>
        </w:rPr>
        <w:t>New York Times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Section 8.02 or 8.03 hereof until such time 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79" w:name="page80"/>
    <w:bookmarkEnd w:id="79"/>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Trustee or Paying Agent is permitted to apply all such money in accordance with Section 8.02 or 8.03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 of Notes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Notwithstanding Section 9.02 of this Indenture, the Company, the Guarantors and the Trustee and (solely with respect to the Escrow Agreement) the Escrow Agent may amend or supplement this Indenture, the Escrow Agreement, the Notes or the Note Guarantees without the consent of any Holder of Notes:</w:t>
      </w:r>
    </w:p>
    <w:p>
      <w:pPr>
        <w:spacing w:after="0" w:line="73" w:lineRule="exact"/>
        <w:rPr>
          <w:sz w:val="20"/>
          <w:szCs w:val="20"/>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provide for the assumption of the Company’s or a Guarantor’s obligations to the Holders of the Notes and Note Guarantees by a successor to the Company or such Guarantor pursuant to Article V or Article X hereof;</w:t>
      </w:r>
    </w:p>
    <w:p>
      <w:pPr>
        <w:spacing w:after="0" w:line="62" w:lineRule="exact"/>
        <w:rPr>
          <w:rFonts w:ascii="Arial" w:cs="Arial" w:eastAsia="Arial" w:hAnsi="Arial"/>
          <w:sz w:val="18"/>
          <w:szCs w:val="18"/>
          <w:color w:val="auto"/>
        </w:rPr>
      </w:pPr>
    </w:p>
    <w:p>
      <w:pPr>
        <w:ind w:left="460" w:right="260" w:firstLine="443"/>
        <w:spacing w:after="0" w:line="308" w:lineRule="auto"/>
        <w:tabs>
          <w:tab w:leader="none" w:pos="115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make any change that would provide any additional rights or benefits to the Holders of the Notes (including the addition of collateral to secure the Notes and/or additional guarantees) or that does not adversely affect the legal rights hereunder of any such Holder;</w:t>
      </w:r>
    </w:p>
    <w:p>
      <w:pPr>
        <w:spacing w:after="0" w:line="38" w:lineRule="exact"/>
        <w:rPr>
          <w:rFonts w:ascii="Arial" w:cs="Arial" w:eastAsia="Arial" w:hAnsi="Arial"/>
          <w:sz w:val="17"/>
          <w:szCs w:val="17"/>
          <w:color w:val="auto"/>
        </w:rPr>
      </w:pPr>
    </w:p>
    <w:p>
      <w:pPr>
        <w:ind w:left="460" w:firstLine="443"/>
        <w:spacing w:after="0" w:line="312" w:lineRule="auto"/>
        <w:tabs>
          <w:tab w:leader="none" w:pos="115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conform the text of this Indenture, the Escrow Agreement, the Note Guarantees or the Notes to any provision of the “Description of Notes” section of the Offering Memorandum to the extent that such provision of the Indenture, the Escrow Agreement, the Note Guarantees or the Notes was intended to conform to the text of the “Description of Notes” section of the Offering Memorandum as evidenced by an Officer’s Certificate;</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this Indenture as of the date hereof;</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of this Indenture.</w:t>
      </w:r>
    </w:p>
    <w:p>
      <w:pPr>
        <w:spacing w:after="0" w:line="170" w:lineRule="exact"/>
        <w:rPr>
          <w:sz w:val="20"/>
          <w:szCs w:val="20"/>
          <w:color w:val="auto"/>
        </w:rPr>
      </w:pPr>
    </w:p>
    <w:p>
      <w:pPr>
        <w:ind w:right="180" w:firstLine="913"/>
        <w:spacing w:after="0" w:line="276" w:lineRule="auto"/>
        <w:rPr>
          <w:sz w:val="20"/>
          <w:szCs w:val="20"/>
          <w:color w:val="auto"/>
        </w:rPr>
      </w:pPr>
      <w:r>
        <w:rPr>
          <w:rFonts w:ascii="Arial" w:cs="Arial" w:eastAsia="Arial" w:hAnsi="Arial"/>
          <w:sz w:val="17"/>
          <w:szCs w:val="17"/>
          <w:color w:val="auto"/>
        </w:rPr>
        <w:t>Upon the request of the Company accompanied by a resolution of its Board of Directors authorizing the execution of any such amended or supplemental indenture, and upon receipt by the Trustee of the documents described in Section 7.02 hereof, the Trustee will join with the Company and the Guarantors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 of Notes</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Except as provided below in this Section 9.02, the Company and the Trustee and (solely with respect to the Escrow Agreement) the Escrow Agent may amend or supplement this Indenture (including, without limitation, Section 3.09, 4.10 and 4.15 hereof), the Escrow Agreement or the Notes and the Note Guarantees with the consent of the Holders of at least a majority in aggregate principal amount of the then outstanding Notes (including, without limitation, Additional Notes, if any) voting as a single class (including, without limitation,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274" w:right="299" w:bottom="1440" w:gutter="0" w:footer="0" w:header="0"/>
        </w:sectPr>
      </w:pPr>
    </w:p>
    <w:bookmarkStart w:id="80" w:name="page81"/>
    <w:bookmarkEnd w:id="80"/>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consents obtained in connection with a tender offer or exchange offer for, or purchase of, the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Escrow Agreement or the Notes and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hereof shall determine which Notes are considered to be “outstanding” for purposes of this Section 9.02.</w:t>
      </w:r>
    </w:p>
    <w:p>
      <w:pPr>
        <w:spacing w:after="0" w:line="18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7.02(b) hereof, the Trustee will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93"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It is not necessary for the consent of the Holders of Notes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After an amendment, supplement or waiver under this Section 9.02 or under Section 9.01 becomes effective, the Company shall deliver to the Holders of Notes affected thereby a notice briefly describing such amendment, supplement or waiver. Any failure of the Company to deliver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or the Note Guarantees. However, without the consent of each Holder of Notes affected, an amendment, supplement or waiver under this Section 9.02 may not (with respect to any Notes held by a non-consenting Holder):</w:t>
      </w:r>
    </w:p>
    <w:p>
      <w:pPr>
        <w:spacing w:after="0" w:line="57" w:lineRule="exact"/>
        <w:rPr>
          <w:sz w:val="20"/>
          <w:szCs w:val="20"/>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460" w:right="500" w:firstLine="443"/>
        <w:spacing w:after="0" w:line="342" w:lineRule="auto"/>
        <w:tabs>
          <w:tab w:leader="none" w:pos="115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Note or change the date on which any Note may be subject to redemption or reduce the redemption price thereof as described in Section 3.07 (except as provided above with respect to Sections 3.09, 4.10 and 4.15 hereof);</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1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or interest or premium, if any, on, the Notes;</w:t>
      </w:r>
    </w:p>
    <w:p>
      <w:pPr>
        <w:spacing w:after="0" w:line="62"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amend, change or modify the obligation of the Company to make and consummate an Asset Sale Offer with respect to any Asset Sale in accordance with Section 3.09 hereof after the obligation to make such Asset Sale Offer has arisen, or the obligation of the Company to make and consummate a Change of Control Offer in the event of a Change of Control in accordance with Section 4.15 after such Change of Control has occurred, including, in each case, amending, changing or modifying any definition relating thereto;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81" w:name="page82"/>
    <w:bookmarkEnd w:id="81"/>
    <w:p>
      <w:pPr>
        <w:ind w:left="460" w:right="480" w:firstLine="443"/>
        <w:spacing w:after="0" w:line="277"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any Guarantor from any of its obligations under its Note Guarantee or this Indenture, except in accordance with the terms of this Indenture;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make any material change in the provisions of Sections 3.10 or 4.21;</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make any material change in the provisions of the Escrow Agreement that would adversely affect the Holders; or</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Revocation and Effect of Consents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Notes</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Failure to make the appropriate notation or issue a new Note will not affect the validity and effect of such amendment, supplement or waiver.</w:t>
      </w:r>
    </w:p>
    <w:p>
      <w:pPr>
        <w:spacing w:after="0" w:line="3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The Trustee will sign any amended or supplemental indenture authorized pursuant to this Article IX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provided with and (subject to Section 7.01 hereof) will be fully protected in relying upon, in addition to the documents required by Section 12.03 hereof, an Officer’s Certificate and an Opinion of Counsel stating that the execution of such amended or supplemental indenture is authorized or permitted by this Indenture.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 GUARANTEES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right="220" w:firstLine="921"/>
        <w:spacing w:after="0" w:line="264" w:lineRule="auto"/>
        <w:tabs>
          <w:tab w:leader="none" w:pos="115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Subject to this Article X,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73" w:lineRule="exact"/>
        <w:rPr>
          <w:rFonts w:ascii="Arial" w:cs="Arial" w:eastAsia="Arial" w:hAnsi="Arial"/>
          <w:sz w:val="18"/>
          <w:szCs w:val="18"/>
          <w:color w:val="auto"/>
        </w:rPr>
      </w:pPr>
    </w:p>
    <w:p>
      <w:pPr>
        <w:ind w:left="460" w:right="20" w:firstLine="443"/>
        <w:spacing w:after="0" w:line="312" w:lineRule="auto"/>
        <w:tabs>
          <w:tab w:leader="none" w:pos="115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principal of, premium, if any,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82" w:name="page83"/>
    <w:bookmarkEnd w:id="82"/>
    <w:p>
      <w:pPr>
        <w:ind w:left="460" w:right="160" w:firstLine="443"/>
        <w:spacing w:after="0" w:line="342" w:lineRule="auto"/>
        <w:tabs>
          <w:tab w:leader="none" w:pos="1153"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24"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ind w:firstLine="921"/>
        <w:spacing w:after="0" w:line="255" w:lineRule="auto"/>
        <w:tabs>
          <w:tab w:leader="none" w:pos="11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Subject to Section 6.06,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Note Guarantee will not be discharged except by complete performance of the obligations contained in the Notes and this Indenture.</w:t>
      </w:r>
    </w:p>
    <w:p>
      <w:pPr>
        <w:spacing w:after="0" w:line="189" w:lineRule="exact"/>
        <w:rPr>
          <w:rFonts w:ascii="Arial" w:cs="Arial" w:eastAsia="Arial" w:hAnsi="Arial"/>
          <w:sz w:val="18"/>
          <w:szCs w:val="18"/>
          <w:color w:val="auto"/>
        </w:rPr>
      </w:pPr>
    </w:p>
    <w:p>
      <w:pPr>
        <w:ind w:right="320" w:firstLine="921"/>
        <w:spacing w:after="0" w:line="264" w:lineRule="auto"/>
        <w:tabs>
          <w:tab w:leader="none" w:pos="115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Note Guarantee, to the extent theretofore discharged, will be reinstated in full force and effect.</w:t>
      </w:r>
    </w:p>
    <w:p>
      <w:pPr>
        <w:spacing w:after="0" w:line="181" w:lineRule="exact"/>
        <w:rPr>
          <w:rFonts w:ascii="Arial" w:cs="Arial" w:eastAsia="Arial" w:hAnsi="Arial"/>
          <w:sz w:val="18"/>
          <w:szCs w:val="18"/>
          <w:color w:val="auto"/>
        </w:rPr>
      </w:pPr>
    </w:p>
    <w:p>
      <w:pPr>
        <w:ind w:right="20" w:firstLine="921"/>
        <w:spacing w:after="0" w:line="291" w:lineRule="auto"/>
        <w:tabs>
          <w:tab w:leader="none" w:pos="116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VI hereof for the purposes of this Note Guarantee, notwithstanding any stay, injunction or other prohibition preventing such acceleration in respect of the obligations guaranteed hereby, and (2) in the event of any declaration of acceleration of such obligations as provided in Article VI hereof,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Limitation on Guarantor Liability</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X, result in the obligations of such Guarantor under its Note Guarantee not constituting a fraudulent transfer or conveyance.</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Execution and Delivery of Note Guarantee</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To evidence its Note Guarantee set forth in Section 10.01 hereof, each Guarantor hereby agrees that a supplemental indenture shall be executed on behalf of such Guarantor by an Officer of such Guarantor.</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Each Guarantor hereby agrees that its Note Guarantee set forth in Section 10.01 hereof will remain in full force and effect notwithstanding any failure to endorse on each Note a notation of such Note Guarantee.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83" w:name="page84"/>
    <w:bookmarkEnd w:id="83"/>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Officer whose signature is on this Indenture or on the Note Guarantee no longer holds that office at the time the Trustee authenticates the Note on which a Note Guarantee is endorsed, the Note Guarantee will be valid nevertheless.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Note Guarantee set forth in this Indenture on behalf of the Guarantors.</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In the event that the Company or any of its Restricted Subsidiaries creates or acquires any Domestic Subsidiary after the date of this Indenture, if required by Section 4.18 hereof, the Company will cause such Domestic Subsidiary to comply with the provisions of Section 4.18 hereof and this Article X, to the extent applicable.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Guarantors May Consolidate, etc., on Certain Terms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73" w:lineRule="exact"/>
        <w:rPr>
          <w:sz w:val="20"/>
          <w:szCs w:val="20"/>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right="60" w:firstLine="421"/>
        <w:spacing w:after="0" w:line="264" w:lineRule="auto"/>
        <w:tabs>
          <w:tab w:leader="none" w:pos="158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subject to Section 10.05 hereof, the Person acquiring the property in any such sale or disposition or the Person formed by or surviving any such consolidation or merger assumes all the obligations of that Guarantor under this Indenture and its Note Guarantee on the terms set forth herein or therein, pursuant to a supplemental indenture; or</w:t>
      </w:r>
    </w:p>
    <w:p>
      <w:pPr>
        <w:spacing w:after="0" w:line="73" w:lineRule="exact"/>
        <w:rPr>
          <w:rFonts w:ascii="Arial" w:cs="Arial" w:eastAsia="Arial" w:hAnsi="Arial"/>
          <w:sz w:val="18"/>
          <w:szCs w:val="18"/>
          <w:color w:val="auto"/>
        </w:rPr>
      </w:pPr>
    </w:p>
    <w:p>
      <w:pPr>
        <w:ind w:left="920" w:right="380" w:firstLine="421"/>
        <w:spacing w:after="0" w:line="277" w:lineRule="auto"/>
        <w:tabs>
          <w:tab w:leader="none" w:pos="159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such sale or other disposition is permitted under this Indenture and the Net Proceeds of such sale or other disposition are applied in accordance with the applicable provisions of this Indenture, including without limitation, Section 4.10 hereof.</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foregoing requirements of this paragraph shall not apply to a reincorporation of a Guarantor if, in the good faith determination of the Board of Directors of the Guarantor, whose determination shall be evidenced by a board resolution delivered to the Trustee, the principal purpose of such transaction is to change the state of incorporation of such Guarantor and any such transaction shall not have as one of its purposes the evasion of the foregoing limitations.</w:t>
      </w:r>
    </w:p>
    <w:p>
      <w:pPr>
        <w:spacing w:after="0" w:line="14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case of any such consolidation, merger, sale or conveyance and upon the assumption by the successor Person, by supplemental indenture executed and delivered to the Trustee, of the Note Guarantee and the due and punctual performance of all of the covenants and conditions of this Indenture to be performed by the Guarantor, such successor Person shall succeed to and be substituted for the Guarantor with the same effect as if it had been named herein as a Guarantor.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93"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Except as set forth in Articles IV and V hereof, and notwithstanding clauses 2(a) and (b)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Releases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Note Guarantee of a Guarantor shall be released upon:</w:t>
      </w:r>
    </w:p>
    <w:p>
      <w:pPr>
        <w:spacing w:after="0" w:line="117" w:lineRule="exact"/>
        <w:rPr>
          <w:sz w:val="20"/>
          <w:szCs w:val="20"/>
          <w:color w:val="auto"/>
        </w:rPr>
      </w:pPr>
    </w:p>
    <w:p>
      <w:pPr>
        <w:ind w:left="920" w:firstLine="1"/>
        <w:spacing w:after="0" w:line="264" w:lineRule="auto"/>
        <w:tabs>
          <w:tab w:leader="none" w:pos="117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 any sale or other disposition of all or substantially all of the assets of such Guarantor (including by way of merger or consolidation) to a Person that is not (either before or after giving effect to such transactions) the Company or a Restricted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or other disposition does not violate Section 3.09 hereof or Section 4.10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84" w:name="page85"/>
    <w:bookmarkEnd w:id="84"/>
    <w:p>
      <w:pPr>
        <w:ind w:left="920" w:right="120" w:firstLine="421"/>
        <w:spacing w:after="0" w:line="264" w:lineRule="auto"/>
        <w:tabs>
          <w:tab w:leader="none" w:pos="1595"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sale or other disposition of the Capital Stock of such Guarantor, after which the applicable Guarantor is no longer a Restricted Subsidiary, to a Person that is not (either before or after giving effect to such transaction) a Restricted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or other disposition does not violate Section 3.09 hereof or Section 4.10 hereof;</w:t>
      </w:r>
    </w:p>
    <w:p>
      <w:pPr>
        <w:spacing w:after="0" w:line="73" w:lineRule="exact"/>
        <w:rPr>
          <w:rFonts w:ascii="Arial" w:cs="Arial" w:eastAsia="Arial" w:hAnsi="Arial"/>
          <w:sz w:val="18"/>
          <w:szCs w:val="18"/>
          <w:color w:val="auto"/>
        </w:rPr>
      </w:pPr>
    </w:p>
    <w:p>
      <w:pPr>
        <w:ind w:left="920" w:right="400" w:firstLine="421"/>
        <w:spacing w:after="0" w:line="277" w:lineRule="auto"/>
        <w:tabs>
          <w:tab w:leader="none" w:pos="158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designation of such Restricted Subsidiary that is a Guarantor as an Unrestricted Subsidiary in accordance with the terms of this Indenture (including Section 4.19 hereof); or</w:t>
      </w:r>
    </w:p>
    <w:p>
      <w:pPr>
        <w:spacing w:after="0" w:line="62" w:lineRule="exact"/>
        <w:rPr>
          <w:rFonts w:ascii="Arial" w:cs="Arial" w:eastAsia="Arial" w:hAnsi="Arial"/>
          <w:sz w:val="18"/>
          <w:szCs w:val="18"/>
          <w:color w:val="auto"/>
        </w:rPr>
      </w:pPr>
    </w:p>
    <w:p>
      <w:pPr>
        <w:ind w:left="920" w:right="200" w:firstLine="421"/>
        <w:spacing w:after="0" w:line="277" w:lineRule="auto"/>
        <w:tabs>
          <w:tab w:leader="none" w:pos="159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Legal Defeasance in accordance with Article VIII hereof or satisfaction and discharge of this Indenture in accordance with Article XI hereof; and</w:t>
      </w:r>
    </w:p>
    <w:p>
      <w:pPr>
        <w:spacing w:after="0" w:line="62" w:lineRule="exact"/>
        <w:rPr>
          <w:rFonts w:ascii="Arial" w:cs="Arial" w:eastAsia="Arial" w:hAnsi="Arial"/>
          <w:sz w:val="18"/>
          <w:szCs w:val="18"/>
          <w:color w:val="auto"/>
        </w:rPr>
      </w:pPr>
    </w:p>
    <w:p>
      <w:pPr>
        <w:ind w:left="460" w:right="200" w:firstLine="443"/>
        <w:spacing w:after="0" w:line="264"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such Guarantor delivering to the Trustee an Officer’s Certificate and an Opinion of Counsel, each stating that all conditions precedent provided for in this Indenture relating to such transaction have been complied with. Upon request, the Trustee shall execute an instrument evidencing the release of such Guarantor (in form and substance reasonably satisfactory to the Trustee).</w:t>
      </w:r>
    </w:p>
    <w:p>
      <w:pPr>
        <w:spacing w:after="0" w:line="181"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Any Guarantor not released from its obligations under its Note Guarantee as provided in this Section 10.05 will remain liable for the full amount of principal of and interest and premium, if any, on the Notes and for the other obligations of any Guarantor under this Indenture as provided in this Article X.</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Satisfaction and Discharge</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117" w:lineRule="exact"/>
        <w:rPr>
          <w:sz w:val="20"/>
          <w:szCs w:val="20"/>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right="480" w:firstLine="421"/>
        <w:spacing w:after="0" w:line="342" w:lineRule="auto"/>
        <w:tabs>
          <w:tab w:leader="none" w:pos="158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Company, have been delivered to the Trustee for cancellation; or</w:t>
      </w:r>
    </w:p>
    <w:p>
      <w:pPr>
        <w:spacing w:after="0" w:line="15" w:lineRule="exact"/>
        <w:rPr>
          <w:rFonts w:ascii="Arial" w:cs="Arial" w:eastAsia="Arial" w:hAnsi="Arial"/>
          <w:sz w:val="16"/>
          <w:szCs w:val="16"/>
          <w:color w:val="auto"/>
        </w:rPr>
      </w:pPr>
    </w:p>
    <w:p>
      <w:pPr>
        <w:ind w:left="920" w:right="20" w:firstLine="421"/>
        <w:spacing w:after="0" w:line="291" w:lineRule="auto"/>
        <w:tabs>
          <w:tab w:leader="none" w:pos="159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have become due and payable by reason of the delivery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(in the case that non-callable Government Securities have been deposited, in the opinion of a nationally recognized investment bank, appraisal firm or firm of independent public accountants),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59" w:lineRule="exact"/>
        <w:rPr>
          <w:rFonts w:ascii="Arial" w:cs="Arial" w:eastAsia="Arial" w:hAnsi="Arial"/>
          <w:sz w:val="16"/>
          <w:szCs w:val="16"/>
          <w:color w:val="auto"/>
        </w:rPr>
      </w:pPr>
    </w:p>
    <w:p>
      <w:pPr>
        <w:jc w:val="both"/>
        <w:ind w:left="460" w:right="120" w:firstLine="443"/>
        <w:spacing w:after="0" w:line="259" w:lineRule="auto"/>
        <w:tabs>
          <w:tab w:leader="none" w:pos="115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or will occur as a result of the deposit (other than a Default or Event of Default resulting from the borrowing of funds to be applied to such deposit and the granting of Liens in connection therewith) and the deposit will not result in a breach or violation of, or constitute a default under, any other instrument (other than this Indenture) to which the Company or any Guarantor is a party or by which the Company or any Guarantor is bound;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85" w:name="page86"/>
    <w:bookmarkEnd w:id="85"/>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or any Guarantor has paid or caused to be paid all sums payable by it under this Indenture; and</w:t>
      </w:r>
    </w:p>
    <w:p>
      <w:pPr>
        <w:spacing w:after="0" w:line="117"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right="100" w:firstLine="8"/>
        <w:spacing w:after="0" w:line="261" w:lineRule="auto"/>
        <w:tabs>
          <w:tab w:leader="none" w:pos="2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11.01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has made any payment of principal of, premium,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facsimile transmission or electronic transmission or overnight air courier guaranteeing next day delivery, to the others’ address: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Liberty Lake, WA 99019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(509) 891-3655</w:t>
      </w:r>
    </w:p>
    <w:p>
      <w:pPr>
        <w:spacing w:after="0" w:line="9" w:lineRule="exact"/>
        <w:rPr>
          <w:sz w:val="20"/>
          <w:szCs w:val="20"/>
          <w:color w:val="auto"/>
        </w:rPr>
      </w:pPr>
    </w:p>
    <w:p>
      <w:pPr>
        <w:ind w:left="1500" w:right="3580"/>
        <w:spacing w:after="0" w:line="250" w:lineRule="auto"/>
        <w:rPr>
          <w:sz w:val="20"/>
          <w:szCs w:val="20"/>
          <w:color w:val="auto"/>
        </w:rPr>
      </w:pPr>
      <w:r>
        <w:rPr>
          <w:rFonts w:ascii="Arial" w:cs="Arial" w:eastAsia="Arial" w:hAnsi="Arial"/>
          <w:sz w:val="18"/>
          <w:szCs w:val="18"/>
          <w:color w:val="auto"/>
        </w:rPr>
        <w:t>Electronic mail: Shannon.votava@itron.com (with such electronic mail to be confirmed by telephone to (509) 891-3295)</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Shannon Votava, Senior Vice President, General Counsel</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86" w:name="page87"/>
    <w:bookmarkEnd w:id="8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1201 Third Avenue, Suite 4900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(206) 359-9000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Electronic mail: abor@perkinscoie.com (with such electronic mail to be confirmed by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to (206) 359-8577)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Andrew Bor, Esq.</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1420 5th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(206) 344-4630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Electronic mail: christine.ok@usbank.com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Global Corporate Trust Services</w:t>
      </w:r>
    </w:p>
    <w:p>
      <w:pPr>
        <w:spacing w:after="0" w:line="21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three Business Days after being deposited in the mail, postage prepaid, if mailed; when receipt acknowledged, if transmitted by facsimile or electronic transmission; and the next Business Day after timely delivery to the courier, if sent by overnight air courier guaranteeing next day delivery.</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 notice or communication is mailed in the manner provided above within the time prescribed, it is duly given, whether or not the addressee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receives it.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Communication by Holders of Notes with Other Holders of Notes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the Trustee, the Registrar and anyone else shall have the protection of TIA §312(c).</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(1) an Officer’s Certificate in form and substance reasonably satisfactory to the Trustee (which must include the statements set forth in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12.04 hereof) stating that, in the opinion of the signers, all conditions precedent and covenants, if any, provided for in this Indenture relating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proposed action have been satisfied; and</w:t>
      </w:r>
    </w:p>
    <w:p>
      <w:pPr>
        <w:spacing w:after="0" w:line="103" w:lineRule="exact"/>
        <w:rPr>
          <w:sz w:val="20"/>
          <w:szCs w:val="20"/>
          <w:color w:val="auto"/>
        </w:rPr>
      </w:pPr>
    </w:p>
    <w:p>
      <w:pPr>
        <w:ind w:left="460" w:right="820" w:firstLine="443"/>
        <w:spacing w:after="0" w:line="342" w:lineRule="auto"/>
        <w:tabs>
          <w:tab w:leader="none" w:pos="115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12.04 hereof) stating that, in the opinion of such counsel, all such conditions precedent and covenants have been satisfied.</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5560" w:right="3100" w:hanging="4657"/>
        <w:spacing w:after="0" w:line="449" w:lineRule="auto"/>
        <w:tabs>
          <w:tab w:leader="none" w:pos="115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-76-</w:t>
      </w:r>
    </w:p>
    <w:p>
      <w:pPr>
        <w:sectPr>
          <w:pgSz w:w="11900" w:h="16838" w:orient="portrait"/>
          <w:cols w:equalWidth="0" w:num="1">
            <w:col w:w="11380"/>
          </w:cols>
          <w:pgMar w:left="240" w:top="274" w:right="279" w:bottom="1440" w:gutter="0" w:footer="0" w:header="0"/>
        </w:sectPr>
      </w:pPr>
    </w:p>
    <w:bookmarkStart w:id="87" w:name="page88"/>
    <w:bookmarkEnd w:id="87"/>
    <w:p>
      <w:pPr>
        <w:ind w:left="460" w:right="460" w:firstLine="443"/>
        <w:spacing w:after="0" w:line="277" w:lineRule="auto"/>
        <w:tabs>
          <w:tab w:leader="none" w:pos="11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62" w:lineRule="exact"/>
        <w:rPr>
          <w:rFonts w:ascii="Arial" w:cs="Arial" w:eastAsia="Arial" w:hAnsi="Arial"/>
          <w:sz w:val="18"/>
          <w:szCs w:val="18"/>
          <w:color w:val="auto"/>
        </w:rPr>
      </w:pPr>
    </w:p>
    <w:p>
      <w:pPr>
        <w:ind w:left="460" w:right="260" w:firstLine="443"/>
        <w:spacing w:after="0" w:line="308" w:lineRule="auto"/>
        <w:tabs>
          <w:tab w:leader="none" w:pos="1153"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such Person, such condition or covenant has been satisfied;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matters of fact, an Opinion of Counsel may rely on an Officer’s Certificate or a certificate of a public official.</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Rules by Trustee and Agents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and the Paying Agent may make reasonable rules and set reasonable requirements for its functions.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i w:val="1"/>
          <w:iCs w:val="1"/>
          <w:color w:val="auto"/>
        </w:rPr>
        <w:t>No Personal Liability of Directors, Officers, Employees and Stockholders</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No director, officer, employee, incorporator or stockholder of the Company or any Guarantor, as such, will have any liability for any obligations of the Company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THIS INDENTURE AND THE NOTES, INCLUDING ANY NOTE GUARANTEES, AND THE RIGHTS AND DUTIES OF THE PARTIES HEREUNDER AND THEREUNDER ARE AND SHALL BE GOVERNED BY, AND CONSTRUED IN ACCORDANCE WITH, THE LAWS OF THE STATE OF NEW YORK WITHOUT GIVING EFFECT TO APPLICABLE PRINCIPLES OF CONFLICTS OF LAW TO THE EXTENT THAT THE APPLICATION OF THE LAW OF ANOTHER JURISDICTION WOULD BE REQUIRED THEREBY.</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i w:val="1"/>
          <w:iCs w:val="1"/>
          <w:color w:val="auto"/>
        </w:rPr>
        <w:t>No Adverse Interpretation of Other Agreements</w:t>
      </w:r>
      <w:r>
        <w:rPr>
          <w:rFonts w:ascii="Arial" w:cs="Arial" w:eastAsia="Arial" w:hAnsi="Arial"/>
          <w:sz w:val="18"/>
          <w:szCs w:val="18"/>
          <w:color w:val="auto"/>
        </w:rPr>
        <w:t>.</w:t>
      </w:r>
    </w:p>
    <w:p>
      <w:pPr>
        <w:spacing w:after="0" w:line="117"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i w:val="1"/>
          <w:iCs w:val="1"/>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All agreements of the Company in this Indenture and the Notes will bind its successors. All agreements of the Trustee in this Indenture will bind its successors. All agreements of each Guarantor in this Indenture will bind its successors, except as otherwise provided in Section 10.05 hereof.</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i w:val="1"/>
          <w:iCs w:val="1"/>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88" w:name="page89"/>
    <w:bookmarkEnd w:id="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12.11. </w:t>
      </w:r>
      <w:r>
        <w:rPr>
          <w:rFonts w:ascii="Arial" w:cs="Arial" w:eastAsia="Arial" w:hAnsi="Arial"/>
          <w:sz w:val="18"/>
          <w:szCs w:val="18"/>
          <w:i w:val="1"/>
          <w:iCs w:val="1"/>
          <w:color w:val="auto"/>
        </w:rPr>
        <w:t>Counterpart Originals.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parties may sign any number of copies of this Indenture. Each signed copy will be an original, but all of them together represent the same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i w:val="1"/>
          <w:iCs w:val="1"/>
          <w:color w:val="auto"/>
        </w:rPr>
        <w:t>Table of Contents, Headings, etc.</w:t>
      </w:r>
    </w:p>
    <w:p>
      <w:pPr>
        <w:spacing w:after="0" w:line="117"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i w:val="1"/>
          <w:iCs w:val="1"/>
          <w:color w:val="auto"/>
        </w:rPr>
        <w:t>Waiver of Jury Trial.</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EACH OF THE COMPANY, THE GUARANTORS, THE TRUSTEE AND THE HOLDERS OF THE NOTES BY ACCEPTANCE THEREOF HEREBY IRREVOCABLY WAIVES, TO THE FULLEST EXTENT PERMITTED BY APPLICABLE LAW, ANY AND ALL RIGHT TO TRIAL BY JURY IN ANY LEGAL PROCEEDING ARISING OUT OF OR RELATING TO THIS INDENTURE, THE NOTES, THE NOTE GUARANTEES OR ANY TRANSACTIONS CONTEMPLATED HEREBY OR THEREBY.</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i w:val="1"/>
          <w:iCs w:val="1"/>
          <w:color w:val="auto"/>
        </w:rPr>
        <w:t>Force Majeure</w:t>
      </w:r>
      <w:r>
        <w:rPr>
          <w:rFonts w:ascii="Arial" w:cs="Arial" w:eastAsia="Arial" w:hAnsi="Arial"/>
          <w:sz w:val="18"/>
          <w:szCs w:val="18"/>
          <w:color w:val="auto"/>
        </w:rPr>
        <w:t>.</w:t>
      </w:r>
    </w:p>
    <w:p>
      <w:pPr>
        <w:spacing w:after="0" w:line="117" w:lineRule="exact"/>
        <w:rPr>
          <w:sz w:val="20"/>
          <w:szCs w:val="20"/>
          <w:color w:val="auto"/>
        </w:rPr>
      </w:pPr>
    </w:p>
    <w:p>
      <w:pPr>
        <w:jc w:val="both"/>
        <w:ind w:right="320" w:firstLine="913"/>
        <w:spacing w:after="0" w:line="279"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acts of war or terrorism, civil or military disturbances, and nuclear or natural catastrophes or acts of God, it being understood that the Trustee shall use reasonable efforts which are consistent with accepted practices in the banking industry to resume performance as soon as practicable under the circumstances.</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12.15. </w:t>
      </w:r>
      <w:r>
        <w:rPr>
          <w:rFonts w:ascii="Arial" w:cs="Arial" w:eastAsia="Arial" w:hAnsi="Arial"/>
          <w:sz w:val="18"/>
          <w:szCs w:val="18"/>
          <w:i w:val="1"/>
          <w:iCs w:val="1"/>
          <w:color w:val="auto"/>
        </w:rPr>
        <w:t>Electronic Delivery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Trustee agrees to accept and act upon instructions or directions pursuant to this Indenture sent by unsecured e-mail, pdf, facsimile transmission or other similar unsecured electronic methods, provided, however,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Company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agrees to assume all risks arising out of the use of such electronic methods to submit instructions and directions to the Trustee, including without limitation the risk of the Trustee acting on unauthorized instructions, and the risk of interception and/or misuse by third parties. 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i w:val="1"/>
          <w:iCs w:val="1"/>
          <w:color w:val="auto"/>
        </w:rPr>
        <w:t>Submission to Jurisdiction</w:t>
      </w:r>
      <w:r>
        <w:rPr>
          <w:rFonts w:ascii="Arial" w:cs="Arial" w:eastAsia="Arial" w:hAnsi="Arial"/>
          <w:sz w:val="18"/>
          <w:szCs w:val="18"/>
          <w:color w:val="auto"/>
        </w:rPr>
        <w:t>.</w:t>
      </w:r>
    </w:p>
    <w:p>
      <w:pPr>
        <w:spacing w:after="0" w:line="113" w:lineRule="exact"/>
        <w:rPr>
          <w:sz w:val="20"/>
          <w:szCs w:val="20"/>
          <w:color w:val="auto"/>
        </w:rPr>
      </w:pPr>
    </w:p>
    <w:p>
      <w:pPr>
        <w:jc w:val="both"/>
        <w:ind w:firstLine="913"/>
        <w:spacing w:after="0" w:line="261" w:lineRule="auto"/>
        <w:rPr>
          <w:sz w:val="20"/>
          <w:szCs w:val="20"/>
          <w:color w:val="auto"/>
        </w:rPr>
      </w:pPr>
      <w:r>
        <w:rPr>
          <w:rFonts w:ascii="Arial" w:cs="Arial" w:eastAsia="Arial" w:hAnsi="Arial"/>
          <w:sz w:val="18"/>
          <w:szCs w:val="18"/>
          <w:b w:val="1"/>
          <w:bCs w:val="1"/>
          <w:color w:val="auto"/>
        </w:rPr>
        <w:t>The Company and each Guarantor hereby irrevocably submits to the jurisdiction of any New York State court sitting in the Borough of Manhattan in the City of New York or any federal court sitting in the Borough of Manhattan in the City of New York in respect of any suit, action or proceeding arising out of or relating to this Indenture, the Guarantees and the Notes, and irrevocably accepts for itself and in respect of its property, generally and unconditionally, jurisdiction of the aforesaid courts.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89" w:name="page90"/>
    <w:bookmarkEnd w:id="8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12.17. </w:t>
      </w:r>
      <w:r>
        <w:rPr>
          <w:rFonts w:ascii="Arial" w:cs="Arial" w:eastAsia="Arial" w:hAnsi="Arial"/>
          <w:sz w:val="18"/>
          <w:szCs w:val="18"/>
          <w:i w:val="1"/>
          <w:iCs w:val="1"/>
          <w:color w:val="auto"/>
        </w:rPr>
        <w:t>Foreign Account Tax Compliance Act (FATCA)</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order to comply with applicable tax laws, rules and regulations (inclusive of directives, guidelines and interpretations promulgated by competent authorities) in effect from time to time (“</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(ii) that the Trustee shall be entitled to make any withholding or deduction from payments under the Indenture to the extent necessary to comply with Applicable Law for which the Trustee shall not have any liability, and (iii) to hold harmless the Trustee for any losses it may suffer due to the actions it takes to comply with such Applicable Law. The terms of this section shall survive the termination of this Indenture.</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60"/>
          </w:cols>
          <w:pgMar w:left="240" w:top="274" w:right="399" w:bottom="1440" w:gutter="0" w:footer="0" w:header="0"/>
        </w:sectPr>
      </w:pPr>
    </w:p>
    <w:bookmarkStart w:id="90" w:name="page91"/>
    <w:bookmarkEnd w:id="90"/>
    <w:p>
      <w:pPr>
        <w:jc w:val="center"/>
        <w:ind w:right="-4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December 22,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Shannon Votava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Shannon Votava</w:t>
      </w:r>
    </w:p>
    <w:p>
      <w:pPr>
        <w:spacing w:after="0" w:line="23" w:lineRule="exact"/>
        <w:rPr>
          <w:sz w:val="20"/>
          <w:szCs w:val="20"/>
          <w:color w:val="auto"/>
        </w:rPr>
      </w:pPr>
    </w:p>
    <w:p>
      <w:pPr>
        <w:jc w:val="both"/>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Corporate Secretary</w:t>
      </w:r>
    </w:p>
    <w:p>
      <w:pPr>
        <w:spacing w:after="0" w:line="143"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940"/>
          </w:cols>
          <w:pgMar w:left="240" w:top="274" w:right="719" w:bottom="1440" w:gutter="0" w:footer="0" w:header="0"/>
        </w:sectPr>
      </w:pPr>
    </w:p>
    <w:bookmarkStart w:id="91" w:name="page92"/>
    <w:bookmarkEnd w:id="9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Trustee</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Christine 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Christine Ok</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Indenture]</w:t>
      </w:r>
    </w:p>
    <w:p>
      <w:pPr>
        <w:sectPr>
          <w:pgSz w:w="11900" w:h="16838" w:orient="portrait"/>
          <w:cols w:equalWidth="0" w:num="1">
            <w:col w:w="9019"/>
          </w:cols>
          <w:pgMar w:left="1440" w:top="274" w:right="1440" w:bottom="1440" w:gutter="0" w:footer="0" w:header="0"/>
        </w:sectPr>
      </w:pPr>
    </w:p>
    <w:bookmarkStart w:id="92" w:name="page93"/>
    <w:bookmarkEnd w:id="92"/>
    <w:p>
      <w:pPr>
        <w:ind w:left="10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25" w:lineRule="exact"/>
        <w:rPr>
          <w:sz w:val="20"/>
          <w:szCs w:val="20"/>
          <w:color w:val="auto"/>
        </w:rPr>
      </w:pPr>
    </w:p>
    <w:p>
      <w:pPr>
        <w:ind w:right="4520"/>
        <w:spacing w:after="0" w:line="312" w:lineRule="auto"/>
        <w:rPr>
          <w:sz w:val="20"/>
          <w:szCs w:val="20"/>
          <w:color w:val="auto"/>
        </w:rPr>
      </w:pPr>
      <w:r>
        <w:rPr>
          <w:rFonts w:ascii="Arial" w:cs="Arial" w:eastAsia="Arial" w:hAnsi="Arial"/>
          <w:sz w:val="16"/>
          <w:szCs w:val="16"/>
          <w:i w:val="1"/>
          <w:iCs w:val="1"/>
          <w:color w:val="auto"/>
        </w:rPr>
        <w:t>[Insert the Global Note Legend, if applicable pursuant to the provisions of the Indenture] [Insert the Private Placement Legend, if applicable pursuant to the provisions of the Indenture] [Insert the Regulation S Legend, if applicable pursuant to the provisions of the Indenture]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[465740 AA6]</w:t>
      </w:r>
      <w:r>
        <w:rPr>
          <w:rFonts w:ascii="Arial" w:cs="Arial" w:eastAsia="Arial" w:hAnsi="Arial"/>
          <w:sz w:val="15"/>
          <w:szCs w:val="15"/>
          <w:color w:val="auto"/>
        </w:rPr>
        <w:t>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[U13126 AE4]</w:t>
      </w:r>
      <w:r>
        <w:rPr>
          <w:rFonts w:ascii="Arial" w:cs="Arial" w:eastAsia="Arial" w:hAnsi="Arial"/>
          <w:sz w:val="15"/>
          <w:szCs w:val="15"/>
          <w:color w:val="auto"/>
        </w:rPr>
        <w:t>2</w:t>
      </w:r>
    </w:p>
    <w:p>
      <w:pPr>
        <w:spacing w:after="0" w:line="8" w:lineRule="exact"/>
        <w:rPr>
          <w:sz w:val="20"/>
          <w:szCs w:val="20"/>
          <w:color w:val="auto"/>
        </w:rPr>
      </w:pPr>
    </w:p>
    <w:p>
      <w:pPr>
        <w:ind w:left="10300"/>
        <w:spacing w:after="0"/>
        <w:rPr>
          <w:sz w:val="20"/>
          <w:szCs w:val="20"/>
          <w:color w:val="auto"/>
        </w:rPr>
      </w:pPr>
      <w:r>
        <w:rPr>
          <w:rFonts w:ascii="Arial" w:cs="Arial" w:eastAsia="Arial" w:hAnsi="Arial"/>
          <w:sz w:val="17"/>
          <w:szCs w:val="17"/>
          <w:color w:val="auto"/>
        </w:rPr>
        <w:t>[465740 AB4]</w:t>
      </w:r>
      <w:r>
        <w:rPr>
          <w:rFonts w:ascii="Arial" w:cs="Arial" w:eastAsia="Arial" w:hAnsi="Arial"/>
          <w:sz w:val="14"/>
          <w:szCs w:val="14"/>
          <w:color w:val="auto"/>
        </w:rPr>
        <w:t>3</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[US465740AA65]</w:t>
      </w:r>
      <w:r>
        <w:rPr>
          <w:rFonts w:ascii="Arial" w:cs="Arial" w:eastAsia="Arial" w:hAnsi="Arial"/>
          <w:sz w:val="15"/>
          <w:szCs w:val="15"/>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[USU13126AE41]</w:t>
      </w:r>
      <w:r>
        <w:rPr>
          <w:rFonts w:ascii="Arial" w:cs="Arial" w:eastAsia="Arial" w:hAnsi="Arial"/>
          <w:sz w:val="15"/>
          <w:szCs w:val="15"/>
          <w:color w:val="auto"/>
        </w:rPr>
        <w:t>5</w:t>
      </w:r>
    </w:p>
    <w:p>
      <w:pPr>
        <w:spacing w:after="0" w:line="8" w:lineRule="exact"/>
        <w:rPr>
          <w:sz w:val="20"/>
          <w:szCs w:val="20"/>
          <w:color w:val="auto"/>
        </w:rPr>
      </w:pPr>
    </w:p>
    <w:p>
      <w:pPr>
        <w:ind w:left="10020"/>
        <w:spacing w:after="0"/>
        <w:rPr>
          <w:sz w:val="20"/>
          <w:szCs w:val="20"/>
          <w:color w:val="auto"/>
        </w:rPr>
      </w:pPr>
      <w:r>
        <w:rPr>
          <w:rFonts w:ascii="Arial" w:cs="Arial" w:eastAsia="Arial" w:hAnsi="Arial"/>
          <w:sz w:val="17"/>
          <w:szCs w:val="17"/>
          <w:color w:val="auto"/>
        </w:rPr>
        <w:t>[US465740AB49]</w:t>
      </w:r>
      <w:r>
        <w:rPr>
          <w:rFonts w:ascii="Arial" w:cs="Arial" w:eastAsia="Arial" w:hAnsi="Arial"/>
          <w:sz w:val="14"/>
          <w:szCs w:val="14"/>
          <w:color w:val="auto"/>
        </w:rPr>
        <w:t>6</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 Senior Notes due 2026</w:t>
      </w:r>
    </w:p>
    <w:p>
      <w:pPr>
        <w:spacing w:after="0" w:line="252" w:lineRule="exact"/>
        <w:rPr>
          <w:sz w:val="20"/>
          <w:szCs w:val="20"/>
          <w:color w:val="auto"/>
        </w:rPr>
      </w:pPr>
    </w:p>
    <w:p>
      <w:pPr>
        <w:spacing w:after="0"/>
        <w:tabs>
          <w:tab w:leader="none" w:pos="110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ITRON, INC., a Washington corporation, promises to pay to CEDE &amp; CO., or its registered assigns, the principal sum of [●] DOLLARS [, subject to adjustments listed on the Schedule of Exchanges of Interests in the Global Note attached hereto,] on January 15, 2026.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 commencing July 15, 2018]</w:t>
      </w:r>
      <w:r>
        <w:rPr>
          <w:rFonts w:ascii="Arial" w:cs="Arial" w:eastAsia="Arial" w:hAnsi="Arial"/>
          <w:sz w:val="15"/>
          <w:szCs w:val="15"/>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 and July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5"/>
          <w:szCs w:val="15"/>
          <w:color w:val="auto"/>
        </w:rPr>
      </w:pPr>
      <w:r>
        <w:rPr>
          <w:rFonts w:ascii="Arial" w:cs="Arial" w:eastAsia="Arial" w:hAnsi="Arial"/>
          <w:sz w:val="18"/>
          <w:szCs w:val="18"/>
          <w:color w:val="auto"/>
        </w:rPr>
        <w:t>For Securities sold in reliance on Rule 144A.</w:t>
      </w:r>
    </w:p>
    <w:p>
      <w:pPr>
        <w:spacing w:after="0" w:line="22"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5"/>
          <w:szCs w:val="15"/>
          <w:color w:val="auto"/>
        </w:rPr>
      </w:pPr>
      <w:r>
        <w:rPr>
          <w:rFonts w:ascii="Arial" w:cs="Arial" w:eastAsia="Arial" w:hAnsi="Arial"/>
          <w:sz w:val="18"/>
          <w:szCs w:val="18"/>
          <w:color w:val="auto"/>
        </w:rPr>
        <w:t>For Securities sold in reliance on Regulation S.</w:t>
      </w:r>
    </w:p>
    <w:p>
      <w:pPr>
        <w:spacing w:after="0" w:line="9"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5"/>
          <w:szCs w:val="15"/>
          <w:color w:val="auto"/>
        </w:rPr>
      </w:pPr>
      <w:r>
        <w:rPr>
          <w:rFonts w:ascii="Arial" w:cs="Arial" w:eastAsia="Arial" w:hAnsi="Arial"/>
          <w:sz w:val="18"/>
          <w:szCs w:val="18"/>
          <w:color w:val="auto"/>
        </w:rPr>
        <w:t>For Securities sold in reliance on Rules 501(a)(1), (2), (3) and (7) under the Securities Act who are not also Qualified Institutional Buyers.</w:t>
      </w:r>
    </w:p>
    <w:p>
      <w:pPr>
        <w:spacing w:after="0" w:line="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5"/>
          <w:szCs w:val="15"/>
          <w:color w:val="auto"/>
        </w:rPr>
      </w:pPr>
      <w:r>
        <w:rPr>
          <w:rFonts w:ascii="Arial" w:cs="Arial" w:eastAsia="Arial" w:hAnsi="Arial"/>
          <w:sz w:val="18"/>
          <w:szCs w:val="18"/>
          <w:color w:val="auto"/>
        </w:rPr>
        <w:t>For Securities sold in reliance on Rule 144A.</w:t>
      </w:r>
    </w:p>
    <w:p>
      <w:pPr>
        <w:spacing w:after="0" w:line="9"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5"/>
          <w:szCs w:val="15"/>
          <w:color w:val="auto"/>
        </w:rPr>
      </w:pPr>
      <w:r>
        <w:rPr>
          <w:rFonts w:ascii="Arial" w:cs="Arial" w:eastAsia="Arial" w:hAnsi="Arial"/>
          <w:sz w:val="18"/>
          <w:szCs w:val="18"/>
          <w:color w:val="auto"/>
        </w:rPr>
        <w:t>For Securities sold in reliance on Regulation S.</w:t>
      </w:r>
    </w:p>
    <w:p>
      <w:pPr>
        <w:spacing w:after="0" w:line="9"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5"/>
          <w:szCs w:val="15"/>
          <w:color w:val="auto"/>
        </w:rPr>
      </w:pPr>
      <w:r>
        <w:rPr>
          <w:rFonts w:ascii="Arial" w:cs="Arial" w:eastAsia="Arial" w:hAnsi="Arial"/>
          <w:sz w:val="18"/>
          <w:szCs w:val="18"/>
          <w:color w:val="auto"/>
        </w:rPr>
        <w:t>For Securities sold in reliance on Rules 501(a)(1), (2), (3) and (7) under the Securities Act who are not also Qualified Institutional Buyers.</w:t>
      </w:r>
    </w:p>
    <w:p>
      <w:pPr>
        <w:spacing w:after="0" w:line="9"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5"/>
          <w:szCs w:val="15"/>
          <w:color w:val="auto"/>
        </w:rPr>
      </w:pPr>
      <w:r>
        <w:rPr>
          <w:rFonts w:ascii="Arial" w:cs="Arial" w:eastAsia="Arial" w:hAnsi="Arial"/>
          <w:sz w:val="18"/>
          <w:szCs w:val="18"/>
          <w:color w:val="auto"/>
        </w:rPr>
        <w:t>With respect to Notes issued on the Issue Date.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93" w:name="page94"/>
    <w:bookmarkEnd w:id="9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ITRON,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9019"/>
          </w:cols>
          <w:pgMar w:left="1440" w:top="274" w:right="1440" w:bottom="1440" w:gutter="0" w:footer="0" w:header="0"/>
        </w:sectPr>
      </w:pPr>
    </w:p>
    <w:bookmarkStart w:id="94" w:name="page95"/>
    <w:bookmarkEnd w:id="94"/>
    <w:p>
      <w:pPr>
        <w:jc w:val="right"/>
        <w:ind w:right="30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2017</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274" w:right="1440" w:bottom="1440" w:gutter="0" w:footer="0" w:header="0"/>
        </w:sectPr>
      </w:pPr>
    </w:p>
    <w:bookmarkStart w:id="95" w:name="page96"/>
    <w:bookmarkEnd w:id="95"/>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 of Note]</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5.000% Senior Notes due 2026</w:t>
      </w:r>
    </w:p>
    <w:p>
      <w:pPr>
        <w:spacing w:after="0" w:line="22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17" w:lineRule="exact"/>
        <w:rPr>
          <w:sz w:val="20"/>
          <w:szCs w:val="20"/>
          <w:color w:val="auto"/>
        </w:rPr>
      </w:pPr>
    </w:p>
    <w:p>
      <w:pPr>
        <w:ind w:left="452" w:firstLine="443"/>
        <w:spacing w:after="0" w:line="288" w:lineRule="auto"/>
        <w:tabs>
          <w:tab w:leader="none" w:pos="1145"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Itron, Inc., a Washington corporation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interest on the principal amount of this Note at 5.000% per</w:t>
      </w:r>
      <w:r>
        <w:rPr>
          <w:rFonts w:ascii="Arial" w:cs="Arial" w:eastAsia="Arial" w:hAnsi="Arial"/>
          <w:sz w:val="16"/>
          <w:szCs w:val="16"/>
          <w:i w:val="1"/>
          <w:iCs w:val="1"/>
          <w:color w:val="auto"/>
        </w:rPr>
        <w:t xml:space="preserve"> </w:t>
      </w:r>
      <w:r>
        <w:rPr>
          <w:rFonts w:ascii="Arial" w:cs="Arial" w:eastAsia="Arial" w:hAnsi="Arial"/>
          <w:sz w:val="16"/>
          <w:szCs w:val="16"/>
          <w:color w:val="auto"/>
        </w:rPr>
        <w:t>annum from December 22, 2017</w:t>
      </w:r>
      <w:r>
        <w:rPr>
          <w:rFonts w:ascii="Arial" w:cs="Arial" w:eastAsia="Arial" w:hAnsi="Arial"/>
          <w:sz w:val="13"/>
          <w:szCs w:val="13"/>
          <w:color w:val="auto"/>
        </w:rPr>
        <w:t>8</w:t>
      </w:r>
      <w:r>
        <w:rPr>
          <w:rFonts w:ascii="Arial" w:cs="Arial" w:eastAsia="Arial" w:hAnsi="Arial"/>
          <w:sz w:val="16"/>
          <w:szCs w:val="16"/>
          <w:color w:val="auto"/>
        </w:rPr>
        <w:t>, until maturity. The Company will pay interest, if any, semiannually in arrears on January 15 and July 15 of each year, or if any such day is not a Business Day, on the next succeeding Business Day (each, an “</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first Interest Payment Date shall be July 15, 2018</w:t>
      </w:r>
      <w:r>
        <w:rPr>
          <w:rFonts w:ascii="Arial" w:cs="Arial" w:eastAsia="Arial" w:hAnsi="Arial"/>
          <w:sz w:val="13"/>
          <w:szCs w:val="13"/>
          <w:color w:val="auto"/>
        </w:rPr>
        <w:t>9</w:t>
      </w:r>
      <w:r>
        <w:rPr>
          <w:rFonts w:ascii="Arial" w:cs="Arial" w:eastAsia="Arial" w:hAnsi="Arial"/>
          <w:sz w:val="16"/>
          <w:szCs w:val="16"/>
          <w:color w:val="auto"/>
        </w:rPr>
        <w:t>. The Company will pay interest (including post-petition interest in any proceeding under any Bankruptcy Law) on overdue principal at the rate equal to 1% per annum in excess of the then applicable interest rate on the Notes to the extent lawful; it will pay interest (including post-petition interest in any proceeding under any Bankruptcy Law) on overdue installments of interest (without regard to any applicable grace period) at the same rate to the extent lawful. Interest will be computed on the basis of a 360-day year of twelve 30-day months.</w:t>
      </w:r>
    </w:p>
    <w:p>
      <w:pPr>
        <w:spacing w:after="0" w:line="61" w:lineRule="exact"/>
        <w:rPr>
          <w:rFonts w:ascii="Arial" w:cs="Arial" w:eastAsia="Arial" w:hAnsi="Arial"/>
          <w:sz w:val="16"/>
          <w:szCs w:val="16"/>
          <w:color w:val="auto"/>
        </w:rPr>
      </w:pPr>
    </w:p>
    <w:p>
      <w:pPr>
        <w:ind w:left="452" w:right="40" w:firstLine="443"/>
        <w:spacing w:after="0" w:line="270" w:lineRule="auto"/>
        <w:tabs>
          <w:tab w:leader="none" w:pos="1145"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Method of Payment</w:t>
      </w:r>
      <w:r>
        <w:rPr>
          <w:rFonts w:ascii="Arial" w:cs="Arial" w:eastAsia="Arial" w:hAnsi="Arial"/>
          <w:sz w:val="17"/>
          <w:szCs w:val="17"/>
          <w:color w:val="auto"/>
        </w:rPr>
        <w:t>. The Company will pay interest on the Notes (except defaulted interest), if any, to the Persons who are registered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Notes at the close of business on the January 1 or July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within or without the Borough of Manhattan, the City of New York, or, at the option of the Company, payment of interest, if any,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and interest, premium,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73" w:lineRule="exact"/>
        <w:rPr>
          <w:rFonts w:ascii="Arial" w:cs="Arial" w:eastAsia="Arial" w:hAnsi="Arial"/>
          <w:sz w:val="17"/>
          <w:szCs w:val="17"/>
          <w:color w:val="auto"/>
        </w:rPr>
      </w:pPr>
    </w:p>
    <w:p>
      <w:pPr>
        <w:ind w:left="452" w:right="200" w:firstLine="443"/>
        <w:spacing w:after="0" w:line="264" w:lineRule="auto"/>
        <w:tabs>
          <w:tab w:leader="none" w:pos="1145"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any Paying Agent or Registrar without notice to any Holder. The Company or any of its Subsidiaries may act in any such capacity.</w:t>
      </w:r>
    </w:p>
    <w:p>
      <w:pPr>
        <w:spacing w:after="0" w:line="73" w:lineRule="exact"/>
        <w:rPr>
          <w:rFonts w:ascii="Arial" w:cs="Arial" w:eastAsia="Arial" w:hAnsi="Arial"/>
          <w:sz w:val="18"/>
          <w:szCs w:val="18"/>
          <w:color w:val="auto"/>
        </w:rPr>
      </w:pPr>
    </w:p>
    <w:p>
      <w:pPr>
        <w:ind w:left="452" w:right="160" w:firstLine="443"/>
        <w:spacing w:after="0" w:line="273" w:lineRule="auto"/>
        <w:tabs>
          <w:tab w:leader="none" w:pos="1145"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 The Company issued the Notes under an Indenture dated as of December 22, 2017 (the “</w:t>
      </w:r>
      <w:r>
        <w:rPr>
          <w:rFonts w:ascii="Arial" w:cs="Arial" w:eastAsia="Arial" w:hAnsi="Arial"/>
          <w:sz w:val="17"/>
          <w:szCs w:val="17"/>
          <w:i w:val="1"/>
          <w:iCs w:val="1"/>
          <w:color w:val="auto"/>
        </w:rPr>
        <w:t>Indenture</w:t>
      </w:r>
      <w:r>
        <w:rPr>
          <w:rFonts w:ascii="Arial" w:cs="Arial" w:eastAsia="Arial" w:hAnsi="Arial"/>
          <w:sz w:val="17"/>
          <w:szCs w:val="17"/>
          <w:color w:val="auto"/>
        </w:rPr>
        <w:t>”) among the Company, the</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Guarantors from time to time party thereto and the Trustee. The Notes are subject to all the terms and provisions of the Indenture, and Holders are referred to the Indenture for a statement of such terms and provisions. To the extent any provision of this Note conflicts with the express provisions of the Indenture, the provisions of the Indenture shall govern and be controlling. The Notes are unsecured obligations of the Company (other than with respect to a security interest in the Escrow Account and the Escrow Proceeds prior to the Escrow Release). The Indenture does not limit the aggregate principal amount of Notes that may be issued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5" w:lineRule="exact"/>
        <w:rPr>
          <w:sz w:val="20"/>
          <w:szCs w:val="20"/>
          <w:color w:val="auto"/>
        </w:rPr>
      </w:pPr>
    </w:p>
    <w:p>
      <w:pPr>
        <w:ind w:left="452" w:hanging="452"/>
        <w:spacing w:after="0"/>
        <w:tabs>
          <w:tab w:leader="none" w:pos="452" w:val="left"/>
        </w:tabs>
        <w:numPr>
          <w:ilvl w:val="0"/>
          <w:numId w:val="164"/>
        </w:numPr>
        <w:rPr>
          <w:rFonts w:ascii="Arial" w:cs="Arial" w:eastAsia="Arial" w:hAnsi="Arial"/>
          <w:sz w:val="15"/>
          <w:szCs w:val="15"/>
          <w:color w:val="auto"/>
        </w:rPr>
      </w:pPr>
      <w:r>
        <w:rPr>
          <w:rFonts w:ascii="Arial" w:cs="Arial" w:eastAsia="Arial" w:hAnsi="Arial"/>
          <w:sz w:val="18"/>
          <w:szCs w:val="18"/>
          <w:color w:val="auto"/>
        </w:rPr>
        <w:t>With respect to Notes issued on the Issue Date.</w:t>
      </w:r>
    </w:p>
    <w:p>
      <w:pPr>
        <w:spacing w:after="0" w:line="22" w:lineRule="exact"/>
        <w:rPr>
          <w:sz w:val="20"/>
          <w:szCs w:val="20"/>
          <w:color w:val="auto"/>
        </w:rPr>
      </w:pPr>
    </w:p>
    <w:p>
      <w:pPr>
        <w:ind w:left="452" w:hanging="452"/>
        <w:spacing w:after="0"/>
        <w:tabs>
          <w:tab w:leader="none" w:pos="452" w:val="left"/>
        </w:tabs>
        <w:numPr>
          <w:ilvl w:val="0"/>
          <w:numId w:val="165"/>
        </w:numPr>
        <w:rPr>
          <w:rFonts w:ascii="Arial" w:cs="Arial" w:eastAsia="Arial" w:hAnsi="Arial"/>
          <w:sz w:val="15"/>
          <w:szCs w:val="15"/>
          <w:color w:val="auto"/>
        </w:rPr>
      </w:pPr>
      <w:r>
        <w:rPr>
          <w:rFonts w:ascii="Arial" w:cs="Arial" w:eastAsia="Arial" w:hAnsi="Arial"/>
          <w:sz w:val="18"/>
          <w:szCs w:val="18"/>
          <w:color w:val="auto"/>
        </w:rPr>
        <w:t>With respect to Notes issued on the Issue Date.</w:t>
      </w:r>
    </w:p>
    <w:p>
      <w:pPr>
        <w:spacing w:after="0" w:line="1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12"/>
          </w:cols>
          <w:pgMar w:left="248" w:top="274" w:right="239" w:bottom="1440" w:gutter="0" w:footer="0" w:header="0"/>
        </w:sectPr>
      </w:pPr>
    </w:p>
    <w:bookmarkStart w:id="96" w:name="page97"/>
    <w:bookmarkEnd w:id="96"/>
    <w:p>
      <w:pPr>
        <w:ind w:left="700" w:hanging="257"/>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Optional Redemption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21"/>
        <w:spacing w:after="0" w:line="297" w:lineRule="auto"/>
        <w:tabs>
          <w:tab w:leader="none" w:pos="1125"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Except as set forth in subparagraphs (b) and (d) of this Paragraph 5, the Notes will not be redeemable at the Company’s option prior to January 15, 2021. On or after January 15, 2021, the Company may redeem all or a part of the Notes upon not less than 30 nor more than 60 days’ notice, at the redemption prices (expressed as percentages of principal amount) set forth below plus accrued and unpaid interest, if any, on the Notes redeemed, to the applicable redemption date, if redeemed during the twelve-month period beginning on January 15 of the years indicated below, subject to the rights of Holders of Notes on the relevant record date to receive interest on the relevant interest payment date: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4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3620" w:type="dxa"/>
            <w:vAlign w:val="bottom"/>
          </w:tcPr>
          <w:p>
            <w:pPr>
              <w:jc w:val="right"/>
              <w:ind w:right="134"/>
              <w:spacing w:after="0"/>
              <w:rPr>
                <w:sz w:val="20"/>
                <w:szCs w:val="20"/>
                <w:color w:val="auto"/>
              </w:rPr>
            </w:pPr>
            <w:r>
              <w:rPr>
                <w:rFonts w:ascii="Arial" w:cs="Arial" w:eastAsia="Arial" w:hAnsi="Arial"/>
                <w:sz w:val="14"/>
                <w:szCs w:val="14"/>
                <w:b w:val="1"/>
                <w:bCs w:val="1"/>
                <w:color w:val="auto"/>
              </w:rPr>
              <w:t>Percentage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2022</w:t>
            </w:r>
          </w:p>
        </w:tc>
        <w:tc>
          <w:tcPr>
            <w:tcW w:w="3620" w:type="dxa"/>
            <w:vAlign w:val="bottom"/>
          </w:tcPr>
          <w:p>
            <w:pPr>
              <w:jc w:val="right"/>
              <w:spacing w:after="0"/>
              <w:rPr>
                <w:sz w:val="20"/>
                <w:szCs w:val="20"/>
                <w:color w:val="auto"/>
              </w:rPr>
            </w:pPr>
            <w:r>
              <w:rPr>
                <w:rFonts w:ascii="Arial" w:cs="Arial" w:eastAsia="Arial" w:hAnsi="Arial"/>
                <w:sz w:val="18"/>
                <w:szCs w:val="18"/>
                <w:color w:val="auto"/>
              </w:rPr>
              <w:t>101.250%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420" w:firstLine="438"/>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and after the applicable redemption date.</w:t>
      </w:r>
    </w:p>
    <w:p>
      <w:pPr>
        <w:spacing w:after="0" w:line="62" w:lineRule="exact"/>
        <w:rPr>
          <w:sz w:val="20"/>
          <w:szCs w:val="20"/>
          <w:color w:val="auto"/>
        </w:rPr>
      </w:pPr>
    </w:p>
    <w:p>
      <w:pPr>
        <w:ind w:left="460" w:right="20" w:firstLine="421"/>
        <w:spacing w:after="0" w:line="291" w:lineRule="auto"/>
        <w:tabs>
          <w:tab w:leader="none" w:pos="1135" w:val="left"/>
        </w:tabs>
        <w:numPr>
          <w:ilvl w:val="2"/>
          <w:numId w:val="167"/>
        </w:numPr>
        <w:rPr>
          <w:rFonts w:ascii="Arial" w:cs="Arial" w:eastAsia="Arial" w:hAnsi="Arial"/>
          <w:sz w:val="16"/>
          <w:szCs w:val="16"/>
          <w:color w:val="auto"/>
        </w:rPr>
      </w:pPr>
      <w:r>
        <w:rPr>
          <w:rFonts w:ascii="Arial" w:cs="Arial" w:eastAsia="Arial" w:hAnsi="Arial"/>
          <w:sz w:val="16"/>
          <w:szCs w:val="16"/>
          <w:color w:val="auto"/>
        </w:rPr>
        <w:t>Notwithstanding the provisions of subparagraph (a) of this Paragraph 5, at any time prior to January 15, 2021, the Company may on any one or more occasions redeem up to 35% of the aggregate principal amount of Notes issued under the Indenture at a redemption price of</w:t>
      </w: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105.000% of the principal amount, plus accrued and unpaid interest, if any, to the redemption date with the net cash proceeds of one or more Equity Offerings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at least 65% of the aggregate principal amount of Notes originally issued under the Indenture (excluding Notes held by the Company and its Subsidiaries) remains outstanding immediately after the occurrence of such redemption, and</w:t>
      </w:r>
    </w:p>
    <w:p>
      <w:pPr>
        <w:spacing w:after="0" w:line="2" w:lineRule="exact"/>
        <w:rPr>
          <w:rFonts w:ascii="Arial" w:cs="Arial" w:eastAsia="Arial" w:hAnsi="Arial"/>
          <w:sz w:val="16"/>
          <w:szCs w:val="16"/>
          <w:color w:val="auto"/>
        </w:rPr>
      </w:pPr>
    </w:p>
    <w:p>
      <w:pPr>
        <w:ind w:left="720" w:hanging="259"/>
        <w:spacing w:after="0"/>
        <w:tabs>
          <w:tab w:leader="none" w:pos="7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redemption occurs within 60 days of the date of the closing of such Equity Offering.</w:t>
      </w:r>
    </w:p>
    <w:p>
      <w:pPr>
        <w:spacing w:after="0" w:line="102" w:lineRule="exact"/>
        <w:rPr>
          <w:rFonts w:ascii="Arial" w:cs="Arial" w:eastAsia="Arial" w:hAnsi="Arial"/>
          <w:sz w:val="18"/>
          <w:szCs w:val="18"/>
          <w:color w:val="auto"/>
        </w:rPr>
      </w:pPr>
    </w:p>
    <w:p>
      <w:pPr>
        <w:ind w:left="460" w:right="40" w:firstLine="421"/>
        <w:spacing w:after="0" w:line="264" w:lineRule="auto"/>
        <w:tabs>
          <w:tab w:leader="none" w:pos="1125"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Any redemption or notice of any redemption with the proceeds of an Equity Offering pursuant to the prior paragraph may, at the Company’s discretion, be subject to one or more conditions precedent, including, but not limited to, completion of such Equity Offering and may be given prior to the completion thereof.</w:t>
      </w:r>
    </w:p>
    <w:p>
      <w:pPr>
        <w:spacing w:after="0" w:line="73" w:lineRule="exact"/>
        <w:rPr>
          <w:rFonts w:ascii="Arial" w:cs="Arial" w:eastAsia="Arial" w:hAnsi="Arial"/>
          <w:sz w:val="18"/>
          <w:szCs w:val="18"/>
          <w:color w:val="auto"/>
        </w:rPr>
      </w:pPr>
    </w:p>
    <w:p>
      <w:pPr>
        <w:ind w:left="460" w:right="40" w:firstLine="421"/>
        <w:spacing w:after="0" w:line="259" w:lineRule="auto"/>
        <w:tabs>
          <w:tab w:leader="none" w:pos="1135"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At any time prior to January 15, 2021, the Company may redeem all or a part of the notes upon notice as described in Section 3.03 of the Indenture at a redemption price equal to 100% of the principal amount of the notes redeemed plus the Applicable Premium as of, and accrued and unpaid interest, if any, to, but excluding the redemption date, subject to the rights of Holders of record on the relevant record date to receive interest due on the relevant interest payment date.</w:t>
      </w:r>
    </w:p>
    <w:p>
      <w:pPr>
        <w:spacing w:after="0" w:line="294" w:lineRule="exact"/>
        <w:rPr>
          <w:rFonts w:ascii="Arial" w:cs="Arial" w:eastAsia="Arial" w:hAnsi="Arial"/>
          <w:sz w:val="18"/>
          <w:szCs w:val="18"/>
          <w:color w:val="auto"/>
        </w:rPr>
      </w:pPr>
    </w:p>
    <w:p>
      <w:pPr>
        <w:ind w:left="700" w:hanging="257"/>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Mandatory Redemption and Special Mandatory Redemption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0" w:firstLine="421"/>
        <w:spacing w:after="0" w:line="277" w:lineRule="auto"/>
        <w:tabs>
          <w:tab w:leader="none" w:pos="1125" w:val="left"/>
        </w:tabs>
        <w:numPr>
          <w:ilvl w:val="2"/>
          <w:numId w:val="169"/>
        </w:numPr>
        <w:rPr>
          <w:rFonts w:ascii="Arial" w:cs="Arial" w:eastAsia="Arial" w:hAnsi="Arial"/>
          <w:sz w:val="18"/>
          <w:szCs w:val="18"/>
          <w:color w:val="auto"/>
        </w:rPr>
      </w:pPr>
      <w:r>
        <w:rPr>
          <w:rFonts w:ascii="Arial" w:cs="Arial" w:eastAsia="Arial" w:hAnsi="Arial"/>
          <w:sz w:val="18"/>
          <w:szCs w:val="18"/>
          <w:color w:val="auto"/>
        </w:rPr>
        <w:t>Except as set forth in Section 6(b) hereof, the Company is not required to make mandatory redemption or sinking fund payments with respect to the Notes.</w:t>
      </w:r>
    </w:p>
    <w:p>
      <w:pPr>
        <w:spacing w:after="0" w:line="62" w:lineRule="exact"/>
        <w:rPr>
          <w:rFonts w:ascii="Arial" w:cs="Arial" w:eastAsia="Arial" w:hAnsi="Arial"/>
          <w:sz w:val="18"/>
          <w:szCs w:val="18"/>
          <w:color w:val="auto"/>
        </w:rPr>
      </w:pPr>
    </w:p>
    <w:p>
      <w:pPr>
        <w:ind w:left="460" w:firstLine="421"/>
        <w:spacing w:after="0" w:line="290" w:lineRule="auto"/>
        <w:tabs>
          <w:tab w:leader="none" w:pos="1135" w:val="left"/>
        </w:tabs>
        <w:numPr>
          <w:ilvl w:val="2"/>
          <w:numId w:val="169"/>
        </w:numPr>
        <w:rPr>
          <w:rFonts w:ascii="Arial" w:cs="Arial" w:eastAsia="Arial" w:hAnsi="Arial"/>
          <w:sz w:val="16"/>
          <w:szCs w:val="16"/>
          <w:color w:val="auto"/>
        </w:rPr>
      </w:pPr>
      <w:r>
        <w:rPr>
          <w:rFonts w:ascii="Arial" w:cs="Arial" w:eastAsia="Arial" w:hAnsi="Arial"/>
          <w:sz w:val="16"/>
          <w:szCs w:val="16"/>
          <w:color w:val="auto"/>
        </w:rPr>
        <w:t>If (i) the Escrow Agent has not received the Officer’s Certificate described in Section 4(a) of the Escrow Agreement on or prior to the Outside Date or the Extended Outside Date, as applicable, or (ii) the Company notifies the Escrow Agent in writing that the SSNI Acquisition will not be consummated or otherwise announces that the Acquisition Agreement has been terminated, then the Escrow Agent shall, in accordance with the Escrow Agreement, release the Escrow Proceeds (including investment earnings thereon and proceeds thereof) to the Trustee on the Special Mandatory Redemption Date. In no event will the Special Mandatory Redemption Date be later than September 30, 2018. On the Special Mandatory Redemption Date or as otherwise required by the applicable procedures of DTC, the Company shall redeem all of the Notes at the Special Mandatory Redemption Amount, which is equal to 101% of the principal amount of the Notes redeemed, plus accrued and unpaid interest to, but excluding, the Special Mandatory Redemption Date, subject to the rights of Holders of record on the relevant record date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60"/>
          </w:cols>
          <w:pgMar w:left="700" w:top="274" w:right="239" w:bottom="1440" w:gutter="0" w:footer="0" w:header="0"/>
        </w:sectPr>
      </w:pPr>
    </w:p>
    <w:bookmarkStart w:id="97" w:name="page98"/>
    <w:bookmarkEnd w:id="97"/>
    <w:p>
      <w:pPr>
        <w:ind w:left="460"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receive interest due on the relevant interest payment date falling on or prior to the Special Mandatory Redemption Date. The Company shall deliver to the Trustee and DTC, no later than the date that is one Business Day prior to the Special Mandatory Redemption Date, a redemption notice setting forth the Special Mandatory Redemption Date. On the Special Mandatory Redemption Date, the Trustee shall pay to the Company any Escrow Proceeds in excess of the amount necessary to effect the Special Mandatory Redemption.</w:t>
      </w:r>
    </w:p>
    <w:p>
      <w:pPr>
        <w:spacing w:after="0" w:line="280" w:lineRule="exact"/>
        <w:rPr>
          <w:sz w:val="20"/>
          <w:szCs w:val="20"/>
          <w:color w:val="auto"/>
        </w:rPr>
      </w:pPr>
    </w:p>
    <w:p>
      <w:pPr>
        <w:ind w:left="700" w:hanging="257"/>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Repurchase at the Option of 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21"/>
        <w:spacing w:after="0" w:line="273" w:lineRule="auto"/>
        <w:tabs>
          <w:tab w:leader="none" w:pos="1125" w:val="left"/>
        </w:tabs>
        <w:numPr>
          <w:ilvl w:val="1"/>
          <w:numId w:val="170"/>
        </w:numPr>
        <w:rPr>
          <w:rFonts w:ascii="Arial" w:cs="Arial" w:eastAsia="Arial" w:hAnsi="Arial"/>
          <w:sz w:val="17"/>
          <w:szCs w:val="17"/>
          <w:color w:val="auto"/>
        </w:rPr>
      </w:pPr>
      <w:r>
        <w:rPr>
          <w:rFonts w:ascii="Arial" w:cs="Arial" w:eastAsia="Arial" w:hAnsi="Arial"/>
          <w:sz w:val="17"/>
          <w:szCs w:val="17"/>
          <w:color w:val="auto"/>
        </w:rPr>
        <w:t>Upon the occurrence of a Change of Control, the Company will make an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to each Holder to repurchase all or any part (equal to $2,000 or an integral multiple of $1,000 in excess thereof)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i w:val="1"/>
          <w:iCs w:val="1"/>
          <w:color w:val="auto"/>
        </w:rPr>
        <w:t>Change of Control Payment</w:t>
      </w:r>
      <w:r>
        <w:rPr>
          <w:rFonts w:ascii="Arial" w:cs="Arial" w:eastAsia="Arial" w:hAnsi="Arial"/>
          <w:sz w:val="17"/>
          <w:szCs w:val="17"/>
          <w:color w:val="auto"/>
        </w:rPr>
        <w:t>”). Within 30 days following any Change of Control, the Company will send a notice to each Holder setting forth the procedures governing the Change of Control Offer as required by the Indenture.</w:t>
      </w:r>
    </w:p>
    <w:p>
      <w:pPr>
        <w:spacing w:after="0" w:line="70" w:lineRule="exact"/>
        <w:rPr>
          <w:rFonts w:ascii="Arial" w:cs="Arial" w:eastAsia="Arial" w:hAnsi="Arial"/>
          <w:sz w:val="17"/>
          <w:szCs w:val="17"/>
          <w:color w:val="auto"/>
        </w:rPr>
      </w:pPr>
    </w:p>
    <w:p>
      <w:pPr>
        <w:ind w:left="460" w:firstLine="421"/>
        <w:spacing w:after="0" w:line="286" w:lineRule="auto"/>
        <w:tabs>
          <w:tab w:leader="none" w:pos="113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If the Company or a Restricted Subsidiary of the Company consummates any Asset Sales, within thirty days of each date on which the aggregate amount of Excess Proceeds exceeds $25.0 million, unless waived or modified with the consent of the Holders of at least a majority in aggregate principal amount of the Notes then outstanding, the Company will commence an offer to all Holders of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the Indenture with respect to offers to purchase or redeem with the proceeds of sales of assets (an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in accordance with Section 3.09 of the Indenture to purchase the maximum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The offer price in any Asset Sale Offer will be equal to 100% of the principal amount plus accrued and unpaid interest, if any, to the date of purchase, and will be payable in cash, in accordance with the procedures set forth in the Indenture. If any Excess Proceeds remain after the consummation of an Asset Sale Offer, the Company may use those Excess Proceeds for any purpose not otherwise prohibited by the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Company will select the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Holders of Notes that are the subject of an offer to purchase will receive an Asset Sale Offer from the Company prior to any related purchase date and may elect to have such Notes purchased by completing the form entitled “</w:t>
      </w:r>
      <w:r>
        <w:rPr>
          <w:rFonts w:ascii="Arial" w:cs="Arial" w:eastAsia="Arial" w:hAnsi="Arial"/>
          <w:sz w:val="16"/>
          <w:szCs w:val="16"/>
          <w:i w:val="1"/>
          <w:iCs w:val="1"/>
          <w:color w:val="auto"/>
        </w:rPr>
        <w:t>Option of Holder to Elect Purchase</w:t>
      </w:r>
      <w:r>
        <w:rPr>
          <w:rFonts w:ascii="Arial" w:cs="Arial" w:eastAsia="Arial" w:hAnsi="Arial"/>
          <w:sz w:val="16"/>
          <w:szCs w:val="16"/>
          <w:color w:val="auto"/>
        </w:rPr>
        <w:t>” attached to the Notes.</w:t>
      </w:r>
    </w:p>
    <w:p>
      <w:pPr>
        <w:spacing w:after="0" w:line="66" w:lineRule="exact"/>
        <w:rPr>
          <w:rFonts w:ascii="Arial" w:cs="Arial" w:eastAsia="Arial" w:hAnsi="Arial"/>
          <w:sz w:val="16"/>
          <w:szCs w:val="16"/>
          <w:color w:val="auto"/>
        </w:rPr>
      </w:pPr>
    </w:p>
    <w:p>
      <w:pPr>
        <w:ind w:right="40" w:firstLine="443"/>
        <w:spacing w:after="0" w:line="302" w:lineRule="auto"/>
        <w:tabs>
          <w:tab w:leader="none" w:pos="693"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redemption will be sent at least 30 days but not more than 60 days before the redemption date to each Holder</w:t>
      </w:r>
      <w:r>
        <w:rPr>
          <w:rFonts w:ascii="Arial" w:cs="Arial" w:eastAsia="Arial" w:hAnsi="Arial"/>
          <w:sz w:val="16"/>
          <w:szCs w:val="16"/>
          <w:i w:val="1"/>
          <w:iCs w:val="1"/>
          <w:color w:val="auto"/>
        </w:rPr>
        <w:t xml:space="preserve"> </w:t>
      </w:r>
      <w:r>
        <w:rPr>
          <w:rFonts w:ascii="Arial" w:cs="Arial" w:eastAsia="Arial" w:hAnsi="Arial"/>
          <w:sz w:val="16"/>
          <w:szCs w:val="16"/>
          <w:color w:val="auto"/>
        </w:rPr>
        <w:t>whose Notes are to be redeemed at its registered address, except that redemption notices may be sent more than 60 days prior to a redemption date if the notice is issued in connection with a defeasance of the Notes or a satisfaction and discharge of the Indenture. Notes in denominations larger than $2,000 may be redeemed in part but only in whole multiples of $1,000 thereof, unless all of the Notes held by a Holder are to be redeemed.</w:t>
      </w:r>
    </w:p>
    <w:p>
      <w:pPr>
        <w:spacing w:after="0" w:line="46" w:lineRule="exact"/>
        <w:rPr>
          <w:rFonts w:ascii="Arial" w:cs="Arial" w:eastAsia="Arial" w:hAnsi="Arial"/>
          <w:sz w:val="16"/>
          <w:szCs w:val="16"/>
          <w:color w:val="auto"/>
        </w:rPr>
      </w:pPr>
    </w:p>
    <w:p>
      <w:pPr>
        <w:ind w:right="100" w:firstLine="443"/>
        <w:spacing w:after="0" w:line="255" w:lineRule="auto"/>
        <w:tabs>
          <w:tab w:leader="none" w:pos="693"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 The Notes are in registered form without coupons in denominations of $2,000 and integral multiples of</w:t>
      </w:r>
      <w:r>
        <w:rPr>
          <w:rFonts w:ascii="Arial" w:cs="Arial" w:eastAsia="Arial" w:hAnsi="Arial"/>
          <w:sz w:val="18"/>
          <w:szCs w:val="18"/>
          <w:i w:val="1"/>
          <w:iCs w:val="1"/>
          <w:color w:val="auto"/>
        </w:rPr>
        <w:t xml:space="preserve"> </w:t>
      </w:r>
      <w:r>
        <w:rPr>
          <w:rFonts w:ascii="Arial" w:cs="Arial" w:eastAsia="Arial" w:hAnsi="Arial"/>
          <w:sz w:val="18"/>
          <w:szCs w:val="18"/>
          <w:color w:val="auto"/>
        </w:rPr>
        <w:t>$1,000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60"/>
          </w:cols>
          <w:pgMar w:left="700" w:top="274" w:right="239" w:bottom="1440" w:gutter="0" w:footer="0" w:header="0"/>
        </w:sectPr>
      </w:pPr>
    </w:p>
    <w:bookmarkStart w:id="98" w:name="page99"/>
    <w:bookmarkEnd w:id="98"/>
    <w:p>
      <w:pPr>
        <w:ind w:left="780" w:hanging="337"/>
        <w:spacing w:after="0"/>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Persons Deemed Owners</w:t>
      </w:r>
      <w:r>
        <w:rPr>
          <w:rFonts w:ascii="Arial" w:cs="Arial" w:eastAsia="Arial" w:hAnsi="Arial"/>
          <w:sz w:val="18"/>
          <w:szCs w:val="18"/>
          <w:color w:val="auto"/>
        </w:rPr>
        <w:t>. The registered Holder of a Note may be treated as its owner for all purposes.</w:t>
      </w:r>
    </w:p>
    <w:p>
      <w:pPr>
        <w:spacing w:after="0" w:line="117" w:lineRule="exact"/>
        <w:rPr>
          <w:rFonts w:ascii="Arial" w:cs="Arial" w:eastAsia="Arial" w:hAnsi="Arial"/>
          <w:sz w:val="18"/>
          <w:szCs w:val="18"/>
          <w:color w:val="auto"/>
        </w:rPr>
      </w:pPr>
    </w:p>
    <w:p>
      <w:pPr>
        <w:ind w:firstLine="443"/>
        <w:spacing w:after="0" w:line="285" w:lineRule="auto"/>
        <w:tabs>
          <w:tab w:leader="none" w:pos="776"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Amendment, Supplement and Waiver</w:t>
      </w:r>
      <w:r>
        <w:rPr>
          <w:rFonts w:ascii="Arial" w:cs="Arial" w:eastAsia="Arial" w:hAnsi="Arial"/>
          <w:sz w:val="16"/>
          <w:szCs w:val="16"/>
          <w:color w:val="auto"/>
        </w:rPr>
        <w:t>. Subject to certain exceptions, the Indenture, the Escrow Agreement or the Notes or the Note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may be amended or supplemented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any existing Default or Event or Default (other than a Default or Event of Default in the payment of the principal of, premium, if any, or interest on, the Notes, except a payment default resulting from an acceleration that has been rescinded) or compliance with any provision of the Indenture, the Escrow Agreement or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Without the consent of any Holder of a Note, the Indenture, the Escrow Agreement or the Notes or the Note Guarantees may be amended or supplemented to cure any ambiguity, defect or inconsistency; to provide for uncertificated Notes in addition to or in place of certificated Notes; to provide for the assumption of the Company’s or a Guarantor’s obligations to Holders of the Notes and Note Guarantees by a successor to the Company or such Guarantor pursuant to Article V or Article X of the Indenture; to make any change that would provide any additional rights or benefits to the Holders of the Notes or that does not adversely affect the legal rights under the Indenture of any such Holder; to conform the text of the Indenture, the Escrow Agreement, the Note Guarantees or the Notes to any provision of the “Description of Notes” section of the Company’s Offering Memorandum dated December 5, 2017, relating to the initial offering of the Notes, to the extent that such provision of the Indenture, the Escrow Agreement, the Note Guarantees or the Notes was intended to conform to the text of the “Description of Notes” as evidenced by an Officer’s Certificate; to provide for the issuance of Additional Notes in accordance with the limitations set forth in the Indenture; to allow any Guarantor to execute a supplemental indenture to the Indenture and/or a Note Guarantee with respect to the Notes; or to evidence and provide for the acceptance and appointment under the Indenture of a successor Trustee pursuant to the requirements of the Indenture.</w:t>
      </w:r>
    </w:p>
    <w:p>
      <w:pPr>
        <w:spacing w:after="0" w:line="62" w:lineRule="exact"/>
        <w:rPr>
          <w:rFonts w:ascii="Arial" w:cs="Arial" w:eastAsia="Arial" w:hAnsi="Arial"/>
          <w:sz w:val="16"/>
          <w:szCs w:val="16"/>
          <w:color w:val="auto"/>
        </w:rPr>
      </w:pPr>
    </w:p>
    <w:p>
      <w:pPr>
        <w:ind w:right="20" w:firstLine="443"/>
        <w:spacing w:after="0" w:line="285" w:lineRule="auto"/>
        <w:tabs>
          <w:tab w:leader="none" w:pos="783"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on the Notes; (ii) default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when due (at maturity, upon redemption or otherwise) of the principal of, or premium, if any, on, the Notes; (iii) failure by the Company or any of its Restricted Subsidiaries to comply with the provisions of Section 5.01 of the Indenture; (iv) failure by the Company or any of its Restricted Subsidiaries to comply with the provisions of Section 4.15 of the Indenture; (v) failure by the Company or any of its Restricted Subsidiaries for 60 days after written notice to the Company by the Trustee or the Holders of at least 25% in aggregate principal amount of the Notes then outstanding voting as a single class to comply with any of the other agreements in the Indenture; (vi) default under any mortgage, indenture or instrument under which there be issued or by which there may be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of the Indenture, if that default: (a) is caused by a failure to pay principal of, or interest or premium, if any, on, such Indebtedness at final maturity thereof, the principal amount of which exceeds $10.0 million in the aggregate, prior to the expiration of the grace period provided in such Indebtedness on the date of such default (a “</w:t>
      </w:r>
      <w:r>
        <w:rPr>
          <w:rFonts w:ascii="Arial" w:cs="Arial" w:eastAsia="Arial" w:hAnsi="Arial"/>
          <w:sz w:val="16"/>
          <w:szCs w:val="16"/>
          <w:i w:val="1"/>
          <w:iCs w:val="1"/>
          <w:color w:val="auto"/>
        </w:rPr>
        <w:t>Payment</w:t>
      </w:r>
      <w:r>
        <w:rPr>
          <w:rFonts w:ascii="Arial" w:cs="Arial" w:eastAsia="Arial" w:hAnsi="Arial"/>
          <w:sz w:val="16"/>
          <w:szCs w:val="16"/>
          <w:color w:val="auto"/>
        </w:rPr>
        <w:t xml:space="preserve"> </w:t>
      </w:r>
      <w:r>
        <w:rPr>
          <w:rFonts w:ascii="Arial" w:cs="Arial" w:eastAsia="Arial" w:hAnsi="Arial"/>
          <w:sz w:val="16"/>
          <w:szCs w:val="16"/>
          <w:i w:val="1"/>
          <w:iCs w:val="1"/>
          <w:color w:val="auto"/>
        </w:rPr>
        <w:t>Default</w:t>
      </w:r>
      <w:r>
        <w:rPr>
          <w:rFonts w:ascii="Arial" w:cs="Arial" w:eastAsia="Arial" w:hAnsi="Arial"/>
          <w:sz w:val="16"/>
          <w:szCs w:val="16"/>
          <w:color w:val="auto"/>
        </w:rPr>
        <w:t>”); or (b) results in the acceleration of such Indebtedness prior to its express maturity; and, in each case, the principal amount of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together with the principal amount of any other such Indebtedness under which there has been a Payment Default or the maturity of which has been so accelerated, aggregates $50.0 million or more (or its foreign currency equivalent); (vii) failure by the Company or any of its Restricted Subsidiaries to pay final judgments entered by a court or courts of competent jurisdiction aggregating in excess of $50.0 million (or its foreign currency equivalent), which judgments are not paid, discharged or stayed for a period of 60 consecutive days; notwithstanding the foregoing, a judgment rendered by a tribunal or assembly that ignores recognized standards of law or justice (as determined in good faith by the Board of Directors or senior management of the Company) shall not give rise to an Event of Default so</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60"/>
          </w:cols>
          <w:pgMar w:left="700" w:top="274" w:right="239" w:bottom="1440" w:gutter="0" w:footer="0" w:header="0"/>
        </w:sectPr>
      </w:pPr>
    </w:p>
    <w:bookmarkStart w:id="99" w:name="page100"/>
    <w:bookmarkEnd w:id="9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long as it could not be reasonably likely to have a material adverse effect on (i) the business, condition (financial or otherwise), operations, performance, properties or prospects of the Company and its Restricted Subsidiaries, taken as a whole, or (ii) the ability of the Company to services the Notes; (viii) except as permitted by the Indenture, any Note Guarantee of a Significant Subsidiary is held in any judicial proceeding to be unenforceable or invalid or ceases for any reason to be in full force and effect or any Guarantor, or any Person acting on behalf of any Guarantor, denies or disaffirms its obligations under its Note Guarantee; (ix) the failure by the Company to pay or cause to be paid the Special Mandatory Redemption on the Special Mandatory Redemption Date, if any, as described in Section 3.10 of the Indenture; and (x) certain events of bankruptcy or insolvency described in the Indenture with respect to the Company or any of its Restricted Subsidiaries that is a Significant Subsidiary or any group of Restricted Subsidiaries that, taken together, would constitute a Significant Subsidiary. If any Event of Default occurs and is continuing, the Trustee or the Holders of at least 25% in aggregate principal amount of the then outstanding Notes may declare all the Notes to be due and payable immediately. Notwithstanding the foregoing, in the case of an Event of Default arising from certain events of bankruptcy or insolvency, all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Except in the case of a Default or Event of Default in payment of principal of, premium, if any, or interest on, any Note, the Trustee may withhold the notice of Default or Event of Default if and so long as a committee of its Responsible Officers in good faith determines that withholding the notice is in the interests of the Holders of the Notes. If certain conditions are satisfied, the Holders of at least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on, or the principal of, the Notes. The Indenture requires the Company to deliver to the Trustee annually within 90 days after the end of each fiscal year a statement regarding compliance with the Indenture. Upon becoming aware of any Default or Event of Default, the Company is required to deliver to the Trustee a statement specifying such Default or Event of Default.</w:t>
      </w:r>
    </w:p>
    <w:p>
      <w:pPr>
        <w:spacing w:after="0" w:line="276" w:lineRule="exact"/>
        <w:rPr>
          <w:sz w:val="20"/>
          <w:szCs w:val="20"/>
          <w:color w:val="auto"/>
        </w:rPr>
      </w:pPr>
    </w:p>
    <w:p>
      <w:pPr>
        <w:ind w:right="220" w:firstLine="443"/>
        <w:spacing w:after="0" w:line="342" w:lineRule="auto"/>
        <w:tabs>
          <w:tab w:leader="none" w:pos="783"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or its affiliates, in its individual or any other capacity, may make loans to, accept deposits</w:t>
      </w:r>
      <w:r>
        <w:rPr>
          <w:rFonts w:ascii="Arial" w:cs="Arial" w:eastAsia="Arial" w:hAnsi="Arial"/>
          <w:sz w:val="16"/>
          <w:szCs w:val="16"/>
          <w:i w:val="1"/>
          <w:iCs w:val="1"/>
          <w:color w:val="auto"/>
        </w:rPr>
        <w:t xml:space="preserve"> </w:t>
      </w:r>
      <w:r>
        <w:rPr>
          <w:rFonts w:ascii="Arial" w:cs="Arial" w:eastAsia="Arial" w:hAnsi="Arial"/>
          <w:sz w:val="16"/>
          <w:szCs w:val="16"/>
          <w:color w:val="auto"/>
        </w:rPr>
        <w:t>from, and perform services for the Company or its Affiliates, and may otherwise deal with the Company or its Affiliates, as if it were not the Trustee.</w:t>
      </w:r>
    </w:p>
    <w:p>
      <w:pPr>
        <w:spacing w:after="0" w:line="15" w:lineRule="exact"/>
        <w:rPr>
          <w:rFonts w:ascii="Arial" w:cs="Arial" w:eastAsia="Arial" w:hAnsi="Arial"/>
          <w:sz w:val="16"/>
          <w:szCs w:val="16"/>
          <w:color w:val="auto"/>
        </w:rPr>
      </w:pPr>
    </w:p>
    <w:p>
      <w:pPr>
        <w:ind w:right="60" w:firstLine="443"/>
        <w:spacing w:after="0" w:line="279" w:lineRule="auto"/>
        <w:tabs>
          <w:tab w:leader="none" w:pos="783"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No Recourse Against Others</w:t>
      </w:r>
      <w:r>
        <w:rPr>
          <w:rFonts w:ascii="Arial" w:cs="Arial" w:eastAsia="Arial" w:hAnsi="Arial"/>
          <w:sz w:val="17"/>
          <w:szCs w:val="17"/>
          <w:color w:val="auto"/>
        </w:rPr>
        <w:t>. A director, officer, employee, incorporator or stockholder of the Company or any of the Guarantors,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will not have any liability for any obligations of the Company or the Guarantors under the Notes, the Note Guarantees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63" w:lineRule="exact"/>
        <w:rPr>
          <w:rFonts w:ascii="Arial" w:cs="Arial" w:eastAsia="Arial" w:hAnsi="Arial"/>
          <w:sz w:val="17"/>
          <w:szCs w:val="17"/>
          <w:color w:val="auto"/>
        </w:rPr>
      </w:pPr>
    </w:p>
    <w:p>
      <w:pPr>
        <w:ind w:left="780" w:hanging="337"/>
        <w:spacing w:after="0"/>
        <w:tabs>
          <w:tab w:leader="none" w:pos="78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This Note will not be valid until authenticated by the manual signature of the Trustee or an authenticating agent.</w:t>
      </w:r>
    </w:p>
    <w:p>
      <w:pPr>
        <w:spacing w:after="0" w:line="117" w:lineRule="exact"/>
        <w:rPr>
          <w:rFonts w:ascii="Arial" w:cs="Arial" w:eastAsia="Arial" w:hAnsi="Arial"/>
          <w:sz w:val="18"/>
          <w:szCs w:val="18"/>
          <w:color w:val="auto"/>
        </w:rPr>
      </w:pPr>
    </w:p>
    <w:p>
      <w:pPr>
        <w:jc w:val="both"/>
        <w:ind w:right="280" w:firstLine="443"/>
        <w:spacing w:after="0" w:line="264" w:lineRule="auto"/>
        <w:tabs>
          <w:tab w:leader="none" w:pos="783"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TEN ENT (= tenants by the entireties), JT TEN (= joint tenants with right of survivorship and not as tenants in common), CUST (= Custodian), and U/G/M/A (= Uniform Gifts to Minors Act).</w:t>
      </w:r>
    </w:p>
    <w:p>
      <w:pPr>
        <w:spacing w:after="0" w:line="73" w:lineRule="exact"/>
        <w:rPr>
          <w:rFonts w:ascii="Arial" w:cs="Arial" w:eastAsia="Arial" w:hAnsi="Arial"/>
          <w:sz w:val="18"/>
          <w:szCs w:val="18"/>
          <w:color w:val="auto"/>
        </w:rPr>
      </w:pPr>
    </w:p>
    <w:p>
      <w:pPr>
        <w:ind w:right="120" w:firstLine="443"/>
        <w:spacing w:after="0" w:line="276" w:lineRule="auto"/>
        <w:tabs>
          <w:tab w:leader="none" w:pos="783"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CUSIP and ISIN Numbers</w:t>
      </w:r>
      <w:r>
        <w:rPr>
          <w:rFonts w:ascii="Arial" w:cs="Arial" w:eastAsia="Arial" w:hAnsi="Arial"/>
          <w:sz w:val="17"/>
          <w:szCs w:val="17"/>
          <w:color w:val="auto"/>
        </w:rPr>
        <w:t>. Pursuant to a recommendation promulgated by the Committee on Uniform Security Identification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caused CUSIP numbers to be printed on the Notes, and the Trustee may use CUSIP numbers in notices of redemption as a convenience to Holders. The Company has also caused ISINs to be printed on the Notes, and the Trustee may also use ISINs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60"/>
          </w:cols>
          <w:pgMar w:left="700" w:top="274" w:right="239" w:bottom="1440" w:gutter="0" w:footer="0" w:header="0"/>
        </w:sectPr>
      </w:pPr>
    </w:p>
    <w:bookmarkStart w:id="100" w:name="page101"/>
    <w:bookmarkEnd w:id="100"/>
    <w:p>
      <w:pPr>
        <w:ind w:right="100" w:firstLine="443"/>
        <w:spacing w:after="0" w:line="257" w:lineRule="auto"/>
        <w:tabs>
          <w:tab w:leader="none" w:pos="783"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GOVERNING LAW. </w:t>
      </w:r>
      <w:r>
        <w:rPr>
          <w:rFonts w:ascii="Arial" w:cs="Arial" w:eastAsia="Arial" w:hAnsi="Arial"/>
          <w:sz w:val="18"/>
          <w:szCs w:val="18"/>
          <w:color w:val="auto"/>
        </w:rPr>
        <w:t>THE INDENTURE AND THIS NOTE, INCLUDING ANY NOTE GUARANTEES, AND THE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DUTIES OF THE PARTIES HEREUNDER AND THEREUNDER ARE AND SHALL BE GOVERNED BY, AND CONSTRUED IN ACCORDANCE WITH, THE LAWS OF THE STATE OF NEW YORK WITHOUT GIVING EFFECT TO APPLICABLE PRINCIPLES OF CONFLICTS OF LAW TO THE EXTENT THAT THE APPLICATION OF THE LAW OF ANOTHER JURISDICTION WOULD BE REQUIRED THEREBY.</w:t>
      </w:r>
    </w:p>
    <w:p>
      <w:pPr>
        <w:spacing w:after="0" w:line="80" w:lineRule="exact"/>
        <w:rPr>
          <w:rFonts w:ascii="Arial" w:cs="Arial" w:eastAsia="Arial" w:hAnsi="Arial"/>
          <w:sz w:val="18"/>
          <w:szCs w:val="18"/>
          <w:color w:val="auto"/>
        </w:rPr>
      </w:pPr>
    </w:p>
    <w:p>
      <w:pPr>
        <w:ind w:firstLine="443"/>
        <w:spacing w:after="0" w:line="277" w:lineRule="auto"/>
        <w:tabs>
          <w:tab w:leader="none" w:pos="783"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Copies of Documents</w:t>
      </w:r>
      <w:r>
        <w:rPr>
          <w:rFonts w:ascii="Arial" w:cs="Arial" w:eastAsia="Arial" w:hAnsi="Arial"/>
          <w:sz w:val="18"/>
          <w:szCs w:val="18"/>
          <w:color w:val="auto"/>
        </w:rPr>
        <w:t>. The Company shall furnish to any Holder upon written request and without charge a copy of the Indenture. Requests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made to:</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Liberty Lake, WA 99019</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Attention: Chief Financial Officer</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820"/>
          </w:cols>
          <w:pgMar w:left="700" w:top="274" w:right="379" w:bottom="1440" w:gutter="0" w:footer="0" w:header="0"/>
        </w:sectPr>
      </w:pPr>
    </w:p>
    <w:bookmarkStart w:id="101" w:name="page102"/>
    <w:bookmarkEnd w:id="101"/>
    <w:p>
      <w:pPr>
        <w:ind w:left="4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238125</wp:posOffset>
            </wp:positionV>
            <wp:extent cx="4707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39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238125</wp:posOffset>
            </wp:positionV>
            <wp:extent cx="4707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39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238125</wp:posOffset>
            </wp:positionV>
            <wp:extent cx="4707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07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495300</wp:posOffset>
            </wp:positionV>
            <wp:extent cx="4707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07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752475</wp:posOffset>
            </wp:positionV>
            <wp:extent cx="4707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-10160</wp:posOffset>
            </wp:positionV>
            <wp:extent cx="41148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-10160</wp:posOffset>
            </wp:positionV>
            <wp:extent cx="28003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0035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15"/>
          <w:szCs w:val="15"/>
          <w:color w:val="auto"/>
        </w:rPr>
        <w:t>10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-10160</wp:posOffset>
            </wp:positionV>
            <wp:extent cx="31432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432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20" w:right="1080" w:hanging="5512"/>
        <w:spacing w:after="0" w:line="449" w:lineRule="auto"/>
        <w:tabs>
          <w:tab w:leader="none" w:pos="445" w:val="left"/>
        </w:tabs>
        <w:numPr>
          <w:ilvl w:val="0"/>
          <w:numId w:val="174"/>
        </w:numPr>
        <w:rPr>
          <w:rFonts w:ascii="Arial" w:cs="Arial" w:eastAsia="Arial" w:hAnsi="Arial"/>
          <w:sz w:val="15"/>
          <w:szCs w:val="15"/>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ectPr>
          <w:pgSz w:w="11900" w:h="16838" w:orient="portrait"/>
          <w:cols w:equalWidth="0" w:num="1">
            <w:col w:w="10480"/>
          </w:cols>
          <w:pgMar w:left="240" w:top="274" w:right="117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want to elect to have this Note purchased by the Company pursuant to Section 4.10 or 4.15 of the Indenture, check the appropriate box below:</w:t>
      </w:r>
    </w:p>
    <w:p>
      <w:pPr>
        <w:spacing w:after="0" w:line="216" w:lineRule="exact"/>
        <w:rPr>
          <w:sz w:val="20"/>
          <w:szCs w:val="20"/>
          <w:color w:val="auto"/>
        </w:rPr>
      </w:pPr>
    </w:p>
    <w:p>
      <w:pPr>
        <w:ind w:left="4720" w:hanging="248"/>
        <w:spacing w:after="0" w:line="207" w:lineRule="exact"/>
        <w:tabs>
          <w:tab w:leader="none" w:pos="4720" w:val="left"/>
        </w:tabs>
        <w:numPr>
          <w:ilvl w:val="0"/>
          <w:numId w:val="175"/>
        </w:numPr>
        <w:rPr>
          <w:rFonts w:ascii="MS PGothic" w:cs="MS PGothic" w:eastAsia="MS PGothic" w:hAnsi="MS PGothic"/>
          <w:sz w:val="18"/>
          <w:szCs w:val="18"/>
          <w:color w:val="auto"/>
        </w:rPr>
      </w:pPr>
      <w:r>
        <w:rPr>
          <w:rFonts w:ascii="Arial" w:cs="Arial" w:eastAsia="Arial" w:hAnsi="Arial"/>
          <w:sz w:val="18"/>
          <w:szCs w:val="18"/>
          <w:color w:val="auto"/>
        </w:rPr>
        <w:t xml:space="preserve">Section 4.10  </w:t>
      </w:r>
      <w:r>
        <w:rPr>
          <w:rFonts w:ascii="MS PGothic" w:cs="MS PGothic" w:eastAsia="MS PGothic" w:hAnsi="MS PGothic"/>
          <w:sz w:val="18"/>
          <w:szCs w:val="18"/>
          <w:color w:val="auto"/>
        </w:rPr>
        <w:t>❑</w:t>
      </w:r>
      <w:r>
        <w:rPr>
          <w:rFonts w:ascii="Arial" w:cs="Arial" w:eastAsia="Arial" w:hAnsi="Arial"/>
          <w:sz w:val="18"/>
          <w:szCs w:val="18"/>
          <w:color w:val="auto"/>
        </w:rPr>
        <w:t xml:space="preserve"> Section 4.15</w:t>
      </w:r>
    </w:p>
    <w:p>
      <w:pPr>
        <w:spacing w:after="0" w:line="2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or Section 4.15 of the Indenture, state the amount you elect to have purchased:</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-10160</wp:posOffset>
            </wp:positionV>
            <wp:extent cx="2286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-10160</wp:posOffset>
            </wp:positionV>
            <wp:extent cx="28003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00350"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-10160</wp:posOffset>
            </wp:positionV>
            <wp:extent cx="24860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15"/>
          <w:szCs w:val="15"/>
          <w:color w:val="auto"/>
        </w:rPr>
        <w:t>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-10160</wp:posOffset>
            </wp:positionV>
            <wp:extent cx="32004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04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40" w:right="1980" w:hanging="5532"/>
        <w:spacing w:after="0" w:line="449" w:lineRule="auto"/>
        <w:tabs>
          <w:tab w:leader="none" w:pos="461" w:val="left"/>
        </w:tabs>
        <w:numPr>
          <w:ilvl w:val="0"/>
          <w:numId w:val="176"/>
        </w:numPr>
        <w:rPr>
          <w:rFonts w:ascii="Arial" w:cs="Arial" w:eastAsia="Arial" w:hAnsi="Arial"/>
          <w:sz w:val="15"/>
          <w:szCs w:val="15"/>
          <w:color w:val="auto"/>
        </w:rPr>
      </w:pPr>
      <w:r>
        <w:rPr>
          <w:rFonts w:ascii="Arial" w:cs="Arial" w:eastAsia="Arial" w:hAnsi="Arial"/>
          <w:sz w:val="18"/>
          <w:szCs w:val="18"/>
          <w:color w:val="auto"/>
        </w:rPr>
        <w:t>Participant in a recognized Signature Guarantee Medallion Program (or other signature guarantor acceptable to the Trustee). A-11</w:t>
      </w:r>
    </w:p>
    <w:p>
      <w:pPr>
        <w:sectPr>
          <w:pgSz w:w="11900" w:h="16838" w:orient="portrait"/>
          <w:cols w:equalWidth="0" w:num="1">
            <w:col w:w="11380"/>
          </w:cols>
          <w:pgMar w:left="240" w:top="274" w:right="279" w:bottom="1440" w:gutter="0" w:footer="0" w:header="0"/>
        </w:sectPr>
      </w:pPr>
    </w:p>
    <w:bookmarkStart w:id="103" w:name="page104"/>
    <w:bookmarkEnd w:id="103"/>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INTERESTS IN THE GLOBAL NOTE</w:t>
      </w:r>
      <w:r>
        <w:rPr>
          <w:rFonts w:ascii="Arial" w:cs="Arial" w:eastAsia="Arial" w:hAnsi="Arial"/>
          <w:sz w:val="15"/>
          <w:szCs w:val="15"/>
          <w:color w:val="auto"/>
        </w:rPr>
        <w:t>12</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gridSpan w:val="2"/>
          </w:tcPr>
          <w:p>
            <w:pPr>
              <w:jc w:val="center"/>
              <w:ind w:right="840"/>
              <w:spacing w:after="0"/>
              <w:rPr>
                <w:sz w:val="20"/>
                <w:szCs w:val="20"/>
                <w:color w:val="auto"/>
              </w:rPr>
            </w:pPr>
            <w:r>
              <w:rPr>
                <w:rFonts w:ascii="Arial" w:cs="Arial" w:eastAsia="Arial" w:hAnsi="Arial"/>
                <w:sz w:val="14"/>
                <w:szCs w:val="14"/>
                <w:color w:val="auto"/>
                <w:w w:val="96"/>
              </w:rPr>
              <w:t>Principal Amount of this</w:t>
            </w: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2"/>
              </w:rPr>
              <w:t>Amount of decrease in</w:t>
            </w:r>
          </w:p>
        </w:tc>
        <w:tc>
          <w:tcPr>
            <w:tcW w:w="226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4"/>
              </w:rPr>
              <w:t>Amount of increase in</w:t>
            </w:r>
          </w:p>
        </w:tc>
        <w:tc>
          <w:tcPr>
            <w:tcW w:w="226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8"/>
              </w:rPr>
              <w:t>Global Note following</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Signature of authorized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340" w:type="dxa"/>
            <w:vAlign w:val="bottom"/>
            <w:gridSpan w:val="3"/>
            <w:vMerge w:val="restart"/>
          </w:tcPr>
          <w:p>
            <w:pPr>
              <w:ind w:left="260"/>
              <w:spacing w:after="0"/>
              <w:rPr>
                <w:sz w:val="20"/>
                <w:szCs w:val="20"/>
                <w:color w:val="auto"/>
              </w:rPr>
            </w:pPr>
            <w:r>
              <w:rPr>
                <w:rFonts w:ascii="Arial" w:cs="Arial" w:eastAsia="Arial" w:hAnsi="Arial"/>
                <w:sz w:val="14"/>
                <w:szCs w:val="14"/>
                <w:color w:val="auto"/>
              </w:rPr>
              <w:t>Date of Exchange</w:t>
            </w:r>
          </w:p>
        </w:tc>
        <w:tc>
          <w:tcPr>
            <w:tcW w:w="22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6"/>
              </w:rPr>
              <w:t>Principal Amount of this</w:t>
            </w:r>
          </w:p>
        </w:tc>
        <w:tc>
          <w:tcPr>
            <w:tcW w:w="226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6"/>
              </w:rPr>
              <w:t>Principal Amount of this</w:t>
            </w:r>
          </w:p>
        </w:tc>
        <w:tc>
          <w:tcPr>
            <w:tcW w:w="226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87"/>
              </w:rPr>
              <w:t>such decrease</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officer of Trustee or</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2340" w:type="dxa"/>
            <w:vAlign w:val="bottom"/>
            <w:gridSpan w:val="3"/>
            <w:vMerge w:val="continue"/>
          </w:tcPr>
          <w:p>
            <w:pPr>
              <w:spacing w:after="0"/>
              <w:rPr>
                <w:sz w:val="14"/>
                <w:szCs w:val="14"/>
                <w:color w:val="auto"/>
              </w:rPr>
            </w:pPr>
          </w:p>
        </w:tc>
        <w:tc>
          <w:tcPr>
            <w:tcW w:w="2240" w:type="dxa"/>
            <w:vAlign w:val="bottom"/>
            <w:gridSpan w:val="2"/>
          </w:tcPr>
          <w:p>
            <w:pPr>
              <w:jc w:val="center"/>
              <w:ind w:right="820"/>
              <w:spacing w:after="0"/>
              <w:rPr>
                <w:sz w:val="20"/>
                <w:szCs w:val="20"/>
                <w:color w:val="auto"/>
              </w:rPr>
            </w:pPr>
            <w:r>
              <w:rPr>
                <w:rFonts w:ascii="Arial" w:cs="Arial" w:eastAsia="Arial" w:hAnsi="Arial"/>
                <w:sz w:val="14"/>
                <w:szCs w:val="14"/>
                <w:color w:val="auto"/>
                <w:w w:val="94"/>
              </w:rPr>
              <w:t>Global Note</w:t>
            </w:r>
          </w:p>
        </w:tc>
        <w:tc>
          <w:tcPr>
            <w:tcW w:w="2260" w:type="dxa"/>
            <w:vAlign w:val="bottom"/>
            <w:gridSpan w:val="2"/>
          </w:tcPr>
          <w:p>
            <w:pPr>
              <w:jc w:val="center"/>
              <w:ind w:right="820"/>
              <w:spacing w:after="0"/>
              <w:rPr>
                <w:sz w:val="20"/>
                <w:szCs w:val="20"/>
                <w:color w:val="auto"/>
              </w:rPr>
            </w:pPr>
            <w:r>
              <w:rPr>
                <w:rFonts w:ascii="Arial" w:cs="Arial" w:eastAsia="Arial" w:hAnsi="Arial"/>
                <w:sz w:val="14"/>
                <w:szCs w:val="14"/>
                <w:color w:val="auto"/>
                <w:w w:val="97"/>
              </w:rPr>
              <w:t>Global Note</w:t>
            </w:r>
          </w:p>
        </w:tc>
        <w:tc>
          <w:tcPr>
            <w:tcW w:w="2260" w:type="dxa"/>
            <w:vAlign w:val="bottom"/>
            <w:gridSpan w:val="2"/>
          </w:tcPr>
          <w:p>
            <w:pPr>
              <w:jc w:val="center"/>
              <w:ind w:right="820"/>
              <w:spacing w:after="0"/>
              <w:rPr>
                <w:sz w:val="20"/>
                <w:szCs w:val="20"/>
                <w:color w:val="auto"/>
              </w:rPr>
            </w:pPr>
            <w:r>
              <w:rPr>
                <w:rFonts w:ascii="Arial" w:cs="Arial" w:eastAsia="Arial" w:hAnsi="Arial"/>
                <w:sz w:val="14"/>
                <w:szCs w:val="14"/>
                <w:color w:val="auto"/>
                <w:w w:val="91"/>
              </w:rPr>
              <w:t>(or increase)</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Custodian</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20" w:right="5280" w:hanging="5512"/>
        <w:spacing w:after="0" w:line="536" w:lineRule="auto"/>
        <w:tabs>
          <w:tab w:leader="none" w:pos="445" w:val="left"/>
        </w:tabs>
        <w:numPr>
          <w:ilvl w:val="0"/>
          <w:numId w:val="177"/>
        </w:numPr>
        <w:rPr>
          <w:rFonts w:ascii="Arial" w:cs="Arial" w:eastAsia="Arial" w:hAnsi="Arial"/>
          <w:sz w:val="14"/>
          <w:szCs w:val="14"/>
          <w:color w:val="auto"/>
        </w:rPr>
      </w:pPr>
      <w:r>
        <w:rPr>
          <w:rFonts w:ascii="Arial" w:cs="Arial" w:eastAsia="Arial" w:hAnsi="Arial"/>
          <w:sz w:val="16"/>
          <w:szCs w:val="16"/>
          <w:color w:val="auto"/>
        </w:rPr>
        <w:t>This schedule should be included only if the Note is issued in global form. A-12</w:t>
      </w:r>
    </w:p>
    <w:p>
      <w:pPr>
        <w:sectPr>
          <w:pgSz w:w="11900" w:h="16838" w:orient="portrait"/>
          <w:cols w:equalWidth="0" w:num="1">
            <w:col w:w="11180"/>
          </w:cols>
          <w:pgMar w:left="240" w:top="274" w:right="4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1420 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5.000% Senior Notes due 2026</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Reference is hereby made to the Indenture, dated as of December 22, 2017 (the “</w:t>
      </w:r>
      <w:r>
        <w:rPr>
          <w:rFonts w:ascii="Arial" w:cs="Arial" w:eastAsia="Arial" w:hAnsi="Arial"/>
          <w:sz w:val="18"/>
          <w:szCs w:val="18"/>
          <w:i w:val="1"/>
          <w:iCs w:val="1"/>
          <w:color w:val="auto"/>
        </w:rPr>
        <w:t>Indenture</w:t>
      </w:r>
      <w:r>
        <w:rPr>
          <w:rFonts w:ascii="Arial" w:cs="Arial" w:eastAsia="Arial" w:hAnsi="Arial"/>
          <w:sz w:val="18"/>
          <w:szCs w:val="18"/>
          <w:color w:val="auto"/>
        </w:rPr>
        <w:t>”), among Itron, Inc.,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from time to time party thereto and U.S. Bank National Association, as trustee. Capitalized terms used but not defined herein shall have the meanings given to them in the Indenture.</w:t>
      </w:r>
    </w:p>
    <w:p>
      <w:pPr>
        <w:spacing w:after="0" w:line="181"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 (the “</w:t>
      </w:r>
      <w:r>
        <w:rPr>
          <w:rFonts w:ascii="Arial" w:cs="Arial" w:eastAsia="Arial" w:hAnsi="Arial"/>
          <w:sz w:val="17"/>
          <w:szCs w:val="17"/>
          <w:i w:val="1"/>
          <w:iCs w:val="1"/>
          <w:color w:val="auto"/>
        </w:rPr>
        <w:t>Transferor</w:t>
      </w:r>
      <w:r>
        <w:rPr>
          <w:rFonts w:ascii="Arial" w:cs="Arial" w:eastAsia="Arial" w:hAnsi="Arial"/>
          <w:sz w:val="17"/>
          <w:szCs w:val="17"/>
          <w:color w:val="auto"/>
        </w:rPr>
        <w:t>”) owns and proposes to transfer the Note[s] or interest in such Note[s] specified in Annex A hereto, in the</w:t>
      </w:r>
    </w:p>
    <w:p>
      <w:pPr>
        <w:spacing w:after="0" w:line="35"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principal amount of $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(the “</w:t>
      </w:r>
      <w:r>
        <w:rPr>
          <w:rFonts w:ascii="Arial" w:cs="Arial" w:eastAsia="Arial" w:hAnsi="Arial"/>
          <w:sz w:val="18"/>
          <w:szCs w:val="18"/>
          <w:i w:val="1"/>
          <w:iCs w:val="1"/>
          <w:color w:val="auto"/>
        </w:rPr>
        <w:t>Transferee</w:t>
      </w:r>
      <w:r>
        <w:rPr>
          <w:rFonts w:ascii="Arial" w:cs="Arial" w:eastAsia="Arial" w:hAnsi="Arial"/>
          <w:sz w:val="18"/>
          <w:szCs w:val="18"/>
          <w:color w:val="auto"/>
        </w:rPr>
        <w:t>”), as further specified in Annex A hereto. In connection with the Transfer, the Transferor hereby certifies that: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3" w:lineRule="exact"/>
        <w:rPr>
          <w:sz w:val="20"/>
          <w:szCs w:val="20"/>
          <w:color w:val="auto"/>
        </w:rPr>
      </w:pPr>
    </w:p>
    <w:p>
      <w:pPr>
        <w:ind w:right="20" w:firstLine="921"/>
        <w:spacing w:after="0" w:line="221" w:lineRule="exact"/>
        <w:tabs>
          <w:tab w:leader="none" w:pos="1138" w:val="left"/>
        </w:tabs>
        <w:numPr>
          <w:ilvl w:val="0"/>
          <w:numId w:val="17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Transfer is being effected pursuant to and in accordance with Rule 144A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4" w:lineRule="exact"/>
        <w:rPr>
          <w:rFonts w:ascii="Arial" w:cs="Arial" w:eastAsia="Arial" w:hAnsi="Arial"/>
          <w:sz w:val="17"/>
          <w:szCs w:val="17"/>
          <w:color w:val="auto"/>
        </w:rPr>
      </w:pPr>
    </w:p>
    <w:p>
      <w:pPr>
        <w:ind w:firstLine="921"/>
        <w:spacing w:after="0" w:line="220" w:lineRule="exact"/>
        <w:tabs>
          <w:tab w:leader="none" w:pos="1138" w:val="left"/>
        </w:tabs>
        <w:numPr>
          <w:ilvl w:val="0"/>
          <w:numId w:val="17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Regulation S Global Note or a Restricted Definitive Note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pursuant to Regulation 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Transfer is being effected pursuant to and in accordance with Rule 903 or Rule 904 under the Securities Act and, accordingly,</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B-1 the Restricted Period, the transfer is not being made to a U.S. Person or for the account or benefit of a U.S. Person (other than the Initial Purchasers).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05" w:name="page106"/>
    <w:bookmarkEnd w:id="105"/>
    <w:p>
      <w:pPr>
        <w:ind w:left="-80" w:right="20" w:firstLine="921"/>
        <w:spacing w:after="0" w:line="228" w:lineRule="exact"/>
        <w:tabs>
          <w:tab w:leader="none" w:pos="1058" w:val="left"/>
        </w:tabs>
        <w:numPr>
          <w:ilvl w:val="0"/>
          <w:numId w:val="179"/>
        </w:numPr>
        <w:rPr>
          <w:rFonts w:ascii="Arial" w:cs="Arial" w:eastAsia="Arial" w:hAnsi="Arial"/>
          <w:sz w:val="16"/>
          <w:szCs w:val="16"/>
          <w:color w:val="auto"/>
        </w:rPr>
      </w:pPr>
      <w:r>
        <w:rPr>
          <w:rFonts w:ascii="MS PGothic" w:cs="MS PGothic" w:eastAsia="MS PGothic" w:hAnsi="MS PGothic"/>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pursuant to any provision of the Securities Act other than Rule 144A or Regulation 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in compliance with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61" w:lineRule="exact"/>
        <w:rPr>
          <w:rFonts w:ascii="Arial" w:cs="Arial" w:eastAsia="Arial" w:hAnsi="Arial"/>
          <w:sz w:val="16"/>
          <w:szCs w:val="16"/>
          <w:color w:val="auto"/>
        </w:rPr>
      </w:pPr>
    </w:p>
    <w:p>
      <w:pPr>
        <w:ind w:left="1560" w:hanging="299"/>
        <w:spacing w:after="0" w:line="207" w:lineRule="exact"/>
        <w:tabs>
          <w:tab w:leader="none" w:pos="1560" w:val="left"/>
        </w:tabs>
        <w:numPr>
          <w:ilvl w:val="1"/>
          <w:numId w:val="1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 or</w:t>
      </w:r>
    </w:p>
    <w:p>
      <w:pPr>
        <w:spacing w:after="0" w:line="117" w:lineRule="exact"/>
        <w:rPr>
          <w:rFonts w:ascii="Arial" w:cs="Arial" w:eastAsia="Arial" w:hAnsi="Arial"/>
          <w:sz w:val="18"/>
          <w:szCs w:val="18"/>
          <w:color w:val="auto"/>
        </w:rPr>
      </w:pPr>
    </w:p>
    <w:p>
      <w:pPr>
        <w:ind w:left="1560" w:hanging="299"/>
        <w:spacing w:after="0" w:line="207" w:lineRule="exact"/>
        <w:tabs>
          <w:tab w:leader="none" w:pos="1560" w:val="left"/>
        </w:tabs>
        <w:numPr>
          <w:ilvl w:val="1"/>
          <w:numId w:val="1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117" w:lineRule="exact"/>
        <w:rPr>
          <w:rFonts w:ascii="Arial" w:cs="Arial" w:eastAsia="Arial" w:hAnsi="Arial"/>
          <w:sz w:val="18"/>
          <w:szCs w:val="18"/>
          <w:color w:val="auto"/>
        </w:rPr>
      </w:pPr>
    </w:p>
    <w:p>
      <w:pPr>
        <w:ind w:left="840" w:right="160" w:firstLine="421"/>
        <w:spacing w:after="0" w:line="239" w:lineRule="exact"/>
        <w:tabs>
          <w:tab w:leader="none" w:pos="1550" w:val="left"/>
        </w:tabs>
        <w:numPr>
          <w:ilvl w:val="1"/>
          <w:numId w:val="1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 or</w:t>
      </w:r>
    </w:p>
    <w:p>
      <w:pPr>
        <w:spacing w:after="0" w:line="62" w:lineRule="exact"/>
        <w:rPr>
          <w:rFonts w:ascii="Arial" w:cs="Arial" w:eastAsia="Arial" w:hAnsi="Arial"/>
          <w:sz w:val="18"/>
          <w:szCs w:val="18"/>
          <w:color w:val="auto"/>
        </w:rPr>
      </w:pPr>
    </w:p>
    <w:p>
      <w:pPr>
        <w:ind w:left="840" w:right="80" w:firstLine="421"/>
        <w:spacing w:after="0" w:line="221" w:lineRule="exact"/>
        <w:tabs>
          <w:tab w:leader="none" w:pos="1560" w:val="left"/>
        </w:tabs>
        <w:numPr>
          <w:ilvl w:val="1"/>
          <w:numId w:val="17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69" w:lineRule="exact"/>
        <w:rPr>
          <w:rFonts w:ascii="Arial" w:cs="Arial" w:eastAsia="Arial" w:hAnsi="Arial"/>
          <w:sz w:val="17"/>
          <w:szCs w:val="17"/>
          <w:color w:val="auto"/>
        </w:rPr>
      </w:pPr>
    </w:p>
    <w:p>
      <w:pPr>
        <w:ind w:left="1060" w:hanging="219"/>
        <w:spacing w:after="0" w:line="184" w:lineRule="exact"/>
        <w:tabs>
          <w:tab w:leader="none" w:pos="1060" w:val="left"/>
        </w:tabs>
        <w:numPr>
          <w:ilvl w:val="0"/>
          <w:numId w:val="17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u w:val="single" w:color="auto"/>
          <w:color w:val="auto"/>
        </w:rPr>
        <w:t>.</w:t>
      </w:r>
    </w:p>
    <w:p>
      <w:pPr>
        <w:spacing w:after="0" w:line="140" w:lineRule="exact"/>
        <w:rPr>
          <w:rFonts w:ascii="Arial" w:cs="Arial" w:eastAsia="Arial" w:hAnsi="Arial"/>
          <w:sz w:val="16"/>
          <w:szCs w:val="16"/>
          <w:color w:val="auto"/>
        </w:rPr>
      </w:pPr>
    </w:p>
    <w:p>
      <w:pPr>
        <w:ind w:left="840" w:right="20" w:firstLine="421"/>
        <w:spacing w:after="0" w:line="224" w:lineRule="exact"/>
        <w:tabs>
          <w:tab w:leader="none" w:pos="1550" w:val="left"/>
        </w:tabs>
        <w:numPr>
          <w:ilvl w:val="1"/>
          <w:numId w:val="17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Rule 144</w:t>
      </w:r>
      <w:r>
        <w:rPr>
          <w:rFonts w:ascii="Arial" w:cs="Arial" w:eastAsia="Arial" w:hAnsi="Arial"/>
          <w:sz w:val="17"/>
          <w:szCs w:val="17"/>
          <w:color w:val="auto"/>
        </w:rPr>
        <w:t>. (i) The Transfer is being effected pursuant to and in accordance with Rule 144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B-2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65" w:lineRule="exact"/>
        <w:rPr>
          <w:rFonts w:ascii="Arial" w:cs="Arial" w:eastAsia="Arial" w:hAnsi="Arial"/>
          <w:sz w:val="17"/>
          <w:szCs w:val="17"/>
          <w:color w:val="auto"/>
        </w:rPr>
      </w:pPr>
    </w:p>
    <w:p>
      <w:pPr>
        <w:ind w:left="840" w:firstLine="421"/>
        <w:spacing w:after="0" w:line="224" w:lineRule="exact"/>
        <w:tabs>
          <w:tab w:leader="none" w:pos="1560" w:val="left"/>
        </w:tabs>
        <w:numPr>
          <w:ilvl w:val="1"/>
          <w:numId w:val="17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Regulation S</w:t>
      </w:r>
      <w:r>
        <w:rPr>
          <w:rFonts w:ascii="Arial" w:cs="Arial" w:eastAsia="Arial" w:hAnsi="Arial"/>
          <w:sz w:val="16"/>
          <w:szCs w:val="16"/>
          <w:color w:val="auto"/>
        </w:rPr>
        <w:t>. (i) The Transfer is being effected pursuant to and in accordance with Rule 903 or</w:t>
      </w:r>
      <w:r>
        <w:rPr>
          <w:rFonts w:ascii="Arial" w:cs="Arial" w:eastAsia="Arial" w:hAnsi="Arial"/>
          <w:sz w:val="16"/>
          <w:szCs w:val="16"/>
          <w:b w:val="1"/>
          <w:bCs w:val="1"/>
          <w:color w:val="auto"/>
        </w:rPr>
        <w:t xml:space="preserve"> </w:t>
      </w:r>
      <w:r>
        <w:rPr>
          <w:rFonts w:ascii="Arial" w:cs="Arial" w:eastAsia="Arial" w:hAnsi="Arial"/>
          <w:sz w:val="16"/>
          <w:szCs w:val="16"/>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80"/>
          </w:cols>
          <w:pgMar w:left="320" w:top="241" w:right="299" w:bottom="1440" w:gutter="0" w:footer="0" w:header="0"/>
        </w:sectPr>
      </w:pPr>
    </w:p>
    <w:bookmarkStart w:id="106" w:name="page107"/>
    <w:bookmarkEnd w:id="106"/>
    <w:p>
      <w:pPr>
        <w:ind w:left="920" w:firstLine="421"/>
        <w:spacing w:after="0" w:line="223" w:lineRule="exact"/>
        <w:tabs>
          <w:tab w:leader="none" w:pos="1630" w:val="left"/>
        </w:tabs>
        <w:numPr>
          <w:ilvl w:val="0"/>
          <w:numId w:val="180"/>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 xml:space="preserve"> Check if Transfer is Pursuant to Other Exemption</w:t>
      </w:r>
      <w:r>
        <w:rPr>
          <w:rFonts w:ascii="Arial" w:cs="Arial" w:eastAsia="Arial" w:hAnsi="Arial"/>
          <w:sz w:val="18"/>
          <w:szCs w:val="18"/>
          <w:color w:val="auto"/>
        </w:rPr>
        <w:t>. (i) The Transfer is being effected pursuant to and in compliance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41" w:right="239" w:bottom="1440" w:gutter="0" w:footer="0" w:header="0"/>
        </w:sectPr>
      </w:pPr>
    </w:p>
    <w:bookmarkStart w:id="107" w:name="page108"/>
    <w:bookmarkEnd w:id="107"/>
    <w:p>
      <w:pPr>
        <w:jc w:val="right"/>
        <w:ind w:right="27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TO CERTIFICATE OF TRANSFER</w:t>
      </w:r>
    </w:p>
    <w:p>
      <w:pPr>
        <w:spacing w:after="0" w:line="252" w:lineRule="exact"/>
        <w:rPr>
          <w:sz w:val="20"/>
          <w:szCs w:val="20"/>
          <w:color w:val="auto"/>
        </w:rPr>
      </w:pPr>
    </w:p>
    <w:p>
      <w:pPr>
        <w:ind w:left="580" w:hanging="572"/>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[CHECK ONE OF (a) OR (b)]</w:t>
      </w:r>
    </w:p>
    <w:p>
      <w:pPr>
        <w:sectPr>
          <w:pgSz w:w="11900" w:h="16838" w:orient="portrait"/>
          <w:cols w:equalWidth="0" w:num="1">
            <w:col w:w="10219"/>
          </w:cols>
          <w:pgMar w:left="240" w:top="274" w:right="1440" w:bottom="1440" w:gutter="0" w:footer="0" w:header="0"/>
        </w:sectPr>
      </w:pPr>
    </w:p>
    <w:p>
      <w:pPr>
        <w:spacing w:after="0" w:line="220" w:lineRule="exact"/>
        <w:rPr>
          <w:sz w:val="20"/>
          <w:szCs w:val="20"/>
          <w:color w:val="auto"/>
        </w:rPr>
      </w:pPr>
    </w:p>
    <w:p>
      <w:pPr>
        <w:ind w:left="1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beneficialinterest in the:</w:t>
      </w:r>
    </w:p>
    <w:p>
      <w:pPr>
        <w:spacing w:after="0" w:line="137" w:lineRule="exact"/>
        <w:rPr>
          <w:sz w:val="20"/>
          <w:szCs w:val="20"/>
          <w:color w:val="auto"/>
        </w:rPr>
      </w:pPr>
    </w:p>
    <w:p>
      <w:pPr>
        <w:ind w:left="1480"/>
        <w:spacing w:after="0" w:line="207" w:lineRule="exact"/>
        <w:rPr>
          <w:sz w:val="20"/>
          <w:szCs w:val="20"/>
          <w:color w:val="auto"/>
        </w:rPr>
      </w:pPr>
      <w:r>
        <w:rPr>
          <w:rFonts w:ascii="Arial" w:cs="Arial" w:eastAsia="Arial" w:hAnsi="Arial"/>
          <w:sz w:val="18"/>
          <w:szCs w:val="18"/>
          <w:color w:val="auto"/>
        </w:rPr>
        <w:t xml:space="preserve">(i) </w:t>
      </w:r>
      <w:r>
        <w:rPr>
          <w:rFonts w:ascii="MS PGothic" w:cs="MS PGothic" w:eastAsia="MS PGothic" w:hAnsi="MS PGothic"/>
          <w:sz w:val="18"/>
          <w:szCs w:val="18"/>
          <w:color w:val="auto"/>
        </w:rPr>
        <w:t>❑</w:t>
      </w:r>
      <w:r>
        <w:rPr>
          <w:rFonts w:ascii="Arial" w:cs="Arial" w:eastAsia="Arial" w:hAnsi="Arial"/>
          <w:sz w:val="18"/>
          <w:szCs w:val="18"/>
          <w:color w:val="auto"/>
        </w:rPr>
        <w:t xml:space="preserve"> 144AGlobal Note (CUSIP</w:t>
      </w:r>
    </w:p>
    <w:p>
      <w:pPr>
        <w:spacing w:after="0" w:line="131" w:lineRule="exact"/>
        <w:rPr>
          <w:sz w:val="20"/>
          <w:szCs w:val="20"/>
          <w:color w:val="auto"/>
        </w:rPr>
      </w:pPr>
    </w:p>
    <w:p>
      <w:pPr>
        <w:ind w:left="1480"/>
        <w:spacing w:after="0" w:line="196" w:lineRule="exact"/>
        <w:rPr>
          <w:sz w:val="20"/>
          <w:szCs w:val="20"/>
          <w:color w:val="auto"/>
        </w:rPr>
      </w:pPr>
      <w:r>
        <w:rPr>
          <w:rFonts w:ascii="Arial" w:cs="Arial" w:eastAsia="Arial" w:hAnsi="Arial"/>
          <w:sz w:val="17"/>
          <w:szCs w:val="17"/>
          <w:color w:val="auto"/>
        </w:rPr>
        <w:t xml:space="preserve">(ii) </w:t>
      </w:r>
      <w:r>
        <w:rPr>
          <w:rFonts w:ascii="MS PGothic" w:cs="MS PGothic" w:eastAsia="MS PGothic" w:hAnsi="MS PGothic"/>
          <w:sz w:val="17"/>
          <w:szCs w:val="17"/>
          <w:color w:val="auto"/>
        </w:rPr>
        <w:t>❑</w:t>
      </w:r>
      <w:r>
        <w:rPr>
          <w:rFonts w:ascii="Arial" w:cs="Arial" w:eastAsia="Arial" w:hAnsi="Arial"/>
          <w:sz w:val="17"/>
          <w:szCs w:val="17"/>
          <w:color w:val="auto"/>
        </w:rPr>
        <w:t xml:space="preserve"> RegulationS Global Note (CUSIP</w:t>
      </w:r>
    </w:p>
    <w:p>
      <w:pPr>
        <w:spacing w:after="0" w:line="142" w:lineRule="exact"/>
        <w:rPr>
          <w:sz w:val="20"/>
          <w:szCs w:val="20"/>
          <w:color w:val="auto"/>
        </w:rPr>
      </w:pPr>
    </w:p>
    <w:p>
      <w:pPr>
        <w:ind w:left="1480"/>
        <w:spacing w:after="0" w:line="207" w:lineRule="exact"/>
        <w:rPr>
          <w:sz w:val="20"/>
          <w:szCs w:val="20"/>
          <w:color w:val="auto"/>
        </w:rPr>
      </w:pPr>
      <w:r>
        <w:rPr>
          <w:rFonts w:ascii="Arial" w:cs="Arial" w:eastAsia="Arial" w:hAnsi="Arial"/>
          <w:sz w:val="18"/>
          <w:szCs w:val="18"/>
          <w:color w:val="auto"/>
        </w:rPr>
        <w:t xml:space="preserve">(iii) </w:t>
      </w:r>
      <w:r>
        <w:rPr>
          <w:rFonts w:ascii="MS PGothic" w:cs="MS PGothic" w:eastAsia="MS PGothic" w:hAnsi="MS PGothic"/>
          <w:sz w:val="18"/>
          <w:szCs w:val="18"/>
          <w:color w:val="auto"/>
        </w:rPr>
        <w:t>❑</w:t>
      </w:r>
      <w:r>
        <w:rPr>
          <w:rFonts w:ascii="Arial" w:cs="Arial" w:eastAsia="Arial" w:hAnsi="Arial"/>
          <w:sz w:val="18"/>
          <w:szCs w:val="18"/>
          <w:color w:val="auto"/>
        </w:rPr>
        <w:t xml:space="preserve"> IAIGlobal Note (CUSIP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458" w:lineRule="exact"/>
        <w:rPr>
          <w:sz w:val="20"/>
          <w:szCs w:val="20"/>
          <w:color w:val="auto"/>
        </w:rPr>
      </w:pPr>
    </w:p>
    <w:p>
      <w:pPr>
        <w:sectPr>
          <w:pgSz w:w="11900" w:h="16838" w:orient="portrait"/>
          <w:cols w:equalWidth="0" w:num="3">
            <w:col w:w="4480" w:space="300"/>
            <w:col w:w="360" w:space="300"/>
            <w:col w:w="4779"/>
          </w:cols>
          <w:pgMar w:left="240" w:top="274" w:right="1440" w:bottom="1440" w:gutter="0" w:footer="0" w:header="0"/>
          <w:type w:val="continuous"/>
        </w:sectPr>
      </w:pPr>
    </w:p>
    <w:p>
      <w:pPr>
        <w:ind w:left="1440" w:hanging="298"/>
        <w:spacing w:after="0" w:line="207" w:lineRule="exact"/>
        <w:tabs>
          <w:tab w:leader="none" w:pos="1440" w:val="left"/>
        </w:tabs>
        <w:numPr>
          <w:ilvl w:val="1"/>
          <w:numId w:val="18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163" w:lineRule="exact"/>
        <w:rPr>
          <w:rFonts w:ascii="Arial" w:cs="Arial" w:eastAsia="Arial" w:hAnsi="Arial"/>
          <w:sz w:val="18"/>
          <w:szCs w:val="18"/>
          <w:color w:val="auto"/>
        </w:rPr>
      </w:pPr>
    </w:p>
    <w:p>
      <w:pPr>
        <w:ind w:left="580" w:hanging="572"/>
        <w:spacing w:after="0"/>
        <w:tabs>
          <w:tab w:leader="none" w:pos="5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[CHECK ONE]</w:t>
      </w:r>
    </w:p>
    <w:p>
      <w:pPr>
        <w:sectPr>
          <w:pgSz w:w="11900" w:h="16838" w:orient="portrait"/>
          <w:cols w:equalWidth="0" w:num="1">
            <w:col w:w="10219"/>
          </w:cols>
          <w:pgMar w:left="240" w:top="274" w:right="1440" w:bottom="1440" w:gutter="0" w:footer="0" w:header="0"/>
          <w:type w:val="continuous"/>
        </w:sectPr>
      </w:pPr>
    </w:p>
    <w:p>
      <w:pPr>
        <w:spacing w:after="0" w:line="231" w:lineRule="exact"/>
        <w:rPr>
          <w:sz w:val="20"/>
          <w:szCs w:val="20"/>
          <w:color w:val="auto"/>
        </w:rPr>
      </w:pPr>
    </w:p>
    <w:p>
      <w:pPr>
        <w:ind w:left="1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7" w:lineRule="exact"/>
        <w:rPr>
          <w:sz w:val="20"/>
          <w:szCs w:val="20"/>
          <w:color w:val="auto"/>
        </w:rPr>
      </w:pPr>
    </w:p>
    <w:p>
      <w:pPr>
        <w:ind w:left="1480"/>
        <w:spacing w:after="0" w:line="207" w:lineRule="exact"/>
        <w:rPr>
          <w:sz w:val="20"/>
          <w:szCs w:val="20"/>
          <w:color w:val="auto"/>
        </w:rPr>
      </w:pPr>
      <w:r>
        <w:rPr>
          <w:rFonts w:ascii="Arial" w:cs="Arial" w:eastAsia="Arial" w:hAnsi="Arial"/>
          <w:sz w:val="18"/>
          <w:szCs w:val="18"/>
          <w:color w:val="auto"/>
        </w:rPr>
        <w:t xml:space="preserve">(i) </w:t>
      </w:r>
      <w:r>
        <w:rPr>
          <w:rFonts w:ascii="MS PGothic" w:cs="MS PGothic" w:eastAsia="MS PGothic" w:hAnsi="MS PGothic"/>
          <w:sz w:val="18"/>
          <w:szCs w:val="18"/>
          <w:color w:val="auto"/>
        </w:rPr>
        <w:t>❑</w:t>
      </w:r>
      <w:r>
        <w:rPr>
          <w:rFonts w:ascii="Arial" w:cs="Arial" w:eastAsia="Arial" w:hAnsi="Arial"/>
          <w:sz w:val="18"/>
          <w:szCs w:val="18"/>
          <w:color w:val="auto"/>
        </w:rPr>
        <w:t xml:space="preserve"> 144AGlobal Note (CUSIP</w:t>
      </w:r>
    </w:p>
    <w:p>
      <w:pPr>
        <w:spacing w:after="0" w:line="131" w:lineRule="exact"/>
        <w:rPr>
          <w:sz w:val="20"/>
          <w:szCs w:val="20"/>
          <w:color w:val="auto"/>
        </w:rPr>
      </w:pPr>
    </w:p>
    <w:p>
      <w:pPr>
        <w:ind w:left="1480"/>
        <w:spacing w:after="0" w:line="196" w:lineRule="exact"/>
        <w:rPr>
          <w:sz w:val="20"/>
          <w:szCs w:val="20"/>
          <w:color w:val="auto"/>
        </w:rPr>
      </w:pPr>
      <w:r>
        <w:rPr>
          <w:rFonts w:ascii="Arial" w:cs="Arial" w:eastAsia="Arial" w:hAnsi="Arial"/>
          <w:sz w:val="17"/>
          <w:szCs w:val="17"/>
          <w:color w:val="auto"/>
        </w:rPr>
        <w:t xml:space="preserve">(ii) </w:t>
      </w:r>
      <w:r>
        <w:rPr>
          <w:rFonts w:ascii="MS PGothic" w:cs="MS PGothic" w:eastAsia="MS PGothic" w:hAnsi="MS PGothic"/>
          <w:sz w:val="17"/>
          <w:szCs w:val="17"/>
          <w:color w:val="auto"/>
        </w:rPr>
        <w:t>❑</w:t>
      </w:r>
      <w:r>
        <w:rPr>
          <w:rFonts w:ascii="Arial" w:cs="Arial" w:eastAsia="Arial" w:hAnsi="Arial"/>
          <w:sz w:val="17"/>
          <w:szCs w:val="17"/>
          <w:color w:val="auto"/>
        </w:rPr>
        <w:t xml:space="preserve"> RegulationS Global Note (CUSIP</w:t>
      </w:r>
    </w:p>
    <w:p>
      <w:pPr>
        <w:spacing w:after="0" w:line="142" w:lineRule="exact"/>
        <w:rPr>
          <w:sz w:val="20"/>
          <w:szCs w:val="20"/>
          <w:color w:val="auto"/>
        </w:rPr>
      </w:pPr>
    </w:p>
    <w:p>
      <w:pPr>
        <w:ind w:left="1480"/>
        <w:spacing w:after="0" w:line="207" w:lineRule="exact"/>
        <w:rPr>
          <w:sz w:val="20"/>
          <w:szCs w:val="20"/>
          <w:color w:val="auto"/>
        </w:rPr>
      </w:pPr>
      <w:r>
        <w:rPr>
          <w:rFonts w:ascii="Arial" w:cs="Arial" w:eastAsia="Arial" w:hAnsi="Arial"/>
          <w:sz w:val="18"/>
          <w:szCs w:val="18"/>
          <w:color w:val="auto"/>
        </w:rPr>
        <w:t xml:space="preserve">(iii) </w:t>
      </w:r>
      <w:r>
        <w:rPr>
          <w:rFonts w:ascii="MS PGothic" w:cs="MS PGothic" w:eastAsia="MS PGothic" w:hAnsi="MS PGothic"/>
          <w:sz w:val="18"/>
          <w:szCs w:val="18"/>
          <w:color w:val="auto"/>
        </w:rPr>
        <w:t>❑</w:t>
      </w:r>
      <w:r>
        <w:rPr>
          <w:rFonts w:ascii="Arial" w:cs="Arial" w:eastAsia="Arial" w:hAnsi="Arial"/>
          <w:sz w:val="18"/>
          <w:szCs w:val="18"/>
          <w:color w:val="auto"/>
        </w:rPr>
        <w:t xml:space="preserve"> IAIGlobal Note (CUSIP</w:t>
      </w:r>
    </w:p>
    <w:p>
      <w:pPr>
        <w:spacing w:after="0" w:line="131" w:lineRule="exact"/>
        <w:rPr>
          <w:sz w:val="20"/>
          <w:szCs w:val="20"/>
          <w:color w:val="auto"/>
        </w:rPr>
      </w:pPr>
    </w:p>
    <w:p>
      <w:pPr>
        <w:ind w:left="1480"/>
        <w:spacing w:after="0" w:line="196" w:lineRule="exact"/>
        <w:rPr>
          <w:sz w:val="20"/>
          <w:szCs w:val="20"/>
          <w:color w:val="auto"/>
        </w:rPr>
      </w:pPr>
      <w:r>
        <w:rPr>
          <w:rFonts w:ascii="Arial" w:cs="Arial" w:eastAsia="Arial" w:hAnsi="Arial"/>
          <w:sz w:val="17"/>
          <w:szCs w:val="17"/>
          <w:color w:val="auto"/>
        </w:rPr>
        <w:t xml:space="preserve">(iv) </w:t>
      </w:r>
      <w:r>
        <w:rPr>
          <w:rFonts w:ascii="MS PGothic" w:cs="MS PGothic" w:eastAsia="MS PGothic" w:hAnsi="MS PGothic"/>
          <w:sz w:val="17"/>
          <w:szCs w:val="17"/>
          <w:color w:val="auto"/>
        </w:rPr>
        <w:t>❑</w:t>
      </w:r>
      <w:r>
        <w:rPr>
          <w:rFonts w:ascii="Arial" w:cs="Arial" w:eastAsia="Arial" w:hAnsi="Arial"/>
          <w:sz w:val="17"/>
          <w:szCs w:val="17"/>
          <w:color w:val="auto"/>
        </w:rPr>
        <w:t xml:space="preserve"> UnrestrictedGlobal Note (CUSIP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 or</w:t>
      </w:r>
    </w:p>
    <w:p>
      <w:pPr>
        <w:spacing w:after="0" w:line="109" w:lineRule="exact"/>
        <w:rPr>
          <w:sz w:val="20"/>
          <w:szCs w:val="20"/>
          <w:color w:val="auto"/>
        </w:rPr>
      </w:pPr>
    </w:p>
    <w:p>
      <w:pPr>
        <w:sectPr>
          <w:pgSz w:w="11900" w:h="16838" w:orient="portrait"/>
          <w:cols w:equalWidth="0" w:num="3">
            <w:col w:w="4480" w:space="300"/>
            <w:col w:w="360" w:space="280"/>
            <w:col w:w="4799"/>
          </w:cols>
          <w:pgMar w:left="240" w:top="274" w:right="1440" w:bottom="1440" w:gutter="0" w:footer="0" w:header="0"/>
          <w:type w:val="continuous"/>
        </w:sectPr>
      </w:pPr>
    </w:p>
    <w:p>
      <w:pPr>
        <w:ind w:left="1440" w:hanging="298"/>
        <w:spacing w:after="0" w:line="207" w:lineRule="exact"/>
        <w:tabs>
          <w:tab w:leader="none" w:pos="1440" w:val="left"/>
        </w:tabs>
        <w:numPr>
          <w:ilvl w:val="0"/>
          <w:numId w:val="18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130" w:lineRule="exact"/>
        <w:rPr>
          <w:rFonts w:ascii="Arial" w:cs="Arial" w:eastAsia="Arial" w:hAnsi="Arial"/>
          <w:sz w:val="18"/>
          <w:szCs w:val="18"/>
          <w:color w:val="auto"/>
        </w:rPr>
      </w:pPr>
    </w:p>
    <w:p>
      <w:pPr>
        <w:jc w:val="both"/>
        <w:ind w:left="580" w:right="6259" w:firstLine="562"/>
        <w:spacing w:after="0" w:line="293" w:lineRule="exact"/>
        <w:tabs>
          <w:tab w:leader="none" w:pos="1434" w:val="left"/>
        </w:tabs>
        <w:numPr>
          <w:ilvl w:val="0"/>
          <w:numId w:val="18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anUnrestricted Definitive Note, in accordance with the terms of the Indenture.</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B-4</w:t>
      </w:r>
    </w:p>
    <w:p>
      <w:pPr>
        <w:sectPr>
          <w:pgSz w:w="11900" w:h="16838" w:orient="portrait"/>
          <w:cols w:equalWidth="0" w:num="1">
            <w:col w:w="10219"/>
          </w:cols>
          <w:pgMar w:left="240" w:top="274" w:right="1440"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1420 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5.000% Senior Notes due 2026</w:t>
      </w:r>
    </w:p>
    <w:p>
      <w:pPr>
        <w:spacing w:after="0" w:line="225" w:lineRule="exact"/>
        <w:rPr>
          <w:sz w:val="20"/>
          <w:szCs w:val="20"/>
          <w:color w:val="auto"/>
        </w:rPr>
      </w:pPr>
    </w:p>
    <w:p>
      <w:pPr>
        <w:ind w:left="4920"/>
        <w:spacing w:after="0"/>
        <w:tabs>
          <w:tab w:leader="none" w:pos="642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Reference is hereby made to the Indenture, dated as of December 22, 2017 (the “</w:t>
      </w:r>
      <w:r>
        <w:rPr>
          <w:rFonts w:ascii="Arial" w:cs="Arial" w:eastAsia="Arial" w:hAnsi="Arial"/>
          <w:sz w:val="18"/>
          <w:szCs w:val="18"/>
          <w:i w:val="1"/>
          <w:iCs w:val="1"/>
          <w:color w:val="auto"/>
        </w:rPr>
        <w:t>Indenture</w:t>
      </w:r>
      <w:r>
        <w:rPr>
          <w:rFonts w:ascii="Arial" w:cs="Arial" w:eastAsia="Arial" w:hAnsi="Arial"/>
          <w:sz w:val="18"/>
          <w:szCs w:val="18"/>
          <w:color w:val="auto"/>
        </w:rPr>
        <w:t>”), among Itron, Inc.,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from time to time party thereto and U.S. Bank National Association, as trustee. Capitalized terms used but not defined herein shall have the meanings given to them in the Indenture.</w:t>
      </w:r>
    </w:p>
    <w:p>
      <w:pPr>
        <w:spacing w:after="0" w:line="18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 principal amount of</w:t>
      </w:r>
    </w:p>
    <w:p>
      <w:pPr>
        <w:spacing w:after="0" w:line="46" w:lineRule="exact"/>
        <w:rPr>
          <w:sz w:val="20"/>
          <w:szCs w:val="20"/>
          <w:color w:val="auto"/>
        </w:rPr>
      </w:pPr>
    </w:p>
    <w:p>
      <w:pPr>
        <w:ind w:left="500" w:hanging="492"/>
        <w:spacing w:after="0"/>
        <w:tabs>
          <w:tab w:leader="none" w:pos="5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p>
      <w:pPr>
        <w:spacing w:after="0" w:line="206" w:lineRule="exact"/>
        <w:rPr>
          <w:rFonts w:ascii="Arial" w:cs="Arial" w:eastAsia="Arial" w:hAnsi="Arial"/>
          <w:sz w:val="18"/>
          <w:szCs w:val="18"/>
          <w:color w:val="auto"/>
        </w:rPr>
      </w:pPr>
    </w:p>
    <w:p>
      <w:pPr>
        <w:ind w:right="640" w:firstLine="921"/>
        <w:spacing w:after="0" w:line="282" w:lineRule="auto"/>
        <w:tabs>
          <w:tab w:leader="none" w:pos="1093" w:val="left"/>
        </w:tabs>
        <w:numPr>
          <w:ilvl w:val="1"/>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25" w:lineRule="exact"/>
        <w:rPr>
          <w:rFonts w:ascii="Arial" w:cs="Arial" w:eastAsia="Arial" w:hAnsi="Arial"/>
          <w:sz w:val="18"/>
          <w:szCs w:val="18"/>
          <w:color w:val="auto"/>
        </w:rPr>
      </w:pPr>
    </w:p>
    <w:p>
      <w:pPr>
        <w:ind w:left="920" w:right="120" w:firstLine="421"/>
        <w:spacing w:after="0" w:line="223" w:lineRule="exact"/>
        <w:tabs>
          <w:tab w:leader="none" w:pos="1630" w:val="left"/>
        </w:tabs>
        <w:numPr>
          <w:ilvl w:val="2"/>
          <w:numId w:val="18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beneficial interest in an Unrestricted Global Note</w:t>
      </w:r>
      <w:r>
        <w:rPr>
          <w:rFonts w:ascii="Arial" w:cs="Arial" w:eastAsia="Arial" w:hAnsi="Arial"/>
          <w:sz w:val="16"/>
          <w:szCs w:val="16"/>
          <w:color w:val="auto"/>
        </w:rPr>
        <w:t>. In connection with the Exchange of the Owner’s beneficial interest in a Restricted Global Note for a beneficial interest in an Unrestricted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64" w:lineRule="exact"/>
        <w:rPr>
          <w:rFonts w:ascii="Arial" w:cs="Arial" w:eastAsia="Arial" w:hAnsi="Arial"/>
          <w:sz w:val="16"/>
          <w:szCs w:val="16"/>
          <w:color w:val="auto"/>
        </w:rPr>
      </w:pPr>
    </w:p>
    <w:p>
      <w:pPr>
        <w:ind w:left="920" w:firstLine="421"/>
        <w:spacing w:after="0" w:line="224" w:lineRule="exact"/>
        <w:tabs>
          <w:tab w:leader="none" w:pos="1640" w:val="left"/>
        </w:tabs>
        <w:numPr>
          <w:ilvl w:val="2"/>
          <w:numId w:val="18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Unrestricted Definitive Note</w:t>
      </w:r>
      <w:r>
        <w:rPr>
          <w:rFonts w:ascii="Arial" w:cs="Arial" w:eastAsia="Arial" w:hAnsi="Arial"/>
          <w:sz w:val="16"/>
          <w:szCs w:val="16"/>
          <w:color w:val="auto"/>
        </w:rPr>
        <w:t>.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61" w:lineRule="exact"/>
        <w:rPr>
          <w:rFonts w:ascii="Arial" w:cs="Arial" w:eastAsia="Arial" w:hAnsi="Arial"/>
          <w:sz w:val="16"/>
          <w:szCs w:val="16"/>
          <w:color w:val="auto"/>
        </w:rPr>
      </w:pPr>
    </w:p>
    <w:p>
      <w:pPr>
        <w:ind w:left="920" w:right="20" w:firstLine="421"/>
        <w:spacing w:after="0" w:line="228" w:lineRule="exact"/>
        <w:tabs>
          <w:tab w:leader="none" w:pos="1630" w:val="left"/>
        </w:tabs>
        <w:numPr>
          <w:ilvl w:val="2"/>
          <w:numId w:val="18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an Unrestricted Global Note</w:t>
      </w:r>
      <w:r>
        <w:rPr>
          <w:rFonts w:ascii="Arial" w:cs="Arial" w:eastAsia="Arial" w:hAnsi="Arial"/>
          <w:sz w:val="16"/>
          <w:szCs w:val="16"/>
          <w:color w:val="auto"/>
        </w:rPr>
        <w:t>.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109" w:name="page110"/>
    <w:bookmarkEnd w:id="109"/>
    <w:p>
      <w:pPr>
        <w:ind w:left="920" w:right="280"/>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ind w:left="920" w:firstLine="421"/>
        <w:spacing w:after="0" w:line="224" w:lineRule="exact"/>
        <w:tabs>
          <w:tab w:leader="none" w:pos="1640" w:val="left"/>
        </w:tabs>
        <w:numPr>
          <w:ilvl w:val="1"/>
          <w:numId w:val="18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Unrestricted Definitive Note</w:t>
      </w:r>
      <w:r>
        <w:rPr>
          <w:rFonts w:ascii="Arial" w:cs="Arial" w:eastAsia="Arial" w:hAnsi="Arial"/>
          <w:sz w:val="16"/>
          <w:szCs w:val="16"/>
          <w:color w:val="auto"/>
        </w:rPr>
        <w:t>. In connection with the Owner’s</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8" w:lineRule="exact"/>
        <w:rPr>
          <w:rFonts w:ascii="Arial" w:cs="Arial" w:eastAsia="Arial" w:hAnsi="Arial"/>
          <w:sz w:val="16"/>
          <w:szCs w:val="16"/>
          <w:color w:val="auto"/>
        </w:rPr>
      </w:pPr>
    </w:p>
    <w:p>
      <w:pPr>
        <w:ind w:right="60" w:firstLine="921"/>
        <w:spacing w:after="0" w:line="282" w:lineRule="auto"/>
        <w:tabs>
          <w:tab w:leader="none" w:pos="1093"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25" w:lineRule="exact"/>
        <w:rPr>
          <w:rFonts w:ascii="Arial" w:cs="Arial" w:eastAsia="Arial" w:hAnsi="Arial"/>
          <w:sz w:val="18"/>
          <w:szCs w:val="18"/>
          <w:color w:val="auto"/>
        </w:rPr>
      </w:pPr>
    </w:p>
    <w:p>
      <w:pPr>
        <w:ind w:left="920" w:right="20" w:firstLine="421"/>
        <w:spacing w:after="0" w:line="224" w:lineRule="exact"/>
        <w:tabs>
          <w:tab w:leader="none" w:pos="1630" w:val="left"/>
        </w:tabs>
        <w:numPr>
          <w:ilvl w:val="1"/>
          <w:numId w:val="18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Restricted Definitive Note</w:t>
      </w:r>
      <w:r>
        <w:rPr>
          <w:rFonts w:ascii="Arial" w:cs="Arial" w:eastAsia="Arial" w:hAnsi="Arial"/>
          <w:sz w:val="18"/>
          <w:szCs w:val="18"/>
          <w:color w:val="auto"/>
        </w:rPr>
        <w: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64" w:lineRule="exact"/>
        <w:rPr>
          <w:rFonts w:ascii="Arial" w:cs="Arial" w:eastAsia="Arial" w:hAnsi="Arial"/>
          <w:sz w:val="18"/>
          <w:szCs w:val="18"/>
          <w:color w:val="auto"/>
        </w:rPr>
      </w:pPr>
    </w:p>
    <w:p>
      <w:pPr>
        <w:ind w:left="920" w:firstLine="421"/>
        <w:spacing w:after="0" w:line="222" w:lineRule="exact"/>
        <w:tabs>
          <w:tab w:leader="none" w:pos="1640" w:val="left"/>
        </w:tabs>
        <w:numPr>
          <w:ilvl w:val="1"/>
          <w:numId w:val="18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 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Exchange of the Owner’s Restricted Definitive Note for a beneficial interest in the [CHECK ONE] </w:t>
      </w:r>
      <w:r>
        <w:rPr>
          <w:rFonts w:ascii="MS PGothic" w:cs="MS PGothic" w:eastAsia="MS PGothic" w:hAnsi="MS PGothic"/>
          <w:sz w:val="17"/>
          <w:szCs w:val="17"/>
          <w:color w:val="auto"/>
        </w:rPr>
        <w:t>❑</w:t>
      </w:r>
      <w:r>
        <w:rPr>
          <w:rFonts w:ascii="Arial" w:cs="Arial" w:eastAsia="Arial" w:hAnsi="Arial"/>
          <w:sz w:val="17"/>
          <w:szCs w:val="17"/>
          <w:color w:val="auto"/>
        </w:rPr>
        <w:t xml:space="preserve"> 144A Global Note, </w:t>
      </w:r>
      <w:r>
        <w:rPr>
          <w:rFonts w:ascii="MS PGothic" w:cs="MS PGothic" w:eastAsia="MS PGothic" w:hAnsi="MS PGothic"/>
          <w:sz w:val="17"/>
          <w:szCs w:val="17"/>
          <w:color w:val="auto"/>
        </w:rPr>
        <w:t>❑</w:t>
      </w:r>
      <w:r>
        <w:rPr>
          <w:rFonts w:ascii="Arial" w:cs="Arial" w:eastAsia="Arial" w:hAnsi="Arial"/>
          <w:sz w:val="17"/>
          <w:szCs w:val="17"/>
          <w:color w:val="auto"/>
        </w:rPr>
        <w:t xml:space="preserve"> Regulation S Global Note,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274" w:right="2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1420 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5.000% Senior Notes due 2026</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Reference is hereby made to the Indenture, dated as of December 22, 2017 (the “</w:t>
      </w:r>
      <w:r>
        <w:rPr>
          <w:rFonts w:ascii="Arial" w:cs="Arial" w:eastAsia="Arial" w:hAnsi="Arial"/>
          <w:sz w:val="18"/>
          <w:szCs w:val="18"/>
          <w:i w:val="1"/>
          <w:iCs w:val="1"/>
          <w:color w:val="auto"/>
        </w:rPr>
        <w:t>Indenture</w:t>
      </w:r>
      <w:r>
        <w:rPr>
          <w:rFonts w:ascii="Arial" w:cs="Arial" w:eastAsia="Arial" w:hAnsi="Arial"/>
          <w:sz w:val="18"/>
          <w:szCs w:val="18"/>
          <w:color w:val="auto"/>
        </w:rPr>
        <w:t>”), among Itron, Inc.,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from time to time party thereto and U.S. Bank National Association, as trustee. Capitalized terms used but not defined herein shall have the meanings given to them in the Indenture.</w:t>
      </w:r>
    </w:p>
    <w:p>
      <w:pPr>
        <w:spacing w:after="0" w:line="181" w:lineRule="exact"/>
        <w:rPr>
          <w:sz w:val="20"/>
          <w:szCs w:val="20"/>
          <w:color w:val="auto"/>
        </w:rPr>
      </w:pPr>
    </w:p>
    <w:p>
      <w:pPr>
        <w:ind w:left="920"/>
        <w:spacing w:after="0"/>
        <w:tabs>
          <w:tab w:leader="none" w:pos="466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w:t>
      </w:r>
    </w:p>
    <w:p>
      <w:pPr>
        <w:spacing w:after="0" w:line="84" w:lineRule="exact"/>
        <w:rPr>
          <w:sz w:val="20"/>
          <w:szCs w:val="20"/>
          <w:color w:val="auto"/>
        </w:rPr>
      </w:pPr>
    </w:p>
    <w:p>
      <w:pPr>
        <w:ind w:left="1640" w:hanging="299"/>
        <w:spacing w:after="0" w:line="207" w:lineRule="exact"/>
        <w:tabs>
          <w:tab w:leader="none" w:pos="1640" w:val="left"/>
        </w:tabs>
        <w:numPr>
          <w:ilvl w:val="0"/>
          <w:numId w:val="18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117" w:lineRule="exact"/>
        <w:rPr>
          <w:rFonts w:ascii="Arial" w:cs="Arial" w:eastAsia="Arial" w:hAnsi="Arial"/>
          <w:sz w:val="18"/>
          <w:szCs w:val="18"/>
          <w:color w:val="auto"/>
        </w:rPr>
      </w:pPr>
    </w:p>
    <w:p>
      <w:pPr>
        <w:ind w:left="1640" w:hanging="299"/>
        <w:spacing w:after="0" w:line="207" w:lineRule="exact"/>
        <w:tabs>
          <w:tab w:leader="none" w:pos="1640" w:val="left"/>
        </w:tabs>
        <w:numPr>
          <w:ilvl w:val="0"/>
          <w:numId w:val="18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confirm that:</w:t>
      </w:r>
    </w:p>
    <w:p>
      <w:pPr>
        <w:spacing w:after="0" w:line="117" w:lineRule="exact"/>
        <w:rPr>
          <w:sz w:val="20"/>
          <w:szCs w:val="20"/>
          <w:color w:val="auto"/>
        </w:rPr>
      </w:pPr>
    </w:p>
    <w:p>
      <w:pPr>
        <w:ind w:left="460" w:right="180" w:firstLine="443"/>
        <w:spacing w:after="0" w:line="286" w:lineRule="auto"/>
        <w:tabs>
          <w:tab w:leader="none" w:pos="1078" w:val="left"/>
        </w:tabs>
        <w:numPr>
          <w:ilvl w:val="1"/>
          <w:numId w:val="189"/>
        </w:numPr>
        <w:rPr>
          <w:rFonts w:ascii="Arial" w:cs="Arial" w:eastAsia="Arial" w:hAnsi="Arial"/>
          <w:sz w:val="17"/>
          <w:szCs w:val="17"/>
          <w:color w:val="auto"/>
        </w:rPr>
      </w:pPr>
      <w:r>
        <w:rPr>
          <w:rFonts w:ascii="Arial" w:cs="Arial" w:eastAsia="Arial" w:hAnsi="Arial"/>
          <w:sz w:val="17"/>
          <w:szCs w:val="17"/>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60" w:right="40" w:firstLine="443"/>
        <w:spacing w:after="0" w:line="288" w:lineRule="auto"/>
        <w:tabs>
          <w:tab w:leader="none" w:pos="107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w:t>
      </w:r>
    </w:p>
    <w:p>
      <w:pPr>
        <w:ind w:left="460" w:firstLine="4"/>
        <w:spacing w:after="0" w:line="281" w:lineRule="auto"/>
        <w:tabs>
          <w:tab w:leader="none" w:pos="74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w:t>
      </w:r>
    </w:p>
    <w:p>
      <w:pPr>
        <w:spacing w:after="0" w:line="2" w:lineRule="exact"/>
        <w:rPr>
          <w:rFonts w:ascii="Arial" w:cs="Arial" w:eastAsia="Arial" w:hAnsi="Arial"/>
          <w:sz w:val="16"/>
          <w:szCs w:val="16"/>
          <w:color w:val="auto"/>
        </w:rPr>
      </w:pPr>
    </w:p>
    <w:p>
      <w:pPr>
        <w:ind w:left="460" w:right="20" w:firstLine="4"/>
        <w:spacing w:after="0" w:line="273" w:lineRule="auto"/>
        <w:tabs>
          <w:tab w:leader="none" w:pos="7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68" w:lineRule="exact"/>
        <w:rPr>
          <w:rFonts w:ascii="Arial" w:cs="Arial" w:eastAsia="Arial" w:hAnsi="Arial"/>
          <w:sz w:val="17"/>
          <w:szCs w:val="17"/>
          <w:color w:val="auto"/>
        </w:rPr>
      </w:pPr>
    </w:p>
    <w:p>
      <w:pPr>
        <w:ind w:left="460" w:right="180" w:firstLine="443"/>
        <w:spacing w:after="0" w:line="312" w:lineRule="auto"/>
        <w:tabs>
          <w:tab w:leader="none" w:pos="1078" w:val="left"/>
        </w:tabs>
        <w:numPr>
          <w:ilvl w:val="1"/>
          <w:numId w:val="191"/>
        </w:numPr>
        <w:rPr>
          <w:rFonts w:ascii="Arial" w:cs="Arial" w:eastAsia="Arial" w:hAnsi="Arial"/>
          <w:sz w:val="16"/>
          <w:szCs w:val="16"/>
          <w:color w:val="auto"/>
        </w:rPr>
      </w:pPr>
      <w:r>
        <w:rPr>
          <w:rFonts w:ascii="Arial" w:cs="Arial" w:eastAsia="Arial" w:hAnsi="Arial"/>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D-1 with the foregoing restrictions. We further understand that the Notes purchased by us will bear a legend to the foregoing effect.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111" w:name="page112"/>
    <w:bookmarkEnd w:id="111"/>
    <w:p>
      <w:pPr>
        <w:ind w:left="460" w:firstLine="443"/>
        <w:spacing w:after="0" w:line="286" w:lineRule="auto"/>
        <w:tabs>
          <w:tab w:leader="none" w:pos="1078" w:val="left"/>
        </w:tabs>
        <w:numPr>
          <w:ilvl w:val="0"/>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57" w:lineRule="exact"/>
        <w:rPr>
          <w:rFonts w:ascii="Arial" w:cs="Arial" w:eastAsia="Arial" w:hAnsi="Arial"/>
          <w:sz w:val="17"/>
          <w:szCs w:val="17"/>
          <w:color w:val="auto"/>
        </w:rPr>
      </w:pPr>
    </w:p>
    <w:p>
      <w:pPr>
        <w:ind w:left="460" w:right="20" w:firstLine="443"/>
        <w:spacing w:after="0" w:line="277" w:lineRule="auto"/>
        <w:tabs>
          <w:tab w:leader="none" w:pos="107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Accredited 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60"/>
          </w:cols>
          <w:pgMar w:left="240" w:top="274" w:right="2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right="420" w:firstLine="913"/>
        <w:spacing w:after="0" w:line="286" w:lineRule="auto"/>
        <w:rPr>
          <w:sz w:val="20"/>
          <w:szCs w:val="20"/>
          <w:color w:val="auto"/>
        </w:rPr>
      </w:pPr>
      <w:r>
        <w:rPr>
          <w:rFonts w:ascii="Arial" w:cs="Arial" w:eastAsia="Arial" w:hAnsi="Arial"/>
          <w:sz w:val="17"/>
          <w:szCs w:val="17"/>
          <w:color w:val="auto"/>
        </w:rPr>
        <w:t>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 20 , among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Itron, Inc. (or its permitted successor), a Washington corporation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U.S. Bank National Association,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22, 2017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acknowledged, the Company, the Guaranteeing Subsidiary and the Trustee mutually covenant and agree for the equal and ratable benefit of the Holders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as follows:</w:t>
      </w:r>
    </w:p>
    <w:p>
      <w:pPr>
        <w:spacing w:after="0" w:line="211" w:lineRule="exact"/>
        <w:rPr>
          <w:sz w:val="20"/>
          <w:szCs w:val="20"/>
          <w:color w:val="auto"/>
        </w:rPr>
      </w:pPr>
    </w:p>
    <w:p>
      <w:pPr>
        <w:ind w:left="1100" w:hanging="179"/>
        <w:spacing w:after="0"/>
        <w:tabs>
          <w:tab w:leader="none" w:pos="11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jc w:val="both"/>
        <w:ind w:right="220" w:firstLine="921"/>
        <w:spacing w:after="0" w:line="259" w:lineRule="auto"/>
        <w:tabs>
          <w:tab w:leader="none" w:pos="1093"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The Guaranteeing Subsidiary hereby becomes a party to the Indenture as a Guarantor and as such shall have all of the rights and be subject to all of the obligations and agreements of a Guarantor under the Indenture. The Guaranteeing Subsidiary hereby agrees, on a joint and several basis with all the existing Guarantors, to provide an unconditional Guarantee on the terms and subject to the conditions set forth in the Note Guarantee and in the Indenture including but not limited to Article X thereof.</w:t>
      </w:r>
    </w:p>
    <w:p>
      <w:pPr>
        <w:spacing w:after="0" w:line="186" w:lineRule="exact"/>
        <w:rPr>
          <w:rFonts w:ascii="Arial" w:cs="Arial" w:eastAsia="Arial" w:hAnsi="Arial"/>
          <w:sz w:val="18"/>
          <w:szCs w:val="18"/>
          <w:color w:val="auto"/>
        </w:rPr>
      </w:pPr>
    </w:p>
    <w:p>
      <w:pPr>
        <w:ind w:right="80" w:firstLine="921"/>
        <w:spacing w:after="0" w:line="312" w:lineRule="auto"/>
        <w:tabs>
          <w:tab w:leader="none" w:pos="1093"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Indentures Part of Indenture.</w:t>
      </w:r>
      <w:r>
        <w:rPr>
          <w:rFonts w:ascii="Arial" w:cs="Arial" w:eastAsia="Arial" w:hAnsi="Arial"/>
          <w:sz w:val="16"/>
          <w:szCs w:val="16"/>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46" w:lineRule="exact"/>
        <w:rPr>
          <w:rFonts w:ascii="Arial" w:cs="Arial" w:eastAsia="Arial" w:hAnsi="Arial"/>
          <w:sz w:val="16"/>
          <w:szCs w:val="16"/>
          <w:color w:val="auto"/>
        </w:rPr>
      </w:pPr>
    </w:p>
    <w:p>
      <w:pPr>
        <w:ind w:right="40" w:firstLine="921"/>
        <w:spacing w:after="0" w:line="297" w:lineRule="auto"/>
        <w:tabs>
          <w:tab w:leader="none" w:pos="1093"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past, present or future director, officer, employee, incorporator, stockholder or agent of the Guaranteeing Subsidiary, as such, shall have any liability for any obligations of the Company or any Guaranteeing Subsidiary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58" w:lineRule="exact"/>
        <w:rPr>
          <w:rFonts w:ascii="Arial" w:cs="Arial" w:eastAsia="Arial" w:hAnsi="Arial"/>
          <w:sz w:val="16"/>
          <w:szCs w:val="16"/>
          <w:color w:val="auto"/>
        </w:rPr>
      </w:pPr>
    </w:p>
    <w:p>
      <w:pPr>
        <w:ind w:right="20" w:firstLine="921"/>
        <w:spacing w:after="0" w:line="264" w:lineRule="auto"/>
        <w:tabs>
          <w:tab w:leader="none" w:pos="1093"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 NEW YORK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jc w:val="both"/>
        <w:ind w:right="260" w:firstLine="921"/>
        <w:spacing w:after="0" w:line="264" w:lineRule="auto"/>
        <w:tabs>
          <w:tab w:leader="none" w:pos="1093"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4" w:right="239" w:bottom="1440" w:gutter="0" w:footer="0" w:header="0"/>
        </w:sectPr>
      </w:pPr>
    </w:p>
    <w:bookmarkStart w:id="113" w:name="page114"/>
    <w:bookmarkEnd w:id="113"/>
    <w:p>
      <w:pPr>
        <w:ind w:firstLine="921"/>
        <w:spacing w:after="0" w:line="277" w:lineRule="auto"/>
        <w:tabs>
          <w:tab w:leader="none" w:pos="1093"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100" w:hanging="179"/>
        <w:spacing w:after="0"/>
        <w:tabs>
          <w:tab w:leader="none" w:pos="110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20" w:firstLine="921"/>
        <w:spacing w:after="0" w:line="342" w:lineRule="auto"/>
        <w:tabs>
          <w:tab w:leader="none" w:pos="1093"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24"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20"/>
          </w:cols>
          <w:pgMar w:left="240" w:top="27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ESCROW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THIS ESCROW AGREEMENT</w:t>
      </w:r>
      <w:r>
        <w:rPr>
          <w:rFonts w:ascii="Arial" w:cs="Arial" w:eastAsia="Arial" w:hAnsi="Arial"/>
          <w:sz w:val="17"/>
          <w:szCs w:val="17"/>
          <w:color w:val="auto"/>
        </w:rPr>
        <w:t>, dated as of December 22, 2017 (“</w:t>
      </w:r>
      <w:r>
        <w:rPr>
          <w:rFonts w:ascii="Arial" w:cs="Arial" w:eastAsia="Arial" w:hAnsi="Arial"/>
          <w:sz w:val="17"/>
          <w:szCs w:val="17"/>
          <w:u w:val="single" w:color="auto"/>
          <w:color w:val="auto"/>
        </w:rPr>
        <w:t>Escrow Agreement</w:t>
      </w:r>
      <w:r>
        <w:rPr>
          <w:rFonts w:ascii="Arial" w:cs="Arial" w:eastAsia="Arial" w:hAnsi="Arial"/>
          <w:sz w:val="17"/>
          <w:szCs w:val="17"/>
          <w:color w:val="auto"/>
        </w:rPr>
        <w:t>”), is by and among Itron, Inc., a Washington corporation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Depositor</w:t>
      </w:r>
      <w:r>
        <w:rPr>
          <w:rFonts w:ascii="Arial" w:cs="Arial" w:eastAsia="Arial" w:hAnsi="Arial"/>
          <w:sz w:val="16"/>
          <w:szCs w:val="16"/>
          <w:color w:val="auto"/>
        </w:rPr>
        <w:t>”), U.S. BANK NATIONAL ASSOCIATION, a national banking association, as escrow agent hereunder (in such capacity, “</w:t>
      </w:r>
      <w:r>
        <w:rPr>
          <w:rFonts w:ascii="Arial" w:cs="Arial" w:eastAsia="Arial" w:hAnsi="Arial"/>
          <w:sz w:val="16"/>
          <w:szCs w:val="16"/>
          <w:u w:val="single" w:color="auto"/>
          <w:color w:val="auto"/>
        </w:rPr>
        <w:t>Escrow Agent</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 national banking association, as trustee under the Indenture (as defined below) (in such capacity, “</w:t>
      </w:r>
      <w:r>
        <w:rPr>
          <w:rFonts w:ascii="Arial" w:cs="Arial" w:eastAsia="Arial" w:hAnsi="Arial"/>
          <w:sz w:val="16"/>
          <w:szCs w:val="16"/>
          <w:u w:val="single" w:color="auto"/>
          <w:color w:val="auto"/>
        </w:rPr>
        <w:t>Trustee</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together with Escrow Agent and Depositor,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900" w:hanging="446"/>
        <w:spacing w:after="0" w:line="269"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This Escrow Agreement is being entered into in connection with (i) the Agreement and Plan of Merger, dated as of September 17, 2017 (together with the schedules and exhibits thereto, and as amended, supplemented or otherwise modified from time to time, the “</w:t>
      </w:r>
      <w:r>
        <w:rPr>
          <w:rFonts w:ascii="Arial" w:cs="Arial" w:eastAsia="Arial" w:hAnsi="Arial"/>
          <w:sz w:val="17"/>
          <w:szCs w:val="17"/>
          <w:u w:val="single" w:color="auto"/>
          <w:color w:val="auto"/>
        </w:rPr>
        <w:t>Acquisition Agreement</w:t>
      </w:r>
      <w:r>
        <w:rPr>
          <w:rFonts w:ascii="Arial" w:cs="Arial" w:eastAsia="Arial" w:hAnsi="Arial"/>
          <w:sz w:val="17"/>
          <w:szCs w:val="17"/>
          <w:color w:val="auto"/>
        </w:rPr>
        <w:t>”), by and among Depositor, Silver Spring Networks, Inc., a Delaware corporation (“</w:t>
      </w:r>
      <w:r>
        <w:rPr>
          <w:rFonts w:ascii="Arial" w:cs="Arial" w:eastAsia="Arial" w:hAnsi="Arial"/>
          <w:sz w:val="17"/>
          <w:szCs w:val="17"/>
          <w:u w:val="single" w:color="auto"/>
          <w:color w:val="auto"/>
        </w:rPr>
        <w:t>SSNI</w:t>
      </w:r>
      <w:r>
        <w:rPr>
          <w:rFonts w:ascii="Arial" w:cs="Arial" w:eastAsia="Arial" w:hAnsi="Arial"/>
          <w:sz w:val="17"/>
          <w:szCs w:val="17"/>
          <w:color w:val="auto"/>
        </w:rPr>
        <w:t>”), and Ivory Merger Sub, Inc., a Delaware corporation and wholly-owned subsidiary of Depositor (“</w:t>
      </w:r>
      <w:r>
        <w:rPr>
          <w:rFonts w:ascii="Arial" w:cs="Arial" w:eastAsia="Arial" w:hAnsi="Arial"/>
          <w:sz w:val="17"/>
          <w:szCs w:val="17"/>
          <w:u w:val="single" w:color="auto"/>
          <w:color w:val="auto"/>
        </w:rPr>
        <w:t>Acquisition Sub</w:t>
      </w:r>
      <w:r>
        <w:rPr>
          <w:rFonts w:ascii="Arial" w:cs="Arial" w:eastAsia="Arial" w:hAnsi="Arial"/>
          <w:sz w:val="17"/>
          <w:szCs w:val="17"/>
          <w:color w:val="auto"/>
        </w:rPr>
        <w:t>”), pursuant to which Acquisition Sub will merge with and into SSNI, and SSNI will survive the merger as a wholly-owned subsidiary of Depositor (such merger, the “</w:t>
      </w:r>
      <w:r>
        <w:rPr>
          <w:rFonts w:ascii="Arial" w:cs="Arial" w:eastAsia="Arial" w:hAnsi="Arial"/>
          <w:sz w:val="17"/>
          <w:szCs w:val="17"/>
          <w:u w:val="single" w:color="auto"/>
          <w:color w:val="auto"/>
        </w:rPr>
        <w:t>SSNI Acquisition</w:t>
      </w:r>
      <w:r>
        <w:rPr>
          <w:rFonts w:ascii="Arial" w:cs="Arial" w:eastAsia="Arial" w:hAnsi="Arial"/>
          <w:sz w:val="17"/>
          <w:szCs w:val="17"/>
          <w:color w:val="auto"/>
        </w:rPr>
        <w:t>”), (ii) the Purchase Agreement, dated as of December 8, 2017 (as amended, supplemented or otherwise modified from time to time,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by and among Depositor, Wells Fargo Securities, LLC, as Representative (as defined in the Purchase Agreement) of the several Initial Purchasers named on Exhibit A to the Purchase Agreement (collectively, the “</w:t>
      </w:r>
      <w:r>
        <w:rPr>
          <w:rFonts w:ascii="Arial" w:cs="Arial" w:eastAsia="Arial" w:hAnsi="Arial"/>
          <w:sz w:val="17"/>
          <w:szCs w:val="17"/>
          <w:u w:val="single" w:color="auto"/>
          <w:color w:val="auto"/>
        </w:rPr>
        <w:t>Initial Purchasers</w:t>
      </w:r>
      <w:r>
        <w:rPr>
          <w:rFonts w:ascii="Arial" w:cs="Arial" w:eastAsia="Arial" w:hAnsi="Arial"/>
          <w:sz w:val="17"/>
          <w:szCs w:val="17"/>
          <w:color w:val="auto"/>
        </w:rPr>
        <w:t>”), and the guarantors from time to time party thereto, and (iii) the Indenture, dated as of the date hereof (as amended, supplemented or otherwise modified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by and among Depositor, Trustee and the guarantors from time to time party thereto, governing Depositor’s $300,000,000 aggregate principal amount of 5.000% Senior Notes due 2026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88" w:lineRule="exact"/>
        <w:rPr>
          <w:rFonts w:ascii="Arial" w:cs="Arial" w:eastAsia="Arial" w:hAnsi="Arial"/>
          <w:sz w:val="17"/>
          <w:szCs w:val="17"/>
          <w:color w:val="auto"/>
        </w:rPr>
      </w:pPr>
    </w:p>
    <w:p>
      <w:pPr>
        <w:ind w:left="900" w:right="120" w:hanging="446"/>
        <w:spacing w:after="0" w:line="279"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Concurrently with the closing of the sale of the Notes, (i) the Initial Purchasers of the Notes will deposit into the Escrow Deposit Account (as defined below), as hereinafter provided, the amount in cash set forth in Section 3 below, and (ii) the Depositor will deposit into the Escrow Deposit Account, as hereinafter provided, the amount in cash set forth in Section 3 below. In addition, from time to time, Depositor shall deposit into the Escrow Deposit Account additional amounts in cash as described in Section 3 and Section 12(b).</w:t>
      </w:r>
    </w:p>
    <w:p>
      <w:pPr>
        <w:spacing w:after="0" w:line="76" w:lineRule="exact"/>
        <w:rPr>
          <w:rFonts w:ascii="Arial" w:cs="Arial" w:eastAsia="Arial" w:hAnsi="Arial"/>
          <w:sz w:val="17"/>
          <w:szCs w:val="17"/>
          <w:color w:val="auto"/>
        </w:rPr>
      </w:pPr>
    </w:p>
    <w:p>
      <w:pPr>
        <w:ind w:left="900" w:right="60" w:hanging="446"/>
        <w:spacing w:after="0" w:line="25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amounts deposited in the Escrow Account will be used either (i) upon Escrow Agent’s receipt of (x) an Officer’s Certificate from Depositor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and (y) a Written Direction (as defined below), to fund a portion of the purchase price payable in connection with the SSNI Acquisition, and to pay related transaction expenses and integration costs in connection with the SSNI Acquisition and related transactions, or (ii) upon the occurrence of a Special Mandatory Redemption Event (as defined below), to fund the Special Mandatory Redemption Amount (as defined below).</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Depositor desires to appoint Escrow Agent to accept and hold certain funds as Collateral (as defined below) pursuant to the Purchase Agreement.</w:t>
      </w:r>
    </w:p>
    <w:p>
      <w:pPr>
        <w:sectPr>
          <w:pgSz w:w="11900" w:h="16838" w:orient="portrait"/>
          <w:cols w:equalWidth="0" w:num="1">
            <w:col w:w="11420"/>
          </w:cols>
          <w:pgMar w:left="240" w:top="121" w:right="239" w:bottom="1440" w:gutter="0" w:footer="0" w:header="0"/>
        </w:sectPr>
      </w:pPr>
    </w:p>
    <w:bookmarkStart w:id="115" w:name="page116"/>
    <w:bookmarkEnd w:id="115"/>
    <w:p>
      <w:pPr>
        <w:ind w:left="900" w:right="22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Escrow Agent has agreed to accept, hold, and disburse the funds deposited with it and the earnings thereon in accordance with the terms of this Escrow Agreement.</w:t>
      </w:r>
    </w:p>
    <w:p>
      <w:pPr>
        <w:spacing w:after="0" w:line="166"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for</w:t>
      </w:r>
      <w:r>
        <w:rPr>
          <w:rFonts w:ascii="Arial" w:cs="Arial" w:eastAsia="Arial" w:hAnsi="Arial"/>
          <w:sz w:val="18"/>
          <w:szCs w:val="18"/>
          <w:b w:val="1"/>
          <w:bCs w:val="1"/>
          <w:color w:val="auto"/>
        </w:rPr>
        <w:t xml:space="preserve"> </w:t>
      </w:r>
      <w:r>
        <w:rPr>
          <w:rFonts w:ascii="Arial" w:cs="Arial" w:eastAsia="Arial" w:hAnsi="Arial"/>
          <w:sz w:val="18"/>
          <w:szCs w:val="18"/>
          <w:color w:val="auto"/>
        </w:rPr>
        <w:t>themselves, their successors and assigns, hereby agree as follows:</w:t>
      </w:r>
    </w:p>
    <w:p>
      <w:pPr>
        <w:spacing w:after="0" w:line="166"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shall have the following meanings when used herein:</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shall mean the Chairman of the Board, the President, the Chief Executive Officer, the Chief Financial Officer, any Vice President, the Controller, the Treasurer or the Secretary of the Depositor.</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Direction</w:t>
      </w:r>
      <w:r>
        <w:rPr>
          <w:rFonts w:ascii="Arial" w:cs="Arial" w:eastAsia="Arial" w:hAnsi="Arial"/>
          <w:sz w:val="18"/>
          <w:szCs w:val="18"/>
          <w:color w:val="auto"/>
        </w:rPr>
        <w:t>” shall mean a written direction executed by an authorized representative of the Depositor identified on Schedule B hereto directing Escrow Agent to either (a) disburse all or a portion of the Escrow Proceeds (as defined below) or (b) take or refrain from taking any other action pursuant to this Escrow Agreement.</w:t>
      </w:r>
    </w:p>
    <w:p>
      <w:pPr>
        <w:spacing w:after="0" w:line="181" w:lineRule="exact"/>
        <w:rPr>
          <w:sz w:val="20"/>
          <w:szCs w:val="20"/>
          <w:color w:val="auto"/>
        </w:rPr>
      </w:pPr>
    </w:p>
    <w:p>
      <w:pPr>
        <w:ind w:right="280" w:firstLine="464"/>
        <w:spacing w:after="0" w:line="264" w:lineRule="auto"/>
        <w:tabs>
          <w:tab w:leader="none" w:pos="771"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Appointment of and Acceptance by Escrow Agent</w:t>
      </w:r>
      <w:r>
        <w:rPr>
          <w:rFonts w:ascii="Arial" w:cs="Arial" w:eastAsia="Arial" w:hAnsi="Arial"/>
          <w:sz w:val="18"/>
          <w:szCs w:val="18"/>
          <w:color w:val="auto"/>
        </w:rPr>
        <w:t>. Depositor hereby appoints Escrow Agent to serve as escrow agent hereunder. Escrow Agent hereby accepts such appointment and, upon receipt of the Escrow Proceeds in accordance with Section 3 below, agrees to hold, invest and disburse the Escrow Proceeds in accordance with this Escrow Agreement.</w:t>
      </w:r>
    </w:p>
    <w:p>
      <w:pPr>
        <w:spacing w:after="0" w:line="289" w:lineRule="exact"/>
        <w:rPr>
          <w:rFonts w:ascii="Arial" w:cs="Arial" w:eastAsia="Arial" w:hAnsi="Arial"/>
          <w:sz w:val="18"/>
          <w:szCs w:val="18"/>
          <w:color w:val="auto"/>
        </w:rPr>
      </w:pPr>
    </w:p>
    <w:p>
      <w:pPr>
        <w:ind w:left="780" w:hanging="316"/>
        <w:spacing w:after="0"/>
        <w:tabs>
          <w:tab w:leader="none" w:pos="7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Deposit of Escrow Proceeds</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72" w:lineRule="auto"/>
        <w:tabs>
          <w:tab w:leader="none" w:pos="88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Simultaneously with the execution and delivery of this Escrow Agreement, (i) the Initial Purchasers, upon the written request of Depositor (and only upon satisfaction of all the conditions precedent to closing under the Purchase Agreement), shall deliver and deposit with Escrow Agent, and Escrow Agent hereby acknowledges receipt of, an amount in cash that is equal to the net proceeds from the sale of the Notes, and (ii) Depositor shall deliver and deposit (or cause to be delivered and deposited) with Escrow Agent, and Escrow Agent hereby acknowledges receipt of, an amount in cash that, when taken together with the amount deposited pursuant to the foregoing clause (i), is equal to 101.0% of the principal amount of the Notes, plus interest that will accrue on the Notes to, but not including, the Special Mandatory Redemption Date, assuming for purposes of the interest calculation in this clause (ii) that Depositor notifies the Escrow Agent on June 17, 2018 (the “</w:t>
      </w:r>
      <w:r>
        <w:rPr>
          <w:rFonts w:ascii="Arial" w:cs="Arial" w:eastAsia="Arial" w:hAnsi="Arial"/>
          <w:sz w:val="17"/>
          <w:szCs w:val="17"/>
          <w:u w:val="single" w:color="auto"/>
          <w:color w:val="auto"/>
        </w:rPr>
        <w:t>Outside Date</w:t>
      </w:r>
      <w:r>
        <w:rPr>
          <w:rFonts w:ascii="Arial" w:cs="Arial" w:eastAsia="Arial" w:hAnsi="Arial"/>
          <w:sz w:val="17"/>
          <w:szCs w:val="17"/>
          <w:color w:val="auto"/>
        </w:rPr>
        <w:t>”) that the SSNI Acquisition will not be consummated.</w:t>
      </w:r>
    </w:p>
    <w:p>
      <w:pPr>
        <w:spacing w:after="0" w:line="177" w:lineRule="exact"/>
        <w:rPr>
          <w:rFonts w:ascii="Arial" w:cs="Arial" w:eastAsia="Arial" w:hAnsi="Arial"/>
          <w:sz w:val="17"/>
          <w:szCs w:val="17"/>
          <w:color w:val="auto"/>
        </w:rPr>
      </w:pPr>
    </w:p>
    <w:p>
      <w:pPr>
        <w:ind w:firstLine="464"/>
        <w:spacing w:after="0" w:line="259" w:lineRule="auto"/>
        <w:tabs>
          <w:tab w:leader="none" w:pos="89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on the Escrow Termination Notice Date (as defined in Section 4 below), the Escrow Proceeds are insufficient to pay the Special Mandatory Redemption Amount on the Special Mandatory Redemption Date, Depositor shall deliver and deposit (or cause to be delivered and deposited), into the Escrow Deposit Account, on the business day prior to the Special Mandatory Redemption Date, an amount in cash that will result in the amount in the Escrow Account to be sufficient to pay the Special Mandatory Redemption Amount.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6" w:name="page117"/>
    <w:bookmarkEnd w:id="116"/>
    <w:p>
      <w:pPr>
        <w:ind w:firstLine="464"/>
        <w:spacing w:after="0" w:line="255" w:lineRule="auto"/>
        <w:tabs>
          <w:tab w:leader="none" w:pos="836"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herein to the contrary, if (i) pursuant to the terms and conditions of the Acquisition Agreement, the parties thereto agree to extend the date on which the Acquisition Agreement terminates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to a date later than the Outside Date (such later date, the “</w:t>
      </w:r>
      <w:r>
        <w:rPr>
          <w:rFonts w:ascii="Arial" w:cs="Arial" w:eastAsia="Arial" w:hAnsi="Arial"/>
          <w:sz w:val="18"/>
          <w:szCs w:val="18"/>
          <w:u w:val="single" w:color="auto"/>
          <w:color w:val="auto"/>
        </w:rPr>
        <w:t>Extended Outside Date</w:t>
      </w:r>
      <w:r>
        <w:rPr>
          <w:rFonts w:ascii="Arial" w:cs="Arial" w:eastAsia="Arial" w:hAnsi="Arial"/>
          <w:sz w:val="18"/>
          <w:szCs w:val="18"/>
          <w:color w:val="auto"/>
        </w:rPr>
        <w:t>”), and (ii) so long as (x) the Depositor has not distributed the Escrow Proceeds in accordance with the terms of subsection (a) or (b) of Section 4 herein, and (y) no Special Mandatory Redemption Event has occurred, then the Depositor shall deliver (i) written notification to the Escrow Agent of such extension and (ii) deliver and deposit (or cause to be delivered and deposited) with Escrow Agent an additional amount in cash that is equal to the amount of interest that will accrue on the Notes from the first business day following the Outside Date to, but not including, the first business day following such Extended Outside Date.</w:t>
      </w:r>
    </w:p>
    <w:p>
      <w:pPr>
        <w:spacing w:after="0" w:line="189" w:lineRule="exact"/>
        <w:rPr>
          <w:rFonts w:ascii="Arial" w:cs="Arial" w:eastAsia="Arial" w:hAnsi="Arial"/>
          <w:sz w:val="18"/>
          <w:szCs w:val="18"/>
          <w:color w:val="auto"/>
        </w:rPr>
      </w:pPr>
    </w:p>
    <w:p>
      <w:pPr>
        <w:ind w:right="20" w:firstLine="464"/>
        <w:spacing w:after="0" w:line="259" w:lineRule="auto"/>
        <w:tabs>
          <w:tab w:leader="none" w:pos="84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deposits made pursuant to subsections (a), (b) and (c) above and Section 12(b) below, the Escrow Deposit Account and the Escrow Securities Account (each as defined below) and all funds or securities now or hereafter credited to or deposited in the Escrow Account, all investments of any of the foregoing, plus all interest, dividends and other distributions and payments on any of the foregoing received or receivable in respect thereof, together with all proceeds of any of the foregoing, are collectively referred to herein as the “</w:t>
      </w:r>
      <w:r>
        <w:rPr>
          <w:rFonts w:ascii="Arial" w:cs="Arial" w:eastAsia="Arial" w:hAnsi="Arial"/>
          <w:sz w:val="18"/>
          <w:szCs w:val="18"/>
          <w:u w:val="single" w:color="auto"/>
          <w:color w:val="auto"/>
        </w:rPr>
        <w:t>Escrow Proceeds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64"/>
        <w:spacing w:after="0" w:line="272" w:lineRule="auto"/>
        <w:tabs>
          <w:tab w:leader="none" w:pos="83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 Subject to and in accordance with the provisions hereof, Escrow Agent agrees to hold (x) that portion of the Escrow Proceeds consisting of securities and investment property in a trust account which is a “securities account” (as defined in Section 8-501(a) of the Uniform Commercial Code in effect in the State of New York on the date hereof (the “</w:t>
      </w:r>
      <w:r>
        <w:rPr>
          <w:rFonts w:ascii="Arial" w:cs="Arial" w:eastAsia="Arial" w:hAnsi="Arial"/>
          <w:sz w:val="17"/>
          <w:szCs w:val="17"/>
          <w:u w:val="single" w:color="auto"/>
          <w:color w:val="auto"/>
        </w:rPr>
        <w:t>New York UCC</w:t>
      </w:r>
      <w:r>
        <w:rPr>
          <w:rFonts w:ascii="Arial" w:cs="Arial" w:eastAsia="Arial" w:hAnsi="Arial"/>
          <w:sz w:val="17"/>
          <w:szCs w:val="17"/>
          <w:color w:val="auto"/>
        </w:rPr>
        <w:t>”)) (the “</w:t>
      </w:r>
      <w:r>
        <w:rPr>
          <w:rFonts w:ascii="Arial" w:cs="Arial" w:eastAsia="Arial" w:hAnsi="Arial"/>
          <w:sz w:val="17"/>
          <w:szCs w:val="17"/>
          <w:u w:val="single" w:color="auto"/>
          <w:color w:val="auto"/>
        </w:rPr>
        <w:t>Escrow Securities Account</w:t>
      </w:r>
      <w:r>
        <w:rPr>
          <w:rFonts w:ascii="Arial" w:cs="Arial" w:eastAsia="Arial" w:hAnsi="Arial"/>
          <w:sz w:val="17"/>
          <w:szCs w:val="17"/>
          <w:color w:val="auto"/>
        </w:rPr>
        <w:t>”) and (y) that portion of the Escrow Proceeds consisting of cash in an account which is a “deposit account” (as defined in Section 9-102(a)(29) of the New York UCC) (the “</w:t>
      </w:r>
      <w:r>
        <w:rPr>
          <w:rFonts w:ascii="Arial" w:cs="Arial" w:eastAsia="Arial" w:hAnsi="Arial"/>
          <w:sz w:val="17"/>
          <w:szCs w:val="17"/>
          <w:u w:val="single" w:color="auto"/>
          <w:color w:val="auto"/>
        </w:rPr>
        <w:t>Escrow Deposit Account</w:t>
      </w:r>
      <w:r>
        <w:rPr>
          <w:rFonts w:ascii="Arial" w:cs="Arial" w:eastAsia="Arial" w:hAnsi="Arial"/>
          <w:sz w:val="17"/>
          <w:szCs w:val="17"/>
          <w:color w:val="auto"/>
        </w:rPr>
        <w:t>” and, together with the Escrow Securities Account and any successor account(s) or subaccount(s), the “</w:t>
      </w:r>
      <w:r>
        <w:rPr>
          <w:rFonts w:ascii="Arial" w:cs="Arial" w:eastAsia="Arial" w:hAnsi="Arial"/>
          <w:sz w:val="17"/>
          <w:szCs w:val="17"/>
          <w:u w:val="single" w:color="auto"/>
          <w:color w:val="auto"/>
        </w:rPr>
        <w:t>Escrow Account</w:t>
      </w:r>
      <w:r>
        <w:rPr>
          <w:rFonts w:ascii="Arial" w:cs="Arial" w:eastAsia="Arial" w:hAnsi="Arial"/>
          <w:sz w:val="17"/>
          <w:szCs w:val="17"/>
          <w:color w:val="auto"/>
        </w:rPr>
        <w:t>”) established with Escrow Agent. The Escrow Account shall be maintained with Escrow Agent and shall be in the name of Escrow Agent; and wire instructions for the deposits made pursuant to subsection (a) above and any subsequent deposit of funds hereunder are as follows: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Institution: U.S. Bank N.A.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ABA#: *** *** ***</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DDA#: **** **** ****</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 Name: U.S. Bank TFM Escrow</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Originator to Beneficiary Information:</w:t>
      </w:r>
    </w:p>
    <w:p>
      <w:pPr>
        <w:spacing w:after="0" w:line="9"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ITRON INC ESCROW DEPOSIT ACCOUNT</w:t>
      </w:r>
    </w:p>
    <w:p>
      <w:pPr>
        <w:spacing w:after="0" w:line="9"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ITRON INC ESCROW SECURITIES ACCOUNT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Call Back Contact: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Scott R. Kjar – (206) 344-4686</w:t>
      </w:r>
    </w:p>
    <w:p>
      <w:pPr>
        <w:spacing w:after="0" w:line="21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Parties agree that Escrow Agent is a “securities intermediary” (as defined in Section 8-102(a)(14) of the New York UCC) with respect to the Escrow Securities Account and intend that all securities and other assets (other than cash) held in the Escrow Securities Account shall be treated as financial assets. The Parties further agree that Escrow Agent is a “bank” (as defined in Section 9-102(a)(8) of the New York UCC) with respect to the Escrow Deposit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17" w:name="page118"/>
    <w:bookmarkEnd w:id="11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and that any Escrow Proceeds that consist of cash shall only be held in the Escrow Deposit Account. In no event shall Escrow Agent hold cash in the Escrow Securities Account or deem cash to be a financial asset. Escrow Agent makes no representation or warranties with respect to the creation or enforceability of any security interest in the Escrow Account or the Collateral (as defined below).</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Escrow Account will be established with Escrow Agent as provided above. Escrow Agent shall administer the Escrow Account in accordance with the provisions of this Escrow Agreement, including, without limitation, holding in escrow, investing and reinvesting and releasing or distributing the Escrow Proceeds.</w:t>
      </w:r>
    </w:p>
    <w:p>
      <w:pPr>
        <w:spacing w:after="0" w:line="181" w:lineRule="exact"/>
        <w:rPr>
          <w:sz w:val="20"/>
          <w:szCs w:val="20"/>
          <w:color w:val="auto"/>
        </w:rPr>
      </w:pPr>
    </w:p>
    <w:p>
      <w:pPr>
        <w:ind w:firstLine="921"/>
        <w:spacing w:after="0" w:line="267" w:lineRule="auto"/>
        <w:tabs>
          <w:tab w:leader="none" w:pos="130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As security for the due and punctual payment of the Special Mandatory Redemption Amount and the prompt and complete payment and performance by Depositor of the obligations under the Indenture, Depositor hereby pledges, assigns and grants to Trustee, for the benefit of the holders of the Notes, a security interest in all of its right, title and interest in, whether now owned by or owing to, or hereafter acquired by or arising in favor of Depositor, the Escrow Account, the other Escrow Proceeds, and all “financial assets” (as defined in Section 8-102(a)(9) of the New York UCC) credited thereto and “investment property” (as defined in Section 9-102(a)(49) of the New York UCC) credited thereto, together with all books and records, customer lists, credit files, computer files, programs, printouts and other computer materials and records related thereto and any “general intangibles” (as defined in Section 9-102(a)(42) of the New York UCC) at any time evidencing or relating to this Escrow Agreement and to any of the foregoing and all “proceeds” (as defined in Section 9-102(a)(64) of the New York UCC) (collectively, the “</w:t>
      </w:r>
      <w:r>
        <w:rPr>
          <w:rFonts w:ascii="Arial" w:cs="Arial" w:eastAsia="Arial" w:hAnsi="Arial"/>
          <w:sz w:val="17"/>
          <w:szCs w:val="17"/>
          <w:u w:val="single" w:color="auto"/>
          <w:color w:val="auto"/>
        </w:rPr>
        <w:t>Collateral</w:t>
      </w:r>
      <w:r>
        <w:rPr>
          <w:rFonts w:ascii="Arial" w:cs="Arial" w:eastAsia="Arial" w:hAnsi="Arial"/>
          <w:sz w:val="17"/>
          <w:szCs w:val="17"/>
          <w:color w:val="auto"/>
        </w:rPr>
        <w:t>”) of the foregoing. The security interest of Trustee in the Collateral granted pursuant hereto shall at all times be valid, perfected and enforceable as a first priority security interest. Depositor agrees to take all steps necessary to maintain the security interest created by this Escrow Agreement as a perfected first-priority security interest. Without limiting the generality of the foregoing, Depositor hereby authorizes Trustee, and the Initial Purchasers on behalf of Trustee, to file one or more UCC financing statements (including amendments thereto) in such jurisdictions and filing offices and containing such description of the Collateral as may be required by applicable law or as may be reasonably necessary in order to perfect the security interest granted herein, and any such filings Depositor authorized to be made by the Initial Purchasers or their counsel on behalf of Trustee. Depositor hereby agrees that, except in connection with the transactions contemplated by the Purchase Agreement, prior to the termination of this Escrow Agreement, it will not change its legal name, jurisdiction of incorporation or chief executive office without giving Trustee and the Initial Purchasers not less than ten business days’ prior written notice thereof. Notwithstanding anything to the contrary contained herein, neither the Escrow Agent nor the Trustee shall have any responsibility for preparing or filing any financing documents or instruments in any public office at any time or times, or for otherwise perfecting or maintaining the perfection of any security interest referred to herein, nor for the validity, perfection, priority or enforceability of the liens referred to herein.</w:t>
      </w:r>
    </w:p>
    <w:p>
      <w:pPr>
        <w:spacing w:after="0" w:line="1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the release of any Escrow Proceeds pursuant to Section 4 hereof, the security interests of Trustee for the benefit of the holders of the Notes in the Collateral shall automatically terminate without any further action, and the Escrow Proceeds shall be delivered and deposited to the applicable recipient pursuant to Section 4 free and clear of any and all liens, claims or encumbrances of any Person. Upon any such termination, Depositor shall take all steps reasonably necessary to terminate any UCC financing statements filed with respect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18" w:name="page119"/>
    <w:bookmarkEnd w:id="118"/>
    <w:p>
      <w:pPr>
        <w:ind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pursuant to this Section 3 that have not been terminated and Trustee shall execute such other documents without recourse, representation or warranty of any kind as Depositor may reasonably request in writing to evidence or confirm the termination of such security interest.</w:t>
      </w:r>
    </w:p>
    <w:p>
      <w:pPr>
        <w:spacing w:after="0" w:line="124"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u w:val="single" w:color="auto"/>
          <w:color w:val="auto"/>
        </w:rPr>
        <w:t>Disbursements of Escrow Proceeds</w:t>
      </w:r>
      <w:r>
        <w:rPr>
          <w:rFonts w:ascii="Arial" w:cs="Arial" w:eastAsia="Arial" w:hAnsi="Arial"/>
          <w:sz w:val="16"/>
          <w:szCs w:val="16"/>
          <w:color w:val="auto"/>
        </w:rPr>
        <w:t>. Escrow Agent shall disburse the Escrow Proceeds in the following manner:</w:t>
      </w:r>
    </w:p>
    <w:p>
      <w:pPr>
        <w:spacing w:after="0" w:line="225" w:lineRule="exact"/>
        <w:rPr>
          <w:sz w:val="20"/>
          <w:szCs w:val="20"/>
          <w:color w:val="auto"/>
        </w:rPr>
      </w:pPr>
    </w:p>
    <w:p>
      <w:pPr>
        <w:ind w:right="120" w:firstLine="464"/>
        <w:spacing w:after="0" w:line="257" w:lineRule="auto"/>
        <w:tabs>
          <w:tab w:leader="none" w:pos="88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If at any time on or prior to the Outside Date or the Extended Outside Date, as applicable, Escrow Agent receives (i) an officer’s certificate from Depositor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and dated the date of delivery thereof, executed by an Officer of the Depositor and certifying to Escrow Agent as to the matters set forth therein (an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date of delivery of such Officer’s Certificate to Escrow Agent, the “</w:t>
      </w:r>
      <w:r>
        <w:rPr>
          <w:rFonts w:ascii="Arial" w:cs="Arial" w:eastAsia="Arial" w:hAnsi="Arial"/>
          <w:sz w:val="18"/>
          <w:szCs w:val="18"/>
          <w:u w:val="single" w:color="auto"/>
          <w:color w:val="auto"/>
        </w:rPr>
        <w:t>Escrow Release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(ii) a Written Direction, Escrow Agent shall deliver and deposit the Escrow Proceeds to the Depositor (by wire transfer of immediately available funds) as directed and in the manner set forth in the Written Direction.</w:t>
      </w:r>
    </w:p>
    <w:p>
      <w:pPr>
        <w:spacing w:after="0" w:line="188" w:lineRule="exact"/>
        <w:rPr>
          <w:rFonts w:ascii="Arial" w:cs="Arial" w:eastAsia="Arial" w:hAnsi="Arial"/>
          <w:sz w:val="18"/>
          <w:szCs w:val="18"/>
          <w:color w:val="auto"/>
        </w:rPr>
      </w:pPr>
    </w:p>
    <w:p>
      <w:pPr>
        <w:ind w:firstLine="464"/>
        <w:spacing w:after="0" w:line="268" w:lineRule="auto"/>
        <w:tabs>
          <w:tab w:leader="none" w:pos="84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If (i) Escrow Agent shall not have received pursuant to subsection (a) of this Section 4 an Officer’s Certificate and a related Written Direction from Depositor on or prior to the Outside Date or the Extended Outside Date, as applicable, or (ii) Depositor shall have notified Escrow Agent in writing that the SSNI Acquisition will not be consummated or otherwise has announced in writing to Escrow Agent that the Acquisition Agreement has been terminated (each of the events described in the foregoing clauses (i) and (ii) of this subsection, a “</w:t>
      </w:r>
      <w:r>
        <w:rPr>
          <w:rFonts w:ascii="Arial" w:cs="Arial" w:eastAsia="Arial" w:hAnsi="Arial"/>
          <w:sz w:val="17"/>
          <w:szCs w:val="17"/>
          <w:u w:val="single" w:color="auto"/>
          <w:color w:val="auto"/>
        </w:rPr>
        <w:t>Special Mandatory Redemption Event</w:t>
      </w:r>
      <w:r>
        <w:rPr>
          <w:rFonts w:ascii="Arial" w:cs="Arial" w:eastAsia="Arial" w:hAnsi="Arial"/>
          <w:sz w:val="17"/>
          <w:szCs w:val="17"/>
          <w:color w:val="auto"/>
        </w:rPr>
        <w:t>”, and the date on which any such event occurs, the “</w:t>
      </w:r>
      <w:r>
        <w:rPr>
          <w:rFonts w:ascii="Arial" w:cs="Arial" w:eastAsia="Arial" w:hAnsi="Arial"/>
          <w:sz w:val="17"/>
          <w:szCs w:val="17"/>
          <w:u w:val="single" w:color="auto"/>
          <w:color w:val="auto"/>
        </w:rPr>
        <w:t>Escrow Termination Notice Date</w:t>
      </w:r>
      <w:r>
        <w:rPr>
          <w:rFonts w:ascii="Arial" w:cs="Arial" w:eastAsia="Arial" w:hAnsi="Arial"/>
          <w:sz w:val="17"/>
          <w:szCs w:val="17"/>
          <w:color w:val="auto"/>
        </w:rPr>
        <w:t>”), then Escrow Agent shall release the Escrow Proceeds to Trustee not later than 12:00 p.m. (noon) New York City time, on the first business day following the Escrow Termination Notice Date (the date of such release, the “</w:t>
      </w:r>
      <w:r>
        <w:rPr>
          <w:rFonts w:ascii="Arial" w:cs="Arial" w:eastAsia="Arial" w:hAnsi="Arial"/>
          <w:sz w:val="17"/>
          <w:szCs w:val="17"/>
          <w:u w:val="single" w:color="auto"/>
          <w:color w:val="auto"/>
        </w:rPr>
        <w:t>Special Mandatory Redemption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On the Special Mandatory Redemption Date, or as otherwise required by the applicable procedures of The Depository Trust Company, Depositor shall redeem, and Trustee agrees to apply, or cause a paying agent to apply, in accordance with the applicable provisions of the Indenture, such funds to redeem, all of the Notes (the “</w:t>
      </w:r>
      <w:r>
        <w:rPr>
          <w:rFonts w:ascii="Arial" w:cs="Arial" w:eastAsia="Arial" w:hAnsi="Arial"/>
          <w:sz w:val="17"/>
          <w:szCs w:val="17"/>
          <w:u w:val="single" w:color="auto"/>
          <w:color w:val="auto"/>
        </w:rPr>
        <w:t>Special Mandatory Redemption</w:t>
      </w:r>
      <w:r>
        <w:rPr>
          <w:rFonts w:ascii="Arial" w:cs="Arial" w:eastAsia="Arial" w:hAnsi="Arial"/>
          <w:sz w:val="17"/>
          <w:szCs w:val="17"/>
          <w:color w:val="auto"/>
        </w:rPr>
        <w:t>”) at a redemption price (the “</w:t>
      </w:r>
      <w:r>
        <w:rPr>
          <w:rFonts w:ascii="Arial" w:cs="Arial" w:eastAsia="Arial" w:hAnsi="Arial"/>
          <w:sz w:val="17"/>
          <w:szCs w:val="17"/>
          <w:u w:val="single" w:color="auto"/>
          <w:color w:val="auto"/>
        </w:rPr>
        <w:t>Special Mandatory Redemption Amount</w:t>
      </w:r>
      <w:r>
        <w:rPr>
          <w:rFonts w:ascii="Arial" w:cs="Arial" w:eastAsia="Arial" w:hAnsi="Arial"/>
          <w:sz w:val="17"/>
          <w:szCs w:val="17"/>
          <w:color w:val="auto"/>
        </w:rPr>
        <w:t>”) equal to 101.0% of the principal amount of the Notes plus accrued and unpaid interest to, but not including, the Special Mandatory Redemption Date. None of Escrow Agent, Trustee or any paying agent shall be responsible for calculating amounts to be disbursed hereunder, and each shall be entitled to rely on Written Directions delivered in accordance with this Escrow Agreement, which shall include wire instructions, if not provided for herein. On the Special Mandatory Redemption Date, Trustee will pay to Depositor any Escrow Proceeds in excess of the amount necessary to effect the Special Mandatory Redemption of the Notes on the Special Mandatory Redemption Date. Notwithstanding anything herein to the contrary, in no event shall the Special Mandatory Redemption Date be later than September 30, 2018.</w:t>
      </w:r>
    </w:p>
    <w:p>
      <w:pPr>
        <w:spacing w:after="0" w:line="183" w:lineRule="exact"/>
        <w:rPr>
          <w:rFonts w:ascii="Arial" w:cs="Arial" w:eastAsia="Arial" w:hAnsi="Arial"/>
          <w:sz w:val="17"/>
          <w:szCs w:val="17"/>
          <w:color w:val="auto"/>
        </w:rPr>
      </w:pPr>
    </w:p>
    <w:p>
      <w:pPr>
        <w:ind w:right="20" w:firstLine="464"/>
        <w:spacing w:after="0" w:line="288" w:lineRule="auto"/>
        <w:tabs>
          <w:tab w:leader="none" w:pos="83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 the event that the Escrow Agent has not distributed the Escrow Proceeds in accordance with the terms of subsection (a) or (b) of this Section 4, on each date upon which interest on the Notes is payable under the Indenture (each such date,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Escrow Agent will upon receipt of written instruction from Trustee (acting in accordance with the terms of the Indenture), which instruction must be received no later than 12:00 p.m. (noon)</w:t>
      </w:r>
    </w:p>
    <w:p>
      <w:pPr>
        <w:spacing w:after="0" w:line="261" w:lineRule="auto"/>
        <w:rPr>
          <w:rFonts w:ascii="Arial" w:cs="Arial" w:eastAsia="Arial" w:hAnsi="Arial"/>
          <w:sz w:val="16"/>
          <w:szCs w:val="16"/>
          <w:color w:val="auto"/>
        </w:rPr>
      </w:pPr>
      <w:r>
        <w:rPr>
          <w:rFonts w:ascii="Arial" w:cs="Arial" w:eastAsia="Arial" w:hAnsi="Arial"/>
          <w:sz w:val="18"/>
          <w:szCs w:val="18"/>
          <w:color w:val="auto"/>
        </w:rPr>
        <w:t>New York City time, liquidate, release and deliver (by wire transfer of immediately available funds or via internal transfer) Escrow Proceeds to the Trustee (or any paying agent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9" w:name="page120"/>
    <w:bookmarkEnd w:id="119"/>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appointed by the Trustee) in an amount equal to the amount set forth in such instruction, which shall be the aggregate interest due and payable to the holders of the Notes under the Indenture as of such Interest Payment Date. For the avoidance of doubt, disbursements of such funds by Escrow Agent on each respective Interest Payment Date will constitute satisfaction, to the extent of such funds, of Depositor’s obligations to pay interest to the holders of the Notes on or as of such Interest Payment Date under this Escrow Agreement and the Indenture. If any instruction is received by Escrow Agent after 12:00 p.m. (noon) New York City time, Escrow Agent will use reasonable best efforts to remit payment on the same day, but will do so no later than the business day immediately following the relevant Interest Payment Date.</w:t>
      </w:r>
    </w:p>
    <w:p>
      <w:pPr>
        <w:spacing w:after="0" w:line="193" w:lineRule="exact"/>
        <w:rPr>
          <w:sz w:val="20"/>
          <w:szCs w:val="20"/>
          <w:color w:val="auto"/>
        </w:rPr>
      </w:pPr>
    </w:p>
    <w:p>
      <w:pPr>
        <w:ind w:right="120" w:firstLine="464"/>
        <w:spacing w:after="0" w:line="259" w:lineRule="auto"/>
        <w:tabs>
          <w:tab w:leader="none" w:pos="8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Prior to any disbursement, Escrow Agent shall have received reasonable identifying information regarding the recipient such that Escrow Agent may comply with its regulatory obligations and reasonable business practices, including without limitation a completed United States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Form W-9 or original IRS Form W-8, as applicable. All disbursements of funds from the Escrow Proceeds shall be subject to the fees and claims of Escrow Agent and the Indemnified Parties pursuant to Section 11 and Section 12 below.</w:t>
      </w:r>
    </w:p>
    <w:p>
      <w:pPr>
        <w:spacing w:after="0" w:line="187" w:lineRule="exact"/>
        <w:rPr>
          <w:sz w:val="20"/>
          <w:szCs w:val="20"/>
          <w:color w:val="auto"/>
        </w:rPr>
      </w:pPr>
    </w:p>
    <w:p>
      <w:pPr>
        <w:ind w:right="180" w:firstLine="464"/>
        <w:spacing w:after="0" w:line="297" w:lineRule="auto"/>
        <w:tabs>
          <w:tab w:leader="none" w:pos="771"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Suspension of Performance; Disbursement into Court</w:t>
      </w:r>
      <w:r>
        <w:rPr>
          <w:rFonts w:ascii="Arial" w:cs="Arial" w:eastAsia="Arial" w:hAnsi="Arial"/>
          <w:sz w:val="16"/>
          <w:szCs w:val="16"/>
          <w:color w:val="auto"/>
        </w:rPr>
        <w:t>. If, at any time, (i) there shall exist any dispute with respect to the holding or disposition of all or any portion of the Escrow Proceeds or any other obligations of Escrow Agent hereunder, (ii) Escrow Agent is unable to determine, to Escrow Agent’s sole satisfaction, the proper disposition of all or any portion of the Escrow Proceeds or Escrow Agent’s proper actions with respect to its obligations hereunder, or (iii) Depositor has not, within 10 calendar days of the furnishing by Escrow Agent of a notice of resignation pursuant to Section 8 hereof, appointed a successor Escrow Agent to act hereunder, then Escrow Agent may, in its sole discretion, take either or both of the following actions:</w:t>
      </w:r>
    </w:p>
    <w:p>
      <w:pPr>
        <w:spacing w:after="0" w:line="50" w:lineRule="exact"/>
        <w:rPr>
          <w:rFonts w:ascii="Arial" w:cs="Arial" w:eastAsia="Arial" w:hAnsi="Arial"/>
          <w:sz w:val="16"/>
          <w:szCs w:val="16"/>
          <w:color w:val="auto"/>
        </w:rPr>
      </w:pPr>
    </w:p>
    <w:p>
      <w:pPr>
        <w:jc w:val="both"/>
        <w:ind w:left="460" w:firstLine="443"/>
        <w:spacing w:after="0" w:line="342" w:lineRule="auto"/>
        <w:tabs>
          <w:tab w:leader="none" w:pos="1278" w:val="left"/>
        </w:tabs>
        <w:numPr>
          <w:ilvl w:val="1"/>
          <w:numId w:val="203"/>
        </w:numPr>
        <w:rPr>
          <w:rFonts w:ascii="Arial" w:cs="Arial" w:eastAsia="Arial" w:hAnsi="Arial"/>
          <w:sz w:val="16"/>
          <w:szCs w:val="16"/>
          <w:color w:val="auto"/>
        </w:rPr>
      </w:pPr>
      <w:r>
        <w:rPr>
          <w:rFonts w:ascii="Arial" w:cs="Arial" w:eastAsia="Arial" w:hAnsi="Arial"/>
          <w:sz w:val="16"/>
          <w:szCs w:val="16"/>
          <w:color w:val="auto"/>
        </w:rPr>
        <w:t>suspend the performance of any of its obligations (including without limitation any disbursement obligations) under this Escrow Agreement until such dispute or uncertainty shall be resolved to the sole satisfaction of Escrow Agent or until a successor Escrow Agent shall have been appointed.</w:t>
      </w:r>
    </w:p>
    <w:p>
      <w:pPr>
        <w:spacing w:after="0" w:line="15" w:lineRule="exact"/>
        <w:rPr>
          <w:rFonts w:ascii="Arial" w:cs="Arial" w:eastAsia="Arial" w:hAnsi="Arial"/>
          <w:sz w:val="16"/>
          <w:szCs w:val="16"/>
          <w:color w:val="auto"/>
        </w:rPr>
      </w:pPr>
    </w:p>
    <w:p>
      <w:pPr>
        <w:ind w:left="460" w:firstLine="443"/>
        <w:spacing w:after="0" w:line="257" w:lineRule="auto"/>
        <w:tabs>
          <w:tab w:leader="none" w:pos="128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petition (by means of an interpleader action or any other appropriate method) any court of competent jurisdiction, in any venue convenient to Escrow Agent, for instructions with respect to such dispute or uncertainty, and to the extent required or permitted by law, pay into such court, for holding and disposition in accordance with the instructions of such court, all Escrow Proceeds, after deduction and payment to Escrow Agent of all fees and expenses (including court costs and attorneys’ fees) payable to, incurred by, or expected to be incurred by Escrow Agent in connection with the performance of its duties and the exercise of its rights hereunder.</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Escrow Agent shall have no liability to Depositor or any other person with respect to any such suspension of performance or disbursement into court, specifically including any liability or claimed liability that may arise, or be alleged to have arisen, out of or as a result of any delay in the disbursement of the Escrow Proceeds or any delay in or with respect to any other action required or requested of Escrow Agent.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0" w:name="page121"/>
    <w:bookmarkEnd w:id="120"/>
    <w:p>
      <w:pPr>
        <w:ind w:left="780" w:hanging="316"/>
        <w:spacing w:after="0"/>
        <w:tabs>
          <w:tab w:leader="none" w:pos="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333" w:lineRule="exact"/>
        <w:rPr>
          <w:rFonts w:ascii="Arial" w:cs="Arial" w:eastAsia="Arial" w:hAnsi="Arial"/>
          <w:sz w:val="18"/>
          <w:szCs w:val="18"/>
          <w:color w:val="auto"/>
        </w:rPr>
      </w:pPr>
    </w:p>
    <w:p>
      <w:pPr>
        <w:ind w:left="780" w:hanging="316"/>
        <w:spacing w:after="0"/>
        <w:tabs>
          <w:tab w:leader="none" w:pos="78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Investment of Funds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70" w:lineRule="auto"/>
        <w:tabs>
          <w:tab w:leader="none" w:pos="88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Escrow Agent is directed to initially invest the Escrow Proceeds as U.S. dollars, which shall be deposited in the Escrow Deposit Account. Escrow Agent may invest and reinvest the Escrow Proceeds in any Eligible Escrow Investment (as defined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the Depositor from time to time directs by Written Direction, which shall be credited to the Escrow Securities Account. All investments shall be made in the name of Escrow Agent. Notwithstanding anything to the contrary contained herein, Escrow Agent may, without notice to Depositor, sell or liquidate any of the foregoing investments at any time for any disbursement of Escrow Proceeds permitted or required hereunder. All investment earnings shall become part of the Escrow Proceeds and investment losses shall be charged against the Escrow Proceeds. Escrow Agent shall not be liable or responsible for loss in the value of any investment made pursuant to a Written Direction, or for any loss, cost or penalty resulting from any sale or liquidation of the Escrow Proceeds. With respect to any Escrow Proceeds received by Escrow Agent after 12:00 p.m. (noon) New York City time, Escrow Agent shall not be required to invest such funds or to effect any investment instruction until the next day upon which banks in St. Paul, Minnesota and the New York Stock Exchange are open for business. In the absence of the above-mentioned written instructions, the Escrow Proceeds will remain uninvested.</w:t>
      </w:r>
    </w:p>
    <w:p>
      <w:pPr>
        <w:spacing w:after="0" w:line="177" w:lineRule="exact"/>
        <w:rPr>
          <w:rFonts w:ascii="Arial" w:cs="Arial" w:eastAsia="Arial" w:hAnsi="Arial"/>
          <w:sz w:val="17"/>
          <w:szCs w:val="17"/>
          <w:color w:val="auto"/>
        </w:rPr>
      </w:pPr>
    </w:p>
    <w:p>
      <w:pPr>
        <w:ind w:firstLine="464"/>
        <w:spacing w:after="0" w:line="287" w:lineRule="auto"/>
        <w:tabs>
          <w:tab w:leader="none" w:pos="89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Depositor and Escrow Agent hereby agree that the Eligible Escrow Investments and any investment property, financial asset, security or instrument credited to the Escrow Securities Account shall be treated as a “financial asset” within the meaning of Section 8-102(a)(9) of the New York UCC. Notwithstanding any other provision in this Agreement, Escrow Agent agrees to comply with (x) any “entitlement order” (as defined in Section 8-102(a)(8) of the New York UCC) originated by Trustee with respect to any financial asset or securities entitlement credited to or carried in the Escrow Securities Account or (y) any instructions originated by Trustee directing disposition of the funds in the Escrow Deposit Account, in each case without further consent by Depositor or any other person. Escrow Agent represents and warrants that it has not entered into, and agrees that it will not enter into, any control agreement with any other third party, other than this Escrow Agreement and the Indenture and documents related thereto, relating to the Escrow Account, the Escrow Proceeds or any other Collateral. Solely as between Trustee and Depositor, Trustee hereby agrees with Depositor that Trustee shall not give any entitlement orders or instructions, as applicable, unless it has received confirmation that the conditions in the Indenture requiring that Depositor effect a Special Mandatory Redemption of the Notes shall have occurred or as otherwise permitted pursuant to Section 4 hereof. Escrow Agent shall have no obligation to confirm compliance with the foregoing sentence in complying with the instructions and entitlement orders of Trustee.</w:t>
      </w:r>
    </w:p>
    <w:p>
      <w:pPr>
        <w:spacing w:after="0" w:line="172" w:lineRule="exact"/>
        <w:rPr>
          <w:rFonts w:ascii="Arial" w:cs="Arial" w:eastAsia="Arial" w:hAnsi="Arial"/>
          <w:sz w:val="16"/>
          <w:szCs w:val="16"/>
          <w:color w:val="auto"/>
        </w:rPr>
      </w:pPr>
    </w:p>
    <w:p>
      <w:pPr>
        <w:ind w:right="280" w:firstLine="464"/>
        <w:spacing w:after="0" w:line="277" w:lineRule="auto"/>
        <w:tabs>
          <w:tab w:leader="none" w:pos="88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During the term of this Escrow Agreement, Escrow Agent shall provide Depositor and Trustee with written monthly statements containing the beginning balance of the Escrow Proceeds, as well as all principal and income transactions for the statement period.</w:t>
      </w:r>
    </w:p>
    <w:p>
      <w:pPr>
        <w:spacing w:after="0" w:line="170" w:lineRule="exact"/>
        <w:rPr>
          <w:sz w:val="20"/>
          <w:szCs w:val="20"/>
          <w:color w:val="auto"/>
        </w:rPr>
      </w:pPr>
    </w:p>
    <w:p>
      <w:pPr>
        <w:ind w:right="220" w:firstLine="464"/>
        <w:spacing w:after="0" w:line="264" w:lineRule="auto"/>
        <w:tabs>
          <w:tab w:leader="none" w:pos="771"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Resignation or Removal of Escrow Agent</w:t>
      </w:r>
      <w:r>
        <w:rPr>
          <w:rFonts w:ascii="Arial" w:cs="Arial" w:eastAsia="Arial" w:hAnsi="Arial"/>
          <w:sz w:val="18"/>
          <w:szCs w:val="18"/>
          <w:color w:val="auto"/>
        </w:rPr>
        <w:t>. Escrow Agent may resign and be discharged from the performance of its duties hereunder at any time by giving thirty (30) days’ prior written notice to the Depositor specifying a date when such resignation shall take effect. Within such thirty (30) days, Depositor shall appoint a successor escrow agent. Such resignation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1" w:name="page122"/>
    <w:bookmarkEnd w:id="121"/>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effective upon the appointment and acceptance by a successor Escrow Agent. Similarly, Escrow Agent may be removed at any time by the Depositor giving at least thirty (30) days’ prior written notice to Escrow Agent specifying the date when such removal shall take effect. Upon any such notice of resignation, Depositor shall appoint a successor Escrow Agent hereunder prior to the effective date of such resignation. Such resignation shall be effective upon the appointment of and acceptance by a successor Escrow Agent. If the Depositor fails to appoint a successor Escrow Agent within such time, the Escrow Agent shall have the right to petition a court of competent jurisdiction to appoint a successor Escrow Agent, and all costs and expenses (including without limitation attorneys’ fees) related to such petition shall be paid by Depositor. In both the case of resignation and removal, the retiring Escrow Agent shall promptly transmit all records pertaining to the Escrow Proceeds and shall pay all Escrow Proceeds to the successor Escrow Agent, after making copies of such records as the retiring Escrow Agent deems advisable and after deduction and payment to the retiring Escrow Agent of all fees and expenses (including court costs and attorneys’ fees) payable to, incurred by, or expected to be incurred by the retiring Escrow Agent in connection with the performance of its duties and the exercise of its rights hereunder. After any retiring Escrow Agent’s resignation or removal, as applicable, the provisions of this Escrow Agreement shall inure to its benefit as to any actions taken or omitted to be taken by it while it was Escrow Agent under this Escrow Agreement.</w:t>
      </w:r>
    </w:p>
    <w:p>
      <w:pPr>
        <w:spacing w:after="0" w:line="173" w:lineRule="exact"/>
        <w:rPr>
          <w:sz w:val="20"/>
          <w:szCs w:val="20"/>
          <w:color w:val="auto"/>
        </w:rPr>
      </w:pPr>
    </w:p>
    <w:p>
      <w:pPr>
        <w:ind w:firstLine="464"/>
        <w:spacing w:after="0" w:line="259" w:lineRule="auto"/>
        <w:tabs>
          <w:tab w:leader="none" w:pos="77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Binding Effect; Successors</w:t>
      </w:r>
      <w:r>
        <w:rPr>
          <w:rFonts w:ascii="Arial" w:cs="Arial" w:eastAsia="Arial" w:hAnsi="Arial"/>
          <w:sz w:val="18"/>
          <w:szCs w:val="18"/>
          <w:color w:val="auto"/>
        </w:rPr>
        <w:t>. This Escrow Agreement shall be binding upon the respective parties hereto and their heirs, executors, successors or assigns. If the Escrow Agent consolidates, merges or converts into, or transfers all or substantially all of its corporate trust business (including the escrow contemplated by this Escrow Agreement) to another corporation, the successor or transferee corporation without any further act shall be the successor Escrow Agent.</w:t>
      </w:r>
    </w:p>
    <w:p>
      <w:pPr>
        <w:spacing w:after="0" w:line="186" w:lineRule="exact"/>
        <w:rPr>
          <w:rFonts w:ascii="Arial" w:cs="Arial" w:eastAsia="Arial" w:hAnsi="Arial"/>
          <w:sz w:val="18"/>
          <w:szCs w:val="18"/>
          <w:color w:val="auto"/>
        </w:rPr>
      </w:pPr>
    </w:p>
    <w:p>
      <w:pPr>
        <w:ind w:right="40" w:firstLine="464"/>
        <w:spacing w:after="0" w:line="268" w:lineRule="auto"/>
        <w:tabs>
          <w:tab w:leader="none" w:pos="861"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Liability of Escrow Agent</w:t>
      </w:r>
      <w:r>
        <w:rPr>
          <w:rFonts w:ascii="Arial" w:cs="Arial" w:eastAsia="Arial" w:hAnsi="Arial"/>
          <w:sz w:val="17"/>
          <w:szCs w:val="17"/>
          <w:color w:val="auto"/>
        </w:rPr>
        <w:t>. The Escrow Agent undertakes to perform only such duties as are expressly set forth herein and no duties shall be implied. The Escrow Agent has no fiduciary or discretionary duties of any kind. The Escrow Agent shall have no liability under and no duty to inquire as to the provisions of any agreement other than this Escrow Agreement, including without limitation any other agreement between any or all of the parties hereto or any other persons even though reference thereto may be made herein. The Escrow Agent shall not be liable for any action taken or omitted by it in good faith except to the extent that a court of competent jurisdiction determines that the Escrow Agent’s gross negligence or willful misconduct was the sole cause of any loss to the Depositor. Escrow Agent’s sole responsibility shall be for the safekeeping of the Escrow Proceeds in accordance with Escrow Agent’s customary practices and disbursement thereof in accordance with the terms of this Escrow Agreement. Escrow Agent shall not be charged with knowledge or notice of any fact or circumstance not specifically set forth herein. Escrow Agent may rely upon any notice, instruction, request or other instrument, not only as to its due execution, validity and effectiveness, but also as to the truth and accuracy of any information contained therein, which Escrow Agent shall believe to be genuine and to have been signed or presented by the person or parties purporting to sign the same. In no event shall Escrow Agent be liable for incidental, indirect, special, consequential or punitive damages or penalties (including, but not limited to lost profits), even if the Escrow Agent has been advised of the likelihood of such damages or penalty and regardless of the form of action. Escrow Agent shall not be responsible for delays or failures in performance resulting from acts beyond its control, including without limitation acts of God, strikes, lockouts, riots, acts of war or terror, epidemics, governmental regulations, fire,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22" w:name="page123"/>
    <w:bookmarkEnd w:id="122"/>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 line failures, computer viruses, attacks or intrusions, power failures, earthquakes or other disasters. Escrow Agent shall not be obligated to take any legal action or commence any proceeding in connection with the Escrow Proceeds, any account in which Escrow Proceeds are deposited, this Escrow Agreement, or to appear in, prosecute or defend any such legal action or proceeding or to take any other action that in Escrow Agent’s sole judgement may expose it to potential expense or liability. Escrow Agent may consult legal counsel selected by it in the event of any dispute or question as to the construction of any of the provisions hereof or of any other agreement or of its duties hereunder, or relating to any dispute involving any party hereto, and shall incur no liability and shall be fully indemnified from any liability whatsoever in acting in accordance with the advice of such counsel. Depositor shall promptly pay, upon demand, the reasonable fees and expenses of any such counsel. Depositor agrees to perform or procure the performance of all further acts and things, and execute and deliver such further documents, as may be required by law or as Escrow Agent may reasonably request in connection with its duties hereunder.</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Escrow Agent is authorized, in its sole discretion, to comply with final orders issued or process entered by any court with respect to the Escrow Proceeds, without determination by the Escrow Agent of such court’s jurisdiction in the matter. If any portion of the Escrow Proceeds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thereof, then and in any such event, the Escrow Agent is authorized, in its sole discretion, to rely upon and comply with any such order, writ, judgment or decree which it is advised by legal counsel selected by it is binding upon it without the need for appeal or other action; and if the Escrow Agent complies with any such order, writ, judgment or decree, it shall not be liable to any of the parties hereto or to any other person or entity by reason of such compliance even though such order, writ, judgment or decree may be subsequently reversed, modified, annulled, set aside or vacated.</w:t>
      </w:r>
    </w:p>
    <w:p>
      <w:pPr>
        <w:spacing w:after="0" w:line="179" w:lineRule="exact"/>
        <w:rPr>
          <w:sz w:val="20"/>
          <w:szCs w:val="20"/>
          <w:color w:val="auto"/>
        </w:rPr>
      </w:pPr>
    </w:p>
    <w:p>
      <w:pPr>
        <w:ind w:firstLine="464"/>
        <w:spacing w:after="0" w:line="269" w:lineRule="auto"/>
        <w:tabs>
          <w:tab w:leader="none" w:pos="855"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Indemnification of Escrow Agent</w:t>
      </w:r>
      <w:r>
        <w:rPr>
          <w:rFonts w:ascii="Arial" w:cs="Arial" w:eastAsia="Arial" w:hAnsi="Arial"/>
          <w:sz w:val="17"/>
          <w:szCs w:val="17"/>
          <w:color w:val="auto"/>
        </w:rPr>
        <w:t>. From and at all times after the date of this Escrow Agreement, Depositor shall, to the fullest extent permitted by law, indemnify and hold harmless Escrow Agent and each director, officer, employee, attorney, agent and affiliate of Escrow Agent (collectively,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against any and all actions, claims (whether or not valid), losses, damages, liabilities, penalties, costs and expenses of any kind or nature (including without limitation reasonable attorneys’ fees, costs and expenses) incurred by or asserted against any of the Indemnified Parties, whether direct, indirect or consequential, as a result of or arising from or in any way relating to any claim, demand, suit, action or proceeding (including any inquiry or investigation) by any person, including without limitation Depositor, whether threatened or initiated, asserting a claim for any legal or equitable remedy against any person under any statute or regulation, including, but not limited to, any federal or state securities laws, or under any common law or equitable cause or otherwise, arising from or in connection with the negotiation, preparation, execution, performance or failure of performance in connection with this Escrow Agreement or any transactions contemplated herein, whether or not any such Indemnified Party is a party to any such action, proceeding, suit or the target of any such inquiry or investigation; provided, however, that no Indemnified Party shall have the right to be indemnified hereunder for any liability finally determined by a court of competent jurisdiction, subject to no further appeal, to have resulted solely from the gross negligence or willful misconduct of such Indemnified Party. Depositor further agrees to indemnify each Indemnified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3" w:name="page124"/>
    <w:bookmarkEnd w:id="123"/>
    <w:p>
      <w:pPr>
        <w:ind w:right="2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for all costs, including without limitation reasonable attorney’s fees, incurred by such Indemnified Party in connection with the enforcement of Depositor’s indemnification obligations hereunder. Each Indemnified Party shall, in its sole discretion, have the right to select and employ separate counsel with respect to any action or claim brought or asserted against it, and the reasonable fees of such counsel shall be paid upon demand by the Depositor. The obligations of Depositor under this Section 11 shall survive any termination of this Escrow Agreement and the resignation or removal of Escrow Agent.</w:t>
      </w:r>
    </w:p>
    <w:p>
      <w:pPr>
        <w:spacing w:after="0" w:line="262" w:lineRule="exact"/>
        <w:rPr>
          <w:sz w:val="20"/>
          <w:szCs w:val="20"/>
          <w:color w:val="auto"/>
        </w:rPr>
      </w:pPr>
    </w:p>
    <w:p>
      <w:pPr>
        <w:ind w:left="860" w:hanging="396"/>
        <w:spacing w:after="0"/>
        <w:tabs>
          <w:tab w:leader="none" w:pos="86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Compensation of Escrow Agent</w:t>
      </w:r>
    </w:p>
    <w:p>
      <w:pPr>
        <w:spacing w:after="0" w:line="117" w:lineRule="exact"/>
        <w:rPr>
          <w:sz w:val="20"/>
          <w:szCs w:val="20"/>
          <w:color w:val="auto"/>
        </w:rPr>
      </w:pPr>
    </w:p>
    <w:p>
      <w:pPr>
        <w:jc w:val="both"/>
        <w:ind w:right="140" w:firstLine="464"/>
        <w:spacing w:after="0" w:line="264" w:lineRule="auto"/>
        <w:tabs>
          <w:tab w:leader="none" w:pos="836"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Depositor agrees to compensate Escrow Agent on demand for its services hereunder in accordance with Schedule A attached hereto. The obligations of Depositor under this Section 12 shall survive any termination of this Escrow Agreement and the resignation or removal of Escrow Agent.</w:t>
      </w:r>
    </w:p>
    <w:p>
      <w:pPr>
        <w:spacing w:after="0" w:line="181" w:lineRule="exact"/>
        <w:rPr>
          <w:rFonts w:ascii="Arial" w:cs="Arial" w:eastAsia="Arial" w:hAnsi="Arial"/>
          <w:sz w:val="18"/>
          <w:szCs w:val="18"/>
          <w:color w:val="auto"/>
        </w:rPr>
      </w:pPr>
    </w:p>
    <w:p>
      <w:pPr>
        <w:ind w:right="40" w:firstLine="464"/>
        <w:spacing w:after="0" w:line="291" w:lineRule="auto"/>
        <w:tabs>
          <w:tab w:leader="none" w:pos="846"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Disbursements from Escrow Proceeds to Pay Escrow Agent</w:t>
      </w:r>
      <w:r>
        <w:rPr>
          <w:rFonts w:ascii="Arial" w:cs="Arial" w:eastAsia="Arial" w:hAnsi="Arial"/>
          <w:sz w:val="16"/>
          <w:szCs w:val="16"/>
          <w:color w:val="auto"/>
        </w:rPr>
        <w:t>. Escrow Agent is authorized to, and may disburse to itself from the Escrow Proceeds, from time to time, the amount of any compensation and reimbursement of out-of-pocket expenses due and payable hereunder (including any amount to which Escrow Agent or any Indemnified Party is entitled to seek indemnification hereunder). Escrow Agent shall notify Depositor and Trustee of any disbursement from the Escrow Proceeds to itself or any Indemnified Party in respect of any compensation or reimbursement hereunder (such notification, a “</w:t>
      </w:r>
      <w:r>
        <w:rPr>
          <w:rFonts w:ascii="Arial" w:cs="Arial" w:eastAsia="Arial" w:hAnsi="Arial"/>
          <w:sz w:val="16"/>
          <w:szCs w:val="16"/>
          <w:u w:val="single" w:color="auto"/>
          <w:color w:val="auto"/>
        </w:rPr>
        <w:t>Disbursement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and shall furnish Depositor and Trustee copies of related invoices and other statements. Within three (3) business days of Depositor’s receipt of a Disbursement Notice, Depositor shall deliver and deposit (or cause to be delivered and deposited) with Escrow Agent an additional amount in cash that will result in the amount in the Escrow Account to be sufficient to pay the Special Mandatory Redemption Amount.</w:t>
      </w:r>
    </w:p>
    <w:p>
      <w:pPr>
        <w:spacing w:after="0" w:line="167" w:lineRule="exact"/>
        <w:rPr>
          <w:rFonts w:ascii="Arial" w:cs="Arial" w:eastAsia="Arial" w:hAnsi="Arial"/>
          <w:sz w:val="16"/>
          <w:szCs w:val="16"/>
          <w:color w:val="auto"/>
        </w:rPr>
      </w:pPr>
    </w:p>
    <w:p>
      <w:pPr>
        <w:ind w:right="60" w:firstLine="464"/>
        <w:spacing w:after="0" w:line="253" w:lineRule="auto"/>
        <w:tabs>
          <w:tab w:leader="none" w:pos="836"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Security and Offset</w:t>
      </w:r>
      <w:r>
        <w:rPr>
          <w:rFonts w:ascii="Arial" w:cs="Arial" w:eastAsia="Arial" w:hAnsi="Arial"/>
          <w:sz w:val="18"/>
          <w:szCs w:val="18"/>
          <w:color w:val="auto"/>
        </w:rPr>
        <w:t>. Depositor hereby grants to Escrow Agent and the Indemnified Parties a security interest in, lien upon and right of offset against the Escrow Proceeds with respect to any compensation or reimbursement due any of them hereunder (including any claim for indemnification hereunder). Notwithstanding anything herein to the contrary, the Escrow Agent hereby agrees that (i) any security interest in, lien on, encumbrance, claim or right of offset against the Escrow Proceeds that it now has or subsequently obtains shall be subordinate to the security interest of the Trustee for the benefit of the holders of the Notes in the Collateral and (ii) it shall not exercise any present or future right of offset against the Escrow Proceeds that the Escrow Agent may at any time have against or in the Escrow Proceeds until the Escrow Proceeds has been released in full satisfaction of all claims of the Trustee for the benefit of the holders of the Notes. If for any reason the Escrow Proceeds are insufficient to cover such compensation and reimbursement due to the Escrow Agent and the Indemnified Parties, Depositor shall promptly pay such amounts to Escrow Agent or any Indemnified Party upon receipt of an itemized invoice.</w:t>
      </w:r>
    </w:p>
    <w:p>
      <w:pPr>
        <w:spacing w:after="0" w:line="19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Depositor makes the following representations and warranties to Escrow Agent:</w:t>
      </w:r>
    </w:p>
    <w:p>
      <w:pPr>
        <w:spacing w:after="0" w:line="225" w:lineRule="exact"/>
        <w:rPr>
          <w:sz w:val="20"/>
          <w:szCs w:val="20"/>
          <w:color w:val="auto"/>
        </w:rPr>
      </w:pPr>
    </w:p>
    <w:p>
      <w:pPr>
        <w:ind w:firstLine="464"/>
        <w:spacing w:after="0" w:line="342" w:lineRule="auto"/>
        <w:tabs>
          <w:tab w:leader="none" w:pos="83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it has full power and authority to execute and deliver this Escrow Agreement and to perform its obligations hereunder; and this Escrow Agreement has been duly approved by all necessary action and constitutes its valid and binding agreement enforceable in accordance with its terms;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4" w:name="page125"/>
    <w:bookmarkEnd w:id="124"/>
    <w:p>
      <w:pPr>
        <w:ind w:right="120" w:firstLine="464"/>
        <w:spacing w:after="0" w:line="257" w:lineRule="auto"/>
        <w:tabs>
          <w:tab w:leader="none" w:pos="846"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applicable persons designated on Schedule B attached hereto have been duly appointed to act as authorized representatives hereunder and individually have full power and authority to execute and deliver any Written Direction, to amend, modify or waive any provision of this Escrow Agreement and to take any and all other actions as authorized representatives under this Escrow Agreement, all without further consent or direction from, or notice to, it or any other party, provided that any change in designation of such authorized representatives shall be provided by written notice delivered to each party to this Escrow Agreement.</w:t>
      </w:r>
    </w:p>
    <w:p>
      <w:pPr>
        <w:spacing w:after="0" w:line="188" w:lineRule="exact"/>
        <w:rPr>
          <w:sz w:val="20"/>
          <w:szCs w:val="20"/>
          <w:color w:val="auto"/>
        </w:rPr>
      </w:pPr>
    </w:p>
    <w:p>
      <w:pPr>
        <w:ind w:right="40" w:firstLine="464"/>
        <w:spacing w:after="0" w:line="272" w:lineRule="auto"/>
        <w:tabs>
          <w:tab w:leader="none" w:pos="861"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Identifying Information</w:t>
      </w:r>
      <w:r>
        <w:rPr>
          <w:rFonts w:ascii="Arial" w:cs="Arial" w:eastAsia="Arial" w:hAnsi="Arial"/>
          <w:sz w:val="17"/>
          <w:szCs w:val="17"/>
          <w:color w:val="auto"/>
        </w:rPr>
        <w:t>. 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Escrow Agent requires documentation to verify its formation and existence as a legal entity. The Escrow Agent may ask to see financial statements, licenses, and identification and authorization documents from individuals claiming authority to represent the entity or other relevant documentation. The parties acknowledge that a portion of the identifying information set forth herein is being requested by the Escrow Agent in connection with the USA Patriot Act, Pub.L.107-56 (the “</w:t>
      </w:r>
      <w:r>
        <w:rPr>
          <w:rFonts w:ascii="Arial" w:cs="Arial" w:eastAsia="Arial" w:hAnsi="Arial"/>
          <w:sz w:val="17"/>
          <w:szCs w:val="17"/>
          <w:u w:val="single" w:color="auto"/>
          <w:color w:val="auto"/>
        </w:rPr>
        <w:t>Act</w:t>
      </w:r>
      <w:r>
        <w:rPr>
          <w:rFonts w:ascii="Arial" w:cs="Arial" w:eastAsia="Arial" w:hAnsi="Arial"/>
          <w:sz w:val="17"/>
          <w:szCs w:val="17"/>
          <w:color w:val="auto"/>
        </w:rPr>
        <w:t>”), and each agrees to provide any additional information requested by the Escrow Agent in connection with the Act or any other legislation or regulation to which Escrow Agent is subject, in a timely manner.</w:t>
      </w:r>
    </w:p>
    <w:p>
      <w:pPr>
        <w:spacing w:after="0" w:line="177" w:lineRule="exact"/>
        <w:rPr>
          <w:rFonts w:ascii="Arial" w:cs="Arial" w:eastAsia="Arial" w:hAnsi="Arial"/>
          <w:sz w:val="17"/>
          <w:szCs w:val="17"/>
          <w:color w:val="auto"/>
        </w:rPr>
      </w:pPr>
    </w:p>
    <w:p>
      <w:pPr>
        <w:ind w:right="140" w:firstLine="464"/>
        <w:spacing w:after="0" w:line="259" w:lineRule="auto"/>
        <w:tabs>
          <w:tab w:leader="none" w:pos="861"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Consent to Jurisdiction and Venue</w:t>
      </w:r>
      <w:r>
        <w:rPr>
          <w:rFonts w:ascii="Arial" w:cs="Arial" w:eastAsia="Arial" w:hAnsi="Arial"/>
          <w:sz w:val="18"/>
          <w:szCs w:val="18"/>
          <w:color w:val="auto"/>
        </w:rPr>
        <w:t>. In the event that any party hereto commences a lawsuit or other proceeding relating to or arising from this Escrow Agreement, the parties hereto agree to the personal jurisdiction by and venue in the state and federal courts in the State of New York and waive any objection to such jurisdiction or venue. The parties hereto consent to and agree to submit to the jurisdiction of any of the courts specified herein and agree to accept service of process to vest personal jurisdiction over them in any of these courts.</w:t>
      </w:r>
    </w:p>
    <w:p>
      <w:pPr>
        <w:spacing w:after="0" w:line="186" w:lineRule="exact"/>
        <w:rPr>
          <w:rFonts w:ascii="Arial" w:cs="Arial" w:eastAsia="Arial" w:hAnsi="Arial"/>
          <w:sz w:val="18"/>
          <w:szCs w:val="18"/>
          <w:color w:val="auto"/>
        </w:rPr>
      </w:pPr>
    </w:p>
    <w:p>
      <w:pPr>
        <w:ind w:firstLine="464"/>
        <w:spacing w:after="0" w:line="255" w:lineRule="auto"/>
        <w:tabs>
          <w:tab w:leader="none" w:pos="861"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approvals, consents, requests, and other communications hereunder shall be in writing (provided that each such communication to the Escrow Agent must be manually signed by the sender) and shall be delivered (i) by personal delivery, or (ii) by national overnight courier service, or (iii) by certified or registered mail, return receipt requested, or (iv) via facsimile transmission, with confirmed receipt or (v) via email by way of a PDF attachment thereto. Notice shall be effective upon receipt except for notice via email, which shall be effective only when the recipient, by return email or notice delivered by other method provided for in this Section 16, acknowledges having received that email (with an automatic “read receipt” or similar notice not constituting an acknowledgement of an email receipt for purposes of this Section 16.) Such notices shall be sent to the applicable party or parties at the address specified below:</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If to Depositor at:</w:t>
      </w:r>
    </w:p>
    <w:p>
      <w:pPr>
        <w:sectPr>
          <w:pgSz w:w="11900" w:h="16838" w:orient="portrait"/>
          <w:cols w:equalWidth="0" w:num="1">
            <w:col w:w="11420"/>
          </w:cols>
          <w:pgMar w:left="240" w:top="274" w:right="239" w:bottom="1440" w:gutter="0" w:footer="0" w:header="0"/>
        </w:sectPr>
      </w:pP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Telephone:</w:t>
      </w:r>
    </w:p>
    <w:p>
      <w:pPr>
        <w:spacing w:after="0" w:line="58"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Facsimile:</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Robert H.A. Farrow, Vice President Treasury and Strategic Planning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509-891-3898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509-891-3334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Robert.farrow@itron.com</w:t>
      </w:r>
    </w:p>
    <w:p>
      <w:pPr>
        <w:spacing w:after="0" w:line="143" w:lineRule="exact"/>
        <w:rPr>
          <w:sz w:val="20"/>
          <w:szCs w:val="20"/>
          <w:color w:val="auto"/>
        </w:rPr>
      </w:pPr>
    </w:p>
    <w:p>
      <w:pPr>
        <w:sectPr>
          <w:pgSz w:w="11900" w:h="16838" w:orient="portrait"/>
          <w:cols w:equalWidth="0" w:num="2">
            <w:col w:w="4020" w:space="220"/>
            <w:col w:w="71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74" w:right="239" w:bottom="1440" w:gutter="0" w:footer="0" w:header="0"/>
          <w:type w:val="continuous"/>
        </w:sectPr>
      </w:pPr>
    </w:p>
    <w:bookmarkStart w:id="125" w:name="page126"/>
    <w:bookmarkEnd w:id="125"/>
    <w:p>
      <w:pPr>
        <w:ind w:left="3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6"/>
          <w:szCs w:val="16"/>
          <w:color w:val="auto"/>
        </w:rPr>
        <w:t>ATTN:</w:t>
      </w:r>
      <w:r>
        <w:rPr>
          <w:sz w:val="20"/>
          <w:szCs w:val="20"/>
          <w:color w:val="auto"/>
        </w:rPr>
        <w:tab/>
      </w:r>
      <w:r>
        <w:rPr>
          <w:rFonts w:ascii="Arial" w:cs="Arial" w:eastAsia="Arial" w:hAnsi="Arial"/>
          <w:sz w:val="16"/>
          <w:szCs w:val="16"/>
          <w:color w:val="auto"/>
        </w:rPr>
        <w:t>Shannon M. Votava, Vice President, General Counsel</w:t>
      </w:r>
    </w:p>
    <w:p>
      <w:pPr>
        <w:spacing w:after="0" w:line="32"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2111 North Molter Road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Liberty Lake, WA 99019</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Telephone:</w:t>
        <w:tab/>
        <w:t>509-891-3295</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Facsimile:</w:t>
        <w:tab/>
        <w:t>509-891-3655</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Shannon.votava@itron.com</w:t>
      </w:r>
    </w:p>
    <w:p>
      <w:pPr>
        <w:sectPr>
          <w:pgSz w:w="11900" w:h="16838" w:orient="portrait"/>
          <w:cols w:equalWidth="0" w:num="1">
            <w:col w:w="10219"/>
          </w:cols>
          <w:pgMar w:left="240" w:top="274" w:right="1440"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If to the Escrow Agent at: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as Escrow Agent</w:t>
      </w:r>
    </w:p>
    <w:p>
      <w:pPr>
        <w:spacing w:after="0" w:line="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Global Corporate Trust Services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Scott Kjar</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1420 5</w:t>
      </w:r>
      <w:r>
        <w:rPr>
          <w:rFonts w:ascii="Arial" w:cs="Arial" w:eastAsia="Arial" w:hAnsi="Arial"/>
          <w:sz w:val="15"/>
          <w:szCs w:val="15"/>
          <w:color w:val="auto"/>
        </w:rPr>
        <w:t>th</w:t>
      </w:r>
      <w:r>
        <w:rPr>
          <w:rFonts w:ascii="Arial" w:cs="Arial" w:eastAsia="Arial" w:hAnsi="Arial"/>
          <w:sz w:val="18"/>
          <w:szCs w:val="18"/>
          <w:color w:val="auto"/>
        </w:rPr>
        <w:t xml:space="preserve"> Ave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Telephone:</w:t>
        <w:tab/>
        <w:t>206-344-4686</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Facsimile:</w:t>
        <w:tab/>
        <w:t>206-344-4630</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scott.kjar@usbank.com</w:t>
      </w:r>
    </w:p>
    <w:p>
      <w:pPr>
        <w:spacing w:after="0" w:line="200" w:lineRule="exact"/>
        <w:rPr>
          <w:sz w:val="20"/>
          <w:szCs w:val="20"/>
          <w:color w:val="auto"/>
        </w:rPr>
      </w:pPr>
    </w:p>
    <w:p>
      <w:pPr>
        <w:sectPr>
          <w:pgSz w:w="11900" w:h="16838" w:orient="portrait"/>
          <w:cols w:equalWidth="0" w:num="2">
            <w:col w:w="2500" w:space="720"/>
            <w:col w:w="6999"/>
          </w:cols>
          <w:pgMar w:left="240" w:top="274" w:right="1440" w:bottom="1440" w:gutter="0" w:footer="0" w:header="0"/>
          <w:type w:val="continuous"/>
        </w:sectPr>
      </w:pPr>
    </w:p>
    <w:p>
      <w:pPr>
        <w:spacing w:after="0" w:line="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and to:</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6"/>
          <w:szCs w:val="16"/>
          <w:color w:val="auto"/>
        </w:rPr>
        <w:t>ATTN:</w:t>
      </w:r>
      <w:r>
        <w:rPr>
          <w:sz w:val="20"/>
          <w:szCs w:val="20"/>
          <w:color w:val="auto"/>
        </w:rPr>
        <w:tab/>
      </w:r>
      <w:r>
        <w:rPr>
          <w:rFonts w:ascii="Arial" w:cs="Arial" w:eastAsia="Arial" w:hAnsi="Arial"/>
          <w:sz w:val="16"/>
          <w:szCs w:val="16"/>
          <w:color w:val="auto"/>
        </w:rPr>
        <w:t>Trust Finance Management-EP-MN-WS3T</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Lien Nguyen</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60 Livingston Avenue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Telephone:</w:t>
        <w:tab/>
        <w:t>651-466-6103</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Facsimile:</w:t>
        <w:tab/>
        <w:t>651-312-2599</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lien.nguyen2@usbank.com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Trustee at:</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U.S. Bank National Association, as Trustee</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Global Corporate Trust Services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Christine Ok</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1420 5th Ave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Telephone:</w:t>
        <w:tab/>
        <w:t>206-466-4682</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Facsimile:</w:t>
        <w:tab/>
        <w:t>206-344-4630</w:t>
      </w:r>
    </w:p>
    <w:p>
      <w:pPr>
        <w:spacing w:after="0" w:line="9" w:lineRule="exact"/>
        <w:rPr>
          <w:sz w:val="20"/>
          <w:szCs w:val="20"/>
          <w:color w:val="auto"/>
        </w:rPr>
      </w:pPr>
    </w:p>
    <w:p>
      <w:pPr>
        <w:ind w:left="3220"/>
        <w:spacing w:after="0"/>
        <w:tabs>
          <w:tab w:leader="none" w:pos="4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christine.ok@usbank.com</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274" w:right="1440" w:bottom="1440" w:gutter="0" w:footer="0" w:header="0"/>
          <w:type w:val="continuous"/>
        </w:sectPr>
      </w:pPr>
    </w:p>
    <w:bookmarkStart w:id="126" w:name="page127"/>
    <w:bookmarkEnd w:id="126"/>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to such other address as each party may designate for itself by like notice and unless otherwise provided herein shall be deemed to have been given on the date received.</w:t>
      </w:r>
    </w:p>
    <w:p>
      <w:pPr>
        <w:spacing w:after="0" w:line="170" w:lineRule="exact"/>
        <w:rPr>
          <w:sz w:val="20"/>
          <w:szCs w:val="20"/>
          <w:color w:val="auto"/>
        </w:rPr>
      </w:pPr>
    </w:p>
    <w:p>
      <w:pPr>
        <w:ind w:firstLine="464"/>
        <w:spacing w:after="0" w:line="268" w:lineRule="auto"/>
        <w:tabs>
          <w:tab w:leader="none" w:pos="906"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Optional Security Procedures.</w:t>
      </w:r>
      <w:r>
        <w:rPr>
          <w:rFonts w:ascii="Arial" w:cs="Arial" w:eastAsia="Arial" w:hAnsi="Arial"/>
          <w:sz w:val="17"/>
          <w:szCs w:val="17"/>
          <w:color w:val="auto"/>
        </w:rPr>
        <w:t xml:space="preserve"> In the event funds transfer instructions, address changes or change in contact information are given (other than in writing at the time of execution of this Escrow Agreement), whether in writing, by facsimile or otherwise, the Escrow Agent is authorized but shall be under no duty to seek confirmation of such instructions by telephone call-back to the person or persons designated on Schedule B hereto, and the Escrow Agent may rely upon the confirmation of anyone purporting to be the person or persons so designated. The persons and telephone numbers for call-backs may be changed only in writing actually received and acknowledged by Escrow Agent and shall be effective only after Escrow Agent has a reasonable opportunity to act on such changes. If the Escrow Agent is unable to contact any of the designated representatives identified in Schedule B, the Escrow Agent is hereby authorized but shall be under no duty to seek confirmation of such instructions by telephone call-back to any one or more of Depositor’s executive officers (“</w:t>
      </w:r>
      <w:r>
        <w:rPr>
          <w:rFonts w:ascii="Arial" w:cs="Arial" w:eastAsia="Arial" w:hAnsi="Arial"/>
          <w:sz w:val="17"/>
          <w:szCs w:val="17"/>
          <w:u w:val="single" w:color="auto"/>
          <w:color w:val="auto"/>
        </w:rPr>
        <w:t>Executive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Officers</w:t>
      </w:r>
      <w:r>
        <w:rPr>
          <w:rFonts w:ascii="Arial" w:cs="Arial" w:eastAsia="Arial" w:hAnsi="Arial"/>
          <w:sz w:val="17"/>
          <w:szCs w:val="17"/>
          <w:color w:val="auto"/>
        </w:rPr>
        <w:t>”), as the case may be, which shall include the titles of Chief Executive Officer, President, Chief Financial Officer, any Vice President and Treasurer, as the Escrow Agent may select. Such Executive Officer shall deliver to the Escrow Agent a fully executed incumbency certificate, and the Escrow Agent may rely upon the confirmation of anyone purporting to be any such officer. Depositor agrees that the Escrow Agent may at its option record any telephone calls made pursuant to this Section 17. The Escrow Agent in any funds transfer may rely solely upon any account numbers or similar identifying numbers provided by Depositor to identify (a) the beneficiary, (b) the beneficiary’s bank, or (c) an intermediary bank. The Escrow Agent may apply any of the Escrow Proceeds for any payment order it executes using any such identifying number, even when its use may result in a person other than the beneficiary being paid, or the transfer of funds to a bank other than the beneficiary’s bank or an intermediary bank designated. Depositor acknowledges that these optional security procedures are commercially reasonable.</w:t>
      </w:r>
    </w:p>
    <w:p>
      <w:pPr>
        <w:spacing w:after="0" w:line="183" w:lineRule="exact"/>
        <w:rPr>
          <w:rFonts w:ascii="Arial" w:cs="Arial" w:eastAsia="Arial" w:hAnsi="Arial"/>
          <w:sz w:val="17"/>
          <w:szCs w:val="17"/>
          <w:color w:val="auto"/>
        </w:rPr>
      </w:pPr>
    </w:p>
    <w:p>
      <w:pPr>
        <w:ind w:right="60" w:firstLine="464"/>
        <w:spacing w:after="0" w:line="273" w:lineRule="auto"/>
        <w:tabs>
          <w:tab w:leader="none" w:pos="861"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Amendment, Waiver and Assignment</w:t>
      </w:r>
      <w:r>
        <w:rPr>
          <w:rFonts w:ascii="Arial" w:cs="Arial" w:eastAsia="Arial" w:hAnsi="Arial"/>
          <w:sz w:val="17"/>
          <w:szCs w:val="17"/>
          <w:color w:val="auto"/>
        </w:rPr>
        <w:t>. None of the terms or conditions of this Escrow Agreement may be changed, waived, modified, discharged, terminated or varied in any manner whatsoever unless in writing duly signed by each of the Parties to this Escrow Agreement. No course of conduct shall constitute a waiver of any of the terms and conditions of this Escrow Agreement, unless such waiver is specified in writing, and then only to the extent so specified. A waiver of any of the terms and conditions of this Escrow Agreement on one occasion shall not constitute a waiver of the other terms of this Escrow Agreement, or of such terms and conditions on any other occasion. Except as provided in Section 9 hereof, this Escrow Agreement may not be assigned by any party without the written consent of the other parties.</w:t>
      </w:r>
    </w:p>
    <w:p>
      <w:pPr>
        <w:spacing w:after="0" w:line="178" w:lineRule="exact"/>
        <w:rPr>
          <w:rFonts w:ascii="Arial" w:cs="Arial" w:eastAsia="Arial" w:hAnsi="Arial"/>
          <w:sz w:val="17"/>
          <w:szCs w:val="17"/>
          <w:color w:val="auto"/>
        </w:rPr>
      </w:pPr>
    </w:p>
    <w:p>
      <w:pPr>
        <w:ind w:right="380" w:firstLine="464"/>
        <w:spacing w:after="0" w:line="264" w:lineRule="auto"/>
        <w:tabs>
          <w:tab w:leader="none" w:pos="861"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any provision of this Escrow Agreement is prohibited by or invalid under applicable law, such provision shall be ineffective to the extent of such prohibition or invalidity, without invalidating the remainder of such provision or the remaining provisions of this Escrow Agreement.</w:t>
      </w:r>
    </w:p>
    <w:p>
      <w:pPr>
        <w:spacing w:after="0" w:line="181" w:lineRule="exact"/>
        <w:rPr>
          <w:rFonts w:ascii="Arial" w:cs="Arial" w:eastAsia="Arial" w:hAnsi="Arial"/>
          <w:sz w:val="18"/>
          <w:szCs w:val="18"/>
          <w:color w:val="auto"/>
        </w:rPr>
      </w:pPr>
    </w:p>
    <w:p>
      <w:pPr>
        <w:ind w:left="860" w:hanging="396"/>
        <w:spacing w:after="0"/>
        <w:tabs>
          <w:tab w:leader="none" w:pos="860"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Escrow Agreement shall be construed and interpreted in accordance with the internal laws of the State of New York.</w:t>
      </w:r>
    </w:p>
    <w:p>
      <w:pPr>
        <w:spacing w:after="0" w:line="236" w:lineRule="exact"/>
        <w:rPr>
          <w:rFonts w:ascii="Arial" w:cs="Arial" w:eastAsia="Arial" w:hAnsi="Arial"/>
          <w:sz w:val="17"/>
          <w:szCs w:val="17"/>
          <w:color w:val="auto"/>
        </w:rPr>
      </w:pPr>
    </w:p>
    <w:p>
      <w:pPr>
        <w:ind w:right="440" w:firstLine="464"/>
        <w:spacing w:after="0" w:line="277" w:lineRule="auto"/>
        <w:tabs>
          <w:tab w:leader="none" w:pos="861"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xml:space="preserve"> This Escrow Agreement constitutes the entire agreement between the parties relating to the holding, investment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27" w:name="page128"/>
    <w:bookmarkEnd w:id="12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disbursement of the Escrow Proceeds and sets forth in their entirety the obligations and duties of Escrow Agent with respect to the Escrow Proceeds. Nothing in this Escrow Agreement, express or implied, is intended to or shall confer upon any other person any right, benefit or remedy of any nature whatsoever under or by reason of this Escrow Agreement.</w:t>
      </w:r>
    </w:p>
    <w:p>
      <w:pPr>
        <w:spacing w:after="0" w:line="181" w:lineRule="exact"/>
        <w:rPr>
          <w:sz w:val="20"/>
          <w:szCs w:val="20"/>
          <w:color w:val="auto"/>
        </w:rPr>
      </w:pPr>
    </w:p>
    <w:p>
      <w:pPr>
        <w:jc w:val="both"/>
        <w:ind w:right="40" w:firstLine="464"/>
        <w:spacing w:after="0" w:line="259" w:lineRule="auto"/>
        <w:tabs>
          <w:tab w:leader="none" w:pos="86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 Facsimiles</w:t>
      </w:r>
      <w:r>
        <w:rPr>
          <w:rFonts w:ascii="Arial" w:cs="Arial" w:eastAsia="Arial" w:hAnsi="Arial"/>
          <w:sz w:val="18"/>
          <w:szCs w:val="18"/>
          <w:color w:val="auto"/>
        </w:rPr>
        <w:t>. This Escrow Agreement and any Written Direction may be executed in two or more counterparts, which when so executed shall constitute one and the same agreement or direction. The delivery of copies of this Escrow Agreement and any Written Direction and their respective signature pages by PDF or facsimile transmission shall constitute effective execution and delivery as to the parties and may be used in lieu of originals for all purposes.</w:t>
      </w:r>
    </w:p>
    <w:p>
      <w:pPr>
        <w:spacing w:after="0" w:line="186" w:lineRule="exact"/>
        <w:rPr>
          <w:rFonts w:ascii="Arial" w:cs="Arial" w:eastAsia="Arial" w:hAnsi="Arial"/>
          <w:sz w:val="18"/>
          <w:szCs w:val="18"/>
          <w:color w:val="auto"/>
        </w:rPr>
      </w:pPr>
    </w:p>
    <w:p>
      <w:pPr>
        <w:ind w:right="420" w:firstLine="464"/>
        <w:spacing w:after="0" w:line="264" w:lineRule="auto"/>
        <w:tabs>
          <w:tab w:leader="none" w:pos="86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Escrow Agreement shall terminate upon the distribution of all the Escrow Proceeds from the Escrow Account established hereunder pursuant to any applicable provision of this Escrow Agreement, and Escrow Agent shall thereafter have no further obligation or liability whatsoever with respect to this Escrow Agreement or the Escrow Proceeds.</w:t>
      </w:r>
    </w:p>
    <w:p>
      <w:pPr>
        <w:spacing w:after="0" w:line="181" w:lineRule="exact"/>
        <w:rPr>
          <w:rFonts w:ascii="Arial" w:cs="Arial" w:eastAsia="Arial" w:hAnsi="Arial"/>
          <w:sz w:val="18"/>
          <w:szCs w:val="18"/>
          <w:color w:val="auto"/>
        </w:rPr>
      </w:pPr>
    </w:p>
    <w:p>
      <w:pPr>
        <w:ind w:firstLine="464"/>
        <w:spacing w:after="0" w:line="259" w:lineRule="auto"/>
        <w:tabs>
          <w:tab w:leader="none" w:pos="86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Dealings</w:t>
      </w:r>
      <w:r>
        <w:rPr>
          <w:rFonts w:ascii="Arial" w:cs="Arial" w:eastAsia="Arial" w:hAnsi="Arial"/>
          <w:sz w:val="18"/>
          <w:szCs w:val="18"/>
          <w:color w:val="auto"/>
        </w:rPr>
        <w:t>. The Escrow Agent and any stockholder, director, officer or employee of the Escrow Agent may buy, sell, and deal in any of the securities of the Depositor and become pecuniarily interested in any transaction in which the Depositor may be interested, and contract and lend money to the Depositor and otherwise act as fully and freely as though it were not Escrow Agent under this Agreement. Nothing herein shall preclude the Escrow Agent from acting in any other capacity for the Depositor or for any other entity.</w:t>
      </w:r>
    </w:p>
    <w:p>
      <w:pPr>
        <w:spacing w:after="0" w:line="186" w:lineRule="exact"/>
        <w:rPr>
          <w:rFonts w:ascii="Arial" w:cs="Arial" w:eastAsia="Arial" w:hAnsi="Arial"/>
          <w:sz w:val="18"/>
          <w:szCs w:val="18"/>
          <w:color w:val="auto"/>
        </w:rPr>
      </w:pPr>
    </w:p>
    <w:p>
      <w:pPr>
        <w:ind w:right="20" w:firstLine="464"/>
        <w:spacing w:after="0" w:line="259" w:lineRule="auto"/>
        <w:tabs>
          <w:tab w:leader="none" w:pos="86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Brokerage Confirmation Waiver</w:t>
      </w:r>
      <w:r>
        <w:rPr>
          <w:rFonts w:ascii="Arial" w:cs="Arial" w:eastAsia="Arial" w:hAnsi="Arial"/>
          <w:sz w:val="18"/>
          <w:szCs w:val="18"/>
          <w:color w:val="auto"/>
        </w:rPr>
        <w:t>. Depositor acknowledges that to the extent regulations of the Comptroller of the Currency or other applicable regulatory entity grant either the right to receive brokerage confirmations for certain security transactions as they occur, Depositor specifically waives receipt of such confirmations to the extent permitted by law. The Escrow Agent will furnish the Depositor and Trustee periodic cash transaction statements that include detail for all investment transactions made by the Escrow Agent.</w:t>
      </w:r>
    </w:p>
    <w:p>
      <w:pPr>
        <w:spacing w:after="0" w:line="186" w:lineRule="exact"/>
        <w:rPr>
          <w:rFonts w:ascii="Arial" w:cs="Arial" w:eastAsia="Arial" w:hAnsi="Arial"/>
          <w:sz w:val="18"/>
          <w:szCs w:val="18"/>
          <w:color w:val="auto"/>
        </w:rPr>
      </w:pPr>
    </w:p>
    <w:p>
      <w:pPr>
        <w:ind w:right="80" w:firstLine="464"/>
        <w:spacing w:after="0" w:line="297" w:lineRule="auto"/>
        <w:tabs>
          <w:tab w:leader="none" w:pos="861"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Tax Reporting</w:t>
      </w:r>
      <w:r>
        <w:rPr>
          <w:rFonts w:ascii="Arial" w:cs="Arial" w:eastAsia="Arial" w:hAnsi="Arial"/>
          <w:sz w:val="16"/>
          <w:szCs w:val="16"/>
          <w:color w:val="auto"/>
        </w:rPr>
        <w:t>. Escrow Agent shall have no responsibility for the tax consequences of this Agreement and Depositor shall consult with independent counsel concerning any and all tax matters. Depositor shall provide Escrow Agent a properly completed IRS Form W-9 or Form W-8, as applicable, for each payee, together with any other documentation and information requested by Escrow Agent in connection with Escrow Agent’s reporting obligations under applicable IRS regulations. If such tax documentation is not so provided, Escrow Agent shall withhold taxes as required by the IRS. Depositor shall prepare and file all required tax filings with the IRS and any other applicable taxing authority; provided that the parties further agree that:</w:t>
      </w:r>
    </w:p>
    <w:p>
      <w:pPr>
        <w:spacing w:after="0" w:line="158" w:lineRule="exact"/>
        <w:rPr>
          <w:sz w:val="20"/>
          <w:szCs w:val="20"/>
          <w:color w:val="auto"/>
        </w:rPr>
      </w:pPr>
    </w:p>
    <w:p>
      <w:pPr>
        <w:ind w:right="160" w:firstLine="464"/>
        <w:spacing w:after="0" w:line="259" w:lineRule="auto"/>
        <w:tabs>
          <w:tab w:leader="none" w:pos="836"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Escrow Agent IRS Reporting</w:t>
      </w:r>
      <w:r>
        <w:rPr>
          <w:rFonts w:ascii="Arial" w:cs="Arial" w:eastAsia="Arial" w:hAnsi="Arial"/>
          <w:sz w:val="18"/>
          <w:szCs w:val="18"/>
          <w:color w:val="auto"/>
        </w:rPr>
        <w:t>. Depositor shall accurately provide the Escrow Agent with all information requested by the Escrow Agent in connection with the preparation of all applicable Form 1099 and Form 1042-S documents with respect to all distributions as well as in the performance of Escrow Agent’s reporting obligations under the Foreign Account Tax Compliance Act and Foreign Investment in Real Property Tax Act or other applicable law or regulation.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28" w:name="page129"/>
    <w:bookmarkEnd w:id="128"/>
    <w:p>
      <w:pPr>
        <w:ind w:left="-8" w:right="20" w:firstLine="464"/>
        <w:spacing w:after="0" w:line="273" w:lineRule="auto"/>
        <w:tabs>
          <w:tab w:leader="none" w:pos="838"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 Requests and Indemnification</w:t>
      </w:r>
      <w:r>
        <w:rPr>
          <w:rFonts w:ascii="Arial" w:cs="Arial" w:eastAsia="Arial" w:hAnsi="Arial"/>
          <w:sz w:val="17"/>
          <w:szCs w:val="17"/>
          <w:color w:val="auto"/>
        </w:rPr>
        <w:t>. Depositor jointly and severally agrees to (i) assume all obligations imposed now or hereafter by any applicable tax law or regulation with respect to payments or performance under this Escrow Agreement, (ii) make requests to the Escrow Agent in writing with respect to withholding and other taxes, assessments or other governmental charges, and advise Escrow Agent in writing with respect to any certifications and governmental reporting that may be required under any applicable laws or regulations, and (iii) indemnify and hold the Escrow Agent harmless pursuant to Section 11 hereof from any liability or obligation on account of taxes, assessments, additions for late payment, interest, penalties, expenses and other governmental charges that may be assessed or asserted against Escrow Agent.</w:t>
      </w:r>
    </w:p>
    <w:p>
      <w:pPr>
        <w:spacing w:after="0" w:line="178" w:lineRule="exact"/>
        <w:rPr>
          <w:sz w:val="20"/>
          <w:szCs w:val="20"/>
          <w:color w:val="auto"/>
        </w:rPr>
      </w:pPr>
    </w:p>
    <w:p>
      <w:pPr>
        <w:ind w:left="-8" w:right="40" w:firstLine="464"/>
        <w:spacing w:after="0" w:line="270" w:lineRule="auto"/>
        <w:tabs>
          <w:tab w:leader="none" w:pos="853"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TO THIS AGREEMENT HEREBY WAIVES ANY RIGHT THAT IT MAY HAVE TO A TRIAL BY JURY ON ANY CLAIM, COUNTERCLAIM, SETOFF, DEMAND, ACTION OR CAUSE OF ACTION (1) ARISING OUT OF OR IN ANY WAY RELATED TO THIS AGREEMENT OR (2) IN ANY WAY IN CONNECTION WITH OR PERTAINING OR RELATED TO OR INCIDENTAL TO ANY DEALINGS OF THE PARTIES TO THIS AGREEMENT OR IN CONNECTION WITH THIS AGREEMENT OR THE EXERCISE OF ANY SUCH PARTY’S RIGHTS AND REMEDIES UNDER THIS AGREEMENT OR THE CONDUCT OR THE RELATIONSHIP OF THE PARTIES TO THIS AGREEMENT, IN ALL OF THE FOREGOING CASES WHETHER NOW EXISTING OR HEREAFTER ARISING AND WHETHER IN CONTRACT, TORT OR OTHERWISE. EACH OF THE PARTIES HERETO HEREBY FURTHER ACKNOWLEDGES AND AGREES THAT EACH HAS REVIEWED OR HAD THE OPPORTUNITY TO REVIEW THIS WAIVER WITH ITS RESPECTIVE LEGAL COUNSEL, AND THAT IT KNOWINGLY AND VOLUNTARILY WAIVES ITS JURY TRIAL RIGHTS FOLLOWING CONSULTATION WITH SUCH LEGAL COUNSEL. IN THE EVENT OF LITIGATION, THIS AGREEMENT MAY BE FILED AS A CONSENT BY ALL PARTIES TO A TRIAL BY THE COURT.</w:t>
      </w:r>
    </w:p>
    <w:p>
      <w:pPr>
        <w:spacing w:after="0" w:line="177" w:lineRule="exact"/>
        <w:rPr>
          <w:rFonts w:ascii="Arial" w:cs="Arial" w:eastAsia="Arial" w:hAnsi="Arial"/>
          <w:sz w:val="17"/>
          <w:szCs w:val="17"/>
          <w:color w:val="auto"/>
        </w:rPr>
      </w:pPr>
    </w:p>
    <w:p>
      <w:pPr>
        <w:ind w:left="852" w:hanging="396"/>
        <w:spacing w:after="0"/>
        <w:tabs>
          <w:tab w:leader="none" w:pos="852"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No party will (a) use any other party’s proprietary indicia, trademarks, service marks, trade names, logos, symbols, or brand names, or</w:t>
      </w:r>
    </w:p>
    <w:p>
      <w:pPr>
        <w:spacing w:after="0" w:line="46" w:lineRule="exact"/>
        <w:rPr>
          <w:rFonts w:ascii="Arial" w:cs="Arial" w:eastAsia="Arial" w:hAnsi="Arial"/>
          <w:sz w:val="16"/>
          <w:szCs w:val="16"/>
          <w:color w:val="auto"/>
        </w:rPr>
      </w:pPr>
    </w:p>
    <w:p>
      <w:pPr>
        <w:ind w:left="-8" w:firstLine="8"/>
        <w:spacing w:after="0" w:line="261" w:lineRule="auto"/>
        <w:tabs>
          <w:tab w:leader="none" w:pos="2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otherwise refer to or identify any other party in advertising, publicity releases, or promotional or marketing publications, or correspondence to third parties without, in each case, securing the prior written consent of such other party.</w:t>
      </w:r>
    </w:p>
    <w:p>
      <w:pPr>
        <w:spacing w:after="0" w:line="183" w:lineRule="exact"/>
        <w:rPr>
          <w:rFonts w:ascii="Arial" w:cs="Arial" w:eastAsia="Arial" w:hAnsi="Arial"/>
          <w:sz w:val="18"/>
          <w:szCs w:val="18"/>
          <w:color w:val="auto"/>
        </w:rPr>
      </w:pPr>
    </w:p>
    <w:p>
      <w:pPr>
        <w:ind w:left="-8" w:right="600" w:firstLine="464"/>
        <w:spacing w:after="0" w:line="277" w:lineRule="auto"/>
        <w:tabs>
          <w:tab w:leader="none" w:pos="853"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In the performance of its obligations set forth in this Agreement, the Trustee shall have all of the rights, benefits, protections, indemnities and immunities afforded to it under the Indenture.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74" w:right="2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Escrow Agreement to be executed under seal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ITRON,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Shannon Votava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Shannon Votava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 Escrow Agent</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R. Kjar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Scott R. Kjar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 Trustee</w:t>
      </w:r>
    </w:p>
    <w:p>
      <w:pPr>
        <w:spacing w:after="0" w:line="22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Christine 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Christine Ok</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[Signature Page to Escrow Agreement]</w:t>
      </w:r>
    </w:p>
    <w:p>
      <w:pPr>
        <w:sectPr>
          <w:pgSz w:w="11900" w:h="16838" w:orient="portrait"/>
          <w:cols w:equalWidth="0" w:num="1">
            <w:col w:w="11420"/>
          </w:cols>
          <w:pgMar w:left="240" w:top="270"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 Certificate</w:t>
      </w:r>
    </w:p>
    <w:p>
      <w:pPr>
        <w:spacing w:after="0" w:line="21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certificate is being delivered pursuant to Section 4(a) of the Escrow Agreement, dated as of December 22, 2017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 by and among ITRON, INC., a Washington corporation (“</w:t>
      </w:r>
      <w:r>
        <w:rPr>
          <w:rFonts w:ascii="Arial" w:cs="Arial" w:eastAsia="Arial" w:hAnsi="Arial"/>
          <w:sz w:val="18"/>
          <w:szCs w:val="18"/>
          <w:u w:val="single" w:color="auto"/>
          <w:color w:val="auto"/>
        </w:rPr>
        <w:t>Depositor</w:t>
      </w:r>
      <w:r>
        <w:rPr>
          <w:rFonts w:ascii="Arial" w:cs="Arial" w:eastAsia="Arial" w:hAnsi="Arial"/>
          <w:sz w:val="18"/>
          <w:szCs w:val="18"/>
          <w:color w:val="auto"/>
        </w:rPr>
        <w:t>”), U.S. BANK NATIONAL ASSOCIATION, a national banking association, as escrow agent hereunder (“</w:t>
      </w:r>
      <w:r>
        <w:rPr>
          <w:rFonts w:ascii="Arial" w:cs="Arial" w:eastAsia="Arial" w:hAnsi="Arial"/>
          <w:sz w:val="18"/>
          <w:szCs w:val="18"/>
          <w:u w:val="single" w:color="auto"/>
          <w:color w:val="auto"/>
        </w:rPr>
        <w:t>Escrow Agent</w:t>
      </w:r>
      <w:r>
        <w:rPr>
          <w:rFonts w:ascii="Arial" w:cs="Arial" w:eastAsia="Arial" w:hAnsi="Arial"/>
          <w:sz w:val="18"/>
          <w:szCs w:val="18"/>
          <w:color w:val="auto"/>
        </w:rPr>
        <w:t>”) and U.S. BANK NATIONAL ASSOCIATION, a national banking association, as trustee (“</w:t>
      </w:r>
      <w:r>
        <w:rPr>
          <w:rFonts w:ascii="Arial" w:cs="Arial" w:eastAsia="Arial" w:hAnsi="Arial"/>
          <w:sz w:val="18"/>
          <w:szCs w:val="18"/>
          <w:u w:val="single" w:color="auto"/>
          <w:color w:val="auto"/>
        </w:rPr>
        <w:t>Trustee</w:t>
      </w:r>
      <w:r>
        <w:rPr>
          <w:rFonts w:ascii="Arial" w:cs="Arial" w:eastAsia="Arial" w:hAnsi="Arial"/>
          <w:sz w:val="18"/>
          <w:szCs w:val="18"/>
          <w:color w:val="auto"/>
        </w:rPr>
        <w:t>”) under the Indenture dated as of December 22, 2017 (as amended,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by and among Depositor, Trustee and the guarantors from time to time party thereto, governing Depositor’s $300,000,000 aggregate principal amount of 5.000% Senior Notes due 2026. Capitalized terms used but not defined herein have the respective meanings specified in the Escrow Agreement (including those terms defined by reference to the Indenture referred to therein).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Depositor hereby certifies to the Escrow Agent that the following conditions have been, or substantially concurrently with the release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Escrow Proceeds in connection with the consummation of the SSNI Acquisition, will be, satisfied:</w:t>
      </w:r>
    </w:p>
    <w:p>
      <w:pPr>
        <w:spacing w:after="0" w:line="103" w:lineRule="exact"/>
        <w:rPr>
          <w:sz w:val="20"/>
          <w:szCs w:val="20"/>
          <w:color w:val="auto"/>
        </w:rPr>
      </w:pPr>
    </w:p>
    <w:p>
      <w:pPr>
        <w:ind w:left="460" w:right="120" w:firstLine="443"/>
        <w:spacing w:after="0" w:line="293" w:lineRule="auto"/>
        <w:tabs>
          <w:tab w:leader="none" w:pos="128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 all conditions precedent to the consummation of the SSNI Acquisition will have been satisfied or waived in accordance with the terms of the Acquisition Agreement (other than those conditions that by their terms are to be satisfied substantially concurrently with the consummation of the SSNI Acquisition, but subject to the satisfaction or waiver of such conditions), (B) the SSNI Acquisition will be consummated on substantially the terms described in the offering memorandum dated as of December 8, 2017 (the “</w:t>
      </w:r>
      <w:r>
        <w:rPr>
          <w:rFonts w:ascii="Arial" w:cs="Arial" w:eastAsia="Arial" w:hAnsi="Arial"/>
          <w:sz w:val="16"/>
          <w:szCs w:val="16"/>
          <w:u w:val="single" w:color="auto"/>
          <w:color w:val="auto"/>
        </w:rPr>
        <w:t>Offering Memorandum</w:t>
      </w:r>
      <w:r>
        <w:rPr>
          <w:rFonts w:ascii="Arial" w:cs="Arial" w:eastAsia="Arial" w:hAnsi="Arial"/>
          <w:sz w:val="16"/>
          <w:szCs w:val="16"/>
          <w:color w:val="auto"/>
        </w:rPr>
        <w:t>”) substantially concurrently with the release of the Escrow Proceeds, and (C) the Escrow Proceeds will be used to consummate, or used in connection with the financing of, the SSNI Acquisition and the related transactions as described under the caption “Use of Proceeds” in the Offering Memorandum;</w:t>
      </w:r>
    </w:p>
    <w:p>
      <w:pPr>
        <w:spacing w:after="0" w:line="56" w:lineRule="exact"/>
        <w:rPr>
          <w:rFonts w:ascii="Arial" w:cs="Arial" w:eastAsia="Arial" w:hAnsi="Arial"/>
          <w:sz w:val="16"/>
          <w:szCs w:val="16"/>
          <w:color w:val="auto"/>
        </w:rPr>
      </w:pPr>
    </w:p>
    <w:p>
      <w:pPr>
        <w:ind w:left="1300" w:hanging="397"/>
        <w:spacing w:after="0"/>
        <w:tabs>
          <w:tab w:leader="none" w:pos="13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no Default or Event of Default (as such terms are defined in the Indenture) has occurred and is continuing under the Indenture; and</w:t>
      </w:r>
    </w:p>
    <w:p>
      <w:pPr>
        <w:spacing w:after="0" w:line="128" w:lineRule="exact"/>
        <w:rPr>
          <w:rFonts w:ascii="Arial" w:cs="Arial" w:eastAsia="Arial" w:hAnsi="Arial"/>
          <w:sz w:val="17"/>
          <w:szCs w:val="17"/>
          <w:color w:val="auto"/>
        </w:rPr>
      </w:pPr>
    </w:p>
    <w:p>
      <w:pPr>
        <w:ind w:left="460" w:right="140" w:firstLine="443"/>
        <w:spacing w:after="0" w:line="293" w:lineRule="auto"/>
        <w:tabs>
          <w:tab w:leader="none" w:pos="128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 SSNI and each Subsidiary of SSNI in existence as of the Escrow Release Date that Guarantees borrowings by the Depositor under any Credit Facility shall have become, or substantially concurrently with the distribution of the Escrow Proceeds in accordance with the terms of Section 4(a) of the Escrow Agreement, shall become a party to the Indenture as a Guarantor pursuant to a supplemental indenture effective upon the Escrow Release Date and (B) Perkins Coie LLP, counsel for the Depositor and the Guarantors, shall have delivered to Wells Fargo Securities, LLC, as representative of the Initial Purchasers of the Notes, an opinion, dated as of the Escrow Release Date, in the form set forth in Exhibit H-2 of the Purchase Agreement to be dated as of the date of the Offering Memorandum among the Depositor, certain Guarantors and Wells Fargo</w:t>
      </w:r>
    </w:p>
    <w:p>
      <w:pPr>
        <w:sectPr>
          <w:pgSz w:w="11900" w:h="16838" w:orient="portrait"/>
          <w:cols w:equalWidth="0" w:num="1">
            <w:col w:w="11420"/>
          </w:cols>
          <w:pgMar w:left="240" w:top="270" w:right="239" w:bottom="1440" w:gutter="0" w:footer="0" w:header="0"/>
        </w:sectPr>
      </w:pPr>
    </w:p>
    <w:bookmarkStart w:id="131" w:name="page132"/>
    <w:bookmarkEnd w:id="13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LLC, as representative of the several Initial Purchasers of the Notes, together with signed or reproduced copies of such opinion for each of the other Initial Purchasers of the Notes.</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780"/>
          </w:cols>
          <w:pgMar w:left="700" w:top="274" w:right="41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Depositor, through the undersigned officer, has signed this Officer’s Certificate as of the date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to Escrow Agent</w:t>
      </w:r>
      <w:r>
        <w:rPr>
          <w:rFonts w:ascii="Arial" w:cs="Arial" w:eastAsia="Arial" w:hAnsi="Arial"/>
          <w:sz w:val="18"/>
          <w:szCs w:val="18"/>
          <w:color w:val="auto"/>
        </w:rPr>
        <w:t>]</w:t>
      </w:r>
    </w:p>
    <w:p>
      <w:pPr>
        <w:sectPr>
          <w:pgSz w:w="11900" w:h="16838" w:orient="portrait"/>
          <w:cols w:equalWidth="0" w:num="1">
            <w:col w:w="10380"/>
          </w:cols>
          <w:pgMar w:left="700" w:top="274" w:right="819" w:bottom="1440" w:gutter="0" w:footer="0" w:header="0"/>
        </w:sectPr>
      </w:pPr>
    </w:p>
    <w:bookmarkStart w:id="133" w:name="page134"/>
    <w:bookmarkEnd w:id="133"/>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Eligible Escrow Investments</w:t>
      </w:r>
    </w:p>
    <w:p>
      <w:pPr>
        <w:spacing w:after="0" w:line="33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“Eligible Escrow Investments” means:</w:t>
      </w:r>
    </w:p>
    <w:p>
      <w:pPr>
        <w:spacing w:after="0" w:line="131" w:lineRule="exact"/>
        <w:rPr>
          <w:sz w:val="20"/>
          <w:szCs w:val="20"/>
          <w:color w:val="auto"/>
        </w:rPr>
      </w:pPr>
    </w:p>
    <w:p>
      <w:pPr>
        <w:ind w:left="892" w:hanging="446"/>
        <w:spacing w:after="0"/>
        <w:tabs>
          <w:tab w:leader="none" w:pos="89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130" w:lineRule="exact"/>
        <w:rPr>
          <w:rFonts w:ascii="Arial" w:cs="Arial" w:eastAsia="Arial" w:hAnsi="Arial"/>
          <w:sz w:val="18"/>
          <w:szCs w:val="18"/>
          <w:color w:val="auto"/>
        </w:rPr>
      </w:pPr>
    </w:p>
    <w:p>
      <w:pPr>
        <w:ind w:left="892" w:hanging="446"/>
        <w:spacing w:after="0" w:line="264" w:lineRule="auto"/>
        <w:tabs>
          <w:tab w:leader="none" w:pos="89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one year from the date of acquisition;</w:t>
      </w:r>
    </w:p>
    <w:p>
      <w:pPr>
        <w:spacing w:after="0" w:line="86" w:lineRule="exact"/>
        <w:rPr>
          <w:rFonts w:ascii="Arial" w:cs="Arial" w:eastAsia="Arial" w:hAnsi="Arial"/>
          <w:sz w:val="18"/>
          <w:szCs w:val="18"/>
          <w:color w:val="auto"/>
        </w:rPr>
      </w:pPr>
    </w:p>
    <w:p>
      <w:pPr>
        <w:ind w:left="892" w:right="80" w:hanging="446"/>
        <w:spacing w:after="0" w:line="264" w:lineRule="auto"/>
        <w:tabs>
          <w:tab w:leader="none" w:pos="89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certificates of deposit and eurodollar time deposits with maturities of one year or less from the date of acquisition, bankers’ acceptances with maturities not exceeding one year and overnight bank deposits, in each case, with any lender party to the Credit Agreement or with any domestic commercial bank having capital and surplus in excess of $500.0 million;</w:t>
      </w:r>
    </w:p>
    <w:p>
      <w:pPr>
        <w:spacing w:after="0" w:line="86" w:lineRule="exact"/>
        <w:rPr>
          <w:rFonts w:ascii="Arial" w:cs="Arial" w:eastAsia="Arial" w:hAnsi="Arial"/>
          <w:sz w:val="18"/>
          <w:szCs w:val="18"/>
          <w:color w:val="auto"/>
        </w:rPr>
      </w:pPr>
    </w:p>
    <w:p>
      <w:pPr>
        <w:ind w:left="892" w:right="500" w:hanging="446"/>
        <w:spacing w:after="0" w:line="277" w:lineRule="auto"/>
        <w:tabs>
          <w:tab w:leader="none" w:pos="89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75" w:lineRule="exact"/>
        <w:rPr>
          <w:rFonts w:ascii="Arial" w:cs="Arial" w:eastAsia="Arial" w:hAnsi="Arial"/>
          <w:sz w:val="18"/>
          <w:szCs w:val="18"/>
          <w:color w:val="auto"/>
        </w:rPr>
      </w:pPr>
    </w:p>
    <w:p>
      <w:pPr>
        <w:ind w:left="892" w:right="60" w:hanging="446"/>
        <w:spacing w:after="0" w:line="277" w:lineRule="auto"/>
        <w:tabs>
          <w:tab w:leader="none" w:pos="89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short-term commercial paper having a rating of P-1 (or higher) from Moody’s or A-1 (or higher) from S&amp;P and, in each case, maturing within 12 months after the date of acquisition;</w:t>
      </w:r>
    </w:p>
    <w:p>
      <w:pPr>
        <w:spacing w:after="0" w:line="75" w:lineRule="exact"/>
        <w:rPr>
          <w:rFonts w:ascii="Arial" w:cs="Arial" w:eastAsia="Arial" w:hAnsi="Arial"/>
          <w:sz w:val="18"/>
          <w:szCs w:val="18"/>
          <w:color w:val="auto"/>
        </w:rPr>
      </w:pPr>
    </w:p>
    <w:p>
      <w:pPr>
        <w:ind w:left="892" w:right="420" w:hanging="446"/>
        <w:spacing w:after="0" w:line="277" w:lineRule="auto"/>
        <w:tabs>
          <w:tab w:leader="none" w:pos="89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marketable short-term money market and similar securities having a rating of at least P-1 from Moody’s or A-1 from S&amp;P and, in each case, maturing within 12 months after the date of creation thereof;</w:t>
      </w:r>
    </w:p>
    <w:p>
      <w:pPr>
        <w:spacing w:after="0" w:line="75" w:lineRule="exact"/>
        <w:rPr>
          <w:rFonts w:ascii="Arial" w:cs="Arial" w:eastAsia="Arial" w:hAnsi="Arial"/>
          <w:sz w:val="18"/>
          <w:szCs w:val="18"/>
          <w:color w:val="auto"/>
        </w:rPr>
      </w:pPr>
    </w:p>
    <w:p>
      <w:pPr>
        <w:ind w:left="892" w:right="180" w:hanging="446"/>
        <w:spacing w:after="0" w:line="259" w:lineRule="auto"/>
        <w:tabs>
          <w:tab w:leader="none" w:pos="89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one of the two highest ratings obtainable from either Moody’s or S&amp;P (or, if at any time neither Moody’s nor S&amp;P is rating such obligations, reasonably equivalent ratings of another internationally recognized ratings agency) with maturities of 24 months or less from the date of acquisition;</w:t>
      </w:r>
    </w:p>
    <w:p>
      <w:pPr>
        <w:spacing w:after="0" w:line="92" w:lineRule="exact"/>
        <w:rPr>
          <w:rFonts w:ascii="Arial" w:cs="Arial" w:eastAsia="Arial" w:hAnsi="Arial"/>
          <w:sz w:val="18"/>
          <w:szCs w:val="18"/>
          <w:color w:val="auto"/>
        </w:rPr>
      </w:pPr>
    </w:p>
    <w:p>
      <w:pPr>
        <w:ind w:left="892" w:hanging="446"/>
        <w:spacing w:after="0"/>
        <w:tabs>
          <w:tab w:leader="none" w:pos="89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euro, or any national currency of any participating member of the EMU;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investment funds at least 95% of the assets of which constitute the kinds of investments described in clauses (1) through (8) of this definition.</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Notwithstanding the foregoing, Eligible Escrow Investments shall include amounts denominated in currencies other than those set forth in clauses</w:t>
      </w:r>
    </w:p>
    <w:p>
      <w:pPr>
        <w:spacing w:after="0" w:line="35" w:lineRule="exact"/>
        <w:rPr>
          <w:sz w:val="20"/>
          <w:szCs w:val="20"/>
          <w:color w:val="auto"/>
        </w:rPr>
      </w:pPr>
    </w:p>
    <w:p>
      <w:pPr>
        <w:ind w:left="-8" w:right="120" w:firstLine="8"/>
        <w:spacing w:after="0" w:line="261" w:lineRule="auto"/>
        <w:tabs>
          <w:tab w:leader="none" w:pos="2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and (8)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amounts are converted into any currency listed in clauses (1) and (8) as promptly as practicable and in any event within ten business days following the receipt of such amounts.</w:t>
      </w:r>
    </w:p>
    <w:p>
      <w:pPr>
        <w:sectPr>
          <w:pgSz w:w="11900" w:h="16838" w:orient="portrait"/>
          <w:cols w:equalWidth="0" w:num="1">
            <w:col w:w="11412"/>
          </w:cols>
          <w:pgMar w:left="248" w:top="270" w:right="239"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 for capitalized terms used but not defined in this Exhibit B:</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w:t>
      </w:r>
      <w:r>
        <w:rPr>
          <w:rFonts w:ascii="Arial" w:cs="Arial" w:eastAsia="Arial" w:hAnsi="Arial"/>
          <w:sz w:val="17"/>
          <w:szCs w:val="17"/>
          <w:color w:val="auto"/>
        </w:rPr>
        <w:t>” means that Amended and Restated Credit Agreement, dated as of June 23, 2015 (as amended on April 1, 2016, June 13, 2016 and December 4, 2017, and as further amended, amended and restated, supplemented or otherwise modified from time to time) among the Depositor, the subsidiaries of the Depositor from time to time party thereto as guarantors and subsidiary borrowers, the lenders from time to time party thereto and Wells Fargo, as administrative agent, providing for a term loan facility and revolving credit borrowings, including any related notes, guarantees, collateral documents, instruments and agreements executed in connection therewith, and, in each case, as amended, modified, restated, renewed, increased, supplemented, refunded, replaced (whether upon or after termination or otherwise) or refinanced (including by means of sales of debt securities to institutional investors) in whole or in part from time to time, including increases in principal amount and extensions of term loans of other financings. For the avoidance of doubt, the term “Credit Agreement” includes the further amended and restated credit agreement expected to be entered into on or about the date of the consummation of the SSNI Acquisition, among the Issuer, the subsidiaries of the Issuer from time to time party thereto as guarantors and subsidiary borrowers, the lenders from time to time party thereto and Wells Fargo, as administrative agent.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S&amp;P Global, Inc.</w:t>
      </w:r>
    </w:p>
    <w:p>
      <w:pPr>
        <w:sectPr>
          <w:pgSz w:w="11900" w:h="16838" w:orient="portrait"/>
          <w:cols w:equalWidth="0" w:num="1">
            <w:col w:w="11360"/>
          </w:cols>
          <w:pgMar w:left="240" w:top="274" w:right="2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4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53"/>
        </w:trPr>
        <w:tc>
          <w:tcPr>
            <w:tcW w:w="7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540" w:type="dxa"/>
            <w:vAlign w:val="bottom"/>
            <w:gridSpan w:val="2"/>
          </w:tcPr>
          <w:p>
            <w:pPr>
              <w:jc w:val="center"/>
              <w:ind w:right="4380"/>
              <w:spacing w:after="0"/>
              <w:rPr>
                <w:sz w:val="20"/>
                <w:szCs w:val="20"/>
                <w:color w:val="auto"/>
              </w:rPr>
            </w:pPr>
            <w:r>
              <w:rPr>
                <w:rFonts w:ascii="Arial" w:cs="Arial" w:eastAsia="Arial" w:hAnsi="Arial"/>
                <w:sz w:val="18"/>
                <w:szCs w:val="18"/>
                <w:b w:val="1"/>
                <w:bCs w:val="1"/>
                <w:color w:val="auto"/>
                <w:w w:val="99"/>
              </w:rPr>
              <w:t>SCHEDULE A</w:t>
            </w:r>
          </w:p>
        </w:tc>
        <w:tc>
          <w:tcPr>
            <w:tcW w:w="64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9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Schedule of Fees for Services as</w:t>
            </w:r>
          </w:p>
        </w:tc>
        <w:tc>
          <w:tcPr>
            <w:tcW w:w="64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540" w:type="dxa"/>
            <w:vAlign w:val="bottom"/>
            <w:gridSpan w:val="2"/>
          </w:tcPr>
          <w:p>
            <w:pPr>
              <w:jc w:val="center"/>
              <w:ind w:right="4400"/>
              <w:spacing w:after="0"/>
              <w:rPr>
                <w:sz w:val="20"/>
                <w:szCs w:val="20"/>
                <w:color w:val="auto"/>
              </w:rPr>
            </w:pPr>
            <w:r>
              <w:rPr>
                <w:rFonts w:ascii="Arial" w:cs="Arial" w:eastAsia="Arial" w:hAnsi="Arial"/>
                <w:sz w:val="18"/>
                <w:szCs w:val="18"/>
                <w:b w:val="1"/>
                <w:bCs w:val="1"/>
                <w:color w:val="auto"/>
                <w:w w:val="88"/>
              </w:rPr>
              <w:t>Escrow Agent</w:t>
            </w:r>
          </w:p>
        </w:tc>
        <w:tc>
          <w:tcPr>
            <w:tcW w:w="6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540" w:type="dxa"/>
            <w:vAlign w:val="bottom"/>
            <w:gridSpan w:val="2"/>
          </w:tcPr>
          <w:p>
            <w:pPr>
              <w:jc w:val="center"/>
              <w:ind w:right="4380"/>
              <w:spacing w:after="0"/>
              <w:rPr>
                <w:sz w:val="20"/>
                <w:szCs w:val="20"/>
                <w:color w:val="auto"/>
              </w:rPr>
            </w:pPr>
            <w:r>
              <w:rPr>
                <w:rFonts w:ascii="Arial" w:cs="Arial" w:eastAsia="Arial" w:hAnsi="Arial"/>
                <w:sz w:val="18"/>
                <w:szCs w:val="18"/>
                <w:b w:val="1"/>
                <w:bCs w:val="1"/>
                <w:color w:val="auto"/>
                <w:w w:val="96"/>
              </w:rPr>
              <w:t>For</w:t>
            </w:r>
          </w:p>
        </w:tc>
        <w:tc>
          <w:tcPr>
            <w:tcW w:w="640" w:type="dxa"/>
            <w:vAlign w:val="bottom"/>
          </w:tcPr>
          <w:p>
            <w:pPr>
              <w:spacing w:after="0"/>
              <w:rPr>
                <w:sz w:val="24"/>
                <w:szCs w:val="24"/>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01010</w:t>
            </w:r>
          </w:p>
        </w:tc>
        <w:tc>
          <w:tcPr>
            <w:tcW w:w="9920" w:type="dxa"/>
            <w:vAlign w:val="bottom"/>
            <w:gridSpan w:val="3"/>
          </w:tcPr>
          <w:p>
            <w:pPr>
              <w:ind w:left="540"/>
              <w:spacing w:after="0"/>
              <w:rPr>
                <w:sz w:val="20"/>
                <w:szCs w:val="20"/>
                <w:color w:val="auto"/>
              </w:rPr>
            </w:pPr>
            <w:r>
              <w:rPr>
                <w:rFonts w:ascii="Arial" w:cs="Arial" w:eastAsia="Arial" w:hAnsi="Arial"/>
                <w:sz w:val="18"/>
                <w:szCs w:val="18"/>
                <w:b w:val="1"/>
                <w:bCs w:val="1"/>
                <w:color w:val="auto"/>
              </w:rPr>
              <w:t>Acceptance Fee</w:t>
            </w:r>
          </w:p>
        </w:tc>
        <w:tc>
          <w:tcPr>
            <w:tcW w:w="640" w:type="dxa"/>
            <w:vAlign w:val="bottom"/>
          </w:tcPr>
          <w:p>
            <w:pPr>
              <w:ind w:left="60"/>
              <w:spacing w:after="0"/>
              <w:rPr>
                <w:sz w:val="20"/>
                <w:szCs w:val="20"/>
                <w:color w:val="auto"/>
              </w:rPr>
            </w:pPr>
            <w:r>
              <w:rPr>
                <w:rFonts w:ascii="Arial" w:cs="Arial" w:eastAsia="Arial" w:hAnsi="Arial"/>
                <w:sz w:val="18"/>
                <w:szCs w:val="18"/>
                <w:color w:val="auto"/>
                <w:w w:val="93"/>
              </w:rPr>
              <w:t>Waived</w:t>
            </w:r>
          </w:p>
        </w:tc>
      </w:tr>
      <w:tr>
        <w:trPr>
          <w:trHeight w:val="323"/>
        </w:trPr>
        <w:tc>
          <w:tcPr>
            <w:tcW w:w="760" w:type="dxa"/>
            <w:vAlign w:val="bottom"/>
          </w:tcPr>
          <w:p>
            <w:pPr>
              <w:spacing w:after="0"/>
              <w:rPr>
                <w:sz w:val="24"/>
                <w:szCs w:val="24"/>
                <w:color w:val="auto"/>
              </w:rPr>
            </w:pPr>
          </w:p>
        </w:tc>
        <w:tc>
          <w:tcPr>
            <w:tcW w:w="9920" w:type="dxa"/>
            <w:vAlign w:val="bottom"/>
            <w:gridSpan w:val="3"/>
          </w:tcPr>
          <w:p>
            <w:pPr>
              <w:ind w:left="540"/>
              <w:spacing w:after="0"/>
              <w:rPr>
                <w:sz w:val="20"/>
                <w:szCs w:val="20"/>
                <w:color w:val="auto"/>
              </w:rPr>
            </w:pPr>
            <w:r>
              <w:rPr>
                <w:rFonts w:ascii="Arial" w:cs="Arial" w:eastAsia="Arial" w:hAnsi="Arial"/>
                <w:sz w:val="18"/>
                <w:szCs w:val="18"/>
                <w:color w:val="auto"/>
                <w:w w:val="91"/>
              </w:rPr>
              <w:t>The acceptance fee includes the administrative review of documents, initial set-up of the account, and other reasonably required</w:t>
            </w:r>
          </w:p>
        </w:tc>
        <w:tc>
          <w:tcPr>
            <w:tcW w:w="6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9920" w:type="dxa"/>
            <w:vAlign w:val="bottom"/>
            <w:gridSpan w:val="3"/>
          </w:tcPr>
          <w:p>
            <w:pPr>
              <w:ind w:left="540"/>
              <w:spacing w:after="0"/>
              <w:rPr>
                <w:sz w:val="20"/>
                <w:szCs w:val="20"/>
                <w:color w:val="auto"/>
              </w:rPr>
            </w:pPr>
            <w:r>
              <w:rPr>
                <w:rFonts w:ascii="Arial" w:cs="Arial" w:eastAsia="Arial" w:hAnsi="Arial"/>
                <w:sz w:val="18"/>
                <w:szCs w:val="18"/>
                <w:color w:val="auto"/>
              </w:rPr>
              <w:t>services up to and including the closing. This is a one-time fee, payable at closing.</w:t>
            </w:r>
          </w:p>
        </w:tc>
        <w:tc>
          <w:tcPr>
            <w:tcW w:w="640" w:type="dxa"/>
            <w:vAlign w:val="bottom"/>
          </w:tcPr>
          <w:p>
            <w:pPr>
              <w:spacing w:after="0"/>
              <w:rPr>
                <w:sz w:val="20"/>
                <w:szCs w:val="20"/>
                <w:color w:val="auto"/>
              </w:rPr>
            </w:pPr>
          </w:p>
        </w:tc>
      </w:tr>
      <w:tr>
        <w:trPr>
          <w:trHeight w:val="323"/>
        </w:trPr>
        <w:tc>
          <w:tcPr>
            <w:tcW w:w="760" w:type="dxa"/>
            <w:vAlign w:val="bottom"/>
          </w:tcPr>
          <w:p>
            <w:pPr>
              <w:spacing w:after="0"/>
              <w:rPr>
                <w:sz w:val="24"/>
                <w:szCs w:val="24"/>
                <w:color w:val="auto"/>
              </w:rPr>
            </w:pPr>
          </w:p>
        </w:tc>
        <w:tc>
          <w:tcPr>
            <w:tcW w:w="9920" w:type="dxa"/>
            <w:vAlign w:val="bottom"/>
            <w:gridSpan w:val="3"/>
          </w:tcPr>
          <w:p>
            <w:pPr>
              <w:ind w:left="540"/>
              <w:spacing w:after="0"/>
              <w:rPr>
                <w:sz w:val="20"/>
                <w:szCs w:val="20"/>
                <w:color w:val="auto"/>
              </w:rPr>
            </w:pPr>
            <w:r>
              <w:rPr>
                <w:rFonts w:ascii="Arial" w:cs="Arial" w:eastAsia="Arial" w:hAnsi="Arial"/>
                <w:sz w:val="18"/>
                <w:szCs w:val="18"/>
                <w:color w:val="auto"/>
                <w:w w:val="94"/>
              </w:rPr>
              <w:t>U.S. Bank Corporate Trust Services reserves the right to refer any or all escrow documents for legal review before execution.</w:t>
            </w:r>
          </w:p>
        </w:tc>
        <w:tc>
          <w:tcPr>
            <w:tcW w:w="6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9920" w:type="dxa"/>
            <w:vAlign w:val="bottom"/>
            <w:gridSpan w:val="3"/>
          </w:tcPr>
          <w:p>
            <w:pPr>
              <w:ind w:left="540"/>
              <w:spacing w:after="0"/>
              <w:rPr>
                <w:sz w:val="20"/>
                <w:szCs w:val="20"/>
                <w:color w:val="auto"/>
              </w:rPr>
            </w:pPr>
            <w:r>
              <w:rPr>
                <w:rFonts w:ascii="Arial" w:cs="Arial" w:eastAsia="Arial" w:hAnsi="Arial"/>
                <w:sz w:val="18"/>
                <w:szCs w:val="18"/>
                <w:color w:val="auto"/>
                <w:w w:val="91"/>
              </w:rPr>
              <w:t>Legal fees (billed on an hourly basis) and expenses for this service will be billed to, and paid by, the customer. If appropriate and</w:t>
            </w:r>
          </w:p>
        </w:tc>
        <w:tc>
          <w:tcPr>
            <w:tcW w:w="6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9920" w:type="dxa"/>
            <w:vAlign w:val="bottom"/>
            <w:gridSpan w:val="3"/>
          </w:tcPr>
          <w:p>
            <w:pPr>
              <w:ind w:left="540"/>
              <w:spacing w:after="0"/>
              <w:rPr>
                <w:sz w:val="20"/>
                <w:szCs w:val="20"/>
                <w:color w:val="auto"/>
              </w:rPr>
            </w:pPr>
            <w:r>
              <w:rPr>
                <w:rFonts w:ascii="Arial" w:cs="Arial" w:eastAsia="Arial" w:hAnsi="Arial"/>
                <w:sz w:val="18"/>
                <w:szCs w:val="18"/>
                <w:color w:val="auto"/>
                <w:w w:val="99"/>
              </w:rPr>
              <w:t>upon request by the customer, U.S. Bank Corporate Trust Services will provide advance estimates of these legal fees.</w:t>
            </w:r>
          </w:p>
        </w:tc>
        <w:tc>
          <w:tcPr>
            <w:tcW w:w="640" w:type="dxa"/>
            <w:vAlign w:val="bottom"/>
          </w:tcPr>
          <w:p>
            <w:pPr>
              <w:spacing w:after="0"/>
              <w:rPr>
                <w:sz w:val="20"/>
                <w:szCs w:val="20"/>
                <w:color w:val="auto"/>
              </w:rPr>
            </w:pPr>
          </w:p>
        </w:tc>
      </w:tr>
      <w:tr>
        <w:trPr>
          <w:trHeight w:val="323"/>
        </w:trPr>
        <w:tc>
          <w:tcPr>
            <w:tcW w:w="760" w:type="dxa"/>
            <w:vAlign w:val="bottom"/>
          </w:tcPr>
          <w:p>
            <w:pPr>
              <w:spacing w:after="0"/>
              <w:rPr>
                <w:sz w:val="20"/>
                <w:szCs w:val="20"/>
                <w:color w:val="auto"/>
              </w:rPr>
            </w:pPr>
            <w:r>
              <w:rPr>
                <w:rFonts w:ascii="Arial" w:cs="Arial" w:eastAsia="Arial" w:hAnsi="Arial"/>
                <w:sz w:val="18"/>
                <w:szCs w:val="18"/>
                <w:color w:val="auto"/>
              </w:rPr>
              <w:t>04480 I</w:t>
            </w:r>
          </w:p>
        </w:tc>
        <w:tc>
          <w:tcPr>
            <w:tcW w:w="9920" w:type="dxa"/>
            <w:vAlign w:val="bottom"/>
            <w:gridSpan w:val="3"/>
          </w:tcPr>
          <w:p>
            <w:pPr>
              <w:ind w:left="540"/>
              <w:spacing w:after="0"/>
              <w:rPr>
                <w:sz w:val="20"/>
                <w:szCs w:val="20"/>
                <w:color w:val="auto"/>
              </w:rPr>
            </w:pPr>
            <w:r>
              <w:rPr>
                <w:rFonts w:ascii="Arial" w:cs="Arial" w:eastAsia="Arial" w:hAnsi="Arial"/>
                <w:sz w:val="18"/>
                <w:szCs w:val="18"/>
                <w:b w:val="1"/>
                <w:bCs w:val="1"/>
                <w:color w:val="auto"/>
                <w:w w:val="90"/>
              </w:rPr>
              <w:t xml:space="preserve">Escrow Agent, One Time </w:t>
            </w:r>
            <w:r>
              <w:rPr>
                <w:rFonts w:ascii="Arial" w:cs="Arial" w:eastAsia="Arial" w:hAnsi="Arial"/>
                <w:sz w:val="18"/>
                <w:szCs w:val="18"/>
                <w:color w:val="auto"/>
                <w:w w:val="90"/>
              </w:rPr>
              <w:t>One-time fee for the standard escrow agent services associated with the administration of the account.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$500.00</w:t>
            </w:r>
          </w:p>
        </w:tc>
      </w:tr>
      <w:tr>
        <w:trPr>
          <w:trHeight w:val="230"/>
        </w:trPr>
        <w:tc>
          <w:tcPr>
            <w:tcW w:w="760" w:type="dxa"/>
            <w:vAlign w:val="bottom"/>
          </w:tcPr>
          <w:p>
            <w:pPr>
              <w:spacing w:after="0"/>
              <w:rPr>
                <w:sz w:val="20"/>
                <w:szCs w:val="20"/>
                <w:color w:val="auto"/>
              </w:rPr>
            </w:pPr>
          </w:p>
        </w:tc>
        <w:tc>
          <w:tcPr>
            <w:tcW w:w="9920" w:type="dxa"/>
            <w:vAlign w:val="bottom"/>
            <w:gridSpan w:val="3"/>
          </w:tcPr>
          <w:p>
            <w:pPr>
              <w:ind w:left="540"/>
              <w:spacing w:after="0"/>
              <w:rPr>
                <w:sz w:val="20"/>
                <w:szCs w:val="20"/>
                <w:color w:val="auto"/>
              </w:rPr>
            </w:pPr>
            <w:r>
              <w:rPr>
                <w:rFonts w:ascii="Arial" w:cs="Arial" w:eastAsia="Arial" w:hAnsi="Arial"/>
                <w:sz w:val="18"/>
                <w:szCs w:val="18"/>
                <w:color w:val="auto"/>
              </w:rPr>
              <w:t>Administration fees are payable in advance.</w:t>
            </w:r>
          </w:p>
        </w:tc>
        <w:tc>
          <w:tcPr>
            <w:tcW w:w="640" w:type="dxa"/>
            <w:vAlign w:val="bottom"/>
          </w:tcPr>
          <w:p>
            <w:pPr>
              <w:spacing w:after="0"/>
              <w:rPr>
                <w:sz w:val="20"/>
                <w:szCs w:val="20"/>
                <w:color w:val="auto"/>
              </w:rPr>
            </w:pPr>
          </w:p>
        </w:tc>
      </w:tr>
      <w:tr>
        <w:trPr>
          <w:trHeight w:val="540"/>
        </w:trPr>
        <w:tc>
          <w:tcPr>
            <w:tcW w:w="760" w:type="dxa"/>
            <w:vAlign w:val="bottom"/>
          </w:tcPr>
          <w:p>
            <w:pPr>
              <w:spacing w:after="0"/>
              <w:rPr>
                <w:sz w:val="24"/>
                <w:szCs w:val="24"/>
                <w:color w:val="auto"/>
              </w:rPr>
            </w:pP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Taxes</w:t>
            </w:r>
          </w:p>
        </w:tc>
        <w:tc>
          <w:tcPr>
            <w:tcW w:w="640" w:type="dxa"/>
            <w:vAlign w:val="bottom"/>
          </w:tcPr>
          <w:p>
            <w:pPr>
              <w:spacing w:after="0"/>
              <w:rPr>
                <w:sz w:val="24"/>
                <w:szCs w:val="24"/>
                <w:color w:val="auto"/>
              </w:rPr>
            </w:pPr>
          </w:p>
        </w:tc>
      </w:tr>
      <w:tr>
        <w:trPr>
          <w:trHeight w:val="324"/>
        </w:trPr>
        <w:tc>
          <w:tcPr>
            <w:tcW w:w="760" w:type="dxa"/>
            <w:vAlign w:val="bottom"/>
          </w:tcPr>
          <w:p>
            <w:pPr>
              <w:spacing w:after="0"/>
              <w:rPr>
                <w:sz w:val="24"/>
                <w:szCs w:val="24"/>
                <w:color w:val="auto"/>
              </w:rPr>
            </w:pP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Direct Out of Pocket Expenses</w:t>
            </w:r>
          </w:p>
        </w:tc>
        <w:tc>
          <w:tcPr>
            <w:tcW w:w="640" w:type="dxa"/>
            <w:vAlign w:val="bottom"/>
          </w:tcPr>
          <w:p>
            <w:pPr>
              <w:spacing w:after="0"/>
              <w:rPr>
                <w:sz w:val="24"/>
                <w:szCs w:val="24"/>
                <w:color w:val="auto"/>
              </w:rPr>
            </w:pPr>
          </w:p>
        </w:tc>
      </w:tr>
      <w:tr>
        <w:trPr>
          <w:trHeight w:val="310"/>
        </w:trPr>
        <w:tc>
          <w:tcPr>
            <w:tcW w:w="760" w:type="dxa"/>
            <w:vAlign w:val="bottom"/>
          </w:tcPr>
          <w:p>
            <w:pPr>
              <w:spacing w:after="0"/>
              <w:rPr>
                <w:sz w:val="24"/>
                <w:szCs w:val="24"/>
                <w:color w:val="auto"/>
              </w:rPr>
            </w:pPr>
          </w:p>
        </w:tc>
        <w:tc>
          <w:tcPr>
            <w:tcW w:w="9920" w:type="dxa"/>
            <w:vAlign w:val="bottom"/>
            <w:gridSpan w:val="3"/>
          </w:tcPr>
          <w:p>
            <w:pPr>
              <w:ind w:left="540"/>
              <w:spacing w:after="0"/>
              <w:rPr>
                <w:sz w:val="20"/>
                <w:szCs w:val="20"/>
                <w:color w:val="auto"/>
              </w:rPr>
            </w:pPr>
            <w:r>
              <w:rPr>
                <w:rFonts w:ascii="Arial" w:cs="Arial" w:eastAsia="Arial" w:hAnsi="Arial"/>
                <w:sz w:val="18"/>
                <w:szCs w:val="18"/>
                <w:color w:val="auto"/>
                <w:w w:val="97"/>
              </w:rPr>
              <w:t>Reimbursement of expenses associated with the performance of our duties, including but not limited to publications, legal</w:t>
            </w:r>
          </w:p>
        </w:tc>
        <w:tc>
          <w:tcPr>
            <w:tcW w:w="640" w:type="dxa"/>
            <w:vAlign w:val="bottom"/>
          </w:tcPr>
          <w:p>
            <w:pPr>
              <w:ind w:left="60"/>
              <w:spacing w:after="0"/>
              <w:rPr>
                <w:sz w:val="20"/>
                <w:szCs w:val="20"/>
                <w:color w:val="auto"/>
              </w:rPr>
            </w:pPr>
            <w:r>
              <w:rPr>
                <w:rFonts w:ascii="Arial" w:cs="Arial" w:eastAsia="Arial" w:hAnsi="Arial"/>
                <w:sz w:val="18"/>
                <w:szCs w:val="18"/>
                <w:color w:val="auto"/>
                <w:w w:val="94"/>
              </w:rPr>
              <w:t>At Cost</w:t>
            </w:r>
          </w:p>
        </w:tc>
      </w:tr>
      <w:tr>
        <w:trPr>
          <w:trHeight w:val="230"/>
        </w:trPr>
        <w:tc>
          <w:tcPr>
            <w:tcW w:w="760" w:type="dxa"/>
            <w:vAlign w:val="bottom"/>
          </w:tcPr>
          <w:p>
            <w:pPr>
              <w:spacing w:after="0"/>
              <w:rPr>
                <w:sz w:val="20"/>
                <w:szCs w:val="20"/>
                <w:color w:val="auto"/>
              </w:rPr>
            </w:pPr>
          </w:p>
        </w:tc>
        <w:tc>
          <w:tcPr>
            <w:tcW w:w="9920" w:type="dxa"/>
            <w:vAlign w:val="bottom"/>
            <w:gridSpan w:val="3"/>
          </w:tcPr>
          <w:p>
            <w:pPr>
              <w:ind w:left="540"/>
              <w:spacing w:after="0"/>
              <w:rPr>
                <w:sz w:val="20"/>
                <w:szCs w:val="20"/>
                <w:color w:val="auto"/>
              </w:rPr>
            </w:pPr>
            <w:r>
              <w:rPr>
                <w:rFonts w:ascii="Arial" w:cs="Arial" w:eastAsia="Arial" w:hAnsi="Arial"/>
                <w:sz w:val="18"/>
                <w:szCs w:val="18"/>
                <w:color w:val="auto"/>
              </w:rPr>
              <w:t>counsel after the initial close, travel expenses and filing fees.</w:t>
            </w:r>
          </w:p>
        </w:tc>
        <w:tc>
          <w:tcPr>
            <w:tcW w:w="640" w:type="dxa"/>
            <w:vAlign w:val="bottom"/>
          </w:tcPr>
          <w:p>
            <w:pPr>
              <w:spacing w:after="0"/>
              <w:rPr>
                <w:sz w:val="20"/>
                <w:szCs w:val="20"/>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b w:val="1"/>
          <w:bCs w:val="1"/>
          <w:i w:val="1"/>
          <w:iCs w:val="1"/>
          <w:color w:val="auto"/>
        </w:rPr>
        <w:t>Extraordinary Services</w:t>
      </w:r>
    </w:p>
    <w:p>
      <w:pPr>
        <w:spacing w:after="0" w:line="117" w:lineRule="exact"/>
        <w:rPr>
          <w:sz w:val="20"/>
          <w:szCs w:val="20"/>
          <w:color w:val="auto"/>
        </w:rPr>
      </w:pPr>
    </w:p>
    <w:p>
      <w:pPr>
        <w:ind w:left="1300" w:right="780"/>
        <w:spacing w:after="0" w:line="312" w:lineRule="auto"/>
        <w:rPr>
          <w:sz w:val="20"/>
          <w:szCs w:val="20"/>
          <w:color w:val="auto"/>
        </w:rPr>
      </w:pPr>
      <w:r>
        <w:rPr>
          <w:rFonts w:ascii="Arial" w:cs="Arial" w:eastAsia="Arial" w:hAnsi="Arial"/>
          <w:sz w:val="16"/>
          <w:szCs w:val="16"/>
          <w:color w:val="auto"/>
        </w:rPr>
        <w:t>Extraordinary services are duties or responsibilities of an unusual nature, including termination, but not provided for in the governing documents or otherwise set forth in this schedule. A reasonable charge will be assessed based on the nature of the service and the responsibility involved. At our option, these charges will be billed at a flat fee or at our hourly rate then in effect.</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 approval is subject to review and qualification. Fees are subject to change at our discretion and upon written notice. Fees paid in advance will not be prorated. The fees set forth above and any subsequent modifications thereof are part of your agreement. Finalization of the transaction constitutes agreement to the above fee schedule, including agreement to any subsequent changes upon proper written notice. In the event your transaction is not finalized, any related out-of-pocket expenses will be billed to you directly. Absent your written instructions to sweep or otherwise invest, all sums in your account will remain uninvested and no accrued interest or other compensation will be credited to the account. Payment of fees constitutes acceptance of the terms and conditions set forth.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IMPORTANT INFORMATION ABOUT PROCEDURES FOR OPENING A NEW ACCOUNT: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help the government fight the funding of terrorism and money laundering activities, Federal law requires all financial institutions to obtain, verify and record information that identifies each person who opens an account.</w:t>
      </w:r>
    </w:p>
    <w:p>
      <w:pPr>
        <w:spacing w:after="0" w:line="17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For a non-individual person such as a business entity, a charity, a Trust or other legal entity we will ask for documentation to verify its formation and existence as a legal entity. We may also ask to see financial statements, licenses, identification and authorization documents from individuals claiming authority to represent the entity or other relevant documentation.</w:t>
      </w:r>
    </w:p>
    <w:p>
      <w:pPr>
        <w:sectPr>
          <w:pgSz w:w="11900" w:h="16838" w:orient="portrait"/>
          <w:cols w:equalWidth="0" w:num="1">
            <w:col w:w="11340"/>
          </w:cols>
          <w:pgMar w:left="240" w:top="257" w:right="3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 xml:space="preserve">Each of the following person(s) is a </w:t>
      </w:r>
      <w:r>
        <w:rPr>
          <w:rFonts w:ascii="Arial" w:cs="Arial" w:eastAsia="Arial" w:hAnsi="Arial"/>
          <w:sz w:val="18"/>
          <w:szCs w:val="18"/>
          <w:b w:val="1"/>
          <w:bCs w:val="1"/>
          <w:color w:val="auto"/>
        </w:rPr>
        <w:t>Depositor Representative</w:t>
      </w:r>
      <w:r>
        <w:rPr>
          <w:rFonts w:ascii="Arial" w:cs="Arial" w:eastAsia="Arial" w:hAnsi="Arial"/>
          <w:sz w:val="18"/>
          <w:szCs w:val="18"/>
          <w:color w:val="auto"/>
        </w:rPr>
        <w:t xml:space="preserve"> authorized to execute documents and direct Escrow Agent as to all matters, including fund transfers, address changes and contact information changes, on Depositor’s behalf (only one signature required):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Joan S. Hooper</w:t>
            </w:r>
          </w:p>
        </w:tc>
        <w:tc>
          <w:tcPr>
            <w:tcW w:w="5400" w:type="dxa"/>
            <w:vAlign w:val="bottom"/>
            <w:gridSpan w:val="2"/>
          </w:tcPr>
          <w:p>
            <w:pPr>
              <w:ind w:left="1060"/>
              <w:spacing w:after="0"/>
              <w:rPr>
                <w:sz w:val="20"/>
                <w:szCs w:val="20"/>
                <w:color w:val="auto"/>
              </w:rPr>
            </w:pPr>
            <w:r>
              <w:rPr>
                <w:rFonts w:ascii="Arial" w:cs="Arial" w:eastAsia="Arial" w:hAnsi="Arial"/>
                <w:sz w:val="18"/>
                <w:szCs w:val="18"/>
                <w:color w:val="auto"/>
              </w:rPr>
              <w:t>/s/ Joan S. Hooper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509-891-3363</w:t>
            </w:r>
          </w:p>
        </w:tc>
      </w:tr>
      <w:tr>
        <w:trPr>
          <w:trHeight w:val="224"/>
        </w:trPr>
        <w:tc>
          <w:tcPr>
            <w:tcW w:w="42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Name</w:t>
            </w:r>
          </w:p>
        </w:tc>
        <w:tc>
          <w:tcPr>
            <w:tcW w:w="106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Specimen signature</w:t>
            </w:r>
          </w:p>
        </w:tc>
        <w:tc>
          <w:tcPr>
            <w:tcW w:w="10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Telephone No.</w:t>
            </w:r>
          </w:p>
        </w:tc>
      </w:tr>
      <w:tr>
        <w:trPr>
          <w:trHeight w:val="431"/>
        </w:trPr>
        <w:tc>
          <w:tcPr>
            <w:tcW w:w="4220" w:type="dxa"/>
            <w:vAlign w:val="bottom"/>
          </w:tcPr>
          <w:p>
            <w:pPr>
              <w:spacing w:after="0"/>
              <w:rPr>
                <w:sz w:val="20"/>
                <w:szCs w:val="20"/>
                <w:color w:val="auto"/>
              </w:rPr>
            </w:pPr>
            <w:r>
              <w:rPr>
                <w:rFonts w:ascii="Arial" w:cs="Arial" w:eastAsia="Arial" w:hAnsi="Arial"/>
                <w:sz w:val="18"/>
                <w:szCs w:val="18"/>
                <w:color w:val="auto"/>
              </w:rPr>
              <w:t>Shannon M. Votava</w:t>
            </w:r>
          </w:p>
        </w:tc>
        <w:tc>
          <w:tcPr>
            <w:tcW w:w="5400" w:type="dxa"/>
            <w:vAlign w:val="bottom"/>
            <w:gridSpan w:val="2"/>
          </w:tcPr>
          <w:p>
            <w:pPr>
              <w:ind w:left="1060"/>
              <w:spacing w:after="0"/>
              <w:rPr>
                <w:sz w:val="20"/>
                <w:szCs w:val="20"/>
                <w:color w:val="auto"/>
              </w:rPr>
            </w:pPr>
            <w:r>
              <w:rPr>
                <w:rFonts w:ascii="Arial" w:cs="Arial" w:eastAsia="Arial" w:hAnsi="Arial"/>
                <w:sz w:val="18"/>
                <w:szCs w:val="18"/>
                <w:color w:val="auto"/>
              </w:rPr>
              <w:t>/s/ Shannon M. Votava</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509-891-3295</w:t>
            </w:r>
          </w:p>
        </w:tc>
      </w:tr>
      <w:tr>
        <w:trPr>
          <w:trHeight w:val="224"/>
        </w:trPr>
        <w:tc>
          <w:tcPr>
            <w:tcW w:w="42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Name</w:t>
            </w:r>
          </w:p>
        </w:tc>
        <w:tc>
          <w:tcPr>
            <w:tcW w:w="106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Specimen signature</w:t>
            </w:r>
          </w:p>
        </w:tc>
        <w:tc>
          <w:tcPr>
            <w:tcW w:w="10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Telephone No.</w:t>
            </w:r>
          </w:p>
        </w:tc>
      </w:tr>
      <w:tr>
        <w:trPr>
          <w:trHeight w:val="431"/>
        </w:trPr>
        <w:tc>
          <w:tcPr>
            <w:tcW w:w="4220" w:type="dxa"/>
            <w:vAlign w:val="bottom"/>
          </w:tcPr>
          <w:p>
            <w:pPr>
              <w:spacing w:after="0"/>
              <w:rPr>
                <w:sz w:val="20"/>
                <w:szCs w:val="20"/>
                <w:color w:val="auto"/>
              </w:rPr>
            </w:pPr>
            <w:r>
              <w:rPr>
                <w:rFonts w:ascii="Arial" w:cs="Arial" w:eastAsia="Arial" w:hAnsi="Arial"/>
                <w:sz w:val="18"/>
                <w:szCs w:val="18"/>
                <w:color w:val="auto"/>
              </w:rPr>
              <w:t>Robert H.A. Farrow</w:t>
            </w:r>
          </w:p>
        </w:tc>
        <w:tc>
          <w:tcPr>
            <w:tcW w:w="5400" w:type="dxa"/>
            <w:vAlign w:val="bottom"/>
            <w:gridSpan w:val="2"/>
          </w:tcPr>
          <w:p>
            <w:pPr>
              <w:ind w:left="1060"/>
              <w:spacing w:after="0"/>
              <w:rPr>
                <w:sz w:val="20"/>
                <w:szCs w:val="20"/>
                <w:color w:val="auto"/>
              </w:rPr>
            </w:pPr>
            <w:r>
              <w:rPr>
                <w:rFonts w:ascii="Arial" w:cs="Arial" w:eastAsia="Arial" w:hAnsi="Arial"/>
                <w:sz w:val="18"/>
                <w:szCs w:val="18"/>
                <w:color w:val="auto"/>
              </w:rPr>
              <w:t>/s/ Robert H.A. Farrow</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509-891-3898</w:t>
            </w:r>
          </w:p>
        </w:tc>
      </w:tr>
      <w:tr>
        <w:trPr>
          <w:trHeight w:val="224"/>
        </w:trPr>
        <w:tc>
          <w:tcPr>
            <w:tcW w:w="42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Name</w:t>
            </w:r>
          </w:p>
        </w:tc>
        <w:tc>
          <w:tcPr>
            <w:tcW w:w="106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Specimen signature</w:t>
            </w:r>
          </w:p>
        </w:tc>
        <w:tc>
          <w:tcPr>
            <w:tcW w:w="10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Telephone No.</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if only one person is identified above, please add the following language:)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person not listed above is authorized for call-back confirmations: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860" w:type="dxa"/>
            <w:vAlign w:val="bottom"/>
            <w:tcBorders>
              <w:bottom w:val="single" w:sz="8" w:color="auto"/>
            </w:tcBorders>
          </w:tcPr>
          <w:p>
            <w:pPr>
              <w:spacing w:after="0"/>
              <w:rPr>
                <w:sz w:val="17"/>
                <w:szCs w:val="17"/>
                <w:color w:val="auto"/>
              </w:rPr>
            </w:pPr>
          </w:p>
        </w:tc>
        <w:tc>
          <w:tcPr>
            <w:tcW w:w="5520" w:type="dxa"/>
            <w:vAlign w:val="bottom"/>
          </w:tcPr>
          <w:p>
            <w:pPr>
              <w:jc w:val="right"/>
              <w:ind w:right="5370"/>
              <w:spacing w:after="0"/>
              <w:rPr>
                <w:sz w:val="20"/>
                <w:szCs w:val="20"/>
                <w:color w:val="auto"/>
              </w:rPr>
            </w:pPr>
            <w:r>
              <w:rPr>
                <w:rFonts w:ascii="Arial" w:cs="Arial" w:eastAsia="Arial" w:hAnsi="Arial"/>
                <w:sz w:val="18"/>
                <w:szCs w:val="18"/>
                <w:color w:val="auto"/>
                <w:w w:val="78"/>
              </w:rPr>
              <w:t>]</w:t>
            </w:r>
          </w:p>
        </w:tc>
        <w:tc>
          <w:tcPr>
            <w:tcW w:w="2740" w:type="dxa"/>
            <w:vAlign w:val="bottom"/>
            <w:tcBorders>
              <w:bottom w:val="single" w:sz="8" w:color="auto"/>
            </w:tcBorders>
          </w:tcPr>
          <w:p>
            <w:pPr>
              <w:spacing w:after="0"/>
              <w:rPr>
                <w:sz w:val="17"/>
                <w:szCs w:val="17"/>
                <w:color w:val="auto"/>
              </w:rPr>
            </w:pPr>
          </w:p>
        </w:tc>
      </w:tr>
      <w:tr>
        <w:trPr>
          <w:trHeight w:val="237"/>
        </w:trPr>
        <w:tc>
          <w:tcPr>
            <w:tcW w:w="1920" w:type="dxa"/>
            <w:vAlign w:val="bottom"/>
            <w:gridSpan w:val="2"/>
          </w:tcPr>
          <w:p>
            <w:pPr>
              <w:spacing w:after="0"/>
              <w:rPr>
                <w:sz w:val="20"/>
                <w:szCs w:val="20"/>
                <w:color w:val="auto"/>
              </w:rPr>
            </w:pPr>
            <w:r>
              <w:rPr>
                <w:rFonts w:ascii="Arial" w:cs="Arial" w:eastAsia="Arial" w:hAnsi="Arial"/>
                <w:sz w:val="18"/>
                <w:szCs w:val="18"/>
                <w:color w:val="auto"/>
              </w:rPr>
              <w:t>Name</w:t>
            </w:r>
          </w:p>
        </w:tc>
        <w:tc>
          <w:tcPr>
            <w:tcW w:w="55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Telephone Number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
      <w:numFmt w:val="bullet"/>
      <w:start w:val="1"/>
    </w:lvl>
  </w:abstractNum>
  <w:abstractNum w:abstractNumId="1">
    <w:nsid w:val="7C58FD05"/>
    <w:multiLevelType w:val="hybridMultilevel"/>
    <w:lvl w:ilvl="0">
      <w:lvlJc w:val="left"/>
      <w:lvlText w:val="(%1)"/>
      <w:numFmt w:val="lowerLetter"/>
      <w:start w:val="4"/>
    </w:lvl>
  </w:abstractNum>
  <w:abstractNum w:abstractNumId="2">
    <w:nsid w:val="23D86AAC"/>
    <w:multiLevelType w:val="hybridMultilevel"/>
    <w:lvl w:ilvl="0">
      <w:lvlJc w:val="left"/>
      <w:lvlText w:val="(%1)"/>
      <w:numFmt w:val="decimal"/>
      <w:start w:val="1"/>
    </w:lvl>
  </w:abstractNum>
  <w:abstractNum w:abstractNumId="3">
    <w:nsid w:val="45E6D486"/>
    <w:multiLevelType w:val="hybridMultilevel"/>
    <w:lvl w:ilvl="0">
      <w:lvlJc w:val="left"/>
      <w:lvlText w:val="(%1)"/>
      <w:numFmt w:val="decimal"/>
      <w:start w:val="1"/>
    </w:lvl>
  </w:abstractNum>
  <w:abstractNum w:abstractNumId="4">
    <w:nsid w:val="5C10FE21"/>
    <w:multiLevelType w:val="hybridMultilevel"/>
    <w:lvl w:ilvl="0">
      <w:lvlJc w:val="left"/>
      <w:lvlText w:val="(%1)"/>
      <w:numFmt w:val="decimal"/>
      <w:start w:val="1"/>
    </w:lvl>
  </w:abstractNum>
  <w:abstractNum w:abstractNumId="5">
    <w:nsid w:val="E7FFA2B"/>
    <w:multiLevelType w:val="hybridMultilevel"/>
    <w:lvl w:ilvl="0">
      <w:lvlJc w:val="left"/>
      <w:lvlText w:val="(%1)"/>
      <w:numFmt w:val="decimal"/>
      <w:start w:val="1"/>
    </w:lvl>
  </w:abstractNum>
  <w:abstractNum w:abstractNumId="6">
    <w:nsid w:val="3C5991AA"/>
    <w:multiLevelType w:val="hybridMultilevel"/>
    <w:lvl w:ilvl="0">
      <w:lvlJc w:val="left"/>
      <w:lvlText w:val="(%1)"/>
      <w:numFmt w:val="decimal"/>
      <w:start w:val="1"/>
    </w:lvl>
  </w:abstractNum>
  <w:abstractNum w:abstractNumId="7">
    <w:nsid w:val="4BD8591A"/>
    <w:multiLevelType w:val="hybridMultilevel"/>
    <w:lvl w:ilvl="0">
      <w:lvlJc w:val="left"/>
      <w:lvlText w:val="(%1)"/>
      <w:numFmt w:val="decimal"/>
      <w:start w:val="1"/>
    </w:lvl>
  </w:abstractNum>
  <w:abstractNum w:abstractNumId="8">
    <w:nsid w:val="78DF6A55"/>
    <w:multiLevelType w:val="hybridMultilevel"/>
    <w:lvl w:ilvl="0">
      <w:lvlJc w:val="left"/>
      <w:lvlText w:val="(%1)"/>
      <w:numFmt w:val="decimal"/>
      <w:start w:val="1"/>
    </w:lvl>
  </w:abstractNum>
  <w:abstractNum w:abstractNumId="9">
    <w:nsid w:val="39B7AAA2"/>
    <w:multiLevelType w:val="hybridMultilevel"/>
    <w:lvl w:ilvl="0">
      <w:lvlJc w:val="left"/>
      <w:lvlText w:val="(%1)"/>
      <w:numFmt w:val="decimal"/>
      <w:start w:val="8"/>
    </w:lvl>
  </w:abstractNum>
  <w:abstractNum w:abstractNumId="10">
    <w:nsid w:val="2B0D8DBE"/>
    <w:multiLevelType w:val="hybridMultilevel"/>
    <w:lvl w:ilvl="0">
      <w:lvlJc w:val="left"/>
      <w:lvlText w:val="(%1)"/>
      <w:numFmt w:val="decimal"/>
      <w:start w:val="1"/>
    </w:lvl>
  </w:abstractNum>
  <w:abstractNum w:abstractNumId="11">
    <w:nsid w:val="6C80EC70"/>
    <w:multiLevelType w:val="hybridMultilevel"/>
    <w:lvl w:ilvl="0">
      <w:lvlJc w:val="left"/>
      <w:lvlText w:val="(%1)"/>
      <w:numFmt w:val="decimal"/>
      <w:start w:val="1"/>
    </w:lvl>
  </w:abstractNum>
  <w:abstractNum w:abstractNumId="12">
    <w:nsid w:val="379E21B5"/>
    <w:multiLevelType w:val="hybridMultilevel"/>
    <w:lvl w:ilvl="0">
      <w:lvlJc w:val="left"/>
      <w:lvlText w:val="(%1)"/>
      <w:numFmt w:val="decimal"/>
      <w:start w:val="1"/>
    </w:lvl>
  </w:abstractNum>
  <w:abstractNum w:abstractNumId="13">
    <w:nsid w:val="69E373"/>
    <w:multiLevelType w:val="hybridMultilevel"/>
    <w:lvl w:ilvl="0">
      <w:lvlJc w:val="left"/>
      <w:lvlText w:val="(%1)"/>
      <w:numFmt w:val="decimal"/>
      <w:start w:val="2"/>
    </w:lvl>
  </w:abstractNum>
  <w:abstractNum w:abstractNumId="14">
    <w:nsid w:val="2C27173B"/>
    <w:multiLevelType w:val="hybridMultilevel"/>
    <w:lvl w:ilvl="0">
      <w:lvlJc w:val="left"/>
      <w:lvlText w:val="(%1)"/>
      <w:numFmt w:val="decimal"/>
      <w:start w:val="1"/>
    </w:lvl>
  </w:abstractNum>
  <w:abstractNum w:abstractNumId="15">
    <w:nsid w:val="4C9B0904"/>
    <w:multiLevelType w:val="hybridMultilevel"/>
    <w:lvl w:ilvl="0">
      <w:lvlJc w:val="left"/>
      <w:lvlText w:val="(%1)"/>
      <w:numFmt w:val="decimal"/>
      <w:start w:val="1"/>
    </w:lvl>
  </w:abstractNum>
  <w:abstractNum w:abstractNumId="16">
    <w:nsid w:val="6AA7B75C"/>
    <w:multiLevelType w:val="hybridMultilevel"/>
    <w:lvl w:ilvl="0">
      <w:lvlJc w:val="left"/>
      <w:lvlText w:val="(%1)"/>
      <w:numFmt w:val="decimal"/>
      <w:start w:val="3"/>
    </w:lvl>
  </w:abstractNum>
  <w:abstractNum w:abstractNumId="17">
    <w:nsid w:val="1DF029D3"/>
    <w:multiLevelType w:val="hybridMultilevel"/>
    <w:lvl w:ilvl="0">
      <w:lvlJc w:val="left"/>
      <w:lvlText w:val="(%1)"/>
      <w:numFmt w:val="decimal"/>
      <w:start w:val="1"/>
    </w:lvl>
  </w:abstractNum>
  <w:abstractNum w:abstractNumId="18">
    <w:nsid w:val="5675FF36"/>
    <w:multiLevelType w:val="hybridMultilevel"/>
    <w:lvl w:ilvl="0">
      <w:lvlJc w:val="left"/>
      <w:lvlText w:val="(%1)"/>
      <w:numFmt w:val="decimal"/>
      <w:start w:val="1"/>
    </w:lvl>
  </w:abstractNum>
  <w:abstractNum w:abstractNumId="19">
    <w:nsid w:val="3DD15094"/>
    <w:multiLevelType w:val="hybridMultilevel"/>
    <w:lvl w:ilvl="0">
      <w:lvlJc w:val="left"/>
      <w:lvlText w:val="(%1)"/>
      <w:numFmt w:val="decimal"/>
      <w:start w:val="1"/>
    </w:lvl>
  </w:abstractNum>
  <w:abstractNum w:abstractNumId="20">
    <w:nsid w:val="3DB012B3"/>
    <w:multiLevelType w:val="hybridMultilevel"/>
    <w:lvl w:ilvl="0">
      <w:lvlJc w:val="left"/>
      <w:lvlText w:val="(%1)"/>
      <w:numFmt w:val="decimal"/>
      <w:start w:val="1"/>
    </w:lvl>
  </w:abstractNum>
  <w:abstractNum w:abstractNumId="21">
    <w:nsid w:val="2708C9AF"/>
    <w:multiLevelType w:val="hybridMultilevel"/>
    <w:lvl w:ilvl="0">
      <w:lvlJc w:val="left"/>
      <w:lvlText w:val="(%1)"/>
      <w:numFmt w:val="decimal"/>
      <w:start w:val="1"/>
    </w:lvl>
  </w:abstractNum>
  <w:abstractNum w:abstractNumId="22">
    <w:nsid w:val="5B25ACE2"/>
    <w:multiLevelType w:val="hybridMultilevel"/>
    <w:lvl w:ilvl="0">
      <w:lvlJc w:val="left"/>
      <w:lvlText w:val="(%1)"/>
      <w:numFmt w:val="decimal"/>
      <w:start w:val="4"/>
    </w:lvl>
    <w:lvl w:ilvl="1">
      <w:lvlJc w:val="left"/>
      <w:lvlText w:val="(%2)"/>
      <w:numFmt w:val="lowerLetter"/>
      <w:start w:val="1"/>
    </w:lvl>
  </w:abstractNum>
  <w:abstractNum w:abstractNumId="23">
    <w:nsid w:val="175DFCF0"/>
    <w:multiLevelType w:val="hybridMultilevel"/>
    <w:lvl w:ilvl="0">
      <w:lvlJc w:val="left"/>
      <w:lvlText w:val="%1"/>
      <w:numFmt w:val="lowerLetter"/>
      <w:start w:val="1"/>
    </w:lvl>
    <w:lvl w:ilvl="1">
      <w:lvlJc w:val="left"/>
      <w:lvlText w:val="(%2)"/>
      <w:numFmt w:val="decimal"/>
      <w:start w:val="1"/>
    </w:lvl>
  </w:abstractNum>
  <w:abstractNum w:abstractNumId="24">
    <w:nsid w:val="4F97E3E4"/>
    <w:multiLevelType w:val="hybridMultilevel"/>
    <w:lvl w:ilvl="0">
      <w:lvlJc w:val="left"/>
      <w:lvlText w:val="(%1)"/>
      <w:numFmt w:val="lowerLetter"/>
      <w:start w:val="2"/>
    </w:lvl>
    <w:lvl w:ilvl="1">
      <w:lvlJc w:val="left"/>
      <w:lvlText w:val="(%2)"/>
      <w:numFmt w:val="decimal"/>
      <w:start w:val="2"/>
    </w:lvl>
  </w:abstractNum>
  <w:abstractNum w:abstractNumId="25">
    <w:nsid w:val="53B0A9E"/>
    <w:multiLevelType w:val="hybridMultilevel"/>
    <w:lvl w:ilvl="0">
      <w:lvlJc w:val="left"/>
      <w:lvlText w:val="(%1)"/>
      <w:numFmt w:val="decimal"/>
      <w:start w:val="1"/>
    </w:lvl>
  </w:abstractNum>
  <w:abstractNum w:abstractNumId="26">
    <w:nsid w:val="34FD6B4F"/>
    <w:multiLevelType w:val="hybridMultilevel"/>
    <w:lvl w:ilvl="0">
      <w:lvlJc w:val="left"/>
      <w:lvlText w:val="(%1)"/>
      <w:numFmt w:val="decimal"/>
      <w:start w:val="1"/>
    </w:lvl>
    <w:lvl w:ilvl="1">
      <w:lvlJc w:val="left"/>
      <w:lvlText w:val="(%2)"/>
      <w:numFmt w:val="lowerLetter"/>
      <w:start w:val="1"/>
    </w:lvl>
  </w:abstractNum>
  <w:abstractNum w:abstractNumId="27">
    <w:nsid w:val="5915FF32"/>
    <w:multiLevelType w:val="hybridMultilevel"/>
    <w:lvl w:ilvl="0">
      <w:lvlJc w:val="left"/>
      <w:lvlText w:val="%1"/>
      <w:numFmt w:val="decimal"/>
      <w:start w:val="1"/>
    </w:lvl>
    <w:lvl w:ilvl="1">
      <w:lvlJc w:val="left"/>
      <w:lvlText w:val="(%2)"/>
      <w:numFmt w:val="lowerLetter"/>
      <w:start w:val="2"/>
    </w:lvl>
  </w:abstractNum>
  <w:abstractNum w:abstractNumId="28">
    <w:nsid w:val="56438D15"/>
    <w:multiLevelType w:val="hybridMultilevel"/>
    <w:lvl w:ilvl="0">
      <w:lvlJc w:val="left"/>
      <w:lvlText w:val="(%1)"/>
      <w:numFmt w:val="decimal"/>
      <w:start w:val="7"/>
    </w:lvl>
    <w:lvl w:ilvl="1">
      <w:lvlJc w:val="left"/>
      <w:lvlText w:val="%2"/>
      <w:numFmt w:val="lowerLetter"/>
      <w:start w:val="1"/>
    </w:lvl>
  </w:abstractNum>
  <w:abstractNum w:abstractNumId="29">
    <w:nsid w:val="519E3149"/>
    <w:multiLevelType w:val="hybridMultilevel"/>
    <w:lvl w:ilvl="0">
      <w:lvlJc w:val="left"/>
      <w:lvlText w:val="(%1)"/>
      <w:numFmt w:val="decimal"/>
      <w:start w:val="1"/>
    </w:lvl>
  </w:abstractNum>
  <w:abstractNum w:abstractNumId="30">
    <w:nsid w:val="2C6E4AFD"/>
    <w:multiLevelType w:val="hybridMultilevel"/>
    <w:lvl w:ilvl="0">
      <w:lvlJc w:val="left"/>
      <w:lvlText w:val="(%1)"/>
      <w:numFmt w:val="decimal"/>
      <w:start w:val="5"/>
    </w:lvl>
    <w:lvl w:ilvl="1">
      <w:lvlJc w:val="left"/>
      <w:lvlText w:val="(%2)"/>
      <w:numFmt w:val="lowerLetter"/>
      <w:start w:val="1"/>
    </w:lvl>
  </w:abstractNum>
  <w:abstractNum w:abstractNumId="31">
    <w:nsid w:val="17A1B582"/>
    <w:multiLevelType w:val="hybridMultilevel"/>
    <w:lvl w:ilvl="0">
      <w:lvlJc w:val="left"/>
      <w:lvlText w:val="(%1)"/>
      <w:numFmt w:val="decimal"/>
      <w:start w:val="16"/>
    </w:lvl>
  </w:abstractNum>
  <w:abstractNum w:abstractNumId="32">
    <w:nsid w:val="4DF72E4E"/>
    <w:multiLevelType w:val="hybridMultilevel"/>
    <w:lvl w:ilvl="0">
      <w:lvlJc w:val="left"/>
      <w:lvlText w:val="(%1)"/>
      <w:numFmt w:val="decimal"/>
      <w:start w:val="1"/>
    </w:lvl>
  </w:abstractNum>
  <w:abstractNum w:abstractNumId="33">
    <w:nsid w:val="5046B5A9"/>
    <w:multiLevelType w:val="hybridMultilevel"/>
    <w:lvl w:ilvl="0">
      <w:lvlJc w:val="left"/>
      <w:lvlText w:val="(%1)"/>
      <w:numFmt w:val="decimal"/>
      <w:start w:val="1"/>
    </w:lvl>
  </w:abstractNum>
  <w:abstractNum w:abstractNumId="34">
    <w:nsid w:val="5D888A08"/>
    <w:multiLevelType w:val="hybridMultilevel"/>
    <w:lvl w:ilvl="0">
      <w:lvlJc w:val="left"/>
      <w:lvlText w:val="(%1)"/>
      <w:numFmt w:val="decimal"/>
      <w:start w:val="1"/>
    </w:lvl>
  </w:abstractNum>
  <w:abstractNum w:abstractNumId="35">
    <w:nsid w:val="2A082C70"/>
    <w:multiLevelType w:val="hybridMultilevel"/>
    <w:lvl w:ilvl="0">
      <w:lvlJc w:val="left"/>
      <w:lvlText w:val="(%1)"/>
      <w:numFmt w:val="decimal"/>
      <w:start w:val="1"/>
    </w:lvl>
  </w:abstractNum>
  <w:abstractNum w:abstractNumId="36">
    <w:nsid w:val="5EC6AFD4"/>
    <w:multiLevelType w:val="hybridMultilevel"/>
    <w:lvl w:ilvl="0">
      <w:lvlJc w:val="left"/>
      <w:lvlText w:val="(%1)"/>
      <w:numFmt w:val="upperLetter"/>
      <w:start w:val="1"/>
    </w:lvl>
  </w:abstractNum>
  <w:abstractNum w:abstractNumId="37">
    <w:nsid w:val="19E21BB2"/>
    <w:multiLevelType w:val="hybridMultilevel"/>
    <w:lvl w:ilvl="0">
      <w:lvlJc w:val="left"/>
      <w:lvlText w:val="(%1)"/>
      <w:numFmt w:val="upperLetter"/>
      <w:start w:val="8"/>
    </w:lvl>
  </w:abstractNum>
  <w:abstractNum w:abstractNumId="38">
    <w:nsid w:val="75E0858A"/>
    <w:multiLevelType w:val="hybridMultilevel"/>
    <w:lvl w:ilvl="0">
      <w:lvlJc w:val="left"/>
      <w:lvlText w:val="(%1)"/>
      <w:numFmt w:val="lowerLetter"/>
      <w:start w:val="1"/>
    </w:lvl>
  </w:abstractNum>
  <w:abstractNum w:abstractNumId="39">
    <w:nsid w:val="57A61A29"/>
    <w:multiLevelType w:val="hybridMultilevel"/>
    <w:lvl w:ilvl="0">
      <w:lvlJc w:val="left"/>
      <w:lvlText w:val="(%1)"/>
      <w:numFmt w:val="lowerLetter"/>
      <w:start w:val="2"/>
    </w:lvl>
  </w:abstractNum>
  <w:abstractNum w:abstractNumId="40">
    <w:nsid w:val="5399C654"/>
    <w:multiLevelType w:val="hybridMultilevel"/>
    <w:lvl w:ilvl="0">
      <w:lvlJc w:val="left"/>
      <w:lvlText w:val="%1"/>
      <w:numFmt w:val="decimal"/>
      <w:start w:val="1"/>
    </w:lvl>
    <w:lvl w:ilvl="1">
      <w:lvlJc w:val="left"/>
      <w:lvlText w:val="(%2)"/>
      <w:numFmt w:val="lowerLetter"/>
      <w:start w:val="1"/>
    </w:lvl>
  </w:abstractNum>
  <w:abstractNum w:abstractNumId="41">
    <w:nsid w:val="20EE1348"/>
    <w:multiLevelType w:val="hybridMultilevel"/>
    <w:lvl w:ilvl="0">
      <w:lvlJc w:val="left"/>
      <w:lvlText w:val="(%1)"/>
      <w:numFmt w:val="decimal"/>
      <w:start w:val="1"/>
    </w:lvl>
    <w:lvl w:ilvl="1">
      <w:lvlJc w:val="left"/>
      <w:lvlText w:val="%2"/>
      <w:numFmt w:val="lowerLetter"/>
      <w:start w:val="1"/>
    </w:lvl>
  </w:abstractNum>
  <w:abstractNum w:abstractNumId="42">
    <w:nsid w:val="4427069A"/>
    <w:multiLevelType w:val="hybridMultilevel"/>
    <w:lvl w:ilvl="0">
      <w:lvlJc w:val="left"/>
      <w:lvlText w:val="%1"/>
      <w:numFmt w:val="decimal"/>
      <w:start w:val="1"/>
    </w:lvl>
    <w:lvl w:ilvl="1">
      <w:lvlJc w:val="left"/>
      <w:lvlText w:val="(%2)"/>
      <w:numFmt w:val="lowerLetter"/>
      <w:start w:val="2"/>
    </w:lvl>
  </w:abstractNum>
  <w:abstractNum w:abstractNumId="43">
    <w:nsid w:val="B37E80A"/>
    <w:multiLevelType w:val="hybridMultilevel"/>
    <w:lvl w:ilvl="0">
      <w:lvlJc w:val="left"/>
      <w:lvlText w:val="(%1)"/>
      <w:numFmt w:val="decimal"/>
      <w:start w:val="1"/>
    </w:lvl>
    <w:lvl w:ilvl="1">
      <w:lvlJc w:val="left"/>
      <w:lvlText w:val="%2"/>
      <w:numFmt w:val="lowerLetter"/>
      <w:start w:val="1"/>
    </w:lvl>
  </w:abstractNum>
  <w:abstractNum w:abstractNumId="44">
    <w:nsid w:val="2157F6BC"/>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45">
    <w:nsid w:val="704E1DD5"/>
    <w:multiLevelType w:val="hybridMultilevel"/>
    <w:lvl w:ilvl="0">
      <w:lvlJc w:val="left"/>
      <w:lvlText w:val="(%1)"/>
      <w:numFmt w:val="decimal"/>
      <w:start w:val="3"/>
    </w:lvl>
    <w:lvl w:ilvl="1">
      <w:lvlJc w:val="left"/>
      <w:lvlText w:val="(%2)"/>
      <w:numFmt w:val="upperLetter"/>
      <w:start w:val="1"/>
    </w:lvl>
  </w:abstractNum>
  <w:abstractNum w:abstractNumId="46">
    <w:nsid w:val="57D2F10E"/>
    <w:multiLevelType w:val="hybridMultilevel"/>
    <w:lvl w:ilvl="0">
      <w:lvlJc w:val="left"/>
      <w:lvlText w:val="(%1)"/>
      <w:numFmt w:val="decimal"/>
      <w:start w:val="4"/>
    </w:lvl>
    <w:lvl w:ilvl="1">
      <w:lvlJc w:val="left"/>
      <w:lvlText w:val="(%2)"/>
      <w:numFmt w:val="upperLetter"/>
      <w:start w:val="1"/>
    </w:lvl>
  </w:abstractNum>
  <w:abstractNum w:abstractNumId="47">
    <w:nsid w:val="BFFAE18"/>
    <w:multiLevelType w:val="hybridMultilevel"/>
    <w:lvl w:ilvl="0">
      <w:lvlJc w:val="left"/>
      <w:lvlText w:val="(%1)"/>
      <w:numFmt w:val="upperLetter"/>
      <w:start w:val="2"/>
    </w:lvl>
  </w:abstractNum>
  <w:abstractNum w:abstractNumId="48">
    <w:nsid w:val="E3E47A8"/>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49">
    <w:nsid w:val="2E48F04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50">
    <w:nsid w:val="49D0FEAC"/>
    <w:multiLevelType w:val="hybridMultilevel"/>
    <w:lvl w:ilvl="0">
      <w:lvlJc w:val="left"/>
      <w:lvlText w:val="(%1)"/>
      <w:numFmt w:val="decimal"/>
      <w:start w:val="2"/>
    </w:lvl>
    <w:lvl w:ilvl="1">
      <w:lvlJc w:val="left"/>
      <w:lvlText w:val="(%2)"/>
      <w:numFmt w:val="upperLetter"/>
      <w:start w:val="1"/>
    </w:lvl>
  </w:abstractNum>
  <w:abstractNum w:abstractNumId="51">
    <w:nsid w:val="4BEE5A5B"/>
    <w:multiLevelType w:val="hybridMultilevel"/>
    <w:lvl w:ilvl="0">
      <w:lvlJc w:val="left"/>
      <w:lvlText w:val="(%1)"/>
      <w:numFmt w:val="decimal"/>
      <w:start w:val="3"/>
    </w:lvl>
    <w:lvl w:ilvl="1">
      <w:lvlJc w:val="left"/>
      <w:lvlText w:val="(%2)"/>
      <w:numFmt w:val="lowerLetter"/>
      <w:start w:val="4"/>
    </w:lvl>
  </w:abstractNum>
  <w:abstractNum w:abstractNumId="52">
    <w:nsid w:val="5551B9F3"/>
    <w:multiLevelType w:val="hybridMultilevel"/>
    <w:lvl w:ilvl="0">
      <w:lvlJc w:val="left"/>
      <w:lvlText w:val="(%1)"/>
      <w:numFmt w:val="decimal"/>
      <w:start w:val="1"/>
    </w:lvl>
    <w:lvl w:ilvl="1">
      <w:lvlJc w:val="left"/>
      <w:lvlText w:val="(%2)"/>
      <w:numFmt w:val="upperLetter"/>
      <w:start w:val="1"/>
    </w:lvl>
  </w:abstractNum>
  <w:abstractNum w:abstractNumId="53">
    <w:nsid w:val="24F6AB8E"/>
    <w:multiLevelType w:val="hybridMultilevel"/>
    <w:lvl w:ilvl="0">
      <w:lvlJc w:val="left"/>
      <w:lvlText w:val="(%1)"/>
      <w:numFmt w:val="upperLetter"/>
      <w:start w:val="2"/>
    </w:lvl>
  </w:abstractNum>
  <w:abstractNum w:abstractNumId="54">
    <w:nsid w:val="634C574C"/>
    <w:multiLevelType w:val="hybridMultilevel"/>
    <w:lvl w:ilvl="0">
      <w:lvlJc w:val="left"/>
      <w:lvlText w:val="(%1)"/>
      <w:numFmt w:val="decimal"/>
      <w:start w:val="2"/>
    </w:lvl>
    <w:lvl w:ilvl="1">
      <w:lvlJc w:val="left"/>
      <w:lvlText w:val="(%2)"/>
      <w:numFmt w:val="upperLetter"/>
      <w:start w:val="1"/>
    </w:lvl>
  </w:abstractNum>
  <w:abstractNum w:abstractNumId="55">
    <w:nsid w:val="24E99DD7"/>
    <w:multiLevelType w:val="hybridMultilevel"/>
    <w:lvl w:ilvl="0">
      <w:lvlJc w:val="left"/>
      <w:lvlText w:val="(%1)"/>
      <w:numFmt w:val="decimal"/>
      <w:start w:val="3"/>
    </w:lvl>
  </w:abstractNum>
  <w:abstractNum w:abstractNumId="56">
    <w:nsid w:val="2A31B62D"/>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abstractNum>
  <w:abstractNum w:abstractNumId="57">
    <w:nsid w:val="1849C29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58">
    <w:nsid w:val="7DFF9D09"/>
    <w:multiLevelType w:val="hybridMultilevel"/>
    <w:lvl w:ilvl="0">
      <w:lvlJc w:val="left"/>
      <w:lvlText w:val="(%1)"/>
      <w:numFmt w:val="decimal"/>
      <w:start w:val="3"/>
    </w:lvl>
  </w:abstractNum>
  <w:abstractNum w:abstractNumId="59">
    <w:nsid w:val="754342"/>
    <w:multiLevelType w:val="hybridMultilevel"/>
    <w:lvl w:ilvl="0">
      <w:lvlJc w:val="left"/>
      <w:lvlText w:val="(%1)"/>
      <w:numFmt w:val="lowerLetter"/>
      <w:start w:val="6"/>
    </w:lvl>
  </w:abstractNum>
  <w:abstractNum w:abstractNumId="60">
    <w:nsid w:val="69E7F3E5"/>
    <w:multiLevelType w:val="hybridMultilevel"/>
    <w:lvl w:ilvl="0">
      <w:lvlJc w:val="left"/>
      <w:lvlText w:val="(%1)"/>
      <w:numFmt w:val="decimal"/>
      <w:start w:val="1"/>
    </w:lvl>
    <w:lvl w:ilvl="1">
      <w:lvlJc w:val="left"/>
      <w:lvlText w:val="(%2)"/>
      <w:numFmt w:val="upperLetter"/>
      <w:start w:val="1"/>
    </w:lvl>
  </w:abstractNum>
  <w:abstractNum w:abstractNumId="61">
    <w:nsid w:val="2A6DE806"/>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6"/>
    </w:lvl>
  </w:abstractNum>
  <w:abstractNum w:abstractNumId="62">
    <w:nsid w:val="1816F8C4"/>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63">
    <w:nsid w:val="37DF2233"/>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64">
    <w:nsid w:val="7AB49DAF"/>
    <w:multiLevelType w:val="hybridMultilevel"/>
    <w:lvl w:ilvl="0">
      <w:lvlJc w:val="left"/>
      <w:lvlText w:val="(%1)"/>
      <w:numFmt w:val="lowerLetter"/>
      <w:start w:val="7"/>
    </w:lvl>
  </w:abstractNum>
  <w:abstractNum w:abstractNumId="65">
    <w:nsid w:val="759F82CD"/>
    <w:multiLevelType w:val="hybridMultilevel"/>
    <w:lvl w:ilvl="0">
      <w:lvlJc w:val="left"/>
      <w:lvlText w:val="%1"/>
      <w:numFmt w:val="decimal"/>
      <w:start w:val="1"/>
    </w:lvl>
    <w:lvl w:ilvl="1">
      <w:lvlJc w:val="left"/>
      <w:lvlText w:val="(%2)"/>
      <w:numFmt w:val="lowerLetter"/>
      <w:start w:val="8"/>
    </w:lvl>
    <w:lvl w:ilvl="2">
      <w:lvlJc w:val="left"/>
      <w:lvlText w:val="%3"/>
      <w:numFmt w:val="upperLetter"/>
      <w:start w:val="1"/>
    </w:lvl>
  </w:abstractNum>
  <w:abstractNum w:abstractNumId="66">
    <w:nsid w:val="61E74EA3"/>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67">
    <w:nsid w:val="597B4D84"/>
    <w:multiLevelType w:val="hybridMultilevel"/>
    <w:lvl w:ilvl="0">
      <w:lvlJc w:val="left"/>
      <w:lvlText w:val="(%1)"/>
      <w:numFmt w:val="decimal"/>
      <w:start w:val="1"/>
    </w:lvl>
  </w:abstractNum>
  <w:abstractNum w:abstractNumId="68">
    <w:nsid w:val="F819E7F"/>
    <w:multiLevelType w:val="hybridMultilevel"/>
    <w:lvl w:ilvl="0">
      <w:lvlJc w:val="left"/>
      <w:lvlText w:val="(%1)"/>
      <w:numFmt w:val="decimal"/>
      <w:start w:val="1"/>
    </w:lvl>
  </w:abstractNum>
  <w:abstractNum w:abstractNumId="69">
    <w:nsid w:val="57C7D42D"/>
    <w:multiLevelType w:val="hybridMultilevel"/>
    <w:lvl w:ilvl="0">
      <w:lvlJc w:val="left"/>
      <w:lvlText w:val="%1"/>
      <w:numFmt w:val="decimal"/>
      <w:start w:val="1"/>
    </w:lvl>
    <w:lvl w:ilvl="1">
      <w:lvlJc w:val="left"/>
      <w:lvlText w:val="(%2)"/>
      <w:numFmt w:val="lowerLetter"/>
      <w:start w:val="1"/>
    </w:lvl>
  </w:abstractNum>
  <w:abstractNum w:abstractNumId="70">
    <w:nsid w:val="312167AD"/>
    <w:multiLevelType w:val="hybridMultilevel"/>
    <w:lvl w:ilvl="0">
      <w:lvlJc w:val="left"/>
      <w:lvlText w:val="(%1)"/>
      <w:numFmt w:val="decimal"/>
      <w:start w:val="1"/>
    </w:lvl>
    <w:lvl w:ilvl="1">
      <w:lvlJc w:val="left"/>
      <w:lvlText w:val="(%2)"/>
      <w:numFmt w:val="lowerLetter"/>
      <w:start w:val="2"/>
    </w:lvl>
  </w:abstractNum>
  <w:abstractNum w:abstractNumId="71">
    <w:nsid w:val="631B64D4"/>
    <w:multiLevelType w:val="hybridMultilevel"/>
    <w:lvl w:ilvl="0">
      <w:lvlJc w:val="left"/>
      <w:lvlText w:val="(%1)"/>
      <w:numFmt w:val="lowerLetter"/>
      <w:start w:val="5"/>
    </w:lvl>
  </w:abstractNum>
  <w:abstractNum w:abstractNumId="72">
    <w:nsid w:val="78B5E776"/>
    <w:multiLevelType w:val="hybridMultilevel"/>
    <w:lvl w:ilvl="0">
      <w:lvlJc w:val="left"/>
      <w:lvlText w:val="(%1)"/>
      <w:numFmt w:val="decimal"/>
      <w:start w:val="1"/>
    </w:lvl>
  </w:abstractNum>
  <w:abstractNum w:abstractNumId="73">
    <w:nsid w:val="75486E47"/>
    <w:multiLevelType w:val="hybridMultilevel"/>
    <w:lvl w:ilvl="0">
      <w:lvlJc w:val="left"/>
      <w:lvlText w:val="(%1)"/>
      <w:numFmt w:val="decimal"/>
      <w:start w:val="5"/>
    </w:lvl>
  </w:abstractNum>
  <w:abstractNum w:abstractNumId="74">
    <w:nsid w:val="6E534CDE"/>
    <w:multiLevelType w:val="hybridMultilevel"/>
    <w:lvl w:ilvl="0">
      <w:lvlJc w:val="left"/>
      <w:lvlText w:val="%1"/>
      <w:numFmt w:val="decimal"/>
      <w:start w:val="1"/>
    </w:lvl>
    <w:lvl w:ilvl="1">
      <w:lvlJc w:val="left"/>
      <w:lvlText w:val="(%2)"/>
      <w:numFmt w:val="lowerLetter"/>
      <w:start w:val="1"/>
    </w:lvl>
  </w:abstractNum>
  <w:abstractNum w:abstractNumId="75">
    <w:nsid w:val="1A0DDE32"/>
    <w:multiLevelType w:val="hybridMultilevel"/>
    <w:lvl w:ilvl="0">
      <w:lvlJc w:val="left"/>
      <w:lvlText w:val="(%1)"/>
      <w:numFmt w:val="decimal"/>
      <w:start w:val="1"/>
    </w:lvl>
    <w:lvl w:ilvl="1">
      <w:lvlJc w:val="left"/>
      <w:lvlText w:val="%2"/>
      <w:numFmt w:val="lowerLetter"/>
      <w:start w:val="1"/>
    </w:lvl>
  </w:abstractNum>
  <w:abstractNum w:abstractNumId="76">
    <w:nsid w:val="65968C1C"/>
    <w:multiLevelType w:val="hybridMultilevel"/>
    <w:lvl w:ilvl="0">
      <w:lvlJc w:val="left"/>
      <w:lvlText w:val="%1"/>
      <w:numFmt w:val="lowerLetter"/>
      <w:start w:val="1"/>
    </w:lvl>
    <w:lvl w:ilvl="1">
      <w:lvlJc w:val="left"/>
      <w:lvlText w:val="(%2)"/>
      <w:numFmt w:val="lowerLetter"/>
      <w:start w:val="2"/>
    </w:lvl>
  </w:abstractNum>
  <w:abstractNum w:abstractNumId="77">
    <w:nsid w:val="46263DEC"/>
    <w:multiLevelType w:val="hybridMultilevel"/>
    <w:lvl w:ilvl="0">
      <w:lvlJc w:val="left"/>
      <w:lvlText w:val="(%1)"/>
      <w:numFmt w:val="lowerLetter"/>
      <w:start w:val="1"/>
    </w:lvl>
    <w:lvl w:ilvl="1">
      <w:lvlJc w:val="left"/>
      <w:lvlText w:val="(%2)"/>
      <w:numFmt w:val="lowerLetter"/>
      <w:start w:val="4"/>
    </w:lvl>
  </w:abstractNum>
  <w:abstractNum w:abstractNumId="78">
    <w:nsid w:val="260D8C4A"/>
    <w:multiLevelType w:val="hybridMultilevel"/>
    <w:lvl w:ilvl="0">
      <w:lvlJc w:val="left"/>
      <w:lvlText w:val="(%1)"/>
      <w:numFmt w:val="lowerLetter"/>
      <w:start w:val="1"/>
    </w:lvl>
  </w:abstractNum>
  <w:abstractNum w:abstractNumId="79">
    <w:nsid w:val="73D4D3C4"/>
    <w:multiLevelType w:val="hybridMultilevel"/>
    <w:lvl w:ilvl="0">
      <w:lvlJc w:val="left"/>
      <w:lvlText w:val="(%1)"/>
      <w:numFmt w:val="lowerLetter"/>
      <w:start w:val="2"/>
    </w:lvl>
  </w:abstractNum>
  <w:abstractNum w:abstractNumId="80">
    <w:nsid w:val="746F2E30"/>
    <w:multiLevelType w:val="hybridMultilevel"/>
    <w:lvl w:ilvl="0">
      <w:lvlJc w:val="left"/>
      <w:lvlText w:val="%1"/>
      <w:numFmt w:val="decimal"/>
      <w:start w:val="1"/>
    </w:lvl>
    <w:lvl w:ilvl="1">
      <w:lvlJc w:val="left"/>
      <w:lvlText w:val="(%2)"/>
      <w:numFmt w:val="lowerLetter"/>
      <w:start w:val="1"/>
    </w:lvl>
  </w:abstractNum>
  <w:abstractNum w:abstractNumId="81">
    <w:nsid w:val="6FDE8AF6"/>
    <w:multiLevelType w:val="hybridMultilevel"/>
    <w:lvl w:ilvl="0">
      <w:lvlJc w:val="left"/>
      <w:lvlText w:val="(%1)"/>
      <w:numFmt w:val="decimal"/>
      <w:start w:val="1"/>
    </w:lvl>
    <w:lvl w:ilvl="1">
      <w:lvlJc w:val="left"/>
      <w:lvlText w:val="%2"/>
      <w:numFmt w:val="lowerLetter"/>
      <w:start w:val="1"/>
    </w:lvl>
  </w:abstractNum>
  <w:abstractNum w:abstractNumId="82">
    <w:nsid w:val="3FC32E2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83">
    <w:nsid w:val="49C0E823"/>
    <w:multiLevelType w:val="hybridMultilevel"/>
    <w:lvl w:ilvl="0">
      <w:lvlJc w:val="left"/>
      <w:lvlText w:val="(%1)"/>
      <w:numFmt w:val="decimal"/>
      <w:start w:val="1"/>
    </w:lvl>
  </w:abstractNum>
  <w:abstractNum w:abstractNumId="84">
    <w:nsid w:val="14D53685"/>
    <w:multiLevelType w:val="hybridMultilevel"/>
    <w:lvl w:ilvl="0">
      <w:lvlJc w:val="left"/>
      <w:lvlText w:val="(%1)"/>
      <w:numFmt w:val="decimal"/>
      <w:start w:val="4"/>
    </w:lvl>
  </w:abstractNum>
  <w:abstractNum w:abstractNumId="85">
    <w:nsid w:val="230F856C"/>
    <w:multiLevelType w:val="hybridMultilevel"/>
    <w:lvl w:ilvl="0">
      <w:lvlJc w:val="left"/>
      <w:lvlText w:val="(%1)"/>
      <w:numFmt w:val="decimal"/>
      <w:start w:val="13"/>
    </w:lvl>
  </w:abstractNum>
  <w:abstractNum w:abstractNumId="86">
    <w:nsid w:val="6EAA85FB"/>
    <w:multiLevelType w:val="hybridMultilevel"/>
    <w:lvl w:ilvl="0">
      <w:lvlJc w:val="left"/>
      <w:lvlText w:val="%1"/>
      <w:numFmt w:val="decimal"/>
      <w:start w:val="1"/>
    </w:lvl>
    <w:lvl w:ilvl="1">
      <w:lvlJc w:val="left"/>
      <w:lvlText w:val="(%2)"/>
      <w:numFmt w:val="lowerLetter"/>
      <w:start w:val="1"/>
    </w:lvl>
  </w:abstractNum>
  <w:abstractNum w:abstractNumId="87">
    <w:nsid w:val="3F06ECB2"/>
    <w:multiLevelType w:val="hybridMultilevel"/>
    <w:lvl w:ilvl="0">
      <w:lvlJc w:val="left"/>
      <w:lvlText w:val="(%1)"/>
      <w:numFmt w:val="decimal"/>
      <w:start w:val="1"/>
    </w:lvl>
    <w:lvl w:ilvl="1">
      <w:lvlJc w:val="left"/>
      <w:lvlText w:val="(%2)"/>
      <w:numFmt w:val="lowerLetter"/>
      <w:start w:val="2"/>
    </w:lvl>
  </w:abstractNum>
  <w:abstractNum w:abstractNumId="88">
    <w:nsid w:val="3B594807"/>
    <w:multiLevelType w:val="hybridMultilevel"/>
    <w:lvl w:ilvl="0">
      <w:lvlJc w:val="left"/>
      <w:lvlText w:val="(%1)"/>
      <w:numFmt w:val="decimal"/>
      <w:start w:val="1"/>
    </w:lvl>
  </w:abstractNum>
  <w:abstractNum w:abstractNumId="89">
    <w:nsid w:val="6CAA2304"/>
    <w:multiLevelType w:val="hybridMultilevel"/>
    <w:lvl w:ilvl="0">
      <w:lvlJc w:val="left"/>
      <w:lvlText w:val="(%1)"/>
      <w:numFmt w:val="decimal"/>
      <w:start w:val="7"/>
    </w:lvl>
  </w:abstractNum>
  <w:abstractNum w:abstractNumId="90">
    <w:nsid w:val="3F7C2FF4"/>
    <w:multiLevelType w:val="hybridMultilevel"/>
    <w:lvl w:ilvl="0">
      <w:lvlJc w:val="left"/>
      <w:lvlText w:val="(%1)"/>
      <w:numFmt w:val="lowerLetter"/>
      <w:start w:val="1"/>
    </w:lvl>
  </w:abstractNum>
  <w:abstractNum w:abstractNumId="91">
    <w:nsid w:val="25413BE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92">
    <w:nsid w:val="17180B0B"/>
    <w:multiLevelType w:val="hybridMultilevel"/>
    <w:lvl w:ilvl="0">
      <w:lvlJc w:val="left"/>
      <w:lvlText w:val="(%1)"/>
      <w:numFmt w:val="lowerRoman"/>
      <w:start w:val="10"/>
    </w:lvl>
    <w:lvl w:ilvl="1">
      <w:lvlJc w:val="left"/>
      <w:lvlText w:val="(%2)"/>
      <w:numFmt w:val="decimal"/>
      <w:start w:val="2"/>
    </w:lvl>
    <w:lvl w:ilvl="2">
      <w:lvlJc w:val="left"/>
      <w:lvlText w:val="(%3)"/>
      <w:numFmt w:val="upperLetter"/>
      <w:start w:val="1"/>
    </w:lvl>
  </w:abstractNum>
  <w:abstractNum w:abstractNumId="93">
    <w:nsid w:val="579328B9"/>
    <w:multiLevelType w:val="hybridMultilevel"/>
    <w:lvl w:ilvl="0">
      <w:lvlJc w:val="left"/>
      <w:lvlText w:val="%1"/>
      <w:numFmt w:val="decimal"/>
      <w:start w:val="1"/>
    </w:lvl>
    <w:lvl w:ilvl="1">
      <w:lvlJc w:val="left"/>
      <w:lvlText w:val="(%2)"/>
      <w:numFmt w:val="upperLetter"/>
      <w:start w:val="2"/>
    </w:lvl>
  </w:abstractNum>
  <w:abstractNum w:abstractNumId="94">
    <w:nsid w:val="5D205E20"/>
    <w:multiLevelType w:val="hybridMultilevel"/>
    <w:lvl w:ilvl="0">
      <w:lvlJc w:val="left"/>
      <w:lvlText w:val="(%1)"/>
      <w:numFmt w:val="decimal"/>
      <w:start w:val="6"/>
    </w:lvl>
    <w:lvl w:ilvl="1">
      <w:lvlJc w:val="left"/>
      <w:lvlText w:val="(%2)"/>
      <w:numFmt w:val="upperLetter"/>
      <w:start w:val="1"/>
    </w:lvl>
  </w:abstractNum>
  <w:abstractNum w:abstractNumId="95">
    <w:nsid w:val="11CCA8BA"/>
    <w:multiLevelType w:val="hybridMultilevel"/>
    <w:lvl w:ilvl="0">
      <w:lvlJc w:val="left"/>
      <w:lvlText w:val="(%1)"/>
      <w:numFmt w:val="decimal"/>
      <w:start w:val="13"/>
    </w:lvl>
  </w:abstractNum>
  <w:abstractNum w:abstractNumId="96">
    <w:nsid w:val="4D32AB86"/>
    <w:multiLevelType w:val="hybridMultilevel"/>
    <w:lvl w:ilvl="0">
      <w:lvlJc w:val="left"/>
      <w:lvlText w:val="(%1)"/>
      <w:numFmt w:val="decimal"/>
      <w:start w:val="1"/>
    </w:lvl>
    <w:lvl w:ilvl="1">
      <w:lvlJc w:val="left"/>
      <w:lvlText w:val="(%2)"/>
      <w:numFmt w:val="upperLetter"/>
      <w:start w:val="1"/>
    </w:lvl>
  </w:abstractNum>
  <w:abstractNum w:abstractNumId="97">
    <w:nsid w:val="3F07ACC3"/>
    <w:multiLevelType w:val="hybridMultilevel"/>
    <w:lvl w:ilvl="0">
      <w:lvlJc w:val="left"/>
      <w:lvlText w:val="(%1)"/>
      <w:numFmt w:val="decimal"/>
      <w:start w:val="1"/>
    </w:lvl>
  </w:abstractNum>
  <w:abstractNum w:abstractNumId="98">
    <w:nsid w:val="6B47F63E"/>
    <w:multiLevelType w:val="hybridMultilevel"/>
    <w:lvl w:ilvl="0">
      <w:lvlJc w:val="left"/>
      <w:lvlText w:val="(%1)"/>
      <w:numFmt w:val="decimal"/>
      <w:start w:val="6"/>
    </w:lvl>
  </w:abstractNum>
  <w:abstractNum w:abstractNumId="99">
    <w:nsid w:val="5CB44A05"/>
    <w:multiLevelType w:val="hybridMultilevel"/>
    <w:lvl w:ilvl="0">
      <w:lvlJc w:val="left"/>
      <w:lvlText w:val="%1"/>
      <w:numFmt w:val="decimal"/>
      <w:start w:val="1"/>
    </w:lvl>
    <w:lvl w:ilvl="1">
      <w:lvlJc w:val="left"/>
      <w:lvlText w:val="(%2)"/>
      <w:numFmt w:val="lowerLetter"/>
      <w:start w:val="1"/>
    </w:lvl>
  </w:abstractNum>
  <w:abstractNum w:abstractNumId="100">
    <w:nsid w:val="16CF80F1"/>
    <w:multiLevelType w:val="hybridMultilevel"/>
    <w:lvl w:ilvl="0">
      <w:lvlJc w:val="left"/>
      <w:lvlText w:val="(%1)"/>
      <w:numFmt w:val="decimal"/>
      <w:start w:val="1"/>
    </w:lvl>
    <w:lvl w:ilvl="1">
      <w:lvlJc w:val="left"/>
      <w:lvlText w:val="%2"/>
      <w:numFmt w:val="lowerLetter"/>
      <w:start w:val="1"/>
    </w:lvl>
  </w:abstractNum>
  <w:abstractNum w:abstractNumId="101">
    <w:nsid w:val="1C695DEC"/>
    <w:multiLevelType w:val="hybridMultilevel"/>
    <w:lvl w:ilvl="0">
      <w:lvlJc w:val="left"/>
      <w:lvlText w:val="(%1)"/>
      <w:numFmt w:val="decimal"/>
      <w:start w:val="1"/>
    </w:lvl>
  </w:abstractNum>
  <w:abstractNum w:abstractNumId="102">
    <w:nsid w:val="3FCFAED9"/>
    <w:multiLevelType w:val="hybridMultilevel"/>
    <w:lvl w:ilvl="0">
      <w:lvlJc w:val="left"/>
      <w:lvlText w:val="%1"/>
      <w:numFmt w:val="decimal"/>
      <w:start w:val="1"/>
    </w:lvl>
    <w:lvl w:ilvl="1">
      <w:lvlJc w:val="left"/>
      <w:lvlText w:val="(%2)"/>
      <w:numFmt w:val="lowerLetter"/>
      <w:start w:val="1"/>
    </w:lvl>
  </w:abstractNum>
  <w:abstractNum w:abstractNumId="103">
    <w:nsid w:val="F856867"/>
    <w:multiLevelType w:val="hybridMultilevel"/>
    <w:lvl w:ilvl="0">
      <w:lvlJc w:val="left"/>
      <w:lvlText w:val="(%1)"/>
      <w:numFmt w:val="decimal"/>
      <w:start w:val="1"/>
    </w:lvl>
    <w:lvl w:ilvl="1">
      <w:lvlJc w:val="left"/>
      <w:lvlText w:val="%2"/>
      <w:numFmt w:val="lowerLetter"/>
      <w:start w:val="1"/>
    </w:lvl>
  </w:abstractNum>
  <w:abstractNum w:abstractNumId="104">
    <w:nsid w:val="11B1CC33"/>
    <w:multiLevelType w:val="hybridMultilevel"/>
    <w:lvl w:ilvl="0">
      <w:lvlJc w:val="left"/>
      <w:lvlText w:val="(%1)"/>
      <w:numFmt w:val="decimal"/>
      <w:start w:val="1"/>
    </w:lvl>
  </w:abstractNum>
  <w:abstractNum w:abstractNumId="105">
    <w:nsid w:val="2E22FBB7"/>
    <w:multiLevelType w:val="hybridMultilevel"/>
    <w:lvl w:ilvl="0">
      <w:lvlJc w:val="left"/>
      <w:lvlText w:val="%1"/>
      <w:numFmt w:val="decimal"/>
      <w:start w:val="1"/>
    </w:lvl>
    <w:lvl w:ilvl="1">
      <w:lvlJc w:val="left"/>
      <w:lvlText w:val="(%2)"/>
      <w:numFmt w:val="lowerLetter"/>
      <w:start w:val="1"/>
    </w:lvl>
  </w:abstractNum>
  <w:abstractNum w:abstractNumId="106">
    <w:nsid w:val="29934699"/>
    <w:multiLevelType w:val="hybridMultilevel"/>
    <w:lvl w:ilvl="0">
      <w:lvlJc w:val="left"/>
      <w:lvlText w:val="(%1)"/>
      <w:numFmt w:val="decimal"/>
      <w:start w:val="1"/>
    </w:lvl>
    <w:lvl w:ilvl="1">
      <w:lvlJc w:val="left"/>
      <w:lvlText w:val="%2"/>
      <w:numFmt w:val="lowerLetter"/>
      <w:start w:val="1"/>
    </w:lvl>
  </w:abstractNum>
  <w:abstractNum w:abstractNumId="107">
    <w:nsid w:val="77485850"/>
    <w:multiLevelType w:val="hybridMultilevel"/>
    <w:lvl w:ilvl="0">
      <w:lvlJc w:val="left"/>
      <w:lvlText w:val="(%1)"/>
      <w:numFmt w:val="decimal"/>
      <w:start w:val="4"/>
    </w:lvl>
  </w:abstractNum>
  <w:abstractNum w:abstractNumId="108">
    <w:nsid w:val="744939A3"/>
    <w:multiLevelType w:val="hybridMultilevel"/>
    <w:lvl w:ilvl="0">
      <w:lvlJc w:val="left"/>
      <w:lvlText w:val="%1"/>
      <w:numFmt w:val="decimal"/>
      <w:start w:val="1"/>
    </w:lvl>
    <w:lvl w:ilvl="1">
      <w:lvlJc w:val="left"/>
      <w:lvlText w:val="(%2)"/>
      <w:numFmt w:val="lowerLetter"/>
      <w:start w:val="2"/>
    </w:lvl>
  </w:abstractNum>
  <w:abstractNum w:abstractNumId="109">
    <w:nsid w:val="4FA0D2E3"/>
    <w:multiLevelType w:val="hybridMultilevel"/>
    <w:lvl w:ilvl="0">
      <w:lvlJc w:val="left"/>
      <w:lvlText w:val="(%1)"/>
      <w:numFmt w:val="decimal"/>
      <w:start w:val="1"/>
    </w:lvl>
    <w:lvl w:ilvl="1">
      <w:lvlJc w:val="left"/>
      <w:lvlText w:val="%2"/>
      <w:numFmt w:val="lowerLetter"/>
      <w:start w:val="1"/>
    </w:lvl>
  </w:abstractNum>
  <w:abstractNum w:abstractNumId="110">
    <w:nsid w:val="6B1D2C14"/>
    <w:multiLevelType w:val="hybridMultilevel"/>
    <w:lvl w:ilvl="0">
      <w:lvlJc w:val="left"/>
      <w:lvlText w:val="(%1)"/>
      <w:numFmt w:val="lowerLetter"/>
      <w:start w:val="3"/>
    </w:lvl>
  </w:abstractNum>
  <w:abstractNum w:abstractNumId="111">
    <w:nsid w:val="68B867D3"/>
    <w:multiLevelType w:val="hybridMultilevel"/>
    <w:lvl w:ilvl="0">
      <w:lvlJc w:val="left"/>
      <w:lvlText w:val="(%1)"/>
      <w:numFmt w:val="decimal"/>
      <w:start w:val="1"/>
    </w:lvl>
  </w:abstractNum>
  <w:abstractNum w:abstractNumId="112">
    <w:nsid w:val="3F7F5DD9"/>
    <w:multiLevelType w:val="hybridMultilevel"/>
    <w:lvl w:ilvl="0">
      <w:lvlJc w:val="left"/>
      <w:lvlText w:val="(%1)"/>
      <w:numFmt w:val="lowerLetter"/>
      <w:start w:val="1"/>
    </w:lvl>
  </w:abstractNum>
  <w:abstractNum w:abstractNumId="113">
    <w:nsid w:val="2AE05A34"/>
    <w:multiLevelType w:val="hybridMultilevel"/>
    <w:lvl w:ilvl="0">
      <w:lvlJc w:val="left"/>
      <w:lvlText w:val="(%1)"/>
      <w:numFmt w:val="decimal"/>
      <w:start w:val="1"/>
    </w:lvl>
  </w:abstractNum>
  <w:abstractNum w:abstractNumId="114">
    <w:nsid w:val="32794FF7"/>
    <w:multiLevelType w:val="hybridMultilevel"/>
    <w:lvl w:ilvl="0">
      <w:lvlJc w:val="left"/>
      <w:lvlText w:val="(%1)"/>
      <w:numFmt w:val="decimal"/>
      <w:start w:val="3"/>
    </w:lvl>
  </w:abstractNum>
  <w:abstractNum w:abstractNumId="115">
    <w:nsid w:val="5454945E"/>
    <w:multiLevelType w:val="hybridMultilevel"/>
    <w:lvl w:ilvl="0">
      <w:lvlJc w:val="left"/>
      <w:lvlText w:val="(%1)"/>
      <w:numFmt w:val="decimal"/>
      <w:start w:val="1"/>
    </w:lvl>
  </w:abstractNum>
  <w:abstractNum w:abstractNumId="116">
    <w:nsid w:val="4DEFDFA0"/>
    <w:multiLevelType w:val="hybridMultilevel"/>
    <w:lvl w:ilvl="0">
      <w:lvlJc w:val="left"/>
      <w:lvlText w:val="(%1)"/>
      <w:numFmt w:val="decimal"/>
      <w:start w:val="1"/>
    </w:lvl>
  </w:abstractNum>
  <w:abstractNum w:abstractNumId="117">
    <w:nsid w:val="2123D5F2"/>
    <w:multiLevelType w:val="hybridMultilevel"/>
    <w:lvl w:ilvl="0">
      <w:lvlJc w:val="left"/>
      <w:lvlText w:val="(%1)"/>
      <w:numFmt w:val="decimal"/>
      <w:start w:val="4"/>
    </w:lvl>
    <w:lvl w:ilvl="1">
      <w:lvlJc w:val="left"/>
      <w:lvlText w:val="(%2)"/>
      <w:numFmt w:val="upperLetter"/>
      <w:start w:val="1"/>
    </w:lvl>
  </w:abstractNum>
  <w:abstractNum w:abstractNumId="118">
    <w:nsid w:val="135B8110"/>
    <w:multiLevelType w:val="hybridMultilevel"/>
    <w:lvl w:ilvl="0">
      <w:lvlJc w:val="left"/>
      <w:lvlText w:val="(%1)"/>
      <w:numFmt w:val="decimal"/>
      <w:start w:val="7"/>
    </w:lvl>
    <w:lvl w:ilvl="1">
      <w:lvlJc w:val="left"/>
      <w:lvlText w:val="(%2)"/>
      <w:numFmt w:val="upperLetter"/>
      <w:start w:val="1"/>
    </w:lvl>
  </w:abstractNum>
  <w:abstractNum w:abstractNumId="119">
    <w:nsid w:val="94927A8"/>
    <w:multiLevelType w:val="hybridMultilevel"/>
    <w:lvl w:ilvl="0">
      <w:lvlJc w:val="left"/>
      <w:lvlText w:val="%1"/>
      <w:numFmt w:val="decimal"/>
      <w:start w:val="1"/>
    </w:lvl>
    <w:lvl w:ilvl="1">
      <w:lvlJc w:val="left"/>
      <w:lvlText w:val="(%2)"/>
      <w:numFmt w:val="upperLetter"/>
      <w:start w:val="4"/>
    </w:lvl>
  </w:abstractNum>
  <w:abstractNum w:abstractNumId="120">
    <w:nsid w:val="DCDF8F6"/>
    <w:multiLevelType w:val="hybridMultilevel"/>
    <w:lvl w:ilvl="0">
      <w:lvlJc w:val="left"/>
      <w:lvlText w:val="(%1)"/>
      <w:numFmt w:val="decimal"/>
      <w:start w:val="11"/>
    </w:lvl>
    <w:lvl w:ilvl="1">
      <w:lvlJc w:val="left"/>
      <w:lvlText w:val="(%2)"/>
      <w:numFmt w:val="upperLetter"/>
      <w:start w:val="1"/>
    </w:lvl>
  </w:abstractNum>
  <w:abstractNum w:abstractNumId="121">
    <w:nsid w:val="52D7B105"/>
    <w:multiLevelType w:val="hybridMultilevel"/>
    <w:lvl w:ilvl="0">
      <w:lvlJc w:val="left"/>
      <w:lvlText w:val="(%1)"/>
      <w:numFmt w:val="decimal"/>
      <w:start w:val="1"/>
    </w:lvl>
  </w:abstractNum>
  <w:abstractNum w:abstractNumId="122">
    <w:nsid w:val="2E8A6394"/>
    <w:multiLevelType w:val="hybridMultilevel"/>
    <w:lvl w:ilvl="0">
      <w:lvlJc w:val="left"/>
      <w:lvlText w:val="(%1)"/>
      <w:numFmt w:val="decimal"/>
      <w:start w:val="3"/>
    </w:lvl>
  </w:abstractNum>
  <w:abstractNum w:abstractNumId="123">
    <w:nsid w:val="24E60401"/>
    <w:multiLevelType w:val="hybridMultilevel"/>
    <w:lvl w:ilvl="0">
      <w:lvlJc w:val="left"/>
      <w:lvlText w:val="(%1)"/>
      <w:numFmt w:val="decimal"/>
      <w:start w:val="1"/>
    </w:lvl>
  </w:abstractNum>
  <w:abstractNum w:abstractNumId="124">
    <w:nsid w:val="2A6AD9BE"/>
    <w:multiLevelType w:val="hybridMultilevel"/>
    <w:lvl w:ilvl="0">
      <w:lvlJc w:val="left"/>
      <w:lvlText w:val="%1"/>
      <w:numFmt w:val="decimal"/>
      <w:start w:val="1"/>
    </w:lvl>
    <w:lvl w:ilvl="1">
      <w:lvlJc w:val="left"/>
      <w:lvlText w:val="(%2)"/>
      <w:numFmt w:val="lowerLetter"/>
      <w:start w:val="1"/>
    </w:lvl>
  </w:abstractNum>
  <w:abstractNum w:abstractNumId="125">
    <w:nsid w:val="BAAC1B4"/>
    <w:multiLevelType w:val="hybridMultilevel"/>
    <w:lvl w:ilvl="0">
      <w:lvlJc w:val="left"/>
      <w:lvlText w:val="(%1)"/>
      <w:numFmt w:val="decimal"/>
      <w:start w:val="1"/>
    </w:lvl>
    <w:lvl w:ilvl="1">
      <w:lvlJc w:val="left"/>
      <w:lvlText w:val="(%2)"/>
      <w:numFmt w:val="lowerLetter"/>
      <w:start w:val="3"/>
    </w:lvl>
  </w:abstractNum>
  <w:abstractNum w:abstractNumId="126">
    <w:nsid w:val="36B2ACBC"/>
    <w:multiLevelType w:val="hybridMultilevel"/>
    <w:lvl w:ilvl="0">
      <w:lvlJc w:val="left"/>
      <w:lvlText w:val="(%1)"/>
      <w:numFmt w:val="decimal"/>
      <w:start w:val="1"/>
    </w:lvl>
    <w:lvl w:ilvl="1">
      <w:lvlJc w:val="left"/>
      <w:lvlText w:val="(%2)"/>
      <w:numFmt w:val="lowerLetter"/>
      <w:start w:val="4"/>
    </w:lvl>
  </w:abstractNum>
  <w:abstractNum w:abstractNumId="127">
    <w:nsid w:val="779D8544"/>
    <w:multiLevelType w:val="hybridMultilevel"/>
    <w:lvl w:ilvl="0">
      <w:lvlJc w:val="left"/>
      <w:lvlText w:val="%1"/>
      <w:numFmt w:val="decimal"/>
      <w:start w:val="1"/>
    </w:lvl>
    <w:lvl w:ilvl="1">
      <w:lvlJc w:val="left"/>
      <w:lvlText w:val="(%2)"/>
      <w:numFmt w:val="lowerLetter"/>
      <w:start w:val="1"/>
    </w:lvl>
  </w:abstractNum>
  <w:abstractNum w:abstractNumId="128">
    <w:nsid w:val="4AB26E78"/>
    <w:multiLevelType w:val="hybridMultilevel"/>
    <w:lvl w:ilvl="0">
      <w:lvlJc w:val="left"/>
      <w:lvlText w:val="(%1)"/>
      <w:numFmt w:val="decimal"/>
      <w:start w:val="2"/>
    </w:lvl>
    <w:lvl w:ilvl="1">
      <w:lvlJc w:val="left"/>
      <w:lvlText w:val="(%2)"/>
      <w:numFmt w:val="lowerLetter"/>
      <w:start w:val="8"/>
    </w:lvl>
  </w:abstractNum>
  <w:abstractNum w:abstractNumId="129">
    <w:nsid w:val="21FAA2FA"/>
    <w:multiLevelType w:val="hybridMultilevel"/>
    <w:lvl w:ilvl="0">
      <w:lvlJc w:val="left"/>
      <w:lvlText w:val="(%1)"/>
      <w:numFmt w:val="lowerLetter"/>
      <w:start w:val="1"/>
    </w:lvl>
  </w:abstractNum>
  <w:abstractNum w:abstractNumId="130">
    <w:nsid w:val="5451CF49"/>
    <w:multiLevelType w:val="hybridMultilevel"/>
    <w:lvl w:ilvl="0">
      <w:lvlJc w:val="left"/>
      <w:lvlText w:val="(%1)"/>
      <w:numFmt w:val="lowerLetter"/>
      <w:start w:val="1"/>
    </w:lvl>
  </w:abstractNum>
  <w:abstractNum w:abstractNumId="131">
    <w:nsid w:val="6181EF69"/>
    <w:multiLevelType w:val="hybridMultilevel"/>
    <w:lvl w:ilvl="0">
      <w:lvlJc w:val="left"/>
      <w:lvlText w:val="(%1)"/>
      <w:numFmt w:val="lowerLetter"/>
      <w:start w:val="3"/>
    </w:lvl>
  </w:abstractNum>
  <w:abstractNum w:abstractNumId="132">
    <w:nsid w:val="3E6400E6"/>
    <w:multiLevelType w:val="hybridMultilevel"/>
    <w:lvl w:ilvl="0">
      <w:lvlJc w:val="left"/>
      <w:lvlText w:val="%1"/>
      <w:numFmt w:val="decimal"/>
      <w:start w:val="1"/>
    </w:lvl>
    <w:lvl w:ilvl="1">
      <w:lvlJc w:val="left"/>
      <w:lvlText w:val="(%2)"/>
      <w:numFmt w:val="lowerLetter"/>
      <w:start w:val="1"/>
    </w:lvl>
  </w:abstractNum>
  <w:abstractNum w:abstractNumId="133">
    <w:nsid w:val="14217E23"/>
    <w:multiLevelType w:val="hybridMultilevel"/>
    <w:lvl w:ilvl="0">
      <w:lvlJc w:val="left"/>
      <w:lvlText w:val="(%1)"/>
      <w:numFmt w:val="decimal"/>
      <w:start w:val="1"/>
    </w:lvl>
    <w:lvl w:ilvl="1">
      <w:lvlJc w:val="left"/>
      <w:lvlText w:val="(%2)"/>
      <w:numFmt w:val="lowerLetter"/>
      <w:start w:val="3"/>
    </w:lvl>
  </w:abstractNum>
  <w:abstractNum w:abstractNumId="134">
    <w:nsid w:val="710757D0"/>
    <w:multiLevelType w:val="hybridMultilevel"/>
    <w:lvl w:ilvl="0">
      <w:lvlJc w:val="left"/>
      <w:lvlText w:val="(%1)"/>
      <w:numFmt w:val="decimal"/>
      <w:start w:val="1"/>
    </w:lvl>
  </w:abstractNum>
  <w:abstractNum w:abstractNumId="135">
    <w:nsid w:val="5015CD1A"/>
    <w:multiLevelType w:val="hybridMultilevel"/>
    <w:lvl w:ilvl="0">
      <w:lvlJc w:val="left"/>
      <w:lvlText w:val="(%1)"/>
      <w:numFmt w:val="decimal"/>
      <w:start w:val="1"/>
    </w:lvl>
  </w:abstractNum>
  <w:abstractNum w:abstractNumId="136">
    <w:nsid w:val="424479DA"/>
    <w:multiLevelType w:val="hybridMultilevel"/>
    <w:lvl w:ilvl="0">
      <w:lvlJc w:val="left"/>
      <w:lvlText w:val="(%1)"/>
      <w:numFmt w:val="decimal"/>
      <w:start w:val="5"/>
    </w:lvl>
  </w:abstractNum>
  <w:abstractNum w:abstractNumId="137">
    <w:nsid w:val="1A9A9E69"/>
    <w:multiLevelType w:val="hybridMultilevel"/>
    <w:lvl w:ilvl="0">
      <w:lvlJc w:val="left"/>
      <w:lvlText w:val="(%1)"/>
      <w:numFmt w:val="lowerLetter"/>
      <w:start w:val="1"/>
    </w:lvl>
  </w:abstractNum>
  <w:abstractNum w:abstractNumId="138">
    <w:nsid w:val="475E256A"/>
    <w:multiLevelType w:val="hybridMultilevel"/>
    <w:lvl w:ilvl="0">
      <w:lvlJc w:val="left"/>
      <w:lvlText w:val="(%1)"/>
      <w:numFmt w:val="decimal"/>
      <w:start w:val="1"/>
    </w:lvl>
  </w:abstractNum>
  <w:abstractNum w:abstractNumId="139">
    <w:nsid w:val="368DB37E"/>
    <w:multiLevelType w:val="hybridMultilevel"/>
    <w:lvl w:ilvl="0">
      <w:lvlJc w:val="left"/>
      <w:lvlText w:val="(%1)"/>
      <w:numFmt w:val="decimal"/>
      <w:start w:val="1"/>
    </w:lvl>
  </w:abstractNum>
  <w:abstractNum w:abstractNumId="140">
    <w:nsid w:val="6A3B714C"/>
    <w:multiLevelType w:val="hybridMultilevel"/>
    <w:lvl w:ilvl="0">
      <w:lvlJc w:val="left"/>
      <w:lvlText w:val="(%1)"/>
      <w:numFmt w:val="decimal"/>
      <w:start w:val="8"/>
    </w:lvl>
  </w:abstractNum>
  <w:abstractNum w:abstractNumId="141">
    <w:nsid w:val="327B517E"/>
    <w:multiLevelType w:val="hybridMultilevel"/>
    <w:lvl w:ilvl="0">
      <w:lvlJc w:val="left"/>
      <w:lvlText w:val="%1"/>
      <w:numFmt w:val="decimal"/>
      <w:start w:val="1"/>
    </w:lvl>
    <w:lvl w:ilvl="1">
      <w:lvlJc w:val="left"/>
      <w:lvlText w:val="(%2)"/>
      <w:numFmt w:val="lowerLetter"/>
      <w:start w:val="1"/>
    </w:lvl>
  </w:abstractNum>
  <w:abstractNum w:abstractNumId="142">
    <w:nsid w:val="1F461B51"/>
    <w:multiLevelType w:val="hybridMultilevel"/>
    <w:lvl w:ilvl="0">
      <w:lvlJc w:val="left"/>
      <w:lvlText w:val="(%1)"/>
      <w:numFmt w:val="decimal"/>
      <w:start w:val="1"/>
    </w:lvl>
    <w:lvl w:ilvl="1">
      <w:lvlJc w:val="left"/>
      <w:lvlText w:val="%2"/>
      <w:numFmt w:val="lowerLetter"/>
      <w:start w:val="1"/>
    </w:lvl>
  </w:abstractNum>
  <w:abstractNum w:abstractNumId="143">
    <w:nsid w:val="29BACF25"/>
    <w:multiLevelType w:val="hybridMultilevel"/>
    <w:lvl w:ilvl="0">
      <w:lvlJc w:val="left"/>
      <w:lvlText w:val="(%1)"/>
      <w:numFmt w:val="decimal"/>
      <w:start w:val="2"/>
    </w:lvl>
  </w:abstractNum>
  <w:abstractNum w:abstractNumId="144">
    <w:nsid w:val="5D5BABB3"/>
    <w:multiLevelType w:val="hybridMultilevel"/>
    <w:lvl w:ilvl="0">
      <w:lvlJc w:val="left"/>
      <w:lvlText w:val="(%1)"/>
      <w:numFmt w:val="lowerLetter"/>
      <w:start w:val="2"/>
    </w:lvl>
  </w:abstractNum>
  <w:abstractNum w:abstractNumId="145">
    <w:nsid w:val="51BF6B48"/>
    <w:multiLevelType w:val="hybridMultilevel"/>
    <w:lvl w:ilvl="0">
      <w:lvlJc w:val="left"/>
      <w:lvlText w:val="(%1)"/>
      <w:numFmt w:val="decimal"/>
      <w:start w:val="1"/>
    </w:lvl>
    <w:lvl w:ilvl="1">
      <w:lvlJc w:val="left"/>
      <w:lvlText w:val="(%2)"/>
      <w:numFmt w:val="lowerLetter"/>
      <w:start w:val="1"/>
    </w:lvl>
  </w:abstractNum>
  <w:abstractNum w:abstractNumId="146">
    <w:nsid w:val="7E0F6384"/>
    <w:multiLevelType w:val="hybridMultilevel"/>
    <w:lvl w:ilvl="0">
      <w:lvlJc w:val="left"/>
      <w:lvlText w:val="(%1)"/>
      <w:numFmt w:val="decimal"/>
      <w:start w:val="1"/>
    </w:lvl>
  </w:abstractNum>
  <w:abstractNum w:abstractNumId="147">
    <w:nsid w:val="2B4B8B53"/>
    <w:multiLevelType w:val="hybridMultilevel"/>
    <w:lvl w:ilvl="0">
      <w:lvlJc w:val="left"/>
      <w:lvlText w:val="%1"/>
      <w:numFmt w:val="decimal"/>
      <w:start w:val="1"/>
    </w:lvl>
    <w:lvl w:ilvl="1">
      <w:lvlJc w:val="left"/>
      <w:lvlText w:val="(%2)"/>
      <w:numFmt w:val="lowerLetter"/>
      <w:start w:val="2"/>
    </w:lvl>
  </w:abstractNum>
  <w:abstractNum w:abstractNumId="148">
    <w:nsid w:val="72E3413A"/>
    <w:multiLevelType w:val="hybridMultilevel"/>
    <w:lvl w:ilvl="0">
      <w:lvlJc w:val="left"/>
      <w:lvlText w:val="(%1)"/>
      <w:numFmt w:val="decimal"/>
      <w:start w:val="2"/>
    </w:lvl>
    <w:lvl w:ilvl="1">
      <w:lvlJc w:val="left"/>
      <w:lvlText w:val="%2"/>
      <w:numFmt w:val="lowerLetter"/>
      <w:start w:val="1"/>
    </w:lvl>
  </w:abstractNum>
  <w:abstractNum w:abstractNumId="149">
    <w:nsid w:val="116AE494"/>
    <w:multiLevelType w:val="hybridMultilevel"/>
    <w:lvl w:ilvl="0">
      <w:lvlJc w:val="left"/>
      <w:lvlText w:val="(%1)"/>
      <w:numFmt w:val="decimal"/>
      <w:start w:val="1"/>
    </w:lvl>
    <w:lvl w:ilvl="1">
      <w:lvlJc w:val="left"/>
      <w:lvlText w:val="(%2)"/>
      <w:numFmt w:val="lowerLetter"/>
      <w:start w:val="1"/>
    </w:lvl>
  </w:abstractNum>
  <w:abstractNum w:abstractNumId="150">
    <w:nsid w:val="3494B2FB"/>
    <w:multiLevelType w:val="hybridMultilevel"/>
    <w:lvl w:ilvl="0">
      <w:lvlJc w:val="left"/>
      <w:lvlText w:val="(%1)"/>
      <w:numFmt w:val="decimal"/>
      <w:start w:val="3"/>
    </w:lvl>
  </w:abstractNum>
  <w:abstractNum w:abstractNumId="151">
    <w:nsid w:val="B13A31"/>
    <w:multiLevelType w:val="hybridMultilevel"/>
    <w:lvl w:ilvl="0">
      <w:lvlJc w:val="left"/>
      <w:lvlText w:val="(%1)"/>
      <w:numFmt w:val="decimal"/>
      <w:start w:val="1"/>
    </w:lvl>
  </w:abstractNum>
  <w:abstractNum w:abstractNumId="152">
    <w:nsid w:val="64429599"/>
    <w:multiLevelType w:val="hybridMultilevel"/>
    <w:lvl w:ilvl="0">
      <w:lvlJc w:val="left"/>
      <w:lvlText w:val="(%1)"/>
      <w:numFmt w:val="decimal"/>
      <w:start w:val="2"/>
    </w:lvl>
  </w:abstractNum>
  <w:abstractNum w:abstractNumId="153">
    <w:nsid w:val="631F1690"/>
    <w:multiLevelType w:val="hybridMultilevel"/>
    <w:lvl w:ilvl="0">
      <w:lvlJc w:val="left"/>
      <w:lvlText w:val="(%1)"/>
      <w:numFmt w:val="decimal"/>
      <w:start w:val="1"/>
    </w:lvl>
  </w:abstractNum>
  <w:abstractNum w:abstractNumId="154">
    <w:nsid w:val="25973E32"/>
    <w:multiLevelType w:val="hybridMultilevel"/>
    <w:lvl w:ilvl="0">
      <w:lvlJc w:val="left"/>
      <w:lvlText w:val="(%1)"/>
      <w:numFmt w:val="decimal"/>
      <w:start w:val="2"/>
    </w:lvl>
  </w:abstractNum>
  <w:abstractNum w:abstractNumId="155">
    <w:nsid w:val="EAD6F57"/>
    <w:multiLevelType w:val="hybridMultilevel"/>
    <w:lvl w:ilvl="0">
      <w:lvlJc w:val="left"/>
      <w:lvlText w:val="1"/>
      <w:numFmt w:val="bullet"/>
      <w:start w:val="1"/>
    </w:lvl>
  </w:abstractNum>
  <w:abstractNum w:abstractNumId="156">
    <w:nsid w:val="6EC9D844"/>
    <w:multiLevelType w:val="hybridMultilevel"/>
    <w:lvl w:ilvl="0">
      <w:lvlJc w:val="left"/>
      <w:lvlText w:val="2"/>
      <w:numFmt w:val="bullet"/>
      <w:start w:val="1"/>
    </w:lvl>
  </w:abstractNum>
  <w:abstractNum w:abstractNumId="157">
    <w:nsid w:val="5C49EAEE"/>
    <w:multiLevelType w:val="hybridMultilevel"/>
    <w:lvl w:ilvl="0">
      <w:lvlJc w:val="left"/>
      <w:lvlText w:val="3"/>
      <w:numFmt w:val="bullet"/>
      <w:start w:val="1"/>
    </w:lvl>
  </w:abstractNum>
  <w:abstractNum w:abstractNumId="158">
    <w:nsid w:val="64AF49B"/>
    <w:multiLevelType w:val="hybridMultilevel"/>
    <w:lvl w:ilvl="0">
      <w:lvlJc w:val="left"/>
      <w:lvlText w:val="4"/>
      <w:numFmt w:val="bullet"/>
      <w:start w:val="1"/>
    </w:lvl>
  </w:abstractNum>
  <w:abstractNum w:abstractNumId="159">
    <w:nsid w:val="397C46BC"/>
    <w:multiLevelType w:val="hybridMultilevel"/>
    <w:lvl w:ilvl="0">
      <w:lvlJc w:val="left"/>
      <w:lvlText w:val="5"/>
      <w:numFmt w:val="bullet"/>
      <w:start w:val="1"/>
    </w:lvl>
  </w:abstractNum>
  <w:abstractNum w:abstractNumId="160">
    <w:nsid w:val="7E448DE9"/>
    <w:multiLevelType w:val="hybridMultilevel"/>
    <w:lvl w:ilvl="0">
      <w:lvlJc w:val="left"/>
      <w:lvlText w:val="6"/>
      <w:numFmt w:val="bullet"/>
      <w:start w:val="1"/>
    </w:lvl>
  </w:abstractNum>
  <w:abstractNum w:abstractNumId="161">
    <w:nsid w:val="5A9CC3E5"/>
    <w:multiLevelType w:val="hybridMultilevel"/>
    <w:lvl w:ilvl="0">
      <w:lvlJc w:val="left"/>
      <w:lvlText w:val="7"/>
      <w:numFmt w:val="bullet"/>
      <w:start w:val="1"/>
    </w:lvl>
  </w:abstractNum>
  <w:abstractNum w:abstractNumId="162">
    <w:nsid w:val="1AFE3625"/>
    <w:multiLevelType w:val="hybridMultilevel"/>
    <w:lvl w:ilvl="0">
      <w:lvlJc w:val="left"/>
      <w:lvlText w:val="(%1)"/>
      <w:numFmt w:val="decimal"/>
      <w:start w:val="1"/>
    </w:lvl>
  </w:abstractNum>
  <w:abstractNum w:abstractNumId="163">
    <w:nsid w:val="3CA88ECF"/>
    <w:multiLevelType w:val="hybridMultilevel"/>
    <w:lvl w:ilvl="0">
      <w:lvlJc w:val="left"/>
      <w:lvlText w:val="8"/>
      <w:numFmt w:val="bullet"/>
      <w:start w:val="1"/>
    </w:lvl>
  </w:abstractNum>
  <w:abstractNum w:abstractNumId="164">
    <w:nsid w:val="6EBE4208"/>
    <w:multiLevelType w:val="hybridMultilevel"/>
    <w:lvl w:ilvl="0">
      <w:lvlJc w:val="left"/>
      <w:lvlText w:val="9"/>
      <w:numFmt w:val="bullet"/>
      <w:start w:val="1"/>
    </w:lvl>
  </w:abstractNum>
  <w:abstractNum w:abstractNumId="165">
    <w:nsid w:val="C058DF5"/>
    <w:multiLevelType w:val="hybridMultilevel"/>
    <w:lvl w:ilvl="0">
      <w:lvlJc w:val="left"/>
      <w:lvlText w:val="(%1)"/>
      <w:numFmt w:val="decimal"/>
      <w:start w:val="5"/>
    </w:lvl>
    <w:lvl w:ilvl="1">
      <w:lvlJc w:val="left"/>
      <w:lvlText w:val="(%2)"/>
      <w:numFmt w:val="lowerLetter"/>
      <w:start w:val="1"/>
    </w:lvl>
  </w:abstractNum>
  <w:abstractNum w:abstractNumId="166">
    <w:nsid w:val="CBE5B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67">
    <w:nsid w:val="3102BBE2"/>
    <w:multiLevelType w:val="hybridMultilevel"/>
    <w:lvl w:ilvl="0">
      <w:lvlJc w:val="left"/>
      <w:lvlText w:val="%1"/>
      <w:numFmt w:val="decimal"/>
      <w:start w:val="1"/>
    </w:lvl>
    <w:lvl w:ilvl="1">
      <w:lvlJc w:val="left"/>
      <w:lvlText w:val="(%2)"/>
      <w:numFmt w:val="decimal"/>
      <w:start w:val="2"/>
    </w:lvl>
    <w:lvl w:ilvl="2">
      <w:lvlJc w:val="left"/>
      <w:lvlText w:val="(%3)"/>
      <w:numFmt w:val="lowerLetter"/>
      <w:start w:val="3"/>
    </w:lvl>
  </w:abstractNum>
  <w:abstractNum w:abstractNumId="168">
    <w:nsid w:val="26A02C5E"/>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69">
    <w:nsid w:val="541C8153"/>
    <w:multiLevelType w:val="hybridMultilevel"/>
    <w:lvl w:ilvl="0">
      <w:lvlJc w:val="left"/>
      <w:lvlText w:val="(%1)"/>
      <w:numFmt w:val="decimal"/>
      <w:start w:val="7"/>
    </w:lvl>
    <w:lvl w:ilvl="1">
      <w:lvlJc w:val="left"/>
      <w:lvlText w:val="(%2)"/>
      <w:numFmt w:val="lowerLetter"/>
      <w:start w:val="1"/>
    </w:lvl>
  </w:abstractNum>
  <w:abstractNum w:abstractNumId="170">
    <w:nsid w:val="67906F60"/>
    <w:multiLevelType w:val="hybridMultilevel"/>
    <w:lvl w:ilvl="0">
      <w:lvlJc w:val="left"/>
      <w:lvlText w:val="(%1)"/>
      <w:numFmt w:val="decimal"/>
      <w:start w:val="10"/>
    </w:lvl>
  </w:abstractNum>
  <w:abstractNum w:abstractNumId="171">
    <w:nsid w:val="10DB9DAA"/>
    <w:multiLevelType w:val="hybridMultilevel"/>
    <w:lvl w:ilvl="0">
      <w:lvlJc w:val="left"/>
      <w:lvlText w:val="(%1)"/>
      <w:numFmt w:val="decimal"/>
      <w:start w:val="13"/>
    </w:lvl>
  </w:abstractNum>
  <w:abstractNum w:abstractNumId="172">
    <w:nsid w:val="697D2D2"/>
    <w:multiLevelType w:val="hybridMultilevel"/>
    <w:lvl w:ilvl="0">
      <w:lvlJc w:val="left"/>
      <w:lvlText w:val="(%1)"/>
      <w:numFmt w:val="decimal"/>
      <w:start w:val="18"/>
    </w:lvl>
  </w:abstractNum>
  <w:abstractNum w:abstractNumId="173">
    <w:nsid w:val="6D68AB2"/>
    <w:multiLevelType w:val="hybridMultilevel"/>
    <w:lvl w:ilvl="0">
      <w:lvlJc w:val="left"/>
      <w:lvlText w:val="%1"/>
      <w:numFmt w:val="decimal"/>
      <w:start w:val="10"/>
    </w:lvl>
  </w:abstractNum>
  <w:abstractNum w:abstractNumId="174">
    <w:nsid w:val="3A966CD0"/>
    <w:multiLevelType w:val="hybridMultilevel"/>
    <w:lvl w:ilvl="0">
      <w:lvlJc w:val="left"/>
      <w:lvlText w:val="❑"/>
      <w:numFmt w:val="bullet"/>
      <w:start w:val="1"/>
    </w:lvl>
  </w:abstractNum>
  <w:abstractNum w:abstractNumId="175">
    <w:nsid w:val="63F37E85"/>
    <w:multiLevelType w:val="hybridMultilevel"/>
    <w:lvl w:ilvl="0">
      <w:lvlJc w:val="left"/>
      <w:lvlText w:val="%1"/>
      <w:numFmt w:val="decimal"/>
      <w:start w:val="11"/>
    </w:lvl>
  </w:abstractNum>
  <w:abstractNum w:abstractNumId="176">
    <w:nsid w:val="5895F5FA"/>
    <w:multiLevelType w:val="hybridMultilevel"/>
    <w:lvl w:ilvl="0">
      <w:lvlJc w:val="left"/>
      <w:lvlText w:val="%1"/>
      <w:numFmt w:val="decimal"/>
      <w:start w:val="12"/>
    </w:lvl>
  </w:abstractNum>
  <w:abstractNum w:abstractNumId="177">
    <w:nsid w:val="38A5D054"/>
    <w:multiLevelType w:val="hybridMultilevel"/>
    <w:lvl w:ilvl="0">
      <w:lvlJc w:val="left"/>
      <w:lvlText w:val="%1."/>
      <w:numFmt w:val="decimal"/>
      <w:start w:val="1"/>
    </w:lvl>
  </w:abstractNum>
  <w:abstractNum w:abstractNumId="178">
    <w:nsid w:val="F3F09D8"/>
    <w:multiLevelType w:val="hybridMultilevel"/>
    <w:lvl w:ilvl="0">
      <w:lvlJc w:val="left"/>
      <w:lvlText w:val="%1."/>
      <w:numFmt w:val="decimal"/>
      <w:start w:val="3"/>
    </w:lvl>
    <w:lvl w:ilvl="1">
      <w:lvlJc w:val="left"/>
      <w:lvlText w:val="(%2)"/>
      <w:numFmt w:val="lowerLetter"/>
      <w:start w:val="1"/>
    </w:lvl>
  </w:abstractNum>
  <w:abstractNum w:abstractNumId="179">
    <w:nsid w:val="4B793735"/>
    <w:multiLevelType w:val="hybridMultilevel"/>
    <w:lvl w:ilvl="0">
      <w:lvlJc w:val="left"/>
      <w:lvlText w:val="(%1)"/>
      <w:numFmt w:val="lowerLetter"/>
      <w:start w:val="3"/>
    </w:lvl>
  </w:abstractNum>
  <w:abstractNum w:abstractNumId="180">
    <w:nsid w:val="4A10B4E8"/>
    <w:multiLevelType w:val="hybridMultilevel"/>
    <w:lvl w:ilvl="0">
      <w:lvlJc w:val="left"/>
      <w:lvlText w:val="%1."/>
      <w:numFmt w:val="decimal"/>
      <w:start w:val="1"/>
    </w:lvl>
  </w:abstractNum>
  <w:abstractNum w:abstractNumId="181">
    <w:nsid w:val="43D3BCD4"/>
    <w:multiLevelType w:val="hybridMultilevel"/>
    <w:lvl w:ilvl="0">
      <w:lvlJc w:val="left"/>
      <w:lvlText w:val="%1"/>
      <w:numFmt w:val="decimal"/>
      <w:start w:val="1"/>
    </w:lvl>
    <w:lvl w:ilvl="1">
      <w:lvlJc w:val="left"/>
      <w:lvlText w:val="(%2)"/>
      <w:numFmt w:val="lowerLetter"/>
      <w:start w:val="2"/>
    </w:lvl>
  </w:abstractNum>
  <w:abstractNum w:abstractNumId="182">
    <w:nsid w:val="4C2A7166"/>
    <w:multiLevelType w:val="hybridMultilevel"/>
    <w:lvl w:ilvl="0">
      <w:lvlJc w:val="left"/>
      <w:lvlText w:val="%1."/>
      <w:numFmt w:val="decimal"/>
      <w:start w:val="2"/>
    </w:lvl>
    <w:lvl w:ilvl="1">
      <w:lvlJc w:val="left"/>
      <w:lvlText w:val="%2"/>
      <w:numFmt w:val="lowerLetter"/>
      <w:start w:val="1"/>
    </w:lvl>
  </w:abstractNum>
  <w:abstractNum w:abstractNumId="183">
    <w:nsid w:val="2E534A82"/>
    <w:multiLevelType w:val="hybridMultilevel"/>
    <w:lvl w:ilvl="0">
      <w:lvlJc w:val="left"/>
      <w:lvlText w:val="(%1)"/>
      <w:numFmt w:val="lowerLetter"/>
      <w:start w:val="2"/>
    </w:lvl>
  </w:abstractNum>
  <w:abstractNum w:abstractNumId="184">
    <w:nsid w:val="26F2D36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85">
    <w:nsid w:val="71C1AF98"/>
    <w:multiLevelType w:val="hybridMultilevel"/>
    <w:lvl w:ilvl="0">
      <w:lvlJc w:val="left"/>
      <w:lvlText w:val="%1"/>
      <w:numFmt w:val="decimal"/>
      <w:start w:val="1"/>
    </w:lvl>
    <w:lvl w:ilvl="1">
      <w:lvlJc w:val="left"/>
      <w:lvlText w:val="(%2)"/>
      <w:numFmt w:val="lowerLetter"/>
      <w:start w:val="4"/>
    </w:lvl>
  </w:abstractNum>
  <w:abstractNum w:abstractNumId="186">
    <w:nsid w:val="3D00B9D9"/>
    <w:multiLevelType w:val="hybridMultilevel"/>
    <w:lvl w:ilvl="0">
      <w:lvlJc w:val="left"/>
      <w:lvlText w:val="%1."/>
      <w:numFmt w:val="decimal"/>
      <w:start w:val="2"/>
    </w:lvl>
    <w:lvl w:ilvl="1">
      <w:lvlJc w:val="left"/>
      <w:lvlText w:val="(%2)"/>
      <w:numFmt w:val="lowerLetter"/>
      <w:start w:val="1"/>
    </w:lvl>
  </w:abstractNum>
  <w:abstractNum w:abstractNumId="187">
    <w:nsid w:val="15BCABA8"/>
    <w:multiLevelType w:val="hybridMultilevel"/>
    <w:lvl w:ilvl="0">
      <w:lvlJc w:val="left"/>
      <w:lvlText w:val="(%1)"/>
      <w:numFmt w:val="lowerLetter"/>
      <w:start w:val="1"/>
    </w:lvl>
  </w:abstractNum>
  <w:abstractNum w:abstractNumId="188">
    <w:nsid w:val="4E0B9A87"/>
    <w:multiLevelType w:val="hybridMultilevel"/>
    <w:lvl w:ilvl="0">
      <w:lvlJc w:val="left"/>
      <w:lvlText w:val="%1"/>
      <w:numFmt w:val="upperLetter"/>
      <w:start w:val="1"/>
    </w:lvl>
    <w:lvl w:ilvl="1">
      <w:lvlJc w:val="left"/>
      <w:lvlText w:val="%2."/>
      <w:numFmt w:val="decimal"/>
      <w:start w:val="1"/>
    </w:lvl>
  </w:abstractNum>
  <w:abstractNum w:abstractNumId="189">
    <w:nsid w:val="434BAE75"/>
    <w:multiLevelType w:val="hybridMultilevel"/>
    <w:lvl w:ilvl="0">
      <w:lvlJc w:val="left"/>
      <w:lvlText w:val="(%1)"/>
      <w:numFmt w:val="upperLetter"/>
      <w:start w:val="2"/>
    </w:lvl>
    <w:lvl w:ilvl="1">
      <w:lvlJc w:val="left"/>
      <w:lvlText w:val="%2"/>
      <w:numFmt w:val="decimal"/>
      <w:start w:val="1"/>
    </w:lvl>
  </w:abstractNum>
  <w:abstractNum w:abstractNumId="190">
    <w:nsid w:val="4F38F265"/>
    <w:multiLevelType w:val="hybridMultilevel"/>
    <w:lvl w:ilvl="0">
      <w:lvlJc w:val="left"/>
      <w:lvlText w:val="(%1)"/>
      <w:numFmt w:val="upperLetter"/>
      <w:start w:val="4"/>
    </w:lvl>
    <w:lvl w:ilvl="1">
      <w:lvlJc w:val="left"/>
      <w:lvlText w:val="%2."/>
      <w:numFmt w:val="decimal"/>
      <w:start w:val="3"/>
    </w:lvl>
  </w:abstractNum>
  <w:abstractNum w:abstractNumId="191">
    <w:nsid w:val="4C502870"/>
    <w:multiLevelType w:val="hybridMultilevel"/>
    <w:lvl w:ilvl="0">
      <w:lvlJc w:val="left"/>
      <w:lvlText w:val="%1."/>
      <w:numFmt w:val="decimal"/>
      <w:start w:val="4"/>
    </w:lvl>
  </w:abstractNum>
  <w:abstractNum w:abstractNumId="192">
    <w:nsid w:val="1DE8725A"/>
    <w:multiLevelType w:val="hybridMultilevel"/>
    <w:lvl w:ilvl="0">
      <w:lvlJc w:val="left"/>
      <w:lvlText w:val="%1."/>
      <w:numFmt w:val="decimal"/>
      <w:start w:val="1"/>
    </w:lvl>
  </w:abstractNum>
  <w:abstractNum w:abstractNumId="193">
    <w:nsid w:val="6A37288A"/>
    <w:multiLevelType w:val="hybridMultilevel"/>
    <w:lvl w:ilvl="0">
      <w:lvlJc w:val="left"/>
      <w:lvlText w:val="%1."/>
      <w:numFmt w:val="decimal"/>
      <w:start w:val="7"/>
    </w:lvl>
  </w:abstractNum>
  <w:abstractNum w:abstractNumId="194">
    <w:nsid w:val="8F8B73F"/>
    <w:multiLevelType w:val="hybridMultilevel"/>
    <w:lvl w:ilvl="0">
      <w:lvlJc w:val="left"/>
      <w:lvlText w:val="%1."/>
      <w:numFmt w:val="upperLetter"/>
      <w:start w:val="1"/>
    </w:lvl>
  </w:abstractNum>
  <w:abstractNum w:abstractNumId="195">
    <w:nsid w:val="CA6B462"/>
    <w:multiLevelType w:val="hybridMultilevel"/>
    <w:lvl w:ilvl="0">
      <w:lvlJc w:val="left"/>
      <w:lvlText w:val="%1."/>
      <w:numFmt w:val="upperLetter"/>
      <w:start w:val="5"/>
    </w:lvl>
  </w:abstractNum>
  <w:abstractNum w:abstractNumId="196">
    <w:nsid w:val="763CB680"/>
    <w:multiLevelType w:val="hybridMultilevel"/>
    <w:lvl w:ilvl="0">
      <w:lvlJc w:val="left"/>
      <w:lvlText w:val="%1."/>
      <w:numFmt w:val="decimal"/>
      <w:start w:val="2"/>
    </w:lvl>
  </w:abstractNum>
  <w:abstractNum w:abstractNumId="197">
    <w:nsid w:val="15B71329"/>
    <w:multiLevelType w:val="hybridMultilevel"/>
    <w:lvl w:ilvl="0">
      <w:lvlJc w:val="left"/>
      <w:lvlText w:val="(%1)"/>
      <w:numFmt w:val="lowerLetter"/>
      <w:start w:val="1"/>
    </w:lvl>
  </w:abstractNum>
  <w:abstractNum w:abstractNumId="198">
    <w:nsid w:val="3DA97044"/>
    <w:multiLevelType w:val="hybridMultilevel"/>
    <w:lvl w:ilvl="0">
      <w:lvlJc w:val="left"/>
      <w:lvlText w:val="(%1)"/>
      <w:numFmt w:val="lowerLetter"/>
      <w:start w:val="3"/>
    </w:lvl>
  </w:abstractNum>
  <w:abstractNum w:abstractNumId="199">
    <w:nsid w:val="1CDCE2DE"/>
    <w:multiLevelType w:val="hybridMultilevel"/>
    <w:lvl w:ilvl="0">
      <w:lvlJc w:val="left"/>
      <w:lvlText w:val="(%1)"/>
      <w:numFmt w:val="lowerRoman"/>
      <w:start w:val="2"/>
    </w:lvl>
  </w:abstractNum>
  <w:abstractNum w:abstractNumId="200">
    <w:nsid w:val="69D3947C"/>
    <w:multiLevelType w:val="hybridMultilevel"/>
    <w:lvl w:ilvl="0">
      <w:lvlJc w:val="left"/>
      <w:lvlText w:val="(%1)"/>
      <w:numFmt w:val="lowerLetter"/>
      <w:start w:val="1"/>
    </w:lvl>
  </w:abstractNum>
  <w:abstractNum w:abstractNumId="201">
    <w:nsid w:val="2539DFA5"/>
    <w:multiLevelType w:val="hybridMultilevel"/>
    <w:lvl w:ilvl="0">
      <w:lvlJc w:val="left"/>
      <w:lvlText w:val="(%1)"/>
      <w:numFmt w:val="lowerLetter"/>
      <w:start w:val="4"/>
    </w:lvl>
  </w:abstractNum>
  <w:abstractNum w:abstractNumId="202">
    <w:nsid w:val="2DB88089"/>
    <w:multiLevelType w:val="hybridMultilevel"/>
    <w:lvl w:ilvl="0">
      <w:lvlJc w:val="left"/>
      <w:lvlText w:val="%1."/>
      <w:numFmt w:val="decimal"/>
      <w:start w:val="5"/>
    </w:lvl>
    <w:lvl w:ilvl="1">
      <w:lvlJc w:val="left"/>
      <w:lvlText w:val="(%2)"/>
      <w:numFmt w:val="lowerLetter"/>
      <w:start w:val="1"/>
    </w:lvl>
  </w:abstractNum>
  <w:abstractNum w:abstractNumId="203">
    <w:nsid w:val="706B674E"/>
    <w:multiLevelType w:val="hybridMultilevel"/>
    <w:lvl w:ilvl="0">
      <w:lvlJc w:val="left"/>
      <w:lvlText w:val="%1."/>
      <w:numFmt w:val="decimal"/>
      <w:start w:val="6"/>
    </w:lvl>
  </w:abstractNum>
  <w:abstractNum w:abstractNumId="204">
    <w:nsid w:val="2C106A57"/>
    <w:multiLevelType w:val="hybridMultilevel"/>
    <w:lvl w:ilvl="0">
      <w:lvlJc w:val="left"/>
      <w:lvlText w:val="(%1)"/>
      <w:numFmt w:val="lowerLetter"/>
      <w:start w:val="1"/>
    </w:lvl>
  </w:abstractNum>
  <w:abstractNum w:abstractNumId="205">
    <w:nsid w:val="684EED59"/>
    <w:multiLevelType w:val="hybridMultilevel"/>
    <w:lvl w:ilvl="0">
      <w:lvlJc w:val="left"/>
      <w:lvlText w:val="%1."/>
      <w:numFmt w:val="decimal"/>
      <w:start w:val="8"/>
    </w:lvl>
  </w:abstractNum>
  <w:abstractNum w:abstractNumId="206">
    <w:nsid w:val="545EE5D3"/>
    <w:multiLevelType w:val="hybridMultilevel"/>
    <w:lvl w:ilvl="0">
      <w:lvlJc w:val="left"/>
      <w:lvlText w:val="%1."/>
      <w:numFmt w:val="decimal"/>
      <w:start w:val="9"/>
    </w:lvl>
  </w:abstractNum>
  <w:abstractNum w:abstractNumId="207">
    <w:nsid w:val="4A66051"/>
    <w:multiLevelType w:val="hybridMultilevel"/>
    <w:lvl w:ilvl="0">
      <w:lvlJc w:val="left"/>
      <w:lvlText w:val="%1."/>
      <w:numFmt w:val="decimal"/>
      <w:start w:val="11"/>
    </w:lvl>
  </w:abstractNum>
  <w:abstractNum w:abstractNumId="208">
    <w:nsid w:val="20F4BDAD"/>
    <w:multiLevelType w:val="hybridMultilevel"/>
    <w:lvl w:ilvl="0">
      <w:lvlJc w:val="left"/>
      <w:lvlText w:val="%1."/>
      <w:numFmt w:val="decimal"/>
      <w:start w:val="12"/>
    </w:lvl>
  </w:abstractNum>
  <w:abstractNum w:abstractNumId="209">
    <w:nsid w:val="639DEFAC"/>
    <w:multiLevelType w:val="hybridMultilevel"/>
    <w:lvl w:ilvl="0">
      <w:lvlJc w:val="left"/>
      <w:lvlText w:val="(%1)"/>
      <w:numFmt w:val="lowerLetter"/>
      <w:start w:val="1"/>
    </w:lvl>
  </w:abstractNum>
  <w:abstractNum w:abstractNumId="210">
    <w:nsid w:val="501F9786"/>
    <w:multiLevelType w:val="hybridMultilevel"/>
    <w:lvl w:ilvl="0">
      <w:lvlJc w:val="left"/>
      <w:lvlText w:val="(%1)"/>
      <w:numFmt w:val="lowerLetter"/>
      <w:start w:val="1"/>
    </w:lvl>
  </w:abstractNum>
  <w:abstractNum w:abstractNumId="211">
    <w:nsid w:val="6B057295"/>
    <w:multiLevelType w:val="hybridMultilevel"/>
    <w:lvl w:ilvl="0">
      <w:lvlJc w:val="left"/>
      <w:lvlText w:val="(%1)"/>
      <w:numFmt w:val="lowerLetter"/>
      <w:start w:val="2"/>
    </w:lvl>
  </w:abstractNum>
  <w:abstractNum w:abstractNumId="212">
    <w:nsid w:val="2771AC80"/>
    <w:multiLevelType w:val="hybridMultilevel"/>
    <w:lvl w:ilvl="0">
      <w:lvlJc w:val="left"/>
      <w:lvlText w:val="%1."/>
      <w:numFmt w:val="decimal"/>
      <w:start w:val="14"/>
    </w:lvl>
  </w:abstractNum>
  <w:abstractNum w:abstractNumId="213">
    <w:nsid w:val="1C4A08EC"/>
    <w:multiLevelType w:val="hybridMultilevel"/>
    <w:lvl w:ilvl="0">
      <w:lvlJc w:val="left"/>
      <w:lvlText w:val="%1."/>
      <w:numFmt w:val="decimal"/>
      <w:start w:val="17"/>
    </w:lvl>
  </w:abstractNum>
  <w:abstractNum w:abstractNumId="214">
    <w:nsid w:val="1958BD17"/>
    <w:multiLevelType w:val="hybridMultilevel"/>
    <w:lvl w:ilvl="0">
      <w:lvlJc w:val="left"/>
      <w:lvlText w:val="%1."/>
      <w:numFmt w:val="decimal"/>
      <w:start w:val="22"/>
    </w:lvl>
  </w:abstractNum>
  <w:abstractNum w:abstractNumId="215">
    <w:nsid w:val="4E647FE4"/>
    <w:multiLevelType w:val="hybridMultilevel"/>
    <w:lvl w:ilvl="0">
      <w:lvlJc w:val="left"/>
      <w:lvlText w:val="(%1)"/>
      <w:numFmt w:val="lowerLetter"/>
      <w:start w:val="1"/>
    </w:lvl>
  </w:abstractNum>
  <w:abstractNum w:abstractNumId="216">
    <w:nsid w:val="E0BB885"/>
    <w:multiLevelType w:val="hybridMultilevel"/>
    <w:lvl w:ilvl="0">
      <w:lvlJc w:val="left"/>
      <w:lvlText w:val="(%1)"/>
      <w:numFmt w:val="lowerLetter"/>
      <w:start w:val="2"/>
    </w:lvl>
  </w:abstractNum>
  <w:abstractNum w:abstractNumId="217">
    <w:nsid w:val="565976F1"/>
    <w:multiLevelType w:val="hybridMultilevel"/>
    <w:lvl w:ilvl="0">
      <w:lvlJc w:val="left"/>
      <w:lvlText w:val="%1"/>
      <w:numFmt w:val="lowerLetter"/>
      <w:start w:val="1"/>
    </w:lvl>
    <w:lvl w:ilvl="1">
      <w:lvlJc w:val="left"/>
      <w:lvlText w:val="%2."/>
      <w:numFmt w:val="decimal"/>
      <w:start w:val="27"/>
    </w:lvl>
  </w:abstractNum>
  <w:abstractNum w:abstractNumId="218">
    <w:nsid w:val="64212B8C"/>
    <w:multiLevelType w:val="hybridMultilevel"/>
    <w:lvl w:ilvl="0">
      <w:lvlJc w:val="left"/>
      <w:lvlText w:val="(%1)"/>
      <w:numFmt w:val="lowerLetter"/>
      <w:start w:val="2"/>
    </w:lvl>
    <w:lvl w:ilvl="1">
      <w:lvlJc w:val="left"/>
      <w:lvlText w:val="%2."/>
      <w:numFmt w:val="decimal"/>
      <w:start w:val="29"/>
    </w:lvl>
  </w:abstractNum>
  <w:abstractNum w:abstractNumId="219">
    <w:nsid w:val="5C17530C"/>
    <w:multiLevelType w:val="hybridMultilevel"/>
    <w:lvl w:ilvl="0">
      <w:lvlJc w:val="left"/>
      <w:lvlText w:val="(%1)"/>
      <w:numFmt w:val="decimal"/>
      <w:start w:val="1"/>
    </w:lvl>
  </w:abstractNum>
  <w:abstractNum w:abstractNumId="220">
    <w:nsid w:val="19A52566"/>
    <w:multiLevelType w:val="hybridMultilevel"/>
    <w:lvl w:ilvl="0">
      <w:lvlJc w:val="left"/>
      <w:lvlText w:val="(%1)"/>
      <w:numFmt w:val="decimal"/>
      <w:start w:val="1"/>
    </w:lvl>
  </w:abstractNum>
  <w:abstractNum w:abstractNumId="221">
    <w:nsid w:val="335A1D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2019-12-29T02:24:24Z</dcterms:created>
  <dcterms:modified xsi:type="dcterms:W3CDTF">2019-12-29T02:24:24Z</dcterms:modified>
</cp:coreProperties>
</file>