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4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311150</wp:posOffset>
            </wp:positionH>
            <wp:positionV relativeFrom="page">
              <wp:posOffset>911860</wp:posOffset>
            </wp:positionV>
            <wp:extent cx="692658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6580" cy="1714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3056890</wp:posOffset>
            </wp:positionH>
            <wp:positionV relativeFrom="paragraph">
              <wp:posOffset>52705</wp:posOffset>
            </wp:positionV>
            <wp:extent cx="10287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spacing w:after="0" w:line="3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60" w:lineRule="exact"/>
        <w:rPr>
          <w:sz w:val="24"/>
          <w:szCs w:val="24"/>
          <w:color w:val="auto"/>
        </w:rPr>
      </w:pPr>
    </w:p>
    <w:p>
      <w:pPr>
        <w:ind w:left="700" w:hanging="666"/>
        <w:spacing w:after="0"/>
        <w:tabs>
          <w:tab w:leader="none" w:pos="70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QUARTERLY REPORT PURSUANT TO SECTION 13 OR 15(d) OF THE SECURITIES EXCHANGE ACT OF 1934</w:t>
      </w:r>
    </w:p>
    <w:p>
      <w:pPr>
        <w:spacing w:after="0" w:line="115"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For the quarterly period ended June 30, 2023</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31" w:lineRule="exact"/>
        <w:rPr>
          <w:sz w:val="24"/>
          <w:szCs w:val="24"/>
          <w:color w:val="auto"/>
        </w:rPr>
      </w:pPr>
    </w:p>
    <w:p>
      <w:pPr>
        <w:ind w:left="700" w:hanging="666"/>
        <w:spacing w:after="0"/>
        <w:tabs>
          <w:tab w:leader="none" w:pos="70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ectPr>
          <w:pgSz w:w="11900" w:h="16838" w:orient="portrait"/>
          <w:cols w:equalWidth="0" w:num="1">
            <w:col w:w="11240"/>
          </w:cols>
          <w:pgMar w:left="320" w:top="1440" w:right="339" w:bottom="1440" w:gutter="0" w:footer="0" w:header="0"/>
        </w:sectPr>
      </w:pPr>
    </w:p>
    <w:p>
      <w:pPr>
        <w:spacing w:after="0" w:line="115" w:lineRule="exact"/>
        <w:rPr>
          <w:sz w:val="24"/>
          <w:szCs w:val="24"/>
          <w:color w:val="auto"/>
        </w:rPr>
      </w:pPr>
    </w:p>
    <w:p>
      <w:pPr>
        <w:jc w:val="center"/>
        <w:ind w:left="66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9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86" w:lineRule="exact"/>
        <w:rPr>
          <w:sz w:val="24"/>
          <w:szCs w:val="24"/>
          <w:color w:val="auto"/>
        </w:rPr>
      </w:pPr>
    </w:p>
    <w:p>
      <w:pPr>
        <w:sectPr>
          <w:pgSz w:w="11900" w:h="16838" w:orient="portrait"/>
          <w:cols w:equalWidth="0" w:num="2">
            <w:col w:w="2980" w:space="580"/>
            <w:col w:w="7680"/>
          </w:cols>
          <w:pgMar w:left="320" w:top="1440" w:right="339"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Commission file number 000-22418</w:t>
      </w:r>
    </w:p>
    <w:p>
      <w:pPr>
        <w:sectPr>
          <w:pgSz w:w="11900" w:h="16838" w:orient="portrait"/>
          <w:cols w:equalWidth="0" w:num="1">
            <w:col w:w="11240"/>
          </w:cols>
          <w:pgMar w:left="320" w:top="1440" w:right="339" w:bottom="1440" w:gutter="0" w:footer="0" w:header="0"/>
          <w:type w:val="continuous"/>
        </w:sectPr>
      </w:pPr>
    </w:p>
    <w:p>
      <w:pPr>
        <w:spacing w:after="0" w:line="74"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ITRON, INC.</w:t>
      </w:r>
    </w:p>
    <w:p>
      <w:pPr>
        <w:spacing w:after="0" w:line="55"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(Exact name of registrant as specified in its charter)</w:t>
      </w:r>
    </w:p>
    <w:p>
      <w:pPr>
        <w:sectPr>
          <w:pgSz w:w="11900" w:h="16838" w:orient="portrait"/>
          <w:cols w:equalWidth="0" w:num="1">
            <w:col w:w="11240"/>
          </w:cols>
          <w:pgMar w:left="320" w:top="1440" w:right="339" w:bottom="1440" w:gutter="0" w:footer="0" w:header="0"/>
          <w:type w:val="continuous"/>
        </w:sectPr>
      </w:pPr>
    </w:p>
    <w:p>
      <w:pPr>
        <w:spacing w:after="0" w:line="66" w:lineRule="exact"/>
        <w:rPr>
          <w:sz w:val="24"/>
          <w:szCs w:val="24"/>
          <w:color w:val="auto"/>
        </w:rPr>
      </w:pPr>
    </w:p>
    <w:p>
      <w:pPr>
        <w:jc w:val="center"/>
        <w:ind w:right="960"/>
        <w:spacing w:after="0"/>
        <w:rPr>
          <w:sz w:val="20"/>
          <w:szCs w:val="20"/>
          <w:color w:val="auto"/>
        </w:rPr>
      </w:pPr>
      <w:r>
        <w:rPr>
          <w:rFonts w:ascii="Arial" w:cs="Arial" w:eastAsia="Arial" w:hAnsi="Arial"/>
          <w:sz w:val="18"/>
          <w:szCs w:val="18"/>
          <w:b w:val="1"/>
          <w:bCs w:val="1"/>
          <w:color w:val="auto"/>
        </w:rPr>
        <w:t>Washington</w:t>
      </w:r>
    </w:p>
    <w:p>
      <w:pPr>
        <w:spacing w:after="0" w:line="27" w:lineRule="exact"/>
        <w:rPr>
          <w:sz w:val="24"/>
          <w:szCs w:val="24"/>
          <w:color w:val="auto"/>
        </w:rPr>
      </w:pPr>
    </w:p>
    <w:p>
      <w:pPr>
        <w:jc w:val="center"/>
        <w:ind w:right="960"/>
        <w:spacing w:after="0"/>
        <w:rPr>
          <w:sz w:val="20"/>
          <w:szCs w:val="20"/>
          <w:color w:val="auto"/>
        </w:rPr>
      </w:pPr>
      <w:r>
        <w:rPr>
          <w:rFonts w:ascii="Arial" w:cs="Arial" w:eastAsia="Arial" w:hAnsi="Arial"/>
          <w:sz w:val="16"/>
          <w:szCs w:val="16"/>
          <w:b w:val="1"/>
          <w:bCs w:val="1"/>
          <w:color w:val="auto"/>
        </w:rPr>
        <w:t>(State of Incorporation)</w:t>
      </w:r>
    </w:p>
    <w:p>
      <w:pPr>
        <w:spacing w:after="0" w:line="20" w:lineRule="exact"/>
        <w:rPr>
          <w:sz w:val="24"/>
          <w:szCs w:val="24"/>
          <w:color w:val="auto"/>
        </w:rPr>
      </w:pPr>
      <w:r>
        <w:rPr>
          <w:sz w:val="24"/>
          <w:szCs w:val="24"/>
          <w:color w:val="auto"/>
        </w:rPr>
        <w:br w:type="column"/>
      </w:r>
    </w:p>
    <w:p>
      <w:pPr>
        <w:spacing w:after="0" w:line="46" w:lineRule="exact"/>
        <w:rPr>
          <w:sz w:val="24"/>
          <w:szCs w:val="24"/>
          <w:color w:val="auto"/>
        </w:rPr>
      </w:pPr>
    </w:p>
    <w:p>
      <w:pPr>
        <w:jc w:val="center"/>
        <w:ind w:right="1340"/>
        <w:spacing w:after="0"/>
        <w:rPr>
          <w:sz w:val="20"/>
          <w:szCs w:val="20"/>
          <w:color w:val="auto"/>
        </w:rPr>
      </w:pPr>
      <w:r>
        <w:rPr>
          <w:rFonts w:ascii="Arial" w:cs="Arial" w:eastAsia="Arial" w:hAnsi="Arial"/>
          <w:sz w:val="18"/>
          <w:szCs w:val="18"/>
          <w:b w:val="1"/>
          <w:bCs w:val="1"/>
          <w:color w:val="auto"/>
        </w:rPr>
        <w:t>91-1011792</w:t>
      </w:r>
    </w:p>
    <w:p>
      <w:pPr>
        <w:spacing w:after="0" w:line="27" w:lineRule="exact"/>
        <w:rPr>
          <w:sz w:val="24"/>
          <w:szCs w:val="24"/>
          <w:color w:val="auto"/>
        </w:rPr>
      </w:pPr>
    </w:p>
    <w:p>
      <w:pPr>
        <w:jc w:val="center"/>
        <w:ind w:right="1340"/>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2">
            <w:col w:w="6420" w:space="720"/>
            <w:col w:w="4100"/>
          </w:cols>
          <w:pgMar w:left="320" w:top="1440" w:right="339" w:bottom="1440" w:gutter="0" w:footer="0" w:header="0"/>
          <w:type w:val="continuous"/>
        </w:sectPr>
      </w:pPr>
    </w:p>
    <w:p>
      <w:pPr>
        <w:spacing w:after="0" w:line="8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2111 N Molter Road, Liberty Lake, Washington 99019</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(509) 924-9900</w:t>
      </w:r>
    </w:p>
    <w:p>
      <w:pPr>
        <w:spacing w:after="0" w:line="13" w:lineRule="exact"/>
        <w:rPr>
          <w:sz w:val="24"/>
          <w:szCs w:val="24"/>
          <w:color w:val="auto"/>
        </w:rPr>
      </w:pPr>
    </w:p>
    <w:tbl>
      <w:tblPr>
        <w:tblLayout w:type="fixed"/>
        <w:tblInd w:w="80" w:type="dxa"/>
        <w:tblCellMar>
          <w:top w:w="0" w:type="dxa"/>
          <w:left w:w="0" w:type="dxa"/>
          <w:bottom w:w="0" w:type="dxa"/>
          <w:right w:w="0" w:type="dxa"/>
        </w:tblCellMar>
      </w:tblPr>
      <w:tr>
        <w:trPr>
          <w:trHeight w:val="186"/>
        </w:trPr>
        <w:tc>
          <w:tcPr>
            <w:tcW w:w="3140" w:type="dxa"/>
            <w:vAlign w:val="bottom"/>
          </w:tcPr>
          <w:p>
            <w:pPr>
              <w:spacing w:after="0"/>
              <w:rPr>
                <w:sz w:val="16"/>
                <w:szCs w:val="16"/>
                <w:color w:val="auto"/>
              </w:rPr>
            </w:pPr>
          </w:p>
        </w:tc>
        <w:tc>
          <w:tcPr>
            <w:tcW w:w="7960" w:type="dxa"/>
            <w:vAlign w:val="bottom"/>
            <w:gridSpan w:val="5"/>
          </w:tcPr>
          <w:p>
            <w:pPr>
              <w:jc w:val="center"/>
              <w:ind w:right="3110"/>
              <w:spacing w:after="0"/>
              <w:rPr>
                <w:sz w:val="20"/>
                <w:szCs w:val="20"/>
                <w:color w:val="auto"/>
              </w:rPr>
            </w:pPr>
            <w:r>
              <w:rPr>
                <w:rFonts w:ascii="Arial" w:cs="Arial" w:eastAsia="Arial" w:hAnsi="Arial"/>
                <w:sz w:val="14"/>
                <w:szCs w:val="14"/>
                <w:b w:val="1"/>
                <w:bCs w:val="1"/>
                <w:color w:val="auto"/>
                <w:w w:val="91"/>
              </w:rPr>
              <w:t>(Address and telephone number of registrant's principal executive offices)</w:t>
            </w:r>
          </w:p>
        </w:tc>
      </w:tr>
      <w:tr>
        <w:trPr>
          <w:trHeight w:val="471"/>
        </w:trPr>
        <w:tc>
          <w:tcPr>
            <w:tcW w:w="3140" w:type="dxa"/>
            <w:vAlign w:val="bottom"/>
          </w:tcPr>
          <w:p>
            <w:pPr>
              <w:spacing w:after="0"/>
              <w:rPr>
                <w:sz w:val="24"/>
                <w:szCs w:val="24"/>
                <w:color w:val="auto"/>
              </w:rPr>
            </w:pPr>
          </w:p>
        </w:tc>
        <w:tc>
          <w:tcPr>
            <w:tcW w:w="7960" w:type="dxa"/>
            <w:vAlign w:val="bottom"/>
            <w:gridSpan w:val="5"/>
          </w:tcPr>
          <w:p>
            <w:pPr>
              <w:jc w:val="center"/>
              <w:ind w:right="3070"/>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r>
      <w:tr>
        <w:trPr>
          <w:trHeight w:val="257"/>
        </w:trPr>
        <w:tc>
          <w:tcPr>
            <w:tcW w:w="3140" w:type="dxa"/>
            <w:vAlign w:val="bottom"/>
            <w:tcBorders>
              <w:bottom w:val="single" w:sz="8" w:color="auto"/>
            </w:tcBorders>
          </w:tcPr>
          <w:p>
            <w:pPr>
              <w:jc w:val="center"/>
              <w:ind w:left="770"/>
              <w:spacing w:after="0"/>
              <w:rPr>
                <w:sz w:val="20"/>
                <w:szCs w:val="20"/>
                <w:color w:val="auto"/>
              </w:rPr>
            </w:pPr>
            <w:r>
              <w:rPr>
                <w:rFonts w:ascii="Arial" w:cs="Arial" w:eastAsia="Arial" w:hAnsi="Arial"/>
                <w:sz w:val="18"/>
                <w:szCs w:val="18"/>
                <w:b w:val="1"/>
                <w:bCs w:val="1"/>
                <w:color w:val="auto"/>
                <w:w w:val="87"/>
              </w:rPr>
              <w:t>Title of each class</w:t>
            </w:r>
          </w:p>
        </w:tc>
        <w:tc>
          <w:tcPr>
            <w:tcW w:w="8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Trading Symbol(s)</w:t>
            </w:r>
          </w:p>
        </w:tc>
        <w:tc>
          <w:tcPr>
            <w:tcW w:w="120" w:type="dxa"/>
            <w:vAlign w:val="bottom"/>
          </w:tcPr>
          <w:p>
            <w:pPr>
              <w:spacing w:after="0"/>
              <w:rPr>
                <w:sz w:val="22"/>
                <w:szCs w:val="22"/>
                <w:color w:val="auto"/>
              </w:rPr>
            </w:pPr>
          </w:p>
        </w:tc>
        <w:tc>
          <w:tcPr>
            <w:tcW w:w="4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3140" w:type="dxa"/>
            <w:vAlign w:val="bottom"/>
          </w:tcPr>
          <w:p>
            <w:pPr>
              <w:jc w:val="center"/>
              <w:ind w:left="770"/>
              <w:spacing w:after="0"/>
              <w:rPr>
                <w:sz w:val="20"/>
                <w:szCs w:val="20"/>
                <w:color w:val="auto"/>
              </w:rPr>
            </w:pPr>
            <w:r>
              <w:rPr>
                <w:rFonts w:ascii="Arial" w:cs="Arial" w:eastAsia="Arial" w:hAnsi="Arial"/>
                <w:sz w:val="18"/>
                <w:szCs w:val="18"/>
                <w:color w:val="auto"/>
                <w:w w:val="90"/>
              </w:rPr>
              <w:t>Common stock, no par value</w:t>
            </w: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99"/>
              </w:rPr>
              <w:t>ITRI</w:t>
            </w:r>
          </w:p>
        </w:tc>
        <w:tc>
          <w:tcPr>
            <w:tcW w:w="120" w:type="dxa"/>
            <w:vAlign w:val="bottom"/>
          </w:tcPr>
          <w:p>
            <w:pPr>
              <w:spacing w:after="0"/>
              <w:rPr>
                <w:sz w:val="19"/>
                <w:szCs w:val="19"/>
                <w:color w:val="auto"/>
              </w:rPr>
            </w:pPr>
          </w:p>
        </w:tc>
        <w:tc>
          <w:tcPr>
            <w:tcW w:w="4160" w:type="dxa"/>
            <w:vAlign w:val="bottom"/>
          </w:tcPr>
          <w:p>
            <w:pPr>
              <w:jc w:val="center"/>
              <w:spacing w:after="0"/>
              <w:rPr>
                <w:sz w:val="20"/>
                <w:szCs w:val="20"/>
                <w:color w:val="auto"/>
              </w:rPr>
            </w:pPr>
            <w:r>
              <w:rPr>
                <w:rFonts w:ascii="Arial" w:cs="Arial" w:eastAsia="Arial" w:hAnsi="Arial"/>
                <w:sz w:val="18"/>
                <w:szCs w:val="18"/>
                <w:color w:val="auto"/>
                <w:w w:val="94"/>
              </w:rPr>
              <w:t>NASDAQ Global Select Market</w:t>
            </w:r>
          </w:p>
        </w:tc>
      </w:tr>
    </w:tbl>
    <w:p>
      <w:pPr>
        <w:spacing w:after="0" w:line="322" w:lineRule="exact"/>
        <w:rPr>
          <w:sz w:val="24"/>
          <w:szCs w:val="24"/>
          <w:color w:val="auto"/>
        </w:rPr>
      </w:pPr>
    </w:p>
    <w:p>
      <w:pPr>
        <w:jc w:val="both"/>
        <w:spacing w:after="0" w:line="230"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8" w:lineRule="exact"/>
        <w:rPr>
          <w:sz w:val="24"/>
          <w:szCs w:val="24"/>
          <w:color w:val="auto"/>
        </w:rPr>
      </w:pPr>
    </w:p>
    <w:p>
      <w:pPr>
        <w:jc w:val="both"/>
        <w:spacing w:after="0" w:line="230"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8" w:lineRule="exact"/>
        <w:rPr>
          <w:sz w:val="24"/>
          <w:szCs w:val="24"/>
          <w:color w:val="auto"/>
        </w:rPr>
      </w:pPr>
    </w:p>
    <w:p>
      <w:pPr>
        <w:jc w:val="both"/>
        <w:spacing w:after="0" w:line="274"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w:t>
      </w:r>
    </w:p>
    <w:tbl>
      <w:tblPr>
        <w:tblLayout w:type="fixed"/>
        <w:tblInd w:w="0" w:type="dxa"/>
        <w:tblCellMar>
          <w:top w:w="0" w:type="dxa"/>
          <w:left w:w="0" w:type="dxa"/>
          <w:bottom w:w="0" w:type="dxa"/>
          <w:right w:w="0" w:type="dxa"/>
        </w:tblCellMar>
      </w:tblPr>
      <w:tr>
        <w:trPr>
          <w:trHeight w:val="230"/>
        </w:trPr>
        <w:tc>
          <w:tcPr>
            <w:tcW w:w="1320" w:type="dxa"/>
            <w:vAlign w:val="bottom"/>
          </w:tcPr>
          <w:p>
            <w:pPr>
              <w:spacing w:after="0"/>
              <w:rPr>
                <w:sz w:val="20"/>
                <w:szCs w:val="20"/>
                <w:color w:val="auto"/>
              </w:rPr>
            </w:pPr>
            <w:r>
              <w:rPr>
                <w:rFonts w:ascii="Arial" w:cs="Arial" w:eastAsia="Arial" w:hAnsi="Arial"/>
                <w:sz w:val="18"/>
                <w:szCs w:val="18"/>
                <w:color w:val="auto"/>
              </w:rPr>
              <w:t>company"</w:t>
            </w:r>
          </w:p>
        </w:tc>
        <w:tc>
          <w:tcPr>
            <w:tcW w:w="1080" w:type="dxa"/>
            <w:vAlign w:val="bottom"/>
          </w:tcPr>
          <w:p>
            <w:pPr>
              <w:ind w:left="600"/>
              <w:spacing w:after="0"/>
              <w:rPr>
                <w:sz w:val="20"/>
                <w:szCs w:val="20"/>
                <w:color w:val="auto"/>
              </w:rPr>
            </w:pPr>
            <w:r>
              <w:rPr>
                <w:rFonts w:ascii="Arial" w:cs="Arial" w:eastAsia="Arial" w:hAnsi="Arial"/>
                <w:sz w:val="18"/>
                <w:szCs w:val="18"/>
                <w:color w:val="auto"/>
              </w:rPr>
              <w:t>in</w:t>
            </w:r>
          </w:p>
        </w:tc>
        <w:tc>
          <w:tcPr>
            <w:tcW w:w="1760" w:type="dxa"/>
            <w:vAlign w:val="bottom"/>
          </w:tcPr>
          <w:p>
            <w:pPr>
              <w:ind w:left="840"/>
              <w:spacing w:after="0"/>
              <w:rPr>
                <w:sz w:val="20"/>
                <w:szCs w:val="20"/>
                <w:color w:val="auto"/>
              </w:rPr>
            </w:pPr>
            <w:r>
              <w:rPr>
                <w:rFonts w:ascii="Arial" w:cs="Arial" w:eastAsia="Arial" w:hAnsi="Arial"/>
                <w:sz w:val="18"/>
                <w:szCs w:val="18"/>
                <w:color w:val="auto"/>
              </w:rPr>
              <w:t>Rule</w:t>
            </w:r>
          </w:p>
        </w:tc>
        <w:tc>
          <w:tcPr>
            <w:tcW w:w="1600" w:type="dxa"/>
            <w:vAlign w:val="bottom"/>
          </w:tcPr>
          <w:p>
            <w:pPr>
              <w:ind w:left="580"/>
              <w:spacing w:after="0"/>
              <w:rPr>
                <w:sz w:val="20"/>
                <w:szCs w:val="20"/>
                <w:color w:val="auto"/>
              </w:rPr>
            </w:pPr>
            <w:r>
              <w:rPr>
                <w:rFonts w:ascii="Arial" w:cs="Arial" w:eastAsia="Arial" w:hAnsi="Arial"/>
                <w:sz w:val="18"/>
                <w:szCs w:val="18"/>
                <w:color w:val="auto"/>
              </w:rPr>
              <w:t>12b-2</w:t>
            </w:r>
          </w:p>
        </w:tc>
        <w:tc>
          <w:tcPr>
            <w:tcW w:w="1220" w:type="dxa"/>
            <w:vAlign w:val="bottom"/>
          </w:tcPr>
          <w:p>
            <w:pPr>
              <w:ind w:left="580"/>
              <w:spacing w:after="0"/>
              <w:rPr>
                <w:sz w:val="20"/>
                <w:szCs w:val="20"/>
                <w:color w:val="auto"/>
              </w:rPr>
            </w:pPr>
            <w:r>
              <w:rPr>
                <w:rFonts w:ascii="Arial" w:cs="Arial" w:eastAsia="Arial" w:hAnsi="Arial"/>
                <w:sz w:val="18"/>
                <w:szCs w:val="18"/>
                <w:color w:val="auto"/>
              </w:rPr>
              <w:t>of</w:t>
            </w:r>
          </w:p>
        </w:tc>
        <w:tc>
          <w:tcPr>
            <w:tcW w:w="1900" w:type="dxa"/>
            <w:vAlign w:val="bottom"/>
          </w:tcPr>
          <w:p>
            <w:pPr>
              <w:ind w:left="680"/>
              <w:spacing w:after="0"/>
              <w:rPr>
                <w:sz w:val="20"/>
                <w:szCs w:val="20"/>
                <w:color w:val="auto"/>
              </w:rPr>
            </w:pPr>
            <w:r>
              <w:rPr>
                <w:rFonts w:ascii="Arial" w:cs="Arial" w:eastAsia="Arial" w:hAnsi="Arial"/>
                <w:sz w:val="18"/>
                <w:szCs w:val="18"/>
                <w:color w:val="auto"/>
              </w:rPr>
              <w:t>the</w:t>
            </w:r>
          </w:p>
        </w:tc>
        <w:tc>
          <w:tcPr>
            <w:tcW w:w="1260" w:type="dxa"/>
            <w:vAlign w:val="bottom"/>
          </w:tcPr>
          <w:p>
            <w:pPr>
              <w:ind w:left="180"/>
              <w:spacing w:after="0"/>
              <w:rPr>
                <w:sz w:val="20"/>
                <w:szCs w:val="20"/>
                <w:color w:val="auto"/>
              </w:rPr>
            </w:pPr>
            <w:r>
              <w:rPr>
                <w:rFonts w:ascii="Arial" w:cs="Arial" w:eastAsia="Arial" w:hAnsi="Arial"/>
                <w:sz w:val="18"/>
                <w:szCs w:val="18"/>
                <w:color w:val="auto"/>
              </w:rPr>
              <w:t>Exchange</w:t>
            </w:r>
          </w:p>
        </w:tc>
        <w:tc>
          <w:tcPr>
            <w:tcW w:w="1100" w:type="dxa"/>
            <w:vAlign w:val="bottom"/>
          </w:tcPr>
          <w:p>
            <w:pPr>
              <w:ind w:left="800"/>
              <w:spacing w:after="0"/>
              <w:rPr>
                <w:sz w:val="20"/>
                <w:szCs w:val="20"/>
                <w:color w:val="auto"/>
              </w:rPr>
            </w:pPr>
            <w:r>
              <w:rPr>
                <w:rFonts w:ascii="Arial" w:cs="Arial" w:eastAsia="Arial" w:hAnsi="Arial"/>
                <w:sz w:val="18"/>
                <w:szCs w:val="18"/>
                <w:color w:val="auto"/>
                <w:w w:val="90"/>
              </w:rPr>
              <w:t>Act.</w:t>
            </w:r>
          </w:p>
        </w:tc>
      </w:tr>
      <w:tr>
        <w:trPr>
          <w:trHeight w:val="305"/>
        </w:trPr>
        <w:tc>
          <w:tcPr>
            <w:tcW w:w="2400" w:type="dxa"/>
            <w:vAlign w:val="bottom"/>
            <w:gridSpan w:val="2"/>
          </w:tcPr>
          <w:p>
            <w:pPr>
              <w:ind w:left="420"/>
              <w:spacing w:after="0"/>
              <w:rPr>
                <w:sz w:val="20"/>
                <w:szCs w:val="20"/>
                <w:color w:val="auto"/>
              </w:rPr>
            </w:pPr>
            <w:r>
              <w:rPr>
                <w:rFonts w:ascii="Arial" w:cs="Arial" w:eastAsia="Arial" w:hAnsi="Arial"/>
                <w:sz w:val="18"/>
                <w:szCs w:val="18"/>
                <w:color w:val="auto"/>
              </w:rPr>
              <w:t>Large accelerated filer</w:t>
            </w:r>
          </w:p>
        </w:tc>
        <w:tc>
          <w:tcPr>
            <w:tcW w:w="176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16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900" w:type="dxa"/>
            <w:vAlign w:val="bottom"/>
          </w:tcPr>
          <w:p>
            <w:pPr>
              <w:ind w:left="500"/>
              <w:spacing w:after="0"/>
              <w:rPr>
                <w:sz w:val="20"/>
                <w:szCs w:val="20"/>
                <w:color w:val="auto"/>
              </w:rPr>
            </w:pPr>
            <w:r>
              <w:rPr>
                <w:rFonts w:ascii="Arial" w:cs="Arial" w:eastAsia="Arial" w:hAnsi="Arial"/>
                <w:sz w:val="18"/>
                <w:szCs w:val="18"/>
                <w:color w:val="auto"/>
              </w:rPr>
              <w:t>Accelerated filer</w:t>
            </w:r>
          </w:p>
        </w:tc>
        <w:tc>
          <w:tcPr>
            <w:tcW w:w="1260" w:type="dxa"/>
            <w:vAlign w:val="bottom"/>
          </w:tcPr>
          <w:p>
            <w:pPr>
              <w:spacing w:after="0"/>
              <w:rPr>
                <w:sz w:val="24"/>
                <w:szCs w:val="24"/>
                <w:color w:val="auto"/>
              </w:rPr>
            </w:pPr>
          </w:p>
        </w:tc>
        <w:tc>
          <w:tcPr>
            <w:tcW w:w="110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r>
      <w:tr>
        <w:trPr>
          <w:trHeight w:val="297"/>
        </w:trPr>
        <w:tc>
          <w:tcPr>
            <w:tcW w:w="2400" w:type="dxa"/>
            <w:vAlign w:val="bottom"/>
            <w:gridSpan w:val="2"/>
          </w:tcPr>
          <w:p>
            <w:pPr>
              <w:ind w:left="420"/>
              <w:spacing w:after="0"/>
              <w:rPr>
                <w:sz w:val="20"/>
                <w:szCs w:val="20"/>
                <w:color w:val="auto"/>
              </w:rPr>
            </w:pPr>
            <w:r>
              <w:rPr>
                <w:rFonts w:ascii="Arial" w:cs="Arial" w:eastAsia="Arial" w:hAnsi="Arial"/>
                <w:sz w:val="18"/>
                <w:szCs w:val="18"/>
                <w:color w:val="auto"/>
              </w:rPr>
              <w:t>Non-accelerated filer</w:t>
            </w:r>
          </w:p>
        </w:tc>
        <w:tc>
          <w:tcPr>
            <w:tcW w:w="176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16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160" w:type="dxa"/>
            <w:vAlign w:val="bottom"/>
            <w:gridSpan w:val="2"/>
          </w:tcPr>
          <w:p>
            <w:pPr>
              <w:ind w:left="500"/>
              <w:spacing w:after="0"/>
              <w:rPr>
                <w:sz w:val="20"/>
                <w:szCs w:val="20"/>
                <w:color w:val="auto"/>
              </w:rPr>
            </w:pPr>
            <w:r>
              <w:rPr>
                <w:rFonts w:ascii="Arial" w:cs="Arial" w:eastAsia="Arial" w:hAnsi="Arial"/>
                <w:sz w:val="18"/>
                <w:szCs w:val="18"/>
                <w:color w:val="auto"/>
              </w:rPr>
              <w:t>Smaller reporting company</w:t>
            </w:r>
          </w:p>
        </w:tc>
        <w:tc>
          <w:tcPr>
            <w:tcW w:w="110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r>
      <w:tr>
        <w:trPr>
          <w:trHeight w:val="303"/>
        </w:trPr>
        <w:tc>
          <w:tcPr>
            <w:tcW w:w="1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160" w:type="dxa"/>
            <w:vAlign w:val="bottom"/>
            <w:gridSpan w:val="2"/>
          </w:tcPr>
          <w:p>
            <w:pPr>
              <w:ind w:left="500"/>
              <w:spacing w:after="0"/>
              <w:rPr>
                <w:sz w:val="20"/>
                <w:szCs w:val="20"/>
                <w:color w:val="auto"/>
              </w:rPr>
            </w:pPr>
            <w:r>
              <w:rPr>
                <w:rFonts w:ascii="Arial" w:cs="Arial" w:eastAsia="Arial" w:hAnsi="Arial"/>
                <w:sz w:val="18"/>
                <w:szCs w:val="18"/>
                <w:color w:val="auto"/>
              </w:rPr>
              <w:t>Emerging growth company</w:t>
            </w:r>
          </w:p>
        </w:tc>
        <w:tc>
          <w:tcPr>
            <w:tcW w:w="110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r>
    </w:tbl>
    <w:p>
      <w:pPr>
        <w:spacing w:after="0" w:line="52" w:lineRule="exact"/>
        <w:rPr>
          <w:sz w:val="24"/>
          <w:szCs w:val="24"/>
          <w:color w:val="auto"/>
        </w:rPr>
      </w:pPr>
    </w:p>
    <w:p>
      <w:pPr>
        <w:jc w:val="both"/>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5" w:lineRule="exact"/>
        <w:rPr>
          <w:sz w:val="24"/>
          <w:szCs w:val="24"/>
          <w:color w:val="auto"/>
        </w:rPr>
      </w:pPr>
    </w:p>
    <w:p>
      <w:pPr>
        <w:spacing w:after="0" w:line="207" w:lineRule="exact"/>
        <w:tabs>
          <w:tab w:leader="none" w:pos="8340" w:val="left"/>
          <w:tab w:leader="none" w:pos="902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16"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As of July 31, 2023, there were outstanding 45,460,228 shares of the registrant's common stock, no par value, which is the only class of common stock of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-1905</wp:posOffset>
            </wp:positionV>
            <wp:extent cx="71234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3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31750</wp:posOffset>
            </wp:positionV>
            <wp:extent cx="71234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260" w:type="dxa"/>
            <w:vAlign w:val="bottom"/>
            <w:gridSpan w:val="19"/>
          </w:tcPr>
          <w:p>
            <w:pPr>
              <w:spacing w:after="0"/>
              <w:rPr>
                <w:sz w:val="20"/>
                <w:szCs w:val="20"/>
                <w:color w:val="auto"/>
              </w:rPr>
            </w:pPr>
            <w:r>
              <w:rPr>
                <w:rFonts w:ascii="Arial" w:cs="Arial" w:eastAsia="Arial" w:hAnsi="Arial"/>
                <w:sz w:val="18"/>
                <w:szCs w:val="18"/>
                <w:color w:val="0000FF"/>
              </w:rPr>
              <w:t>Table of Contents</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0"/>
        </w:trPr>
        <w:tc>
          <w:tcPr>
            <w:tcW w:w="60" w:type="dxa"/>
            <w:vAlign w:val="bottom"/>
            <w:tcBorders>
              <w:top w:val="single" w:sz="8" w:color="0000FF"/>
            </w:tcBorders>
          </w:tcPr>
          <w:p>
            <w:pPr>
              <w:spacing w:after="0"/>
              <w:rPr>
                <w:sz w:val="24"/>
                <w:szCs w:val="24"/>
                <w:color w:val="auto"/>
              </w:rPr>
            </w:pPr>
          </w:p>
        </w:tc>
        <w:tc>
          <w:tcPr>
            <w:tcW w:w="9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80" w:type="dxa"/>
            <w:vAlign w:val="bottom"/>
            <w:gridSpan w:val="3"/>
          </w:tcPr>
          <w:p>
            <w:pPr>
              <w:jc w:val="center"/>
              <w:ind w:right="3180"/>
              <w:spacing w:after="0"/>
              <w:rPr>
                <w:sz w:val="20"/>
                <w:szCs w:val="20"/>
                <w:color w:val="auto"/>
              </w:rPr>
            </w:pPr>
            <w:r>
              <w:rPr>
                <w:rFonts w:ascii="Arial" w:cs="Arial" w:eastAsia="Arial" w:hAnsi="Arial"/>
                <w:sz w:val="18"/>
                <w:szCs w:val="18"/>
                <w:b w:val="1"/>
                <w:bCs w:val="1"/>
                <w:color w:val="auto"/>
                <w:w w:val="96"/>
              </w:rPr>
              <w:t>Itron, Inc.</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80" w:type="dxa"/>
            <w:vAlign w:val="bottom"/>
            <w:gridSpan w:val="3"/>
          </w:tcPr>
          <w:p>
            <w:pPr>
              <w:jc w:val="center"/>
              <w:ind w:right="3200"/>
              <w:spacing w:after="0"/>
              <w:rPr>
                <w:sz w:val="20"/>
                <w:szCs w:val="20"/>
                <w:color w:val="auto"/>
              </w:rPr>
            </w:pPr>
            <w:r>
              <w:rPr>
                <w:rFonts w:ascii="Arial" w:cs="Arial" w:eastAsia="Arial" w:hAnsi="Arial"/>
                <w:sz w:val="18"/>
                <w:szCs w:val="18"/>
                <w:b w:val="1"/>
                <w:bCs w:val="1"/>
                <w:color w:val="auto"/>
                <w:w w:val="89"/>
              </w:rPr>
              <w:t>Table of Contents</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2"/>
        </w:trPr>
        <w:tc>
          <w:tcPr>
            <w:tcW w:w="60" w:type="dxa"/>
            <w:vAlign w:val="bottom"/>
            <w:vMerge w:val="restart"/>
          </w:tcPr>
          <w:p>
            <w:pPr>
              <w:spacing w:after="0"/>
              <w:rPr>
                <w:sz w:val="24"/>
                <w:szCs w:val="24"/>
                <w:color w:val="auto"/>
              </w:rPr>
            </w:pPr>
          </w:p>
        </w:tc>
        <w:tc>
          <w:tcPr>
            <w:tcW w:w="3080" w:type="dxa"/>
            <w:vAlign w:val="bottom"/>
            <w:gridSpan w:val="10"/>
            <w:vMerge w:val="restart"/>
          </w:tcPr>
          <w:p>
            <w:pPr>
              <w:spacing w:after="0"/>
              <w:rPr>
                <w:sz w:val="20"/>
                <w:szCs w:val="20"/>
                <w:color w:val="auto"/>
              </w:rPr>
            </w:pPr>
            <w:r>
              <w:rPr>
                <w:rFonts w:ascii="Arial" w:cs="Arial" w:eastAsia="Arial" w:hAnsi="Arial"/>
                <w:sz w:val="18"/>
                <w:szCs w:val="18"/>
                <w:b w:val="1"/>
                <w:bCs w:val="1"/>
                <w:color w:val="0000FF"/>
              </w:rPr>
              <w:t>PART I: FINANCIAL INFORMATION</w:t>
            </w:r>
          </w:p>
        </w:tc>
        <w:tc>
          <w:tcPr>
            <w:tcW w:w="7120" w:type="dxa"/>
            <w:vAlign w:val="bottom"/>
            <w:gridSpan w:val="8"/>
            <w:vMerge w:val="restart"/>
          </w:tcPr>
          <w:p>
            <w:pPr>
              <w:spacing w:after="0"/>
              <w:rPr>
                <w:sz w:val="24"/>
                <w:szCs w:val="24"/>
                <w:color w:val="auto"/>
              </w:rPr>
            </w:pPr>
          </w:p>
        </w:tc>
        <w:tc>
          <w:tcPr>
            <w:tcW w:w="980" w:type="dxa"/>
            <w:vAlign w:val="bottom"/>
            <w:gridSpan w:val="5"/>
          </w:tcPr>
          <w:p>
            <w:pPr>
              <w:ind w:left="20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74"/>
        </w:trPr>
        <w:tc>
          <w:tcPr>
            <w:tcW w:w="60" w:type="dxa"/>
            <w:vAlign w:val="bottom"/>
            <w:vMerge w:val="continue"/>
          </w:tcPr>
          <w:p>
            <w:pPr>
              <w:spacing w:after="0"/>
              <w:rPr>
                <w:sz w:val="14"/>
                <w:szCs w:val="14"/>
                <w:color w:val="auto"/>
              </w:rPr>
            </w:pPr>
          </w:p>
        </w:tc>
        <w:tc>
          <w:tcPr>
            <w:tcW w:w="3080" w:type="dxa"/>
            <w:vAlign w:val="bottom"/>
            <w:tcBorders>
              <w:bottom w:val="single" w:sz="8" w:color="0000FF"/>
            </w:tcBorders>
            <w:gridSpan w:val="10"/>
            <w:vMerge w:val="continue"/>
          </w:tcPr>
          <w:p>
            <w:pPr>
              <w:spacing w:after="0"/>
              <w:rPr>
                <w:sz w:val="14"/>
                <w:szCs w:val="14"/>
                <w:color w:val="auto"/>
              </w:rPr>
            </w:pPr>
          </w:p>
        </w:tc>
        <w:tc>
          <w:tcPr>
            <w:tcW w:w="7120" w:type="dxa"/>
            <w:vAlign w:val="bottom"/>
            <w:gridSpan w:val="8"/>
            <w:vMerge w:val="continue"/>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14"/>
        </w:trPr>
        <w:tc>
          <w:tcPr>
            <w:tcW w:w="60" w:type="dxa"/>
            <w:vAlign w:val="bottom"/>
          </w:tcPr>
          <w:p>
            <w:pPr>
              <w:spacing w:after="0"/>
              <w:rPr>
                <w:sz w:val="24"/>
                <w:szCs w:val="24"/>
                <w:color w:val="auto"/>
              </w:rPr>
            </w:pPr>
          </w:p>
        </w:tc>
        <w:tc>
          <w:tcPr>
            <w:tcW w:w="10200" w:type="dxa"/>
            <w:vAlign w:val="bottom"/>
            <w:gridSpan w:val="18"/>
          </w:tcPr>
          <w:p>
            <w:pPr>
              <w:ind w:left="380"/>
              <w:spacing w:after="0"/>
              <w:rPr>
                <w:sz w:val="20"/>
                <w:szCs w:val="20"/>
                <w:color w:val="auto"/>
              </w:rPr>
            </w:pPr>
            <w:r>
              <w:rPr>
                <w:rFonts w:ascii="Arial" w:cs="Arial" w:eastAsia="Arial" w:hAnsi="Arial"/>
                <w:sz w:val="18"/>
                <w:szCs w:val="18"/>
                <w:color w:val="auto"/>
              </w:rPr>
              <w:t xml:space="preserve">Item 1: </w:t>
            </w:r>
            <w:r>
              <w:rPr>
                <w:rFonts w:ascii="Arial" w:cs="Arial" w:eastAsia="Arial" w:hAnsi="Arial"/>
                <w:sz w:val="18"/>
                <w:szCs w:val="18"/>
                <w:color w:val="0000FF"/>
              </w:rPr>
              <w:t>Financial Statements (Unaudited)</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2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89"/>
              </w:rPr>
              <w:t>Consolidated Statements of Operations</w:t>
            </w:r>
          </w:p>
        </w:tc>
        <w:tc>
          <w:tcPr>
            <w:tcW w:w="6400" w:type="dxa"/>
            <w:vAlign w:val="bottom"/>
            <w:gridSpan w:val="5"/>
          </w:tcPr>
          <w:p>
            <w:pPr>
              <w:spacing w:after="0"/>
              <w:rPr>
                <w:sz w:val="24"/>
                <w:szCs w:val="24"/>
                <w:color w:val="auto"/>
              </w:rPr>
            </w:pPr>
          </w:p>
        </w:tc>
        <w:tc>
          <w:tcPr>
            <w:tcW w:w="64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1</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20" w:type="dxa"/>
            <w:vAlign w:val="bottom"/>
            <w:gridSpan w:val="17"/>
          </w:tcPr>
          <w:p>
            <w:pPr>
              <w:spacing w:after="0"/>
              <w:rPr>
                <w:sz w:val="20"/>
                <w:szCs w:val="20"/>
                <w:color w:val="auto"/>
              </w:rPr>
            </w:pPr>
            <w:r>
              <w:rPr>
                <w:rFonts w:ascii="Arial" w:cs="Arial" w:eastAsia="Arial" w:hAnsi="Arial"/>
                <w:sz w:val="18"/>
                <w:szCs w:val="18"/>
                <w:color w:val="0000FF"/>
              </w:rPr>
              <w:t>Consolidated Statements of Comprehensive Income (Loss)</w:t>
            </w:r>
          </w:p>
        </w:tc>
        <w:tc>
          <w:tcPr>
            <w:tcW w:w="740" w:type="dxa"/>
            <w:vAlign w:val="bottom"/>
            <w:gridSpan w:val="3"/>
          </w:tcPr>
          <w:p>
            <w:pPr>
              <w:jc w:val="right"/>
              <w:spacing w:after="0"/>
              <w:rPr>
                <w:sz w:val="20"/>
                <w:szCs w:val="20"/>
                <w:color w:val="auto"/>
              </w:rPr>
            </w:pPr>
            <w:r>
              <w:rPr>
                <w:rFonts w:ascii="Arial" w:cs="Arial" w:eastAsia="Arial" w:hAnsi="Arial"/>
                <w:sz w:val="18"/>
                <w:szCs w:val="18"/>
                <w:color w:val="0000FF"/>
              </w:rPr>
              <w:t>2</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300" w:type="dxa"/>
            <w:vAlign w:val="bottom"/>
            <w:tcBorders>
              <w:top w:val="single" w:sz="8" w:color="0000FF"/>
            </w:tcBorders>
            <w:gridSpan w:val="15"/>
          </w:tcPr>
          <w:p>
            <w:pPr>
              <w:spacing w:after="0"/>
              <w:rPr>
                <w:sz w:val="20"/>
                <w:szCs w:val="20"/>
                <w:color w:val="auto"/>
              </w:rPr>
            </w:pPr>
            <w:r>
              <w:rPr>
                <w:rFonts w:ascii="Arial" w:cs="Arial" w:eastAsia="Arial" w:hAnsi="Arial"/>
                <w:sz w:val="18"/>
                <w:szCs w:val="18"/>
                <w:color w:val="0000FF"/>
              </w:rPr>
              <w:t>Consolidated Balance Sheets</w:t>
            </w:r>
          </w:p>
        </w:tc>
        <w:tc>
          <w:tcPr>
            <w:tcW w:w="4920" w:type="dxa"/>
            <w:vAlign w:val="bottom"/>
            <w:gridSpan w:val="2"/>
          </w:tcPr>
          <w:p>
            <w:pPr>
              <w:spacing w:after="0"/>
              <w:rPr>
                <w:sz w:val="24"/>
                <w:szCs w:val="24"/>
                <w:color w:val="auto"/>
              </w:rPr>
            </w:pPr>
          </w:p>
        </w:tc>
        <w:tc>
          <w:tcPr>
            <w:tcW w:w="640" w:type="dxa"/>
            <w:vAlign w:val="bottom"/>
            <w:gridSpan w:val="2"/>
          </w:tcPr>
          <w:p>
            <w:pPr>
              <w:spacing w:after="0"/>
              <w:rPr>
                <w:sz w:val="24"/>
                <w:szCs w:val="24"/>
                <w:color w:val="auto"/>
              </w:rPr>
            </w:pPr>
          </w:p>
        </w:tc>
        <w:tc>
          <w:tcPr>
            <w:tcW w:w="100" w:type="dxa"/>
            <w:vAlign w:val="bottom"/>
            <w:tcBorders>
              <w:top w:val="single" w:sz="8" w:color="0000FF"/>
            </w:tcBorders>
          </w:tcPr>
          <w:p>
            <w:pPr>
              <w:jc w:val="right"/>
              <w:spacing w:after="0"/>
              <w:rPr>
                <w:sz w:val="20"/>
                <w:szCs w:val="20"/>
                <w:color w:val="auto"/>
              </w:rPr>
            </w:pPr>
            <w:r>
              <w:rPr>
                <w:rFonts w:ascii="Arial" w:cs="Arial" w:eastAsia="Arial" w:hAnsi="Arial"/>
                <w:sz w:val="18"/>
                <w:szCs w:val="18"/>
                <w:color w:val="0000FF"/>
                <w:w w:val="79"/>
              </w:rPr>
              <w:t>3</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20" w:type="dxa"/>
            <w:vAlign w:val="bottom"/>
            <w:gridSpan w:val="17"/>
          </w:tcPr>
          <w:p>
            <w:pPr>
              <w:spacing w:after="0"/>
              <w:rPr>
                <w:sz w:val="20"/>
                <w:szCs w:val="20"/>
                <w:color w:val="auto"/>
              </w:rPr>
            </w:pPr>
            <w:r>
              <w:rPr>
                <w:rFonts w:ascii="Arial" w:cs="Arial" w:eastAsia="Arial" w:hAnsi="Arial"/>
                <w:sz w:val="18"/>
                <w:szCs w:val="18"/>
                <w:color w:val="0000FF"/>
              </w:rPr>
              <w:t>Consolidated Statements of Equity</w:t>
            </w:r>
          </w:p>
        </w:tc>
        <w:tc>
          <w:tcPr>
            <w:tcW w:w="740" w:type="dxa"/>
            <w:vAlign w:val="bottom"/>
            <w:gridSpan w:val="3"/>
          </w:tcPr>
          <w:p>
            <w:pPr>
              <w:jc w:val="right"/>
              <w:spacing w:after="0"/>
              <w:rPr>
                <w:sz w:val="20"/>
                <w:szCs w:val="20"/>
                <w:color w:val="auto"/>
              </w:rPr>
            </w:pPr>
            <w:r>
              <w:rPr>
                <w:rFonts w:ascii="Arial" w:cs="Arial" w:eastAsia="Arial" w:hAnsi="Arial"/>
                <w:sz w:val="18"/>
                <w:szCs w:val="18"/>
                <w:color w:val="0000FF"/>
              </w:rPr>
              <w:t>4</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20" w:type="dxa"/>
            <w:vAlign w:val="bottom"/>
            <w:gridSpan w:val="17"/>
          </w:tcPr>
          <w:p>
            <w:pPr>
              <w:spacing w:after="0"/>
              <w:rPr>
                <w:sz w:val="20"/>
                <w:szCs w:val="20"/>
                <w:color w:val="auto"/>
              </w:rPr>
            </w:pPr>
            <w:r>
              <w:rPr>
                <w:rFonts w:ascii="Arial" w:cs="Arial" w:eastAsia="Arial" w:hAnsi="Arial"/>
                <w:sz w:val="18"/>
                <w:szCs w:val="18"/>
                <w:color w:val="0000FF"/>
              </w:rPr>
              <w:t>Consolidated Statements of Cash Flows</w:t>
            </w:r>
          </w:p>
        </w:tc>
        <w:tc>
          <w:tcPr>
            <w:tcW w:w="740" w:type="dxa"/>
            <w:vAlign w:val="bottom"/>
            <w:gridSpan w:val="3"/>
          </w:tcPr>
          <w:p>
            <w:pPr>
              <w:jc w:val="right"/>
              <w:spacing w:after="0"/>
              <w:rPr>
                <w:sz w:val="20"/>
                <w:szCs w:val="20"/>
                <w:color w:val="auto"/>
              </w:rPr>
            </w:pPr>
            <w:r>
              <w:rPr>
                <w:rFonts w:ascii="Arial" w:cs="Arial" w:eastAsia="Arial" w:hAnsi="Arial"/>
                <w:sz w:val="18"/>
                <w:szCs w:val="18"/>
                <w:color w:val="0000FF"/>
              </w:rPr>
              <w:t>5</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60" w:type="dxa"/>
            <w:vAlign w:val="bottom"/>
            <w:gridSpan w:val="6"/>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20" w:type="dxa"/>
            <w:vAlign w:val="bottom"/>
            <w:gridSpan w:val="17"/>
          </w:tcPr>
          <w:p>
            <w:pPr>
              <w:spacing w:after="0"/>
              <w:rPr>
                <w:sz w:val="20"/>
                <w:szCs w:val="20"/>
                <w:color w:val="auto"/>
              </w:rPr>
            </w:pPr>
            <w:r>
              <w:rPr>
                <w:rFonts w:ascii="Arial" w:cs="Arial" w:eastAsia="Arial" w:hAnsi="Arial"/>
                <w:sz w:val="18"/>
                <w:szCs w:val="18"/>
                <w:color w:val="0000FF"/>
              </w:rPr>
              <w:t>Notes to Consolidated Financial Statements</w:t>
            </w:r>
          </w:p>
        </w:tc>
        <w:tc>
          <w:tcPr>
            <w:tcW w:w="740" w:type="dxa"/>
            <w:vAlign w:val="bottom"/>
            <w:gridSpan w:val="3"/>
          </w:tcPr>
          <w:p>
            <w:pPr>
              <w:jc w:val="right"/>
              <w:spacing w:after="0"/>
              <w:rPr>
                <w:sz w:val="20"/>
                <w:szCs w:val="20"/>
                <w:color w:val="auto"/>
              </w:rPr>
            </w:pPr>
            <w:r>
              <w:rPr>
                <w:rFonts w:ascii="Arial" w:cs="Arial" w:eastAsia="Arial" w:hAnsi="Arial"/>
                <w:sz w:val="18"/>
                <w:szCs w:val="18"/>
                <w:color w:val="0000FF"/>
              </w:rPr>
              <w:t>6</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340" w:type="dxa"/>
            <w:vAlign w:val="bottom"/>
            <w:gridSpan w:val="7"/>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60" w:type="dxa"/>
            <w:vAlign w:val="bottom"/>
          </w:tcPr>
          <w:p>
            <w:pPr>
              <w:spacing w:after="0"/>
              <w:rPr>
                <w:sz w:val="24"/>
                <w:szCs w:val="24"/>
                <w:color w:val="auto"/>
              </w:rPr>
            </w:pPr>
          </w:p>
        </w:tc>
        <w:tc>
          <w:tcPr>
            <w:tcW w:w="10200" w:type="dxa"/>
            <w:vAlign w:val="bottom"/>
            <w:gridSpan w:val="18"/>
          </w:tcPr>
          <w:p>
            <w:pPr>
              <w:ind w:left="380"/>
              <w:spacing w:after="0"/>
              <w:rPr>
                <w:sz w:val="20"/>
                <w:szCs w:val="20"/>
                <w:color w:val="auto"/>
              </w:rPr>
            </w:pPr>
            <w:r>
              <w:rPr>
                <w:rFonts w:ascii="Arial" w:cs="Arial" w:eastAsia="Arial" w:hAnsi="Arial"/>
                <w:sz w:val="18"/>
                <w:szCs w:val="18"/>
                <w:color w:val="auto"/>
              </w:rPr>
              <w:t xml:space="preserve">Item 2: </w:t>
            </w:r>
            <w:r>
              <w:rPr>
                <w:rFonts w:ascii="Arial" w:cs="Arial" w:eastAsia="Arial" w:hAnsi="Arial"/>
                <w:sz w:val="18"/>
                <w:szCs w:val="18"/>
                <w:color w:val="0000FF"/>
              </w:rPr>
              <w:t>Management's Discussion and Analysis of Financial Condition and Results of Operations</w:t>
            </w:r>
          </w:p>
        </w:tc>
        <w:tc>
          <w:tcPr>
            <w:tcW w:w="760" w:type="dxa"/>
            <w:vAlign w:val="bottom"/>
            <w:gridSpan w:val="4"/>
            <w:vMerge w:val="restart"/>
          </w:tcPr>
          <w:p>
            <w:pPr>
              <w:jc w:val="right"/>
              <w:ind w:right="20"/>
              <w:spacing w:after="0"/>
              <w:rPr>
                <w:sz w:val="20"/>
                <w:szCs w:val="20"/>
                <w:color w:val="auto"/>
              </w:rPr>
            </w:pPr>
            <w:r>
              <w:rPr>
                <w:rFonts w:ascii="Arial" w:cs="Arial" w:eastAsia="Arial" w:hAnsi="Arial"/>
                <w:sz w:val="18"/>
                <w:szCs w:val="18"/>
                <w:color w:val="0000FF"/>
              </w:rPr>
              <w:t>25</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60" w:type="dxa"/>
            <w:vAlign w:val="bottom"/>
            <w:gridSpan w:val="4"/>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0" w:type="dxa"/>
            <w:vAlign w:val="bottom"/>
          </w:tcPr>
          <w:p>
            <w:pPr>
              <w:spacing w:after="0"/>
              <w:rPr>
                <w:sz w:val="11"/>
                <w:szCs w:val="11"/>
                <w:color w:val="auto"/>
              </w:rPr>
            </w:pPr>
          </w:p>
        </w:tc>
        <w:tc>
          <w:tcPr>
            <w:tcW w:w="10200" w:type="dxa"/>
            <w:vAlign w:val="bottom"/>
            <w:gridSpan w:val="18"/>
            <w:vMerge w:val="restart"/>
          </w:tcPr>
          <w:p>
            <w:pPr>
              <w:ind w:left="380"/>
              <w:spacing w:after="0"/>
              <w:rPr>
                <w:sz w:val="20"/>
                <w:szCs w:val="20"/>
                <w:color w:val="auto"/>
              </w:rPr>
            </w:pPr>
            <w:r>
              <w:rPr>
                <w:rFonts w:ascii="Arial" w:cs="Arial" w:eastAsia="Arial" w:hAnsi="Arial"/>
                <w:sz w:val="18"/>
                <w:szCs w:val="18"/>
                <w:color w:val="auto"/>
              </w:rPr>
              <w:t xml:space="preserve">Item 3: </w:t>
            </w:r>
            <w:r>
              <w:rPr>
                <w:rFonts w:ascii="Arial" w:cs="Arial" w:eastAsia="Arial" w:hAnsi="Arial"/>
                <w:sz w:val="18"/>
                <w:szCs w:val="18"/>
                <w:color w:val="0000FF"/>
              </w:rPr>
              <w:t>Quantitative and Qualitative Disclosures About Market Risk</w:t>
            </w:r>
          </w:p>
        </w:tc>
        <w:tc>
          <w:tcPr>
            <w:tcW w:w="760" w:type="dxa"/>
            <w:vAlign w:val="bottom"/>
            <w:gridSpan w:val="4"/>
            <w:vMerge w:val="continue"/>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200" w:type="dxa"/>
            <w:vAlign w:val="bottom"/>
            <w:gridSpan w:val="18"/>
            <w:vMerge w:val="continu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60" w:type="dxa"/>
            <w:vAlign w:val="bottom"/>
          </w:tcPr>
          <w:p>
            <w:pPr>
              <w:spacing w:after="0"/>
              <w:rPr>
                <w:sz w:val="24"/>
                <w:szCs w:val="24"/>
                <w:color w:val="auto"/>
              </w:rPr>
            </w:pPr>
          </w:p>
        </w:tc>
        <w:tc>
          <w:tcPr>
            <w:tcW w:w="10200" w:type="dxa"/>
            <w:vAlign w:val="bottom"/>
            <w:gridSpan w:val="18"/>
            <w:vMerge w:val="continue"/>
          </w:tcPr>
          <w:p>
            <w:pPr>
              <w:spacing w:after="0"/>
              <w:rPr>
                <w:sz w:val="24"/>
                <w:szCs w:val="24"/>
                <w:color w:val="auto"/>
              </w:rPr>
            </w:pPr>
          </w:p>
        </w:tc>
        <w:tc>
          <w:tcPr>
            <w:tcW w:w="760" w:type="dxa"/>
            <w:vAlign w:val="bottom"/>
            <w:gridSpan w:val="4"/>
            <w:vMerge w:val="restart"/>
          </w:tcPr>
          <w:p>
            <w:pPr>
              <w:jc w:val="right"/>
              <w:ind w:right="20"/>
              <w:spacing w:after="0"/>
              <w:rPr>
                <w:sz w:val="20"/>
                <w:szCs w:val="20"/>
                <w:color w:val="auto"/>
              </w:rPr>
            </w:pPr>
            <w:r>
              <w:rPr>
                <w:rFonts w:ascii="Arial" w:cs="Arial" w:eastAsia="Arial" w:hAnsi="Arial"/>
                <w:sz w:val="18"/>
                <w:szCs w:val="18"/>
                <w:color w:val="0000FF"/>
              </w:rPr>
              <w:t>44</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60" w:type="dxa"/>
            <w:vAlign w:val="bottom"/>
            <w:gridSpan w:val="4"/>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60" w:type="dxa"/>
            <w:vAlign w:val="bottom"/>
          </w:tcPr>
          <w:p>
            <w:pPr>
              <w:spacing w:after="0"/>
              <w:rPr>
                <w:sz w:val="10"/>
                <w:szCs w:val="10"/>
                <w:color w:val="auto"/>
              </w:rPr>
            </w:pPr>
          </w:p>
        </w:tc>
        <w:tc>
          <w:tcPr>
            <w:tcW w:w="10200" w:type="dxa"/>
            <w:vAlign w:val="bottom"/>
            <w:gridSpan w:val="18"/>
            <w:vMerge w:val="restart"/>
          </w:tcPr>
          <w:p>
            <w:pPr>
              <w:ind w:left="380"/>
              <w:spacing w:after="0"/>
              <w:rPr>
                <w:sz w:val="20"/>
                <w:szCs w:val="20"/>
                <w:color w:val="auto"/>
              </w:rPr>
            </w:pPr>
            <w:r>
              <w:rPr>
                <w:rFonts w:ascii="Arial" w:cs="Arial" w:eastAsia="Arial" w:hAnsi="Arial"/>
                <w:sz w:val="18"/>
                <w:szCs w:val="18"/>
                <w:color w:val="auto"/>
              </w:rPr>
              <w:t xml:space="preserve">Item 4: </w:t>
            </w:r>
            <w:r>
              <w:rPr>
                <w:rFonts w:ascii="Arial" w:cs="Arial" w:eastAsia="Arial" w:hAnsi="Arial"/>
                <w:sz w:val="18"/>
                <w:szCs w:val="18"/>
                <w:color w:val="0000FF"/>
              </w:rPr>
              <w:t>Controls and Procedures</w:t>
            </w:r>
          </w:p>
        </w:tc>
        <w:tc>
          <w:tcPr>
            <w:tcW w:w="760" w:type="dxa"/>
            <w:vAlign w:val="bottom"/>
            <w:gridSpan w:val="4"/>
            <w:vMerge w:val="continue"/>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200" w:type="dxa"/>
            <w:vAlign w:val="bottom"/>
            <w:gridSpan w:val="18"/>
            <w:vMerge w:val="continu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60" w:type="dxa"/>
            <w:vAlign w:val="bottom"/>
          </w:tcPr>
          <w:p>
            <w:pPr>
              <w:spacing w:after="0"/>
              <w:rPr>
                <w:sz w:val="24"/>
                <w:szCs w:val="24"/>
                <w:color w:val="auto"/>
              </w:rPr>
            </w:pPr>
          </w:p>
        </w:tc>
        <w:tc>
          <w:tcPr>
            <w:tcW w:w="10200" w:type="dxa"/>
            <w:vAlign w:val="bottom"/>
            <w:gridSpan w:val="18"/>
            <w:vMerge w:val="continue"/>
          </w:tcPr>
          <w:p>
            <w:pPr>
              <w:spacing w:after="0"/>
              <w:rPr>
                <w:sz w:val="24"/>
                <w:szCs w:val="24"/>
                <w:color w:val="auto"/>
              </w:rPr>
            </w:pPr>
          </w:p>
        </w:tc>
        <w:tc>
          <w:tcPr>
            <w:tcW w:w="760" w:type="dxa"/>
            <w:vAlign w:val="bottom"/>
            <w:gridSpan w:val="4"/>
            <w:vMerge w:val="restart"/>
          </w:tcPr>
          <w:p>
            <w:pPr>
              <w:jc w:val="right"/>
              <w:ind w:right="20"/>
              <w:spacing w:after="0"/>
              <w:rPr>
                <w:sz w:val="20"/>
                <w:szCs w:val="20"/>
                <w:color w:val="auto"/>
              </w:rPr>
            </w:pPr>
            <w:r>
              <w:rPr>
                <w:rFonts w:ascii="Arial" w:cs="Arial" w:eastAsia="Arial" w:hAnsi="Arial"/>
                <w:sz w:val="18"/>
                <w:szCs w:val="18"/>
                <w:color w:val="0000FF"/>
              </w:rPr>
              <w:t>45</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60" w:type="dxa"/>
            <w:vAlign w:val="bottom"/>
            <w:gridSpan w:val="4"/>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60" w:type="dxa"/>
            <w:vAlign w:val="bottom"/>
            <w:vMerge w:val="restart"/>
          </w:tcPr>
          <w:p>
            <w:pPr>
              <w:spacing w:after="0"/>
              <w:rPr>
                <w:sz w:val="11"/>
                <w:szCs w:val="11"/>
                <w:color w:val="auto"/>
              </w:rPr>
            </w:pPr>
          </w:p>
        </w:tc>
        <w:tc>
          <w:tcPr>
            <w:tcW w:w="10200" w:type="dxa"/>
            <w:vAlign w:val="bottom"/>
            <w:gridSpan w:val="18"/>
            <w:vMerge w:val="restart"/>
          </w:tcPr>
          <w:p>
            <w:pPr>
              <w:spacing w:after="0"/>
              <w:rPr>
                <w:sz w:val="20"/>
                <w:szCs w:val="20"/>
                <w:color w:val="auto"/>
              </w:rPr>
            </w:pPr>
            <w:r>
              <w:rPr>
                <w:rFonts w:ascii="Arial" w:cs="Arial" w:eastAsia="Arial" w:hAnsi="Arial"/>
                <w:sz w:val="18"/>
                <w:szCs w:val="18"/>
                <w:b w:val="1"/>
                <w:bCs w:val="1"/>
                <w:color w:val="0000FF"/>
              </w:rPr>
              <w:t>PART II: OTHER INFORMATION</w:t>
            </w:r>
          </w:p>
        </w:tc>
        <w:tc>
          <w:tcPr>
            <w:tcW w:w="760" w:type="dxa"/>
            <w:vAlign w:val="bottom"/>
            <w:gridSpan w:val="4"/>
            <w:vMerge w:val="continue"/>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9"/>
        </w:trPr>
        <w:tc>
          <w:tcPr>
            <w:tcW w:w="60" w:type="dxa"/>
            <w:vAlign w:val="bottom"/>
            <w:vMerge w:val="continue"/>
          </w:tcPr>
          <w:p>
            <w:pPr>
              <w:spacing w:after="0"/>
              <w:rPr>
                <w:sz w:val="24"/>
                <w:szCs w:val="24"/>
                <w:color w:val="auto"/>
              </w:rPr>
            </w:pPr>
          </w:p>
        </w:tc>
        <w:tc>
          <w:tcPr>
            <w:tcW w:w="10200" w:type="dxa"/>
            <w:vAlign w:val="bottom"/>
            <w:gridSpan w:val="18"/>
            <w:vMerge w:val="continue"/>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5"/>
        </w:trPr>
        <w:tc>
          <w:tcPr>
            <w:tcW w:w="60" w:type="dxa"/>
            <w:vAlign w:val="bottom"/>
          </w:tcPr>
          <w:p>
            <w:pPr>
              <w:spacing w:after="0"/>
              <w:rPr>
                <w:sz w:val="24"/>
                <w:szCs w:val="24"/>
                <w:color w:val="auto"/>
              </w:rPr>
            </w:pPr>
          </w:p>
        </w:tc>
        <w:tc>
          <w:tcPr>
            <w:tcW w:w="2780" w:type="dxa"/>
            <w:vAlign w:val="bottom"/>
            <w:tcBorders>
              <w:top w:val="single" w:sz="8" w:color="0000FF"/>
            </w:tcBorders>
            <w:gridSpan w:val="8"/>
          </w:tcPr>
          <w:p>
            <w:pPr>
              <w:ind w:left="380"/>
              <w:spacing w:after="0"/>
              <w:rPr>
                <w:sz w:val="20"/>
                <w:szCs w:val="20"/>
                <w:color w:val="auto"/>
              </w:rPr>
            </w:pPr>
            <w:r>
              <w:rPr>
                <w:rFonts w:ascii="Arial" w:cs="Arial" w:eastAsia="Arial" w:hAnsi="Arial"/>
                <w:sz w:val="18"/>
                <w:szCs w:val="18"/>
                <w:color w:val="auto"/>
              </w:rPr>
              <w:t xml:space="preserve">Item 1: </w:t>
            </w:r>
            <w:r>
              <w:rPr>
                <w:rFonts w:ascii="Arial" w:cs="Arial" w:eastAsia="Arial" w:hAnsi="Arial"/>
                <w:sz w:val="18"/>
                <w:szCs w:val="18"/>
                <w:color w:val="0000FF"/>
              </w:rPr>
              <w:t>Legal Proceedings</w:t>
            </w:r>
          </w:p>
        </w:tc>
        <w:tc>
          <w:tcPr>
            <w:tcW w:w="7420" w:type="dxa"/>
            <w:vAlign w:val="bottom"/>
            <w:gridSpan w:val="10"/>
          </w:tcPr>
          <w:p>
            <w:pPr>
              <w:spacing w:after="0"/>
              <w:rPr>
                <w:sz w:val="24"/>
                <w:szCs w:val="24"/>
                <w:color w:val="auto"/>
              </w:rPr>
            </w:pPr>
          </w:p>
        </w:tc>
        <w:tc>
          <w:tcPr>
            <w:tcW w:w="760" w:type="dxa"/>
            <w:vAlign w:val="bottom"/>
            <w:gridSpan w:val="4"/>
            <w:vMerge w:val="restart"/>
          </w:tcPr>
          <w:p>
            <w:pPr>
              <w:jc w:val="right"/>
              <w:ind w:right="20"/>
              <w:spacing w:after="0"/>
              <w:rPr>
                <w:sz w:val="20"/>
                <w:szCs w:val="20"/>
                <w:color w:val="auto"/>
              </w:rPr>
            </w:pPr>
            <w:r>
              <w:rPr>
                <w:rFonts w:ascii="Arial" w:cs="Arial" w:eastAsia="Arial" w:hAnsi="Arial"/>
                <w:sz w:val="18"/>
                <w:szCs w:val="18"/>
                <w:color w:val="0000FF"/>
              </w:rPr>
              <w:t>46</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60" w:type="dxa"/>
            <w:vAlign w:val="bottom"/>
            <w:gridSpan w:val="4"/>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60" w:type="dxa"/>
            <w:vAlign w:val="bottom"/>
          </w:tcPr>
          <w:p>
            <w:pPr>
              <w:spacing w:after="0"/>
              <w:rPr>
                <w:sz w:val="11"/>
                <w:szCs w:val="11"/>
                <w:color w:val="auto"/>
              </w:rPr>
            </w:pPr>
          </w:p>
        </w:tc>
        <w:tc>
          <w:tcPr>
            <w:tcW w:w="10200" w:type="dxa"/>
            <w:vAlign w:val="bottom"/>
            <w:gridSpan w:val="18"/>
            <w:vMerge w:val="restart"/>
          </w:tcPr>
          <w:p>
            <w:pPr>
              <w:ind w:left="380"/>
              <w:spacing w:after="0"/>
              <w:rPr>
                <w:sz w:val="20"/>
                <w:szCs w:val="20"/>
                <w:color w:val="auto"/>
              </w:rPr>
            </w:pPr>
            <w:r>
              <w:rPr>
                <w:rFonts w:ascii="Arial" w:cs="Arial" w:eastAsia="Arial" w:hAnsi="Arial"/>
                <w:sz w:val="18"/>
                <w:szCs w:val="18"/>
                <w:color w:val="auto"/>
              </w:rPr>
              <w:t xml:space="preserve">Item 1A: </w:t>
            </w:r>
            <w:r>
              <w:rPr>
                <w:rFonts w:ascii="Arial" w:cs="Arial" w:eastAsia="Arial" w:hAnsi="Arial"/>
                <w:sz w:val="18"/>
                <w:szCs w:val="18"/>
                <w:color w:val="0000FF"/>
              </w:rPr>
              <w:t>Risk Factors</w:t>
            </w:r>
          </w:p>
        </w:tc>
        <w:tc>
          <w:tcPr>
            <w:tcW w:w="760" w:type="dxa"/>
            <w:vAlign w:val="bottom"/>
            <w:gridSpan w:val="4"/>
            <w:vMerge w:val="continue"/>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200" w:type="dxa"/>
            <w:vAlign w:val="bottom"/>
            <w:gridSpan w:val="18"/>
            <w:vMerge w:val="continu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60" w:type="dxa"/>
            <w:vAlign w:val="bottom"/>
          </w:tcPr>
          <w:p>
            <w:pPr>
              <w:spacing w:after="0"/>
              <w:rPr>
                <w:sz w:val="24"/>
                <w:szCs w:val="24"/>
                <w:color w:val="auto"/>
              </w:rPr>
            </w:pPr>
          </w:p>
        </w:tc>
        <w:tc>
          <w:tcPr>
            <w:tcW w:w="10200" w:type="dxa"/>
            <w:vAlign w:val="bottom"/>
            <w:gridSpan w:val="18"/>
            <w:vMerge w:val="continue"/>
          </w:tcPr>
          <w:p>
            <w:pPr>
              <w:spacing w:after="0"/>
              <w:rPr>
                <w:sz w:val="24"/>
                <w:szCs w:val="24"/>
                <w:color w:val="auto"/>
              </w:rPr>
            </w:pPr>
          </w:p>
        </w:tc>
        <w:tc>
          <w:tcPr>
            <w:tcW w:w="760" w:type="dxa"/>
            <w:vAlign w:val="bottom"/>
            <w:gridSpan w:val="4"/>
            <w:vMerge w:val="restart"/>
          </w:tcPr>
          <w:p>
            <w:pPr>
              <w:jc w:val="right"/>
              <w:ind w:right="20"/>
              <w:spacing w:after="0"/>
              <w:rPr>
                <w:sz w:val="20"/>
                <w:szCs w:val="20"/>
                <w:color w:val="auto"/>
              </w:rPr>
            </w:pPr>
            <w:r>
              <w:rPr>
                <w:rFonts w:ascii="Arial" w:cs="Arial" w:eastAsia="Arial" w:hAnsi="Arial"/>
                <w:sz w:val="18"/>
                <w:szCs w:val="18"/>
                <w:color w:val="0000FF"/>
              </w:rPr>
              <w:t>46</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60" w:type="dxa"/>
            <w:vAlign w:val="bottom"/>
            <w:gridSpan w:val="4"/>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0" w:type="dxa"/>
            <w:vAlign w:val="bottom"/>
          </w:tcPr>
          <w:p>
            <w:pPr>
              <w:spacing w:after="0"/>
              <w:rPr>
                <w:sz w:val="11"/>
                <w:szCs w:val="11"/>
                <w:color w:val="auto"/>
              </w:rPr>
            </w:pPr>
          </w:p>
        </w:tc>
        <w:tc>
          <w:tcPr>
            <w:tcW w:w="10200" w:type="dxa"/>
            <w:vAlign w:val="bottom"/>
            <w:gridSpan w:val="18"/>
            <w:vMerge w:val="restart"/>
          </w:tcPr>
          <w:p>
            <w:pPr>
              <w:ind w:left="380"/>
              <w:spacing w:after="0"/>
              <w:rPr>
                <w:sz w:val="20"/>
                <w:szCs w:val="20"/>
                <w:color w:val="auto"/>
              </w:rPr>
            </w:pPr>
            <w:r>
              <w:rPr>
                <w:rFonts w:ascii="Arial" w:cs="Arial" w:eastAsia="Arial" w:hAnsi="Arial"/>
                <w:sz w:val="18"/>
                <w:szCs w:val="18"/>
                <w:color w:val="auto"/>
              </w:rPr>
              <w:t xml:space="preserve">Item 2: </w:t>
            </w:r>
            <w:r>
              <w:rPr>
                <w:rFonts w:ascii="Arial" w:cs="Arial" w:eastAsia="Arial" w:hAnsi="Arial"/>
                <w:sz w:val="18"/>
                <w:szCs w:val="18"/>
                <w:color w:val="0000FF"/>
              </w:rPr>
              <w:t>Unregistered Sales of Equity Securities and Use of Proceeds</w:t>
            </w:r>
          </w:p>
        </w:tc>
        <w:tc>
          <w:tcPr>
            <w:tcW w:w="760" w:type="dxa"/>
            <w:vAlign w:val="bottom"/>
            <w:gridSpan w:val="4"/>
            <w:vMerge w:val="continue"/>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200" w:type="dxa"/>
            <w:vAlign w:val="bottom"/>
            <w:gridSpan w:val="18"/>
            <w:vMerge w:val="continu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60" w:type="dxa"/>
            <w:vAlign w:val="bottom"/>
          </w:tcPr>
          <w:p>
            <w:pPr>
              <w:spacing w:after="0"/>
              <w:rPr>
                <w:sz w:val="24"/>
                <w:szCs w:val="24"/>
                <w:color w:val="auto"/>
              </w:rPr>
            </w:pPr>
          </w:p>
        </w:tc>
        <w:tc>
          <w:tcPr>
            <w:tcW w:w="10200" w:type="dxa"/>
            <w:vAlign w:val="bottom"/>
            <w:gridSpan w:val="18"/>
            <w:vMerge w:val="continue"/>
          </w:tcPr>
          <w:p>
            <w:pPr>
              <w:spacing w:after="0"/>
              <w:rPr>
                <w:sz w:val="24"/>
                <w:szCs w:val="24"/>
                <w:color w:val="auto"/>
              </w:rPr>
            </w:pPr>
          </w:p>
        </w:tc>
        <w:tc>
          <w:tcPr>
            <w:tcW w:w="760" w:type="dxa"/>
            <w:vAlign w:val="bottom"/>
            <w:gridSpan w:val="4"/>
            <w:vMerge w:val="restart"/>
          </w:tcPr>
          <w:p>
            <w:pPr>
              <w:jc w:val="right"/>
              <w:ind w:right="20"/>
              <w:spacing w:after="0"/>
              <w:rPr>
                <w:sz w:val="20"/>
                <w:szCs w:val="20"/>
                <w:color w:val="auto"/>
              </w:rPr>
            </w:pPr>
            <w:r>
              <w:rPr>
                <w:rFonts w:ascii="Arial" w:cs="Arial" w:eastAsia="Arial" w:hAnsi="Arial"/>
                <w:sz w:val="18"/>
                <w:szCs w:val="18"/>
                <w:color w:val="0000FF"/>
              </w:rPr>
              <w:t>46</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60" w:type="dxa"/>
            <w:vAlign w:val="bottom"/>
            <w:gridSpan w:val="4"/>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60" w:type="dxa"/>
            <w:vAlign w:val="bottom"/>
          </w:tcPr>
          <w:p>
            <w:pPr>
              <w:spacing w:after="0"/>
              <w:rPr>
                <w:sz w:val="11"/>
                <w:szCs w:val="11"/>
                <w:color w:val="auto"/>
              </w:rPr>
            </w:pPr>
          </w:p>
        </w:tc>
        <w:tc>
          <w:tcPr>
            <w:tcW w:w="10200" w:type="dxa"/>
            <w:vAlign w:val="bottom"/>
            <w:gridSpan w:val="18"/>
            <w:vMerge w:val="restart"/>
          </w:tcPr>
          <w:p>
            <w:pPr>
              <w:ind w:left="380"/>
              <w:spacing w:after="0"/>
              <w:rPr>
                <w:sz w:val="20"/>
                <w:szCs w:val="20"/>
                <w:color w:val="auto"/>
              </w:rPr>
            </w:pPr>
            <w:r>
              <w:rPr>
                <w:rFonts w:ascii="Arial" w:cs="Arial" w:eastAsia="Arial" w:hAnsi="Arial"/>
                <w:sz w:val="18"/>
                <w:szCs w:val="18"/>
                <w:color w:val="auto"/>
              </w:rPr>
              <w:t xml:space="preserve">Item 5: </w:t>
            </w:r>
            <w:r>
              <w:rPr>
                <w:rFonts w:ascii="Arial" w:cs="Arial" w:eastAsia="Arial" w:hAnsi="Arial"/>
                <w:sz w:val="18"/>
                <w:szCs w:val="18"/>
                <w:color w:val="0000FF"/>
              </w:rPr>
              <w:t>Other Information</w:t>
            </w:r>
          </w:p>
        </w:tc>
        <w:tc>
          <w:tcPr>
            <w:tcW w:w="760" w:type="dxa"/>
            <w:vAlign w:val="bottom"/>
            <w:gridSpan w:val="4"/>
            <w:vMerge w:val="continue"/>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200" w:type="dxa"/>
            <w:vAlign w:val="bottom"/>
            <w:gridSpan w:val="18"/>
            <w:vMerge w:val="continu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60" w:type="dxa"/>
            <w:vAlign w:val="bottom"/>
          </w:tcPr>
          <w:p>
            <w:pPr>
              <w:spacing w:after="0"/>
              <w:rPr>
                <w:sz w:val="24"/>
                <w:szCs w:val="24"/>
                <w:color w:val="auto"/>
              </w:rPr>
            </w:pPr>
          </w:p>
        </w:tc>
        <w:tc>
          <w:tcPr>
            <w:tcW w:w="10200" w:type="dxa"/>
            <w:vAlign w:val="bottom"/>
            <w:gridSpan w:val="18"/>
            <w:vMerge w:val="continue"/>
          </w:tcPr>
          <w:p>
            <w:pPr>
              <w:spacing w:after="0"/>
              <w:rPr>
                <w:sz w:val="24"/>
                <w:szCs w:val="24"/>
                <w:color w:val="auto"/>
              </w:rPr>
            </w:pPr>
          </w:p>
        </w:tc>
        <w:tc>
          <w:tcPr>
            <w:tcW w:w="760" w:type="dxa"/>
            <w:vAlign w:val="bottom"/>
            <w:gridSpan w:val="4"/>
            <w:vMerge w:val="restart"/>
          </w:tcPr>
          <w:p>
            <w:pPr>
              <w:jc w:val="right"/>
              <w:ind w:right="20"/>
              <w:spacing w:after="0"/>
              <w:rPr>
                <w:sz w:val="20"/>
                <w:szCs w:val="20"/>
                <w:color w:val="auto"/>
              </w:rPr>
            </w:pPr>
            <w:r>
              <w:rPr>
                <w:rFonts w:ascii="Arial" w:cs="Arial" w:eastAsia="Arial" w:hAnsi="Arial"/>
                <w:sz w:val="18"/>
                <w:szCs w:val="18"/>
                <w:color w:val="0000FF"/>
              </w:rPr>
              <w:t>46</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60" w:type="dxa"/>
            <w:vAlign w:val="bottom"/>
            <w:gridSpan w:val="4"/>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60" w:type="dxa"/>
            <w:vAlign w:val="bottom"/>
          </w:tcPr>
          <w:p>
            <w:pPr>
              <w:spacing w:after="0"/>
              <w:rPr>
                <w:sz w:val="10"/>
                <w:szCs w:val="10"/>
                <w:color w:val="auto"/>
              </w:rPr>
            </w:pPr>
          </w:p>
        </w:tc>
        <w:tc>
          <w:tcPr>
            <w:tcW w:w="10200" w:type="dxa"/>
            <w:vAlign w:val="bottom"/>
            <w:gridSpan w:val="18"/>
            <w:vMerge w:val="restart"/>
          </w:tcPr>
          <w:p>
            <w:pPr>
              <w:ind w:left="380"/>
              <w:spacing w:after="0"/>
              <w:rPr>
                <w:sz w:val="20"/>
                <w:szCs w:val="20"/>
                <w:color w:val="auto"/>
              </w:rPr>
            </w:pPr>
            <w:r>
              <w:rPr>
                <w:rFonts w:ascii="Arial" w:cs="Arial" w:eastAsia="Arial" w:hAnsi="Arial"/>
                <w:sz w:val="18"/>
                <w:szCs w:val="18"/>
                <w:color w:val="auto"/>
              </w:rPr>
              <w:t xml:space="preserve">Item 6: </w:t>
            </w:r>
            <w:r>
              <w:rPr>
                <w:rFonts w:ascii="Arial" w:cs="Arial" w:eastAsia="Arial" w:hAnsi="Arial"/>
                <w:sz w:val="18"/>
                <w:szCs w:val="18"/>
                <w:color w:val="0000FF"/>
              </w:rPr>
              <w:t>Exhibits</w:t>
            </w:r>
          </w:p>
        </w:tc>
        <w:tc>
          <w:tcPr>
            <w:tcW w:w="760" w:type="dxa"/>
            <w:vAlign w:val="bottom"/>
            <w:gridSpan w:val="4"/>
            <w:vMerge w:val="continue"/>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200" w:type="dxa"/>
            <w:vAlign w:val="bottom"/>
            <w:gridSpan w:val="18"/>
            <w:vMerge w:val="continu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60" w:type="dxa"/>
            <w:vAlign w:val="bottom"/>
          </w:tcPr>
          <w:p>
            <w:pPr>
              <w:spacing w:after="0"/>
              <w:rPr>
                <w:sz w:val="24"/>
                <w:szCs w:val="24"/>
                <w:color w:val="auto"/>
              </w:rPr>
            </w:pPr>
          </w:p>
        </w:tc>
        <w:tc>
          <w:tcPr>
            <w:tcW w:w="10200" w:type="dxa"/>
            <w:vAlign w:val="bottom"/>
            <w:gridSpan w:val="18"/>
            <w:vMerge w:val="continue"/>
          </w:tcPr>
          <w:p>
            <w:pPr>
              <w:spacing w:after="0"/>
              <w:rPr>
                <w:sz w:val="24"/>
                <w:szCs w:val="24"/>
                <w:color w:val="auto"/>
              </w:rPr>
            </w:pPr>
          </w:p>
        </w:tc>
        <w:tc>
          <w:tcPr>
            <w:tcW w:w="760" w:type="dxa"/>
            <w:vAlign w:val="bottom"/>
            <w:gridSpan w:val="4"/>
            <w:vMerge w:val="restart"/>
          </w:tcPr>
          <w:p>
            <w:pPr>
              <w:jc w:val="right"/>
              <w:ind w:right="20"/>
              <w:spacing w:after="0"/>
              <w:rPr>
                <w:sz w:val="20"/>
                <w:szCs w:val="20"/>
                <w:color w:val="auto"/>
              </w:rPr>
            </w:pPr>
            <w:r>
              <w:rPr>
                <w:rFonts w:ascii="Arial" w:cs="Arial" w:eastAsia="Arial" w:hAnsi="Arial"/>
                <w:sz w:val="18"/>
                <w:szCs w:val="18"/>
                <w:color w:val="0000FF"/>
              </w:rPr>
              <w:t>48</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8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60" w:type="dxa"/>
            <w:vAlign w:val="bottom"/>
            <w:gridSpan w:val="4"/>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0260" w:type="dxa"/>
            <w:vAlign w:val="bottom"/>
            <w:gridSpan w:val="19"/>
            <w:vMerge w:val="restart"/>
          </w:tcPr>
          <w:p>
            <w:pPr>
              <w:ind w:left="60"/>
              <w:spacing w:after="0"/>
              <w:rPr>
                <w:sz w:val="20"/>
                <w:szCs w:val="20"/>
                <w:color w:val="auto"/>
              </w:rPr>
            </w:pPr>
            <w:r>
              <w:rPr>
                <w:rFonts w:ascii="Arial" w:cs="Arial" w:eastAsia="Arial" w:hAnsi="Arial"/>
                <w:sz w:val="18"/>
                <w:szCs w:val="18"/>
                <w:b w:val="1"/>
                <w:bCs w:val="1"/>
                <w:color w:val="0000FF"/>
              </w:rPr>
              <w:t>SIGNATURE</w:t>
            </w:r>
          </w:p>
        </w:tc>
        <w:tc>
          <w:tcPr>
            <w:tcW w:w="760" w:type="dxa"/>
            <w:vAlign w:val="bottom"/>
            <w:gridSpan w:val="4"/>
            <w:vMerge w:val="continue"/>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260" w:type="dxa"/>
            <w:vAlign w:val="bottom"/>
            <w:gridSpan w:val="19"/>
            <w:vMerge w:val="continu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9"/>
        </w:trPr>
        <w:tc>
          <w:tcPr>
            <w:tcW w:w="10260" w:type="dxa"/>
            <w:vAlign w:val="bottom"/>
            <w:gridSpan w:val="19"/>
            <w:vMerge w:val="continue"/>
          </w:tcPr>
          <w:p>
            <w:pPr>
              <w:spacing w:after="0"/>
              <w:rPr>
                <w:sz w:val="24"/>
                <w:szCs w:val="24"/>
                <w:color w:val="auto"/>
              </w:rPr>
            </w:pPr>
          </w:p>
        </w:tc>
        <w:tc>
          <w:tcPr>
            <w:tcW w:w="760" w:type="dxa"/>
            <w:vAlign w:val="bottom"/>
            <w:gridSpan w:val="4"/>
          </w:tcPr>
          <w:p>
            <w:pPr>
              <w:jc w:val="right"/>
              <w:ind w:right="20"/>
              <w:spacing w:after="0"/>
              <w:rPr>
                <w:sz w:val="20"/>
                <w:szCs w:val="20"/>
                <w:color w:val="auto"/>
              </w:rPr>
            </w:pPr>
            <w:r>
              <w:rPr>
                <w:rFonts w:ascii="Arial" w:cs="Arial" w:eastAsia="Arial" w:hAnsi="Arial"/>
                <w:sz w:val="18"/>
                <w:szCs w:val="18"/>
                <w:color w:val="0000FF"/>
              </w:rPr>
              <w:t>49</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6"/>
        </w:trPr>
        <w:tc>
          <w:tcPr>
            <w:tcW w:w="60" w:type="dxa"/>
            <w:vAlign w:val="bottom"/>
            <w:tcBorders>
              <w:bottom w:val="single" w:sz="8" w:color="9A9A9A"/>
            </w:tcBorders>
          </w:tcPr>
          <w:p>
            <w:pPr>
              <w:spacing w:after="0"/>
              <w:rPr>
                <w:sz w:val="24"/>
                <w:szCs w:val="24"/>
                <w:color w:val="auto"/>
              </w:rPr>
            </w:pPr>
          </w:p>
        </w:tc>
        <w:tc>
          <w:tcPr>
            <w:tcW w:w="9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71"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 (Unaudited)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6"/>
                <w:szCs w:val="16"/>
                <w:b w:val="1"/>
                <w:bCs w:val="1"/>
                <w:color w:val="auto"/>
              </w:rPr>
              <w:t>Three Months Ended June 30,</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4"/>
          </w:tcPr>
          <w:p>
            <w:pPr>
              <w:jc w:val="right"/>
              <w:ind w:right="650"/>
              <w:spacing w:after="0"/>
              <w:rPr>
                <w:sz w:val="20"/>
                <w:szCs w:val="20"/>
                <w:color w:val="auto"/>
              </w:rPr>
            </w:pPr>
            <w:r>
              <w:rPr>
                <w:rFonts w:ascii="Arial" w:cs="Arial" w:eastAsia="Arial" w:hAnsi="Arial"/>
                <w:sz w:val="16"/>
                <w:szCs w:val="16"/>
                <w:b w:val="1"/>
                <w:bCs w:val="1"/>
                <w:color w:val="auto"/>
              </w:rPr>
              <w:t>Six Months Ended June 30,</w:t>
            </w:r>
          </w:p>
        </w:tc>
      </w:tr>
      <w:tr>
        <w:trPr>
          <w:trHeight w:val="229"/>
        </w:trPr>
        <w:tc>
          <w:tcPr>
            <w:tcW w:w="44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 except per share data</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51"/>
              <w:spacing w:after="0"/>
              <w:rPr>
                <w:sz w:val="20"/>
                <w:szCs w:val="20"/>
                <w:color w:val="auto"/>
              </w:rPr>
            </w:pPr>
            <w:r>
              <w:rPr>
                <w:rFonts w:ascii="Arial" w:cs="Arial" w:eastAsia="Arial" w:hAnsi="Arial"/>
                <w:sz w:val="16"/>
                <w:szCs w:val="16"/>
                <w:b w:val="1"/>
                <w:bCs w:val="1"/>
                <w:color w:val="auto"/>
              </w:rPr>
              <w:t>2023</w:t>
            </w:r>
          </w:p>
        </w:tc>
        <w:tc>
          <w:tcPr>
            <w:tcW w:w="1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70"/>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51"/>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70"/>
              <w:spacing w:after="0"/>
              <w:rPr>
                <w:sz w:val="20"/>
                <w:szCs w:val="20"/>
                <w:color w:val="auto"/>
              </w:rPr>
            </w:pPr>
            <w:r>
              <w:rPr>
                <w:rFonts w:ascii="Arial" w:cs="Arial" w:eastAsia="Arial" w:hAnsi="Arial"/>
                <w:sz w:val="16"/>
                <w:szCs w:val="16"/>
                <w:b w:val="1"/>
                <w:bCs w:val="1"/>
                <w:color w:val="auto"/>
              </w:rPr>
              <w:t>2022</w:t>
            </w:r>
          </w:p>
        </w:tc>
      </w:tr>
      <w:tr>
        <w:trPr>
          <w:trHeight w:val="223"/>
        </w:trPr>
        <w:tc>
          <w:tcPr>
            <w:tcW w:w="4400" w:type="dxa"/>
            <w:vAlign w:val="bottom"/>
          </w:tcPr>
          <w:p>
            <w:pPr>
              <w:ind w:left="20"/>
              <w:spacing w:after="0"/>
              <w:rPr>
                <w:sz w:val="20"/>
                <w:szCs w:val="20"/>
                <w:color w:val="auto"/>
              </w:rPr>
            </w:pPr>
            <w:r>
              <w:rPr>
                <w:rFonts w:ascii="Arial" w:cs="Arial" w:eastAsia="Arial" w:hAnsi="Arial"/>
                <w:sz w:val="18"/>
                <w:szCs w:val="18"/>
                <w:color w:val="auto"/>
              </w:rPr>
              <w:t>Revenues</w:t>
            </w: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4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Product revenues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464,803</w:t>
            </w:r>
          </w:p>
        </w:tc>
        <w:tc>
          <w:tcPr>
            <w:tcW w:w="5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359,898</w:t>
            </w:r>
          </w:p>
        </w:tc>
        <w:tc>
          <w:tcPr>
            <w:tcW w:w="4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881,127</w:t>
            </w:r>
          </w:p>
        </w:tc>
        <w:tc>
          <w:tcPr>
            <w:tcW w:w="5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759,708</w:t>
            </w:r>
          </w:p>
        </w:tc>
      </w:tr>
      <w:tr>
        <w:trPr>
          <w:trHeight w:val="237"/>
        </w:trPr>
        <w:tc>
          <w:tcPr>
            <w:tcW w:w="44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Service revenues</w:t>
            </w:r>
          </w:p>
        </w:tc>
        <w:tc>
          <w:tcPr>
            <w:tcW w:w="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76,267</w:t>
            </w:r>
          </w:p>
        </w:tc>
        <w:tc>
          <w:tcPr>
            <w:tcW w:w="14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71,984</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154,561</w:t>
            </w: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147,505</w:t>
            </w:r>
          </w:p>
        </w:tc>
      </w:tr>
      <w:tr>
        <w:trPr>
          <w:trHeight w:val="229"/>
        </w:trPr>
        <w:tc>
          <w:tcPr>
            <w:tcW w:w="44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revenues</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541,070</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431,882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1,035,688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907,213</w:t>
            </w:r>
          </w:p>
        </w:tc>
      </w:tr>
      <w:tr>
        <w:trPr>
          <w:trHeight w:val="229"/>
        </w:trPr>
        <w:tc>
          <w:tcPr>
            <w:tcW w:w="4400" w:type="dxa"/>
            <w:vAlign w:val="bottom"/>
          </w:tcPr>
          <w:p>
            <w:pPr>
              <w:ind w:left="20"/>
              <w:spacing w:after="0"/>
              <w:rPr>
                <w:sz w:val="20"/>
                <w:szCs w:val="20"/>
                <w:color w:val="auto"/>
              </w:rPr>
            </w:pPr>
            <w:r>
              <w:rPr>
                <w:rFonts w:ascii="Arial" w:cs="Arial" w:eastAsia="Arial" w:hAnsi="Arial"/>
                <w:sz w:val="18"/>
                <w:szCs w:val="18"/>
                <w:color w:val="auto"/>
              </w:rPr>
              <w:t>Cost of revenues</w:t>
            </w: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43"/>
        </w:trPr>
        <w:tc>
          <w:tcPr>
            <w:tcW w:w="4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Product cost of revenues</w:t>
            </w: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322,288</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265,278</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619,631</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560,098</w:t>
            </w:r>
          </w:p>
        </w:tc>
      </w:tr>
      <w:tr>
        <w:trPr>
          <w:trHeight w:val="229"/>
        </w:trPr>
        <w:tc>
          <w:tcPr>
            <w:tcW w:w="4400" w:type="dxa"/>
            <w:vAlign w:val="bottom"/>
          </w:tcPr>
          <w:p>
            <w:pPr>
              <w:ind w:left="360"/>
              <w:spacing w:after="0"/>
              <w:rPr>
                <w:sz w:val="20"/>
                <w:szCs w:val="20"/>
                <w:color w:val="auto"/>
              </w:rPr>
            </w:pPr>
            <w:r>
              <w:rPr>
                <w:rFonts w:ascii="Arial" w:cs="Arial" w:eastAsia="Arial" w:hAnsi="Arial"/>
                <w:sz w:val="18"/>
                <w:szCs w:val="18"/>
                <w:color w:val="auto"/>
              </w:rPr>
              <w:t>Service cost of revenues</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44,835</w:t>
            </w:r>
          </w:p>
        </w:tc>
        <w:tc>
          <w:tcPr>
            <w:tcW w:w="1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40,499</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85,742</w:t>
            </w: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85,786</w:t>
            </w:r>
          </w:p>
        </w:tc>
      </w:tr>
      <w:tr>
        <w:trPr>
          <w:trHeight w:val="223"/>
        </w:trPr>
        <w:tc>
          <w:tcPr>
            <w:tcW w:w="44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cost of revenues</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367,123</w:t>
            </w:r>
          </w:p>
        </w:tc>
        <w:tc>
          <w:tcPr>
            <w:tcW w:w="14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305,777</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705,373</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645,884</w:t>
            </w: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173,947</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126,105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330,315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261,329</w:t>
            </w:r>
          </w:p>
        </w:tc>
      </w:tr>
      <w:tr>
        <w:trPr>
          <w:trHeight w:val="249"/>
        </w:trPr>
        <w:tc>
          <w:tcPr>
            <w:tcW w:w="44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r>
      <w:tr>
        <w:trPr>
          <w:trHeight w:val="237"/>
        </w:trPr>
        <w:tc>
          <w:tcPr>
            <w:tcW w:w="44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36"/>
        </w:trPr>
        <w:tc>
          <w:tcPr>
            <w:tcW w:w="4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 general and administrative</w:t>
            </w:r>
          </w:p>
        </w:tc>
        <w:tc>
          <w:tcPr>
            <w:tcW w:w="3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79,079</w:t>
            </w:r>
          </w:p>
        </w:tc>
        <w:tc>
          <w:tcPr>
            <w:tcW w:w="1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72,877</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154,600</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149,278</w:t>
            </w:r>
          </w:p>
        </w:tc>
      </w:tr>
      <w:tr>
        <w:trPr>
          <w:trHeight w:val="230"/>
        </w:trPr>
        <w:tc>
          <w:tcPr>
            <w:tcW w:w="440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53,560</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45,055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103,125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94,651</w:t>
            </w:r>
          </w:p>
        </w:tc>
      </w:tr>
      <w:tr>
        <w:trPr>
          <w:trHeight w:val="243"/>
        </w:trPr>
        <w:tc>
          <w:tcPr>
            <w:tcW w:w="4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intangible assets</w:t>
            </w: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4,722</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6,485</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9,770</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13,038</w:t>
            </w:r>
          </w:p>
        </w:tc>
      </w:tr>
      <w:tr>
        <w:trPr>
          <w:trHeight w:val="230"/>
        </w:trPr>
        <w:tc>
          <w:tcPr>
            <w:tcW w:w="4400" w:type="dxa"/>
            <w:vAlign w:val="bottom"/>
          </w:tcPr>
          <w:p>
            <w:pPr>
              <w:ind w:left="360"/>
              <w:spacing w:after="0"/>
              <w:rPr>
                <w:sz w:val="20"/>
                <w:szCs w:val="20"/>
                <w:color w:val="auto"/>
              </w:rPr>
            </w:pPr>
            <w:r>
              <w:rPr>
                <w:rFonts w:ascii="Arial" w:cs="Arial" w:eastAsia="Arial" w:hAnsi="Arial"/>
                <w:sz w:val="18"/>
                <w:szCs w:val="18"/>
                <w:color w:val="auto"/>
              </w:rPr>
              <w:t>Restructuring</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874</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(3,459)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37,483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(9,825)</w:t>
            </w:r>
          </w:p>
        </w:tc>
      </w:tr>
      <w:tr>
        <w:trPr>
          <w:trHeight w:val="229"/>
        </w:trPr>
        <w:tc>
          <w:tcPr>
            <w:tcW w:w="4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on sale of business</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2,415</w:t>
            </w:r>
          </w:p>
        </w:tc>
      </w:tr>
      <w:tr>
        <w:trPr>
          <w:trHeight w:val="237"/>
        </w:trPr>
        <w:tc>
          <w:tcPr>
            <w:tcW w:w="44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Goodwill impairment</w:t>
            </w:r>
          </w:p>
        </w:tc>
        <w:tc>
          <w:tcPr>
            <w:tcW w:w="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38,480</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38,480</w:t>
            </w:r>
          </w:p>
        </w:tc>
      </w:tr>
      <w:tr>
        <w:trPr>
          <w:trHeight w:val="229"/>
        </w:trPr>
        <w:tc>
          <w:tcPr>
            <w:tcW w:w="44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operating expenses</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138,847</w:t>
            </w:r>
          </w:p>
        </w:tc>
        <w:tc>
          <w:tcPr>
            <w:tcW w:w="14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159,632</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305,608</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288,037</w:t>
            </w:r>
          </w:p>
        </w:tc>
      </w:tr>
      <w:tr>
        <w:trPr>
          <w:trHeight w:val="237"/>
        </w:trPr>
        <w:tc>
          <w:tcPr>
            <w:tcW w:w="4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43"/>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35,100</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(33,527)</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24,707</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(26,708)</w:t>
            </w: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4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w:t>
            </w:r>
          </w:p>
        </w:tc>
      </w:tr>
      <w:tr>
        <w:trPr>
          <w:trHeight w:val="237"/>
        </w:trPr>
        <w:tc>
          <w:tcPr>
            <w:tcW w:w="440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(1,977)</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(1,660)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(4,034)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(3,252)</w:t>
            </w:r>
          </w:p>
        </w:tc>
      </w:tr>
      <w:tr>
        <w:trPr>
          <w:trHeight w:val="236"/>
        </w:trPr>
        <w:tc>
          <w:tcPr>
            <w:tcW w:w="4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 (expense), net</w:t>
            </w:r>
          </w:p>
        </w:tc>
        <w:tc>
          <w:tcPr>
            <w:tcW w:w="3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4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(1,386)</w:t>
            </w:r>
          </w:p>
        </w:tc>
        <w:tc>
          <w:tcPr>
            <w:tcW w:w="10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(1,808)</w:t>
            </w:r>
          </w:p>
        </w:tc>
        <w:tc>
          <w:tcPr>
            <w:tcW w:w="12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(2,075)</w:t>
            </w:r>
          </w:p>
        </w:tc>
      </w:tr>
      <w:tr>
        <w:trPr>
          <w:trHeight w:val="223"/>
        </w:trPr>
        <w:tc>
          <w:tcPr>
            <w:tcW w:w="4400" w:type="dxa"/>
            <w:vAlign w:val="bottom"/>
          </w:tcPr>
          <w:p>
            <w:pPr>
              <w:ind w:left="680"/>
              <w:spacing w:after="0"/>
              <w:rPr>
                <w:sz w:val="20"/>
                <w:szCs w:val="20"/>
                <w:color w:val="auto"/>
              </w:rPr>
            </w:pPr>
            <w:r>
              <w:rPr>
                <w:rFonts w:ascii="Arial" w:cs="Arial" w:eastAsia="Arial" w:hAnsi="Arial"/>
                <w:sz w:val="18"/>
                <w:szCs w:val="18"/>
                <w:color w:val="auto"/>
              </w:rPr>
              <w:t>Total other income (expense)</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w:t>
            </w:r>
          </w:p>
        </w:tc>
        <w:tc>
          <w:tcPr>
            <w:tcW w:w="1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(2,697)</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(2,516)</w:t>
            </w: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(4,761)</w:t>
            </w:r>
          </w:p>
        </w:tc>
      </w:tr>
      <w:tr>
        <w:trPr>
          <w:trHeight w:val="236"/>
        </w:trPr>
        <w:tc>
          <w:tcPr>
            <w:tcW w:w="44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37"/>
        </w:trPr>
        <w:tc>
          <w:tcPr>
            <w:tcW w:w="4400" w:type="dxa"/>
            <w:vAlign w:val="bottom"/>
          </w:tcPr>
          <w:p>
            <w:pPr>
              <w:ind w:left="20"/>
              <w:spacing w:after="0"/>
              <w:rPr>
                <w:sz w:val="20"/>
                <w:szCs w:val="20"/>
                <w:color w:val="auto"/>
              </w:rPr>
            </w:pPr>
            <w:r>
              <w:rPr>
                <w:rFonts w:ascii="Arial" w:cs="Arial" w:eastAsia="Arial" w:hAnsi="Arial"/>
                <w:sz w:val="18"/>
                <w:szCs w:val="18"/>
                <w:color w:val="auto"/>
              </w:rPr>
              <w:t>Income (loss) before income taxes</w:t>
            </w: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34,298</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(36,224)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22,191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(31,469)</w:t>
            </w:r>
          </w:p>
        </w:tc>
      </w:tr>
      <w:tr>
        <w:trPr>
          <w:trHeight w:val="236"/>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provision</w:t>
            </w:r>
          </w:p>
        </w:tc>
        <w:tc>
          <w:tcPr>
            <w:tcW w:w="3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(9,195)</w:t>
            </w:r>
          </w:p>
        </w:tc>
        <w:tc>
          <w:tcPr>
            <w:tcW w:w="1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(9,125)</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(4,500)</w:t>
            </w:r>
          </w:p>
        </w:tc>
      </w:tr>
      <w:tr>
        <w:trPr>
          <w:trHeight w:val="223"/>
        </w:trPr>
        <w:tc>
          <w:tcPr>
            <w:tcW w:w="440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25,103</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(36,865)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13,066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(35,969)</w:t>
            </w:r>
          </w:p>
        </w:tc>
      </w:tr>
      <w:tr>
        <w:trPr>
          <w:trHeight w:val="243"/>
        </w:trPr>
        <w:tc>
          <w:tcPr>
            <w:tcW w:w="4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 attributable to noncontrolling interests</w:t>
            </w:r>
          </w:p>
        </w:tc>
        <w:tc>
          <w:tcPr>
            <w:tcW w:w="3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902</w:t>
            </w:r>
          </w:p>
        </w:tc>
        <w:tc>
          <w:tcPr>
            <w:tcW w:w="14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12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r>
      <w:tr>
        <w:trPr>
          <w:trHeight w:val="223"/>
        </w:trPr>
        <w:tc>
          <w:tcPr>
            <w:tcW w:w="4400" w:type="dxa"/>
            <w:vAlign w:val="bottom"/>
          </w:tcPr>
          <w:p>
            <w:pPr>
              <w:ind w:left="20"/>
              <w:spacing w:after="0"/>
              <w:rPr>
                <w:sz w:val="20"/>
                <w:szCs w:val="20"/>
                <w:color w:val="auto"/>
              </w:rPr>
            </w:pPr>
            <w:r>
              <w:rPr>
                <w:rFonts w:ascii="Arial" w:cs="Arial" w:eastAsia="Arial" w:hAnsi="Arial"/>
                <w:sz w:val="18"/>
                <w:szCs w:val="18"/>
                <w:color w:val="auto"/>
              </w:rPr>
              <w:t>Net income (loss) attributable to Itron, Inc.</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24,201</w:t>
            </w:r>
          </w:p>
        </w:tc>
        <w:tc>
          <w:tcPr>
            <w:tcW w:w="14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(36,967)</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12,365</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(36,061)</w:t>
            </w:r>
          </w:p>
        </w:tc>
      </w:tr>
      <w:tr>
        <w:trPr>
          <w:trHeight w:val="20"/>
        </w:trPr>
        <w:tc>
          <w:tcPr>
            <w:tcW w:w="44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23"/>
        </w:trPr>
        <w:tc>
          <w:tcPr>
            <w:tcW w:w="44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color w:val="auto"/>
              </w:rPr>
              <w:t>Net income (loss) per common share - Basic</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0.53</w:t>
            </w:r>
          </w:p>
        </w:tc>
        <w:tc>
          <w:tcPr>
            <w:tcW w:w="5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(0.82)</w:t>
            </w:r>
          </w:p>
        </w:tc>
        <w:tc>
          <w:tcPr>
            <w:tcW w:w="4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0.27</w:t>
            </w:r>
          </w:p>
        </w:tc>
        <w:tc>
          <w:tcPr>
            <w:tcW w:w="5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(0.80)</w:t>
            </w:r>
          </w:p>
        </w:tc>
      </w:tr>
      <w:tr>
        <w:trPr>
          <w:trHeight w:val="20"/>
        </w:trPr>
        <w:tc>
          <w:tcPr>
            <w:tcW w:w="44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248"/>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per common share - Diluted</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(0.80)</w:t>
            </w: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4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Weighted average common shares outstanding - Basic</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45,435</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45,066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45,358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45,042</w:t>
            </w: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color w:val="auto"/>
                <w:w w:val="97"/>
              </w:rPr>
              <w:t>Weighted average common shares outstanding - Diluted</w:t>
            </w: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45,781</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45,066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45,677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45,042</w:t>
            </w:r>
          </w:p>
        </w:tc>
      </w:tr>
    </w:tbl>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4"/>
          </w:tcPr>
          <w:p>
            <w:pPr>
              <w:jc w:val="right"/>
              <w:ind w:right="551"/>
              <w:spacing w:after="0"/>
              <w:rPr>
                <w:sz w:val="20"/>
                <w:szCs w:val="20"/>
                <w:color w:val="auto"/>
              </w:rPr>
            </w:pPr>
            <w:r>
              <w:rPr>
                <w:rFonts w:ascii="Arial" w:cs="Arial" w:eastAsia="Arial" w:hAnsi="Arial"/>
                <w:sz w:val="16"/>
                <w:szCs w:val="16"/>
                <w:b w:val="1"/>
                <w:bCs w:val="1"/>
                <w:color w:val="auto"/>
              </w:rPr>
              <w:t>Three Months Ended June 30,</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4"/>
          </w:tcPr>
          <w:p>
            <w:pPr>
              <w:jc w:val="right"/>
              <w:ind w:right="651"/>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229"/>
        </w:trPr>
        <w:tc>
          <w:tcPr>
            <w:tcW w:w="43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72"/>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51"/>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52"/>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71"/>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23"/>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25,103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(36,865)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(35,969)</w:t>
            </w:r>
          </w:p>
        </w:tc>
        <w:tc>
          <w:tcPr>
            <w:tcW w:w="0" w:type="dxa"/>
            <w:vAlign w:val="bottom"/>
          </w:tcPr>
          <w:p>
            <w:pPr>
              <w:spacing w:after="0"/>
              <w:rPr>
                <w:sz w:val="1"/>
                <w:szCs w:val="1"/>
                <w:color w:val="auto"/>
              </w:rPr>
            </w:pPr>
          </w:p>
        </w:tc>
      </w:tr>
      <w:tr>
        <w:trPr>
          <w:trHeight w:val="270"/>
        </w:trPr>
        <w:tc>
          <w:tcPr>
            <w:tcW w:w="43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360" w:type="dxa"/>
            <w:vAlign w:val="bottom"/>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1,940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(20,628)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9,165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(27,519)</w:t>
            </w:r>
          </w:p>
        </w:tc>
        <w:tc>
          <w:tcPr>
            <w:tcW w:w="0" w:type="dxa"/>
            <w:vAlign w:val="bottom"/>
          </w:tcPr>
          <w:p>
            <w:pPr>
              <w:spacing w:after="0"/>
              <w:rPr>
                <w:sz w:val="1"/>
                <w:szCs w:val="1"/>
                <w:color w:val="auto"/>
              </w:rPr>
            </w:pPr>
          </w:p>
        </w:tc>
      </w:tr>
      <w:tr>
        <w:trPr>
          <w:trHeight w:val="182"/>
        </w:trPr>
        <w:tc>
          <w:tcPr>
            <w:tcW w:w="4360" w:type="dxa"/>
            <w:vAlign w:val="bottom"/>
            <w:shd w:val="clear" w:color="auto" w:fill="CCEEFF"/>
          </w:tcPr>
          <w:p>
            <w:pPr>
              <w:ind w:left="180"/>
              <w:spacing w:after="0" w:line="182" w:lineRule="exact"/>
              <w:rPr>
                <w:sz w:val="20"/>
                <w:szCs w:val="20"/>
                <w:color w:val="auto"/>
              </w:rPr>
            </w:pPr>
            <w:r>
              <w:rPr>
                <w:rFonts w:ascii="Arial" w:cs="Arial" w:eastAsia="Arial" w:hAnsi="Arial"/>
                <w:sz w:val="18"/>
                <w:szCs w:val="18"/>
                <w:color w:val="auto"/>
                <w:w w:val="96"/>
              </w:rPr>
              <w:t>Foreign currency translation adjustment reclassified to</w:t>
            </w:r>
          </w:p>
        </w:tc>
        <w:tc>
          <w:tcPr>
            <w:tcW w:w="38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55,436</w:t>
            </w: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 (loss) on sale of business</w:t>
            </w:r>
          </w:p>
        </w:tc>
        <w:tc>
          <w:tcPr>
            <w:tcW w:w="38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3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Pension benefit obligation adjustment</w:t>
            </w:r>
          </w:p>
        </w:tc>
        <w:tc>
          <w:tcPr>
            <w:tcW w:w="3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4,476</w:t>
            </w:r>
          </w:p>
        </w:tc>
        <w:tc>
          <w:tcPr>
            <w:tcW w:w="0" w:type="dxa"/>
            <w:vAlign w:val="bottom"/>
          </w:tcPr>
          <w:p>
            <w:pPr>
              <w:spacing w:after="0"/>
              <w:rPr>
                <w:sz w:val="1"/>
                <w:szCs w:val="1"/>
                <w:color w:val="auto"/>
              </w:rPr>
            </w:pPr>
          </w:p>
        </w:tc>
      </w:tr>
      <w:tr>
        <w:trPr>
          <w:trHeight w:val="223"/>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 comprehensive income (loss), net of tax</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1,833</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(20,422)</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8,952</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32,393</w:t>
            </w:r>
          </w:p>
        </w:tc>
        <w:tc>
          <w:tcPr>
            <w:tcW w:w="0" w:type="dxa"/>
            <w:vAlign w:val="bottom"/>
          </w:tcPr>
          <w:p>
            <w:pPr>
              <w:spacing w:after="0"/>
              <w:rPr>
                <w:sz w:val="1"/>
                <w:szCs w:val="1"/>
                <w:color w:val="auto"/>
              </w:rPr>
            </w:pPr>
          </w:p>
        </w:tc>
      </w:tr>
      <w:tr>
        <w:trPr>
          <w:trHeight w:val="263"/>
        </w:trPr>
        <w:tc>
          <w:tcPr>
            <w:tcW w:w="43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comprehensive income (loss), net of tax</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26,936</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(57,287)</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22,018</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(3,576)</w:t>
            </w:r>
          </w:p>
        </w:tc>
        <w:tc>
          <w:tcPr>
            <w:tcW w:w="0" w:type="dxa"/>
            <w:vAlign w:val="bottom"/>
          </w:tcPr>
          <w:p>
            <w:pPr>
              <w:spacing w:after="0"/>
              <w:rPr>
                <w:sz w:val="1"/>
                <w:szCs w:val="1"/>
                <w:color w:val="auto"/>
              </w:rPr>
            </w:pPr>
          </w:p>
        </w:tc>
      </w:tr>
      <w:tr>
        <w:trPr>
          <w:trHeight w:val="250"/>
        </w:trPr>
        <w:tc>
          <w:tcPr>
            <w:tcW w:w="4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8"/>
        </w:trPr>
        <w:tc>
          <w:tcPr>
            <w:tcW w:w="4360" w:type="dxa"/>
            <w:vAlign w:val="bottom"/>
            <w:shd w:val="clear" w:color="auto" w:fill="CCEEFF"/>
          </w:tcPr>
          <w:p>
            <w:pPr>
              <w:ind w:left="180"/>
              <w:spacing w:after="0" w:line="189" w:lineRule="exact"/>
              <w:rPr>
                <w:sz w:val="20"/>
                <w:szCs w:val="20"/>
                <w:color w:val="auto"/>
              </w:rPr>
            </w:pPr>
            <w:r>
              <w:rPr>
                <w:rFonts w:ascii="Arial" w:cs="Arial" w:eastAsia="Arial" w:hAnsi="Arial"/>
                <w:sz w:val="18"/>
                <w:szCs w:val="18"/>
                <w:color w:val="auto"/>
              </w:rPr>
              <w:t>Comprehensive income (loss) attributable to</w:t>
            </w: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noncontrolling interests, net of tax</w:t>
            </w:r>
          </w:p>
        </w:tc>
        <w:tc>
          <w:tcPr>
            <w:tcW w:w="3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902</w:t>
            </w:r>
          </w:p>
        </w:tc>
        <w:tc>
          <w:tcPr>
            <w:tcW w:w="12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12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23"/>
        </w:trPr>
        <w:tc>
          <w:tcPr>
            <w:tcW w:w="4360" w:type="dxa"/>
            <w:vAlign w:val="bottom"/>
          </w:tcPr>
          <w:p>
            <w:pPr>
              <w:ind w:left="20"/>
              <w:spacing w:after="0"/>
              <w:rPr>
                <w:sz w:val="20"/>
                <w:szCs w:val="20"/>
                <w:color w:val="auto"/>
              </w:rPr>
            </w:pPr>
            <w:r>
              <w:rPr>
                <w:rFonts w:ascii="Arial" w:cs="Arial" w:eastAsia="Arial" w:hAnsi="Arial"/>
                <w:sz w:val="18"/>
                <w:szCs w:val="18"/>
                <w:color w:val="auto"/>
                <w:w w:val="99"/>
              </w:rPr>
              <w:t>Comprehensive income (loss) attributable to Itron, Inc.</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26,034</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(57,389)</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21,317</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(3,668)</w:t>
            </w:r>
          </w:p>
        </w:tc>
        <w:tc>
          <w:tcPr>
            <w:tcW w:w="0" w:type="dxa"/>
            <w:vAlign w:val="bottom"/>
          </w:tcPr>
          <w:p>
            <w:pPr>
              <w:spacing w:after="0"/>
              <w:rPr>
                <w:sz w:val="1"/>
                <w:szCs w:val="1"/>
                <w:color w:val="auto"/>
              </w:rPr>
            </w:pPr>
          </w:p>
        </w:tc>
      </w:tr>
      <w:tr>
        <w:trPr>
          <w:trHeight w:val="21"/>
        </w:trPr>
        <w:tc>
          <w:tcPr>
            <w:tcW w:w="4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676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5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691"/>
        </w:trPr>
        <w:tc>
          <w:tcPr>
            <w:tcW w:w="1280" w:type="dxa"/>
            <w:vAlign w:val="bottom"/>
            <w:tcBorders>
              <w:top w:val="single" w:sz="8" w:color="0000FF"/>
            </w:tcBorders>
          </w:tcPr>
          <w:p>
            <w:pPr>
              <w:spacing w:after="0"/>
              <w:rPr>
                <w:sz w:val="24"/>
                <w:szCs w:val="24"/>
                <w:color w:val="auto"/>
              </w:rPr>
            </w:pPr>
          </w:p>
        </w:tc>
        <w:tc>
          <w:tcPr>
            <w:tcW w:w="5480" w:type="dxa"/>
            <w:vAlign w:val="bottom"/>
          </w:tcPr>
          <w:p>
            <w:pPr>
              <w:jc w:val="center"/>
              <w:ind w:left="3130"/>
              <w:spacing w:after="0"/>
              <w:rPr>
                <w:sz w:val="20"/>
                <w:szCs w:val="20"/>
                <w:color w:val="auto"/>
              </w:rPr>
            </w:pPr>
            <w:r>
              <w:rPr>
                <w:rFonts w:ascii="Arial" w:cs="Arial" w:eastAsia="Arial" w:hAnsi="Arial"/>
                <w:sz w:val="18"/>
                <w:szCs w:val="18"/>
                <w:b w:val="1"/>
                <w:bCs w:val="1"/>
                <w:color w:val="auto"/>
              </w:rPr>
              <w:t>ITRON, INC.</w:t>
            </w:r>
          </w:p>
        </w:tc>
        <w:tc>
          <w:tcPr>
            <w:tcW w:w="5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5980" w:type="dxa"/>
            <w:vAlign w:val="bottom"/>
            <w:gridSpan w:val="2"/>
          </w:tcPr>
          <w:p>
            <w:pPr>
              <w:jc w:val="center"/>
              <w:ind w:left="2610"/>
              <w:spacing w:after="0"/>
              <w:rPr>
                <w:sz w:val="20"/>
                <w:szCs w:val="20"/>
                <w:color w:val="auto"/>
              </w:rPr>
            </w:pPr>
            <w:r>
              <w:rPr>
                <w:rFonts w:ascii="Arial" w:cs="Arial" w:eastAsia="Arial" w:hAnsi="Arial"/>
                <w:sz w:val="18"/>
                <w:szCs w:val="18"/>
                <w:b w:val="1"/>
                <w:bCs w:val="1"/>
                <w:color w:val="auto"/>
                <w:w w:val="99"/>
              </w:rPr>
              <w:t>CONSOLIDATED BALANCE SHEETS</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5480" w:type="dxa"/>
            <w:vAlign w:val="bottom"/>
          </w:tcPr>
          <w:p>
            <w:pPr>
              <w:jc w:val="center"/>
              <w:ind w:left="3110"/>
              <w:spacing w:after="0"/>
              <w:rPr>
                <w:sz w:val="20"/>
                <w:szCs w:val="20"/>
                <w:color w:val="auto"/>
              </w:rPr>
            </w:pPr>
            <w:r>
              <w:rPr>
                <w:rFonts w:ascii="Arial" w:cs="Arial" w:eastAsia="Arial" w:hAnsi="Arial"/>
                <w:sz w:val="18"/>
                <w:szCs w:val="18"/>
                <w:b w:val="1"/>
                <w:bCs w:val="1"/>
                <w:color w:val="auto"/>
              </w:rPr>
              <w:t>(UNAUDITED)</w:t>
            </w:r>
          </w:p>
        </w:tc>
        <w:tc>
          <w:tcPr>
            <w:tcW w:w="5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257"/>
        </w:trPr>
        <w:tc>
          <w:tcPr>
            <w:tcW w:w="67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i w:val="1"/>
                <w:iCs w:val="1"/>
                <w:color w:val="auto"/>
              </w:rPr>
              <w:t>In thousands</w:t>
            </w:r>
          </w:p>
        </w:tc>
        <w:tc>
          <w:tcPr>
            <w:tcW w:w="50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w w:val="92"/>
              </w:rPr>
              <w:t>June 30, 2023</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6"/>
              </w:rPr>
              <w:t>December 31, 2022</w:t>
            </w:r>
          </w:p>
        </w:tc>
      </w:tr>
      <w:tr>
        <w:trPr>
          <w:trHeight w:val="228"/>
        </w:trPr>
        <w:tc>
          <w:tcPr>
            <w:tcW w:w="1280" w:type="dxa"/>
            <w:vAlign w:val="bottom"/>
          </w:tcPr>
          <w:p>
            <w:pPr>
              <w:spacing w:after="0"/>
              <w:rPr>
                <w:sz w:val="19"/>
                <w:szCs w:val="19"/>
                <w:color w:val="auto"/>
              </w:rPr>
            </w:pPr>
          </w:p>
        </w:tc>
        <w:tc>
          <w:tcPr>
            <w:tcW w:w="5480" w:type="dxa"/>
            <w:vAlign w:val="bottom"/>
          </w:tcPr>
          <w:p>
            <w:pPr>
              <w:jc w:val="center"/>
              <w:ind w:right="1190"/>
              <w:spacing w:after="0"/>
              <w:rPr>
                <w:sz w:val="20"/>
                <w:szCs w:val="20"/>
                <w:color w:val="auto"/>
              </w:rPr>
            </w:pPr>
            <w:r>
              <w:rPr>
                <w:rFonts w:ascii="Arial" w:cs="Arial" w:eastAsia="Arial" w:hAnsi="Arial"/>
                <w:sz w:val="18"/>
                <w:szCs w:val="18"/>
                <w:b w:val="1"/>
                <w:bCs w:val="1"/>
                <w:color w:val="auto"/>
                <w:w w:val="94"/>
              </w:rPr>
              <w:t>ASSETS</w:t>
            </w:r>
          </w:p>
        </w:tc>
        <w:tc>
          <w:tcPr>
            <w:tcW w:w="5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38"/>
        </w:trPr>
        <w:tc>
          <w:tcPr>
            <w:tcW w:w="6760" w:type="dxa"/>
            <w:vAlign w:val="bottom"/>
            <w:gridSpan w:val="2"/>
          </w:tcPr>
          <w:p>
            <w:pPr>
              <w:ind w:left="20"/>
              <w:spacing w:after="0"/>
              <w:rPr>
                <w:sz w:val="20"/>
                <w:szCs w:val="20"/>
                <w:color w:val="auto"/>
              </w:rPr>
            </w:pPr>
            <w:r>
              <w:rPr>
                <w:rFonts w:ascii="Arial" w:cs="Arial" w:eastAsia="Arial" w:hAnsi="Arial"/>
                <w:sz w:val="18"/>
                <w:szCs w:val="18"/>
                <w:color w:val="auto"/>
              </w:rPr>
              <w:t>Current assets</w:t>
            </w:r>
          </w:p>
        </w:tc>
        <w:tc>
          <w:tcPr>
            <w:tcW w:w="5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229"/>
        </w:trPr>
        <w:tc>
          <w:tcPr>
            <w:tcW w:w="67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232,787</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202,007</w:t>
            </w:r>
          </w:p>
        </w:tc>
      </w:tr>
      <w:tr>
        <w:trPr>
          <w:trHeight w:val="237"/>
        </w:trPr>
        <w:tc>
          <w:tcPr>
            <w:tcW w:w="6760" w:type="dxa"/>
            <w:vAlign w:val="bottom"/>
            <w:gridSpan w:val="2"/>
          </w:tcPr>
          <w:p>
            <w:pPr>
              <w:ind w:left="360"/>
              <w:spacing w:after="0"/>
              <w:rPr>
                <w:sz w:val="20"/>
                <w:szCs w:val="20"/>
                <w:color w:val="auto"/>
              </w:rPr>
            </w:pPr>
            <w:r>
              <w:rPr>
                <w:rFonts w:ascii="Arial" w:cs="Arial" w:eastAsia="Arial" w:hAnsi="Arial"/>
                <w:sz w:val="18"/>
                <w:szCs w:val="18"/>
                <w:color w:val="auto"/>
              </w:rPr>
              <w:t>Accounts receivable, net</w:t>
            </w:r>
          </w:p>
        </w:tc>
        <w:tc>
          <w:tcPr>
            <w:tcW w:w="50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318,809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280,435</w:t>
            </w:r>
          </w:p>
        </w:tc>
      </w:tr>
      <w:tr>
        <w:trPr>
          <w:trHeight w:val="236"/>
        </w:trPr>
        <w:tc>
          <w:tcPr>
            <w:tcW w:w="67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50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267,042</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228,701</w:t>
            </w:r>
          </w:p>
        </w:tc>
      </w:tr>
      <w:tr>
        <w:trPr>
          <w:trHeight w:val="230"/>
        </w:trPr>
        <w:tc>
          <w:tcPr>
            <w:tcW w:w="6760" w:type="dxa"/>
            <w:vAlign w:val="bottom"/>
            <w:gridSpan w:val="2"/>
          </w:tcPr>
          <w:p>
            <w:pPr>
              <w:ind w:left="360"/>
              <w:spacing w:after="0"/>
              <w:rPr>
                <w:sz w:val="20"/>
                <w:szCs w:val="20"/>
                <w:color w:val="auto"/>
              </w:rPr>
            </w:pPr>
            <w:r>
              <w:rPr>
                <w:rFonts w:ascii="Arial" w:cs="Arial" w:eastAsia="Arial" w:hAnsi="Arial"/>
                <w:sz w:val="18"/>
                <w:szCs w:val="18"/>
                <w:color w:val="auto"/>
              </w:rPr>
              <w:t>Other current assets</w:t>
            </w: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151,349</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118,441</w:t>
            </w:r>
          </w:p>
        </w:tc>
      </w:tr>
      <w:tr>
        <w:trPr>
          <w:trHeight w:val="237"/>
        </w:trPr>
        <w:tc>
          <w:tcPr>
            <w:tcW w:w="67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Total current assets</w:t>
            </w:r>
          </w:p>
        </w:tc>
        <w:tc>
          <w:tcPr>
            <w:tcW w:w="50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969,987</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829,584</w:t>
            </w:r>
          </w:p>
        </w:tc>
      </w:tr>
      <w:tr>
        <w:trPr>
          <w:trHeight w:val="243"/>
        </w:trPr>
        <w:tc>
          <w:tcPr>
            <w:tcW w:w="6760" w:type="dxa"/>
            <w:vAlign w:val="bottom"/>
            <w:gridSpan w:val="2"/>
          </w:tcPr>
          <w:p>
            <w:pPr>
              <w:spacing w:after="0"/>
              <w:rPr>
                <w:sz w:val="21"/>
                <w:szCs w:val="21"/>
                <w:color w:val="auto"/>
              </w:rPr>
            </w:pPr>
          </w:p>
        </w:tc>
        <w:tc>
          <w:tcPr>
            <w:tcW w:w="5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40" w:type="dxa"/>
            <w:vAlign w:val="bottom"/>
          </w:tcPr>
          <w:p>
            <w:pPr>
              <w:spacing w:after="0"/>
              <w:rPr>
                <w:sz w:val="21"/>
                <w:szCs w:val="21"/>
                <w:color w:val="auto"/>
              </w:rPr>
            </w:pPr>
          </w:p>
        </w:tc>
      </w:tr>
      <w:tr>
        <w:trPr>
          <w:trHeight w:val="243"/>
        </w:trPr>
        <w:tc>
          <w:tcPr>
            <w:tcW w:w="6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50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132,648</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140,123</w:t>
            </w:r>
          </w:p>
        </w:tc>
      </w:tr>
      <w:tr>
        <w:trPr>
          <w:trHeight w:val="229"/>
        </w:trPr>
        <w:tc>
          <w:tcPr>
            <w:tcW w:w="6760" w:type="dxa"/>
            <w:vAlign w:val="bottom"/>
            <w:gridSpan w:val="2"/>
          </w:tcPr>
          <w:p>
            <w:pPr>
              <w:ind w:left="20"/>
              <w:spacing w:after="0"/>
              <w:rPr>
                <w:sz w:val="20"/>
                <w:szCs w:val="20"/>
                <w:color w:val="auto"/>
              </w:rPr>
            </w:pPr>
            <w:r>
              <w:rPr>
                <w:rFonts w:ascii="Arial" w:cs="Arial" w:eastAsia="Arial" w:hAnsi="Arial"/>
                <w:sz w:val="18"/>
                <w:szCs w:val="18"/>
                <w:color w:val="auto"/>
              </w:rPr>
              <w:t>Deferred tax assets, net</w:t>
            </w:r>
          </w:p>
        </w:tc>
        <w:tc>
          <w:tcPr>
            <w:tcW w:w="5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213,777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211,982</w:t>
            </w:r>
          </w:p>
        </w:tc>
      </w:tr>
      <w:tr>
        <w:trPr>
          <w:trHeight w:val="230"/>
        </w:trPr>
        <w:tc>
          <w:tcPr>
            <w:tcW w:w="6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long-term assets</w:t>
            </w: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35,447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39,901</w:t>
            </w:r>
          </w:p>
        </w:tc>
      </w:tr>
      <w:tr>
        <w:trPr>
          <w:trHeight w:val="237"/>
        </w:trPr>
        <w:tc>
          <w:tcPr>
            <w:tcW w:w="6760" w:type="dxa"/>
            <w:vAlign w:val="bottom"/>
            <w:gridSpan w:val="2"/>
          </w:tcPr>
          <w:p>
            <w:pPr>
              <w:ind w:left="20"/>
              <w:spacing w:after="0"/>
              <w:rPr>
                <w:sz w:val="20"/>
                <w:szCs w:val="20"/>
                <w:color w:val="auto"/>
              </w:rPr>
            </w:pPr>
            <w:r>
              <w:rPr>
                <w:rFonts w:ascii="Arial" w:cs="Arial" w:eastAsia="Arial" w:hAnsi="Arial"/>
                <w:sz w:val="18"/>
                <w:szCs w:val="18"/>
                <w:color w:val="auto"/>
              </w:rPr>
              <w:t>Operating lease right-of-use assets, net</w:t>
            </w:r>
          </w:p>
        </w:tc>
        <w:tc>
          <w:tcPr>
            <w:tcW w:w="50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44,642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52,826</w:t>
            </w:r>
          </w:p>
        </w:tc>
      </w:tr>
      <w:tr>
        <w:trPr>
          <w:trHeight w:val="236"/>
        </w:trPr>
        <w:tc>
          <w:tcPr>
            <w:tcW w:w="6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50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55,378</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64,941</w:t>
            </w:r>
          </w:p>
        </w:tc>
      </w:tr>
      <w:tr>
        <w:trPr>
          <w:trHeight w:val="229"/>
        </w:trPr>
        <w:tc>
          <w:tcPr>
            <w:tcW w:w="6760" w:type="dxa"/>
            <w:vAlign w:val="bottom"/>
            <w:gridSpan w:val="2"/>
          </w:tcPr>
          <w:p>
            <w:pPr>
              <w:ind w:left="20"/>
              <w:spacing w:after="0"/>
              <w:rPr>
                <w:sz w:val="20"/>
                <w:szCs w:val="20"/>
                <w:color w:val="auto"/>
              </w:rPr>
            </w:pPr>
            <w:r>
              <w:rPr>
                <w:rFonts w:ascii="Arial" w:cs="Arial" w:eastAsia="Arial" w:hAnsi="Arial"/>
                <w:sz w:val="18"/>
                <w:szCs w:val="18"/>
                <w:color w:val="auto"/>
              </w:rPr>
              <w:t>Goodwill</w:t>
            </w: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1,046,759</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1,038,721</w:t>
            </w:r>
          </w:p>
        </w:tc>
      </w:tr>
      <w:tr>
        <w:trPr>
          <w:trHeight w:val="250"/>
        </w:trPr>
        <w:tc>
          <w:tcPr>
            <w:tcW w:w="67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Total assets</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2,498,638</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2,378,078</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54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r>
      <w:tr>
        <w:trPr>
          <w:trHeight w:val="169"/>
        </w:trPr>
        <w:tc>
          <w:tcPr>
            <w:tcW w:w="128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230"/>
        </w:trPr>
        <w:tc>
          <w:tcPr>
            <w:tcW w:w="1280" w:type="dxa"/>
            <w:vAlign w:val="bottom"/>
            <w:shd w:val="clear" w:color="auto" w:fill="CCEEFF"/>
          </w:tcPr>
          <w:p>
            <w:pPr>
              <w:spacing w:after="0"/>
              <w:rPr>
                <w:sz w:val="19"/>
                <w:szCs w:val="19"/>
                <w:color w:val="auto"/>
              </w:rPr>
            </w:pPr>
          </w:p>
        </w:tc>
        <w:tc>
          <w:tcPr>
            <w:tcW w:w="5480" w:type="dxa"/>
            <w:vAlign w:val="bottom"/>
            <w:shd w:val="clear" w:color="auto" w:fill="CCEEFF"/>
          </w:tcPr>
          <w:p>
            <w:pPr>
              <w:jc w:val="center"/>
              <w:ind w:right="1190"/>
              <w:spacing w:after="0"/>
              <w:rPr>
                <w:sz w:val="20"/>
                <w:szCs w:val="20"/>
                <w:color w:val="auto"/>
              </w:rPr>
            </w:pPr>
            <w:r>
              <w:rPr>
                <w:rFonts w:ascii="Arial" w:cs="Arial" w:eastAsia="Arial" w:hAnsi="Arial"/>
                <w:sz w:val="18"/>
                <w:szCs w:val="18"/>
                <w:b w:val="1"/>
                <w:bCs w:val="1"/>
                <w:color w:val="auto"/>
              </w:rPr>
              <w:t>LIABILITIES AND EQUITY</w:t>
            </w: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r>
      <w:tr>
        <w:trPr>
          <w:trHeight w:val="229"/>
        </w:trPr>
        <w:tc>
          <w:tcPr>
            <w:tcW w:w="6760" w:type="dxa"/>
            <w:vAlign w:val="bottom"/>
            <w:gridSpan w:val="2"/>
          </w:tcPr>
          <w:p>
            <w:pPr>
              <w:ind w:left="20"/>
              <w:spacing w:after="0"/>
              <w:rPr>
                <w:sz w:val="20"/>
                <w:szCs w:val="20"/>
                <w:color w:val="auto"/>
              </w:rPr>
            </w:pPr>
            <w:r>
              <w:rPr>
                <w:rFonts w:ascii="Arial" w:cs="Arial" w:eastAsia="Arial" w:hAnsi="Arial"/>
                <w:sz w:val="18"/>
                <w:szCs w:val="18"/>
                <w:color w:val="auto"/>
              </w:rPr>
              <w:t>Current liabilities</w:t>
            </w:r>
          </w:p>
        </w:tc>
        <w:tc>
          <w:tcPr>
            <w:tcW w:w="5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43"/>
        </w:trPr>
        <w:tc>
          <w:tcPr>
            <w:tcW w:w="67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234,928</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237,178</w:t>
            </w:r>
          </w:p>
        </w:tc>
      </w:tr>
      <w:tr>
        <w:trPr>
          <w:trHeight w:val="229"/>
        </w:trPr>
        <w:tc>
          <w:tcPr>
            <w:tcW w:w="6760" w:type="dxa"/>
            <w:vAlign w:val="bottom"/>
            <w:gridSpan w:val="2"/>
          </w:tcPr>
          <w:p>
            <w:pPr>
              <w:ind w:left="360"/>
              <w:spacing w:after="0"/>
              <w:rPr>
                <w:sz w:val="20"/>
                <w:szCs w:val="20"/>
                <w:color w:val="auto"/>
              </w:rPr>
            </w:pPr>
            <w:r>
              <w:rPr>
                <w:rFonts w:ascii="Arial" w:cs="Arial" w:eastAsia="Arial" w:hAnsi="Arial"/>
                <w:sz w:val="18"/>
                <w:szCs w:val="18"/>
                <w:color w:val="auto"/>
              </w:rPr>
              <w:t>Other current liabilities</w:t>
            </w:r>
          </w:p>
        </w:tc>
        <w:tc>
          <w:tcPr>
            <w:tcW w:w="5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52,834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42,869</w:t>
            </w:r>
          </w:p>
        </w:tc>
      </w:tr>
      <w:tr>
        <w:trPr>
          <w:trHeight w:val="230"/>
        </w:trPr>
        <w:tc>
          <w:tcPr>
            <w:tcW w:w="67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Wages and benefits payable</w:t>
            </w: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99,611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89,431</w:t>
            </w:r>
          </w:p>
        </w:tc>
      </w:tr>
      <w:tr>
        <w:trPr>
          <w:trHeight w:val="237"/>
        </w:trPr>
        <w:tc>
          <w:tcPr>
            <w:tcW w:w="6760" w:type="dxa"/>
            <w:vAlign w:val="bottom"/>
            <w:gridSpan w:val="2"/>
          </w:tcPr>
          <w:p>
            <w:pPr>
              <w:ind w:left="360"/>
              <w:spacing w:after="0"/>
              <w:rPr>
                <w:sz w:val="20"/>
                <w:szCs w:val="20"/>
                <w:color w:val="auto"/>
              </w:rPr>
            </w:pPr>
            <w:r>
              <w:rPr>
                <w:rFonts w:ascii="Arial" w:cs="Arial" w:eastAsia="Arial" w:hAnsi="Arial"/>
                <w:sz w:val="18"/>
                <w:szCs w:val="18"/>
                <w:color w:val="auto"/>
              </w:rPr>
              <w:t>Taxes payable</w:t>
            </w:r>
          </w:p>
        </w:tc>
        <w:tc>
          <w:tcPr>
            <w:tcW w:w="50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14,365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15,324</w:t>
            </w:r>
          </w:p>
        </w:tc>
      </w:tr>
      <w:tr>
        <w:trPr>
          <w:trHeight w:val="236"/>
        </w:trPr>
        <w:tc>
          <w:tcPr>
            <w:tcW w:w="67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Current portion of warranty</w:t>
            </w:r>
          </w:p>
        </w:tc>
        <w:tc>
          <w:tcPr>
            <w:tcW w:w="50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17,847</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18,203</w:t>
            </w:r>
          </w:p>
        </w:tc>
      </w:tr>
      <w:tr>
        <w:trPr>
          <w:trHeight w:val="230"/>
        </w:trPr>
        <w:tc>
          <w:tcPr>
            <w:tcW w:w="6760" w:type="dxa"/>
            <w:vAlign w:val="bottom"/>
            <w:gridSpan w:val="2"/>
          </w:tcPr>
          <w:p>
            <w:pPr>
              <w:ind w:left="360"/>
              <w:spacing w:after="0"/>
              <w:rPr>
                <w:sz w:val="20"/>
                <w:szCs w:val="20"/>
                <w:color w:val="auto"/>
              </w:rPr>
            </w:pPr>
            <w:r>
              <w:rPr>
                <w:rFonts w:ascii="Arial" w:cs="Arial" w:eastAsia="Arial" w:hAnsi="Arial"/>
                <w:sz w:val="18"/>
                <w:szCs w:val="18"/>
                <w:color w:val="auto"/>
              </w:rPr>
              <w:t>Unearned revenue</w:t>
            </w: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140,335</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95,567</w:t>
            </w:r>
          </w:p>
        </w:tc>
      </w:tr>
      <w:tr>
        <w:trPr>
          <w:trHeight w:val="236"/>
        </w:trPr>
        <w:tc>
          <w:tcPr>
            <w:tcW w:w="67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Total current liabilities</w:t>
            </w:r>
          </w:p>
        </w:tc>
        <w:tc>
          <w:tcPr>
            <w:tcW w:w="50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559,920</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498,572</w:t>
            </w:r>
          </w:p>
        </w:tc>
      </w:tr>
      <w:tr>
        <w:trPr>
          <w:trHeight w:val="216"/>
        </w:trPr>
        <w:tc>
          <w:tcPr>
            <w:tcW w:w="6760" w:type="dxa"/>
            <w:vAlign w:val="bottom"/>
            <w:gridSpan w:val="2"/>
          </w:tcPr>
          <w:p>
            <w:pPr>
              <w:spacing w:after="0"/>
              <w:rPr>
                <w:sz w:val="18"/>
                <w:szCs w:val="18"/>
                <w:color w:val="auto"/>
              </w:rPr>
            </w:pPr>
          </w:p>
        </w:tc>
        <w:tc>
          <w:tcPr>
            <w:tcW w:w="5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30"/>
        </w:trPr>
        <w:tc>
          <w:tcPr>
            <w:tcW w:w="6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Long-term debt, net</w:t>
            </w: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453,667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452,526</w:t>
            </w:r>
          </w:p>
        </w:tc>
      </w:tr>
      <w:tr>
        <w:trPr>
          <w:trHeight w:val="229"/>
        </w:trPr>
        <w:tc>
          <w:tcPr>
            <w:tcW w:w="6760" w:type="dxa"/>
            <w:vAlign w:val="bottom"/>
            <w:gridSpan w:val="2"/>
          </w:tcPr>
          <w:p>
            <w:pPr>
              <w:ind w:left="20"/>
              <w:spacing w:after="0"/>
              <w:rPr>
                <w:sz w:val="20"/>
                <w:szCs w:val="20"/>
                <w:color w:val="auto"/>
              </w:rPr>
            </w:pPr>
            <w:r>
              <w:rPr>
                <w:rFonts w:ascii="Arial" w:cs="Arial" w:eastAsia="Arial" w:hAnsi="Arial"/>
                <w:sz w:val="18"/>
                <w:szCs w:val="18"/>
                <w:color w:val="auto"/>
              </w:rPr>
              <w:t>Long-term warranty</w:t>
            </w:r>
          </w:p>
        </w:tc>
        <w:tc>
          <w:tcPr>
            <w:tcW w:w="5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7,639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7,495</w:t>
            </w:r>
          </w:p>
        </w:tc>
      </w:tr>
      <w:tr>
        <w:trPr>
          <w:trHeight w:val="243"/>
        </w:trPr>
        <w:tc>
          <w:tcPr>
            <w:tcW w:w="6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Pension benefit obligation</w:t>
            </w:r>
          </w:p>
        </w:tc>
        <w:tc>
          <w:tcPr>
            <w:tcW w:w="50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59,739</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57,839</w:t>
            </w:r>
          </w:p>
        </w:tc>
      </w:tr>
      <w:tr>
        <w:trPr>
          <w:trHeight w:val="229"/>
        </w:trPr>
        <w:tc>
          <w:tcPr>
            <w:tcW w:w="6760" w:type="dxa"/>
            <w:vAlign w:val="bottom"/>
            <w:gridSpan w:val="2"/>
          </w:tcPr>
          <w:p>
            <w:pPr>
              <w:ind w:left="20"/>
              <w:spacing w:after="0"/>
              <w:rPr>
                <w:sz w:val="20"/>
                <w:szCs w:val="20"/>
                <w:color w:val="auto"/>
              </w:rPr>
            </w:pPr>
            <w:r>
              <w:rPr>
                <w:rFonts w:ascii="Arial" w:cs="Arial" w:eastAsia="Arial" w:hAnsi="Arial"/>
                <w:sz w:val="18"/>
                <w:szCs w:val="18"/>
                <w:color w:val="auto"/>
              </w:rPr>
              <w:t>Deferred tax liabilities, net</w:t>
            </w:r>
          </w:p>
        </w:tc>
        <w:tc>
          <w:tcPr>
            <w:tcW w:w="5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853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833</w:t>
            </w:r>
          </w:p>
        </w:tc>
      </w:tr>
      <w:tr>
        <w:trPr>
          <w:trHeight w:val="230"/>
        </w:trPr>
        <w:tc>
          <w:tcPr>
            <w:tcW w:w="6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35,944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44,370</w:t>
            </w:r>
          </w:p>
        </w:tc>
      </w:tr>
      <w:tr>
        <w:trPr>
          <w:trHeight w:val="237"/>
        </w:trPr>
        <w:tc>
          <w:tcPr>
            <w:tcW w:w="67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long-term obligations</w:t>
            </w:r>
          </w:p>
        </w:tc>
        <w:tc>
          <w:tcPr>
            <w:tcW w:w="5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151,989</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124,887</w:t>
            </w:r>
          </w:p>
        </w:tc>
      </w:tr>
      <w:tr>
        <w:trPr>
          <w:trHeight w:val="229"/>
        </w:trPr>
        <w:tc>
          <w:tcPr>
            <w:tcW w:w="67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Total liabilities</w:t>
            </w: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1,269,751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1,186,522</w:t>
            </w:r>
          </w:p>
        </w:tc>
      </w:tr>
      <w:tr>
        <w:trPr>
          <w:trHeight w:val="216"/>
        </w:trPr>
        <w:tc>
          <w:tcPr>
            <w:tcW w:w="6760" w:type="dxa"/>
            <w:vAlign w:val="bottom"/>
            <w:gridSpan w:val="2"/>
          </w:tcPr>
          <w:p>
            <w:pPr>
              <w:spacing w:after="0"/>
              <w:rPr>
                <w:sz w:val="18"/>
                <w:szCs w:val="18"/>
                <w:color w:val="auto"/>
              </w:rPr>
            </w:pPr>
          </w:p>
        </w:tc>
        <w:tc>
          <w:tcPr>
            <w:tcW w:w="5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30"/>
        </w:trPr>
        <w:tc>
          <w:tcPr>
            <w:tcW w:w="6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Equity</w:t>
            </w: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r>
      <w:tr>
        <w:trPr>
          <w:trHeight w:val="229"/>
        </w:trPr>
        <w:tc>
          <w:tcPr>
            <w:tcW w:w="6760" w:type="dxa"/>
            <w:vAlign w:val="bottom"/>
            <w:gridSpan w:val="2"/>
          </w:tcPr>
          <w:p>
            <w:pPr>
              <w:ind w:left="360"/>
              <w:spacing w:after="0"/>
              <w:rPr>
                <w:sz w:val="20"/>
                <w:szCs w:val="20"/>
                <w:color w:val="auto"/>
              </w:rPr>
            </w:pPr>
            <w:r>
              <w:rPr>
                <w:rFonts w:ascii="Arial" w:cs="Arial" w:eastAsia="Arial" w:hAnsi="Arial"/>
                <w:sz w:val="18"/>
                <w:szCs w:val="18"/>
                <w:color w:val="auto"/>
                <w:w w:val="89"/>
              </w:rPr>
              <w:t>Preferred stock, no par value, 10,000 shares authorized, no shares issued or outstanding</w:t>
            </w:r>
          </w:p>
        </w:tc>
        <w:tc>
          <w:tcPr>
            <w:tcW w:w="5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88"/>
        </w:trPr>
        <w:tc>
          <w:tcPr>
            <w:tcW w:w="6760" w:type="dxa"/>
            <w:vAlign w:val="bottom"/>
            <w:gridSpan w:val="2"/>
            <w:shd w:val="clear" w:color="auto" w:fill="CCEEFF"/>
          </w:tcPr>
          <w:p>
            <w:pPr>
              <w:ind w:left="360"/>
              <w:spacing w:after="0" w:line="189" w:lineRule="exact"/>
              <w:rPr>
                <w:sz w:val="20"/>
                <w:szCs w:val="20"/>
                <w:color w:val="auto"/>
              </w:rPr>
            </w:pPr>
            <w:r>
              <w:rPr>
                <w:rFonts w:ascii="Arial" w:cs="Arial" w:eastAsia="Arial" w:hAnsi="Arial"/>
                <w:sz w:val="18"/>
                <w:szCs w:val="18"/>
                <w:color w:val="auto"/>
                <w:w w:val="88"/>
              </w:rPr>
              <w:t>Common stock, no par value, 75,000 shares authorized, 45,448 and 45,186 shares issued</w:t>
            </w:r>
          </w:p>
        </w:tc>
        <w:tc>
          <w:tcPr>
            <w:tcW w:w="50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940" w:type="dxa"/>
            <w:vAlign w:val="bottom"/>
            <w:shd w:val="clear" w:color="auto" w:fill="CCEEFF"/>
          </w:tcPr>
          <w:p>
            <w:pPr>
              <w:spacing w:after="0"/>
              <w:rPr>
                <w:sz w:val="16"/>
                <w:szCs w:val="16"/>
                <w:color w:val="auto"/>
              </w:rPr>
            </w:pPr>
          </w:p>
        </w:tc>
      </w:tr>
      <w:tr>
        <w:trPr>
          <w:trHeight w:val="230"/>
        </w:trPr>
        <w:tc>
          <w:tcPr>
            <w:tcW w:w="67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and outstanding</w:t>
            </w:r>
          </w:p>
        </w:tc>
        <w:tc>
          <w:tcPr>
            <w:tcW w:w="50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1,803,813</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1,788,479</w:t>
            </w:r>
          </w:p>
        </w:tc>
      </w:tr>
      <w:tr>
        <w:trPr>
          <w:trHeight w:val="230"/>
        </w:trPr>
        <w:tc>
          <w:tcPr>
            <w:tcW w:w="6760" w:type="dxa"/>
            <w:vAlign w:val="bottom"/>
            <w:gridSpan w:val="2"/>
          </w:tcPr>
          <w:p>
            <w:pPr>
              <w:ind w:left="360"/>
              <w:spacing w:after="0"/>
              <w:rPr>
                <w:sz w:val="20"/>
                <w:szCs w:val="20"/>
                <w:color w:val="auto"/>
              </w:rPr>
            </w:pPr>
            <w:r>
              <w:rPr>
                <w:rFonts w:ascii="Arial" w:cs="Arial" w:eastAsia="Arial" w:hAnsi="Arial"/>
                <w:sz w:val="18"/>
                <w:szCs w:val="18"/>
                <w:color w:val="auto"/>
              </w:rPr>
              <w:t>Accumulated other comprehensive loss, net</w:t>
            </w:r>
          </w:p>
        </w:tc>
        <w:tc>
          <w:tcPr>
            <w:tcW w:w="5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(85,722)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(94,674)</w:t>
            </w:r>
          </w:p>
        </w:tc>
      </w:tr>
      <w:tr>
        <w:trPr>
          <w:trHeight w:val="243"/>
        </w:trPr>
        <w:tc>
          <w:tcPr>
            <w:tcW w:w="67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Accumulated deficit</w:t>
            </w:r>
          </w:p>
        </w:tc>
        <w:tc>
          <w:tcPr>
            <w:tcW w:w="500" w:type="dxa"/>
            <w:vAlign w:val="bottom"/>
            <w:tcBorders>
              <w:bottom w:val="single" w:sz="8" w:color="auto"/>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(512,967)</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(525,332)</w:t>
            </w:r>
          </w:p>
        </w:tc>
      </w:tr>
      <w:tr>
        <w:trPr>
          <w:trHeight w:val="223"/>
        </w:trPr>
        <w:tc>
          <w:tcPr>
            <w:tcW w:w="6760" w:type="dxa"/>
            <w:vAlign w:val="bottom"/>
            <w:gridSpan w:val="2"/>
          </w:tcPr>
          <w:p>
            <w:pPr>
              <w:ind w:left="680"/>
              <w:spacing w:after="0"/>
              <w:rPr>
                <w:sz w:val="20"/>
                <w:szCs w:val="20"/>
                <w:color w:val="auto"/>
              </w:rPr>
            </w:pPr>
            <w:r>
              <w:rPr>
                <w:rFonts w:ascii="Arial" w:cs="Arial" w:eastAsia="Arial" w:hAnsi="Arial"/>
                <w:sz w:val="18"/>
                <w:szCs w:val="18"/>
                <w:color w:val="auto"/>
              </w:rPr>
              <w:t>Total Itron, Inc. shareholders' equity</w:t>
            </w:r>
          </w:p>
        </w:tc>
        <w:tc>
          <w:tcPr>
            <w:tcW w:w="5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1,205,124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1,168,473</w:t>
            </w:r>
          </w:p>
        </w:tc>
      </w:tr>
      <w:tr>
        <w:trPr>
          <w:trHeight w:val="230"/>
        </w:trPr>
        <w:tc>
          <w:tcPr>
            <w:tcW w:w="67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Noncontrolling interests</w:t>
            </w:r>
          </w:p>
        </w:tc>
        <w:tc>
          <w:tcPr>
            <w:tcW w:w="5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23,763</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23,083</w:t>
            </w:r>
          </w:p>
        </w:tc>
      </w:tr>
      <w:tr>
        <w:trPr>
          <w:trHeight w:val="230"/>
        </w:trPr>
        <w:tc>
          <w:tcPr>
            <w:tcW w:w="6760" w:type="dxa"/>
            <w:vAlign w:val="bottom"/>
            <w:tcBorders>
              <w:bottom w:val="single" w:sz="8" w:color="CCEEFF"/>
            </w:tcBorders>
            <w:gridSpan w:val="2"/>
          </w:tcPr>
          <w:p>
            <w:pPr>
              <w:ind w:left="680"/>
              <w:spacing w:after="0"/>
              <w:rPr>
                <w:sz w:val="20"/>
                <w:szCs w:val="20"/>
                <w:color w:val="auto"/>
              </w:rPr>
            </w:pPr>
            <w:r>
              <w:rPr>
                <w:rFonts w:ascii="Arial" w:cs="Arial" w:eastAsia="Arial" w:hAnsi="Arial"/>
                <w:sz w:val="18"/>
                <w:szCs w:val="18"/>
                <w:color w:val="auto"/>
              </w:rPr>
              <w:t>Total equity</w:t>
            </w:r>
          </w:p>
        </w:tc>
        <w:tc>
          <w:tcPr>
            <w:tcW w:w="5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1,228,887</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1,191,556</w:t>
            </w:r>
          </w:p>
        </w:tc>
      </w:tr>
      <w:tr>
        <w:trPr>
          <w:trHeight w:val="254"/>
        </w:trPr>
        <w:tc>
          <w:tcPr>
            <w:tcW w:w="676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Total liabilities and equity</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2,498,638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2,378,078</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54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56"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2800" w:type="dxa"/>
            <w:vAlign w:val="bottom"/>
          </w:tcPr>
          <w:p>
            <w:pPr>
              <w:spacing w:after="0"/>
              <w:rPr>
                <w:sz w:val="16"/>
                <w:szCs w:val="16"/>
                <w:color w:val="auto"/>
              </w:rPr>
            </w:pPr>
          </w:p>
        </w:tc>
        <w:tc>
          <w:tcPr>
            <w:tcW w:w="1900" w:type="dxa"/>
            <w:vAlign w:val="bottom"/>
            <w:gridSpan w:val="4"/>
          </w:tcPr>
          <w:p>
            <w:pPr>
              <w:jc w:val="right"/>
              <w:ind w:right="408"/>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center"/>
              <w:ind w:right="29"/>
              <w:spacing w:after="0"/>
              <w:rPr>
                <w:sz w:val="20"/>
                <w:szCs w:val="20"/>
                <w:color w:val="auto"/>
              </w:rPr>
            </w:pPr>
            <w:r>
              <w:rPr>
                <w:rFonts w:ascii="Arial" w:cs="Arial" w:eastAsia="Arial" w:hAnsi="Arial"/>
                <w:sz w:val="14"/>
                <w:szCs w:val="14"/>
                <w:b w:val="1"/>
                <w:bCs w:val="1"/>
                <w:color w:val="auto"/>
                <w:w w:val="97"/>
              </w:rPr>
              <w:t>Total Itron, Inc.</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280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vMerge w:val="restart"/>
          </w:tcPr>
          <w:p>
            <w:pPr>
              <w:spacing w:after="0"/>
              <w:rPr>
                <w:sz w:val="4"/>
                <w:szCs w:val="4"/>
                <w:color w:val="auto"/>
              </w:rPr>
            </w:pPr>
          </w:p>
        </w:tc>
        <w:tc>
          <w:tcPr>
            <w:tcW w:w="1300" w:type="dxa"/>
            <w:vAlign w:val="bottom"/>
            <w:gridSpan w:val="2"/>
            <w:vMerge w:val="restart"/>
          </w:tcPr>
          <w:p>
            <w:pPr>
              <w:jc w:val="right"/>
              <w:spacing w:after="0" w:line="108" w:lineRule="exact"/>
              <w:rPr>
                <w:sz w:val="20"/>
                <w:szCs w:val="20"/>
                <w:color w:val="auto"/>
              </w:rPr>
            </w:pPr>
            <w:r>
              <w:rPr>
                <w:rFonts w:ascii="Arial" w:cs="Arial" w:eastAsia="Arial" w:hAnsi="Arial"/>
                <w:sz w:val="12"/>
                <w:szCs w:val="12"/>
                <w:b w:val="1"/>
                <w:bCs w:val="1"/>
                <w:color w:val="auto"/>
              </w:rPr>
              <w:t>Accumulated Other</w:t>
            </w: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vMerge w:val="restart"/>
          </w:tcPr>
          <w:p>
            <w:pPr>
              <w:jc w:val="right"/>
              <w:ind w:right="90"/>
              <w:spacing w:after="0" w:line="108" w:lineRule="exact"/>
              <w:rPr>
                <w:sz w:val="20"/>
                <w:szCs w:val="20"/>
                <w:color w:val="auto"/>
              </w:rPr>
            </w:pPr>
            <w:r>
              <w:rPr>
                <w:rFonts w:ascii="Arial" w:cs="Arial" w:eastAsia="Arial" w:hAnsi="Arial"/>
                <w:sz w:val="12"/>
                <w:szCs w:val="12"/>
                <w:b w:val="1"/>
                <w:bCs w:val="1"/>
                <w:color w:val="auto"/>
              </w:rPr>
              <w:t>Accumulated</w:t>
            </w: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vMerge w:val="restart"/>
          </w:tcPr>
          <w:p>
            <w:pPr>
              <w:jc w:val="center"/>
              <w:ind w:right="29"/>
              <w:spacing w:after="0" w:line="108" w:lineRule="exact"/>
              <w:rPr>
                <w:sz w:val="20"/>
                <w:szCs w:val="20"/>
                <w:color w:val="auto"/>
              </w:rPr>
            </w:pPr>
            <w:r>
              <w:rPr>
                <w:rFonts w:ascii="Arial" w:cs="Arial" w:eastAsia="Arial" w:hAnsi="Arial"/>
                <w:sz w:val="12"/>
                <w:szCs w:val="12"/>
                <w:b w:val="1"/>
                <w:bCs w:val="1"/>
                <w:color w:val="auto"/>
              </w:rPr>
              <w:t>Shareholders'</w:t>
            </w: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40" w:type="dxa"/>
            <w:vAlign w:val="bottom"/>
            <w:vMerge w:val="restart"/>
          </w:tcPr>
          <w:p>
            <w:pPr>
              <w:jc w:val="right"/>
              <w:ind w:right="109"/>
              <w:spacing w:after="0" w:line="108" w:lineRule="exact"/>
              <w:rPr>
                <w:sz w:val="20"/>
                <w:szCs w:val="20"/>
                <w:color w:val="auto"/>
              </w:rPr>
            </w:pPr>
            <w:r>
              <w:rPr>
                <w:rFonts w:ascii="Arial" w:cs="Arial" w:eastAsia="Arial" w:hAnsi="Arial"/>
                <w:sz w:val="12"/>
                <w:szCs w:val="12"/>
                <w:b w:val="1"/>
                <w:bCs w:val="1"/>
                <w:color w:val="auto"/>
              </w:rPr>
              <w:t>Noncontrolling</w:t>
            </w: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
        </w:trPr>
        <w:tc>
          <w:tcPr>
            <w:tcW w:w="280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82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Amount</w:t>
            </w:r>
          </w:p>
        </w:tc>
        <w:tc>
          <w:tcPr>
            <w:tcW w:w="120" w:type="dxa"/>
            <w:vAlign w:val="bottom"/>
            <w:vMerge w:val="continue"/>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2"/>
              </w:rPr>
              <w:t>Total Equity</w:t>
            </w:r>
          </w:p>
        </w:tc>
        <w:tc>
          <w:tcPr>
            <w:tcW w:w="0" w:type="dxa"/>
            <w:vAlign w:val="bottom"/>
          </w:tcPr>
          <w:p>
            <w:pPr>
              <w:spacing w:after="0" w:line="20" w:lineRule="exact"/>
              <w:rPr>
                <w:sz w:val="1"/>
                <w:szCs w:val="1"/>
                <w:color w:val="auto"/>
              </w:rPr>
            </w:pPr>
          </w:p>
        </w:tc>
      </w:tr>
      <w:tr>
        <w:trPr>
          <w:trHeight w:val="196"/>
        </w:trPr>
        <w:tc>
          <w:tcPr>
            <w:tcW w:w="2800" w:type="dxa"/>
            <w:vAlign w:val="bottom"/>
            <w:tcBorders>
              <w:bottom w:val="single" w:sz="8" w:color="auto"/>
            </w:tcBorders>
            <w:vMerge w:val="continue"/>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8"/>
              </w:rPr>
              <w:t>Comprehensive Loss</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4"/>
                <w:szCs w:val="14"/>
                <w:b w:val="1"/>
                <w:bCs w:val="1"/>
                <w:color w:val="auto"/>
              </w:rPr>
              <w:t>Deficit</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29"/>
              <w:spacing w:after="0"/>
              <w:rPr>
                <w:sz w:val="20"/>
                <w:szCs w:val="20"/>
                <w:color w:val="auto"/>
              </w:rPr>
            </w:pPr>
            <w:r>
              <w:rPr>
                <w:rFonts w:ascii="Arial" w:cs="Arial" w:eastAsia="Arial" w:hAnsi="Arial"/>
                <w:sz w:val="14"/>
                <w:szCs w:val="14"/>
                <w:b w:val="1"/>
                <w:bCs w:val="1"/>
                <w:color w:val="auto"/>
                <w:w w:val="98"/>
              </w:rPr>
              <w:t>Equity</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b w:val="1"/>
                <w:bCs w:val="1"/>
                <w:color w:val="auto"/>
              </w:rPr>
              <w:t>Interests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Balances at January 1, 2023</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45,186</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1,788,479</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(94,674)</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(525,332)</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1,168,473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23,083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1,191,556</w:t>
            </w:r>
          </w:p>
        </w:tc>
        <w:tc>
          <w:tcPr>
            <w:tcW w:w="0" w:type="dxa"/>
            <w:vAlign w:val="bottom"/>
          </w:tcPr>
          <w:p>
            <w:pPr>
              <w:spacing w:after="0"/>
              <w:rPr>
                <w:sz w:val="1"/>
                <w:szCs w:val="1"/>
                <w:color w:val="auto"/>
              </w:rPr>
            </w:pPr>
          </w:p>
        </w:tc>
      </w:tr>
      <w:tr>
        <w:trPr>
          <w:trHeight w:val="182"/>
        </w:trPr>
        <w:tc>
          <w:tcPr>
            <w:tcW w:w="2800" w:type="dxa"/>
            <w:vAlign w:val="bottom"/>
          </w:tcPr>
          <w:p>
            <w:pPr>
              <w:ind w:left="20"/>
              <w:spacing w:after="0"/>
              <w:rPr>
                <w:sz w:val="20"/>
                <w:szCs w:val="20"/>
                <w:color w:val="auto"/>
              </w:rPr>
            </w:pPr>
            <w:r>
              <w:rPr>
                <w:rFonts w:ascii="Arial" w:cs="Arial" w:eastAsia="Arial" w:hAnsi="Arial"/>
                <w:sz w:val="14"/>
                <w:szCs w:val="14"/>
                <w:color w:val="auto"/>
              </w:rPr>
              <w:t>Net loss</w:t>
            </w: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(11,836)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(11,836)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(201)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(12,037)</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96"/>
              </w:rPr>
              <w:t>Other comprehensive income (loss), net of tax</w:t>
            </w:r>
          </w:p>
        </w:tc>
        <w:tc>
          <w:tcPr>
            <w:tcW w:w="8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7,119</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7,119</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7,119</w:t>
            </w:r>
          </w:p>
        </w:tc>
        <w:tc>
          <w:tcPr>
            <w:tcW w:w="0" w:type="dxa"/>
            <w:vAlign w:val="bottom"/>
          </w:tcPr>
          <w:p>
            <w:pPr>
              <w:spacing w:after="0"/>
              <w:rPr>
                <w:sz w:val="1"/>
                <w:szCs w:val="1"/>
                <w:color w:val="auto"/>
              </w:rPr>
            </w:pPr>
          </w:p>
        </w:tc>
      </w:tr>
      <w:tr>
        <w:trPr>
          <w:trHeight w:val="186"/>
        </w:trPr>
        <w:tc>
          <w:tcPr>
            <w:tcW w:w="2800" w:type="dxa"/>
            <w:vAlign w:val="bottom"/>
          </w:tcPr>
          <w:p>
            <w:pPr>
              <w:ind w:left="20"/>
              <w:spacing w:after="0"/>
              <w:rPr>
                <w:sz w:val="20"/>
                <w:szCs w:val="20"/>
                <w:color w:val="auto"/>
              </w:rPr>
            </w:pPr>
            <w:r>
              <w:rPr>
                <w:rFonts w:ascii="Arial" w:cs="Arial" w:eastAsia="Arial" w:hAnsi="Arial"/>
                <w:sz w:val="14"/>
                <w:szCs w:val="14"/>
                <w:color w:val="auto"/>
              </w:rPr>
              <w:t>Distributions to noncontrolling interests</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86"/>
        </w:trPr>
        <w:tc>
          <w:tcPr>
            <w:tcW w:w="2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stock issued and repurchased</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219</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607</w:t>
            </w:r>
          </w:p>
        </w:tc>
        <w:tc>
          <w:tcPr>
            <w:tcW w:w="12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607</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607</w:t>
            </w:r>
          </w:p>
        </w:tc>
        <w:tc>
          <w:tcPr>
            <w:tcW w:w="0" w:type="dxa"/>
            <w:vAlign w:val="bottom"/>
          </w:tcPr>
          <w:p>
            <w:pPr>
              <w:spacing w:after="0"/>
              <w:rPr>
                <w:sz w:val="1"/>
                <w:szCs w:val="1"/>
                <w:color w:val="auto"/>
              </w:rPr>
            </w:pPr>
          </w:p>
        </w:tc>
      </w:tr>
      <w:tr>
        <w:trPr>
          <w:trHeight w:val="186"/>
        </w:trPr>
        <w:tc>
          <w:tcPr>
            <w:tcW w:w="2800" w:type="dxa"/>
            <w:vAlign w:val="bottom"/>
          </w:tcPr>
          <w:p>
            <w:pPr>
              <w:ind w:left="20"/>
              <w:spacing w:after="0"/>
              <w:rPr>
                <w:sz w:val="20"/>
                <w:szCs w:val="20"/>
                <w:color w:val="auto"/>
              </w:rPr>
            </w:pPr>
            <w:r>
              <w:rPr>
                <w:rFonts w:ascii="Arial" w:cs="Arial" w:eastAsia="Arial" w:hAnsi="Arial"/>
                <w:sz w:val="14"/>
                <w:szCs w:val="14"/>
                <w:color w:val="auto"/>
              </w:rPr>
              <w:t>Stock-based compensation expense</w:t>
            </w:r>
          </w:p>
        </w:tc>
        <w:tc>
          <w:tcPr>
            <w:tcW w:w="8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6,919</w:t>
            </w:r>
          </w:p>
        </w:tc>
        <w:tc>
          <w:tcPr>
            <w:tcW w:w="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6,919</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6,919</w:t>
            </w:r>
          </w:p>
        </w:tc>
        <w:tc>
          <w:tcPr>
            <w:tcW w:w="0" w:type="dxa"/>
            <w:vAlign w:val="bottom"/>
          </w:tcPr>
          <w:p>
            <w:pPr>
              <w:spacing w:after="0"/>
              <w:rPr>
                <w:sz w:val="1"/>
                <w:szCs w:val="1"/>
                <w:color w:val="auto"/>
              </w:rPr>
            </w:pPr>
          </w:p>
        </w:tc>
      </w:tr>
      <w:tr>
        <w:trPr>
          <w:trHeight w:val="179"/>
        </w:trPr>
        <w:tc>
          <w:tcPr>
            <w:tcW w:w="2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Balances at March 31, 2023</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45,405</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1,796,005</w:t>
            </w:r>
          </w:p>
        </w:tc>
        <w:tc>
          <w:tcPr>
            <w:tcW w:w="12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(87,555)</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(537,168)</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1,171,282</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22,861</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1,194,143</w:t>
            </w:r>
          </w:p>
        </w:tc>
        <w:tc>
          <w:tcPr>
            <w:tcW w:w="0" w:type="dxa"/>
            <w:vAlign w:val="bottom"/>
          </w:tcPr>
          <w:p>
            <w:pPr>
              <w:spacing w:after="0"/>
              <w:rPr>
                <w:sz w:val="1"/>
                <w:szCs w:val="1"/>
                <w:color w:val="auto"/>
              </w:rPr>
            </w:pPr>
          </w:p>
        </w:tc>
      </w:tr>
      <w:tr>
        <w:trPr>
          <w:trHeight w:val="182"/>
        </w:trPr>
        <w:tc>
          <w:tcPr>
            <w:tcW w:w="280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24,201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24,201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902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25,103</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800" w:type="dxa"/>
            <w:vAlign w:val="bottom"/>
            <w:shd w:val="clear" w:color="auto" w:fill="CCEEFF"/>
          </w:tcPr>
          <w:p>
            <w:pPr>
              <w:ind w:left="20"/>
              <w:spacing w:after="0"/>
              <w:rPr>
                <w:sz w:val="20"/>
                <w:szCs w:val="20"/>
                <w:color w:val="auto"/>
              </w:rPr>
            </w:pPr>
            <w:r>
              <w:rPr>
                <w:rFonts w:ascii="Arial" w:cs="Arial" w:eastAsia="Arial" w:hAnsi="Arial"/>
                <w:sz w:val="14"/>
                <w:szCs w:val="14"/>
                <w:color w:val="auto"/>
                <w:w w:val="96"/>
              </w:rPr>
              <w:t>Other comprehensive income (loss), net of tax</w:t>
            </w: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1,833</w:t>
            </w:r>
          </w:p>
        </w:tc>
        <w:tc>
          <w:tcPr>
            <w:tcW w:w="0" w:type="dxa"/>
            <w:vAlign w:val="bottom"/>
          </w:tcPr>
          <w:p>
            <w:pPr>
              <w:spacing w:after="0"/>
              <w:rPr>
                <w:sz w:val="1"/>
                <w:szCs w:val="1"/>
                <w:color w:val="auto"/>
              </w:rPr>
            </w:pPr>
          </w:p>
        </w:tc>
      </w:tr>
      <w:tr>
        <w:trPr>
          <w:trHeight w:val="182"/>
        </w:trPr>
        <w:tc>
          <w:tcPr>
            <w:tcW w:w="2800" w:type="dxa"/>
            <w:vAlign w:val="bottom"/>
          </w:tcPr>
          <w:p>
            <w:pPr>
              <w:ind w:left="20"/>
              <w:spacing w:after="0"/>
              <w:rPr>
                <w:sz w:val="20"/>
                <w:szCs w:val="20"/>
                <w:color w:val="auto"/>
              </w:rPr>
            </w:pPr>
            <w:r>
              <w:rPr>
                <w:rFonts w:ascii="Arial" w:cs="Arial" w:eastAsia="Arial" w:hAnsi="Arial"/>
                <w:sz w:val="14"/>
                <w:szCs w:val="14"/>
                <w:color w:val="auto"/>
              </w:rPr>
              <w:t>Net stock issued and repurchased</w:t>
            </w:r>
          </w:p>
        </w:tc>
        <w:tc>
          <w:tcPr>
            <w:tcW w:w="820" w:type="dxa"/>
            <w:vAlign w:val="bottom"/>
          </w:tcPr>
          <w:p>
            <w:pPr>
              <w:jc w:val="right"/>
              <w:spacing w:after="0"/>
              <w:rPr>
                <w:sz w:val="20"/>
                <w:szCs w:val="20"/>
                <w:color w:val="auto"/>
              </w:rPr>
            </w:pPr>
            <w:r>
              <w:rPr>
                <w:rFonts w:ascii="Arial" w:cs="Arial" w:eastAsia="Arial" w:hAnsi="Arial"/>
                <w:sz w:val="14"/>
                <w:szCs w:val="14"/>
                <w:color w:val="auto"/>
              </w:rPr>
              <w:t>43</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1,033</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1,033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1,033</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Stock-based compensation expense</w:t>
            </w:r>
          </w:p>
        </w:tc>
        <w:tc>
          <w:tcPr>
            <w:tcW w:w="82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6,775</w:t>
            </w:r>
          </w:p>
        </w:tc>
        <w:tc>
          <w:tcPr>
            <w:tcW w:w="12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6,775</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6,775</w:t>
            </w:r>
          </w:p>
        </w:tc>
        <w:tc>
          <w:tcPr>
            <w:tcW w:w="0" w:type="dxa"/>
            <w:vAlign w:val="bottom"/>
          </w:tcPr>
          <w:p>
            <w:pPr>
              <w:spacing w:after="0"/>
              <w:rPr>
                <w:sz w:val="1"/>
                <w:szCs w:val="1"/>
                <w:color w:val="auto"/>
              </w:rPr>
            </w:pPr>
          </w:p>
        </w:tc>
      </w:tr>
      <w:tr>
        <w:trPr>
          <w:trHeight w:val="179"/>
        </w:trPr>
        <w:tc>
          <w:tcPr>
            <w:tcW w:w="2800" w:type="dxa"/>
            <w:vAlign w:val="bottom"/>
          </w:tcPr>
          <w:p>
            <w:pPr>
              <w:ind w:left="20"/>
              <w:spacing w:after="0"/>
              <w:rPr>
                <w:sz w:val="20"/>
                <w:szCs w:val="20"/>
                <w:color w:val="auto"/>
              </w:rPr>
            </w:pPr>
            <w:r>
              <w:rPr>
                <w:rFonts w:ascii="Arial" w:cs="Arial" w:eastAsia="Arial" w:hAnsi="Arial"/>
                <w:sz w:val="14"/>
                <w:szCs w:val="14"/>
                <w:color w:val="auto"/>
              </w:rPr>
              <w:t>Balances at June 30, 2023</w:t>
            </w:r>
          </w:p>
        </w:tc>
        <w:tc>
          <w:tcPr>
            <w:tcW w:w="820" w:type="dxa"/>
            <w:vAlign w:val="bottom"/>
          </w:tcPr>
          <w:p>
            <w:pPr>
              <w:jc w:val="right"/>
              <w:spacing w:after="0"/>
              <w:rPr>
                <w:sz w:val="20"/>
                <w:szCs w:val="20"/>
                <w:color w:val="auto"/>
              </w:rPr>
            </w:pPr>
            <w:r>
              <w:rPr>
                <w:rFonts w:ascii="Arial" w:cs="Arial" w:eastAsia="Arial" w:hAnsi="Arial"/>
                <w:sz w:val="14"/>
                <w:szCs w:val="14"/>
                <w:color w:val="auto"/>
              </w:rPr>
              <w:t>45,448</w:t>
            </w:r>
          </w:p>
        </w:tc>
        <w:tc>
          <w:tcPr>
            <w:tcW w:w="28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1,803,813</w:t>
            </w:r>
          </w:p>
        </w:tc>
        <w:tc>
          <w:tcPr>
            <w:tcW w:w="56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(85,722)</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(512,967)</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1,205,124</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23,763</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1,228,887</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2800" w:type="dxa"/>
            <w:vAlign w:val="bottom"/>
          </w:tcPr>
          <w:p>
            <w:pPr>
              <w:spacing w:after="0"/>
              <w:rPr>
                <w:sz w:val="16"/>
                <w:szCs w:val="16"/>
                <w:color w:val="auto"/>
              </w:rPr>
            </w:pPr>
          </w:p>
        </w:tc>
        <w:tc>
          <w:tcPr>
            <w:tcW w:w="1900" w:type="dxa"/>
            <w:vAlign w:val="bottom"/>
            <w:gridSpan w:val="4"/>
          </w:tcPr>
          <w:p>
            <w:pPr>
              <w:jc w:val="right"/>
              <w:ind w:right="408"/>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center"/>
              <w:ind w:right="8"/>
              <w:spacing w:after="0"/>
              <w:rPr>
                <w:sz w:val="20"/>
                <w:szCs w:val="20"/>
                <w:color w:val="auto"/>
              </w:rPr>
            </w:pPr>
            <w:r>
              <w:rPr>
                <w:rFonts w:ascii="Arial" w:cs="Arial" w:eastAsia="Arial" w:hAnsi="Arial"/>
                <w:sz w:val="14"/>
                <w:szCs w:val="14"/>
                <w:b w:val="1"/>
                <w:bCs w:val="1"/>
                <w:color w:val="auto"/>
                <w:w w:val="97"/>
              </w:rPr>
              <w:t>Total Itron, Inc.</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800" w:type="dxa"/>
            <w:vAlign w:val="bottom"/>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20" w:type="dxa"/>
            <w:vAlign w:val="bottom"/>
            <w:vMerge w:val="restart"/>
          </w:tcPr>
          <w:p>
            <w:pPr>
              <w:spacing w:after="0"/>
              <w:rPr>
                <w:sz w:val="5"/>
                <w:szCs w:val="5"/>
                <w:color w:val="auto"/>
              </w:rPr>
            </w:pPr>
          </w:p>
        </w:tc>
        <w:tc>
          <w:tcPr>
            <w:tcW w:w="1300" w:type="dxa"/>
            <w:vAlign w:val="bottom"/>
            <w:gridSpan w:val="2"/>
            <w:vMerge w:val="restart"/>
          </w:tcPr>
          <w:p>
            <w:pPr>
              <w:jc w:val="right"/>
              <w:spacing w:after="0" w:line="113" w:lineRule="exact"/>
              <w:rPr>
                <w:sz w:val="20"/>
                <w:szCs w:val="20"/>
                <w:color w:val="auto"/>
              </w:rPr>
            </w:pPr>
            <w:r>
              <w:rPr>
                <w:rFonts w:ascii="Arial" w:cs="Arial" w:eastAsia="Arial" w:hAnsi="Arial"/>
                <w:sz w:val="13"/>
                <w:szCs w:val="13"/>
                <w:b w:val="1"/>
                <w:bCs w:val="1"/>
                <w:color w:val="auto"/>
              </w:rPr>
              <w:t>Accumulated Other</w:t>
            </w: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vMerge w:val="restart"/>
          </w:tcPr>
          <w:p>
            <w:pPr>
              <w:jc w:val="right"/>
              <w:ind w:right="109"/>
              <w:spacing w:after="0" w:line="113" w:lineRule="exact"/>
              <w:rPr>
                <w:sz w:val="20"/>
                <w:szCs w:val="20"/>
                <w:color w:val="auto"/>
              </w:rPr>
            </w:pPr>
            <w:r>
              <w:rPr>
                <w:rFonts w:ascii="Arial" w:cs="Arial" w:eastAsia="Arial" w:hAnsi="Arial"/>
                <w:sz w:val="13"/>
                <w:szCs w:val="13"/>
                <w:b w:val="1"/>
                <w:bCs w:val="1"/>
                <w:color w:val="auto"/>
              </w:rPr>
              <w:t>Accumulated</w:t>
            </w: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vMerge w:val="restart"/>
          </w:tcPr>
          <w:p>
            <w:pPr>
              <w:jc w:val="center"/>
              <w:ind w:right="28"/>
              <w:spacing w:after="0" w:line="113" w:lineRule="exact"/>
              <w:rPr>
                <w:sz w:val="20"/>
                <w:szCs w:val="20"/>
                <w:color w:val="auto"/>
              </w:rPr>
            </w:pPr>
            <w:r>
              <w:rPr>
                <w:rFonts w:ascii="Arial" w:cs="Arial" w:eastAsia="Arial" w:hAnsi="Arial"/>
                <w:sz w:val="13"/>
                <w:szCs w:val="13"/>
                <w:b w:val="1"/>
                <w:bCs w:val="1"/>
                <w:color w:val="auto"/>
                <w:w w:val="97"/>
              </w:rPr>
              <w:t>Shareholders'</w:t>
            </w: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40" w:type="dxa"/>
            <w:vAlign w:val="bottom"/>
            <w:vMerge w:val="restart"/>
          </w:tcPr>
          <w:p>
            <w:pPr>
              <w:jc w:val="right"/>
              <w:ind w:right="109"/>
              <w:spacing w:after="0" w:line="113" w:lineRule="exact"/>
              <w:rPr>
                <w:sz w:val="20"/>
                <w:szCs w:val="20"/>
                <w:color w:val="auto"/>
              </w:rPr>
            </w:pPr>
            <w:r>
              <w:rPr>
                <w:rFonts w:ascii="Arial" w:cs="Arial" w:eastAsia="Arial" w:hAnsi="Arial"/>
                <w:sz w:val="13"/>
                <w:szCs w:val="13"/>
                <w:b w:val="1"/>
                <w:bCs w:val="1"/>
                <w:color w:val="auto"/>
              </w:rPr>
              <w:t>Noncontrolling</w:t>
            </w: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800" w:type="dxa"/>
            <w:vAlign w:val="bottom"/>
          </w:tcPr>
          <w:p>
            <w:pPr>
              <w:spacing w:after="0"/>
              <w:rPr>
                <w:sz w:val="2"/>
                <w:szCs w:val="2"/>
                <w:color w:val="auto"/>
              </w:rPr>
            </w:pPr>
          </w:p>
        </w:tc>
        <w:tc>
          <w:tcPr>
            <w:tcW w:w="82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Amount</w:t>
            </w:r>
          </w:p>
        </w:tc>
        <w:tc>
          <w:tcPr>
            <w:tcW w:w="120" w:type="dxa"/>
            <w:vAlign w:val="bottom"/>
            <w:vMerge w:val="continue"/>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4"/>
              </w:rPr>
              <w:t>Total Equity</w:t>
            </w:r>
          </w:p>
        </w:tc>
        <w:tc>
          <w:tcPr>
            <w:tcW w:w="0" w:type="dxa"/>
            <w:vAlign w:val="bottom"/>
          </w:tcPr>
          <w:p>
            <w:pPr>
              <w:spacing w:after="0" w:line="20" w:lineRule="exact"/>
              <w:rPr>
                <w:sz w:val="1"/>
                <w:szCs w:val="1"/>
                <w:color w:val="auto"/>
              </w:rPr>
            </w:pPr>
          </w:p>
        </w:tc>
      </w:tr>
      <w:tr>
        <w:trPr>
          <w:trHeight w:val="192"/>
        </w:trPr>
        <w:tc>
          <w:tcPr>
            <w:tcW w:w="280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8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0"/>
              </w:rPr>
              <w:t>Comprehensive Loss</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98"/>
              </w:rPr>
              <w:t>Equity</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b w:val="1"/>
                <w:bCs w:val="1"/>
                <w:color w:val="auto"/>
              </w:rPr>
              <w:t>Interests</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Balances at January 1, 2022</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45,152</w:t>
            </w: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1,779,775</w:t>
            </w:r>
          </w:p>
        </w:tc>
        <w:tc>
          <w:tcPr>
            <w:tcW w:w="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(148,098)</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(515,600)</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1,116,077</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26,682</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1,142,759</w:t>
            </w:r>
          </w:p>
        </w:tc>
        <w:tc>
          <w:tcPr>
            <w:tcW w:w="0" w:type="dxa"/>
            <w:vAlign w:val="bottom"/>
          </w:tcPr>
          <w:p>
            <w:pPr>
              <w:spacing w:after="0"/>
              <w:rPr>
                <w:sz w:val="1"/>
                <w:szCs w:val="1"/>
                <w:color w:val="auto"/>
              </w:rPr>
            </w:pPr>
          </w:p>
        </w:tc>
      </w:tr>
      <w:tr>
        <w:trPr>
          <w:trHeight w:val="186"/>
        </w:trPr>
        <w:tc>
          <w:tcPr>
            <w:tcW w:w="280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906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906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896</w:t>
            </w:r>
          </w:p>
        </w:tc>
        <w:tc>
          <w:tcPr>
            <w:tcW w:w="0" w:type="dxa"/>
            <w:vAlign w:val="bottom"/>
          </w:tcPr>
          <w:p>
            <w:pPr>
              <w:spacing w:after="0"/>
              <w:rPr>
                <w:sz w:val="1"/>
                <w:szCs w:val="1"/>
                <w:color w:val="auto"/>
              </w:rPr>
            </w:pPr>
          </w:p>
        </w:tc>
      </w:tr>
      <w:tr>
        <w:trPr>
          <w:trHeight w:val="186"/>
        </w:trPr>
        <w:tc>
          <w:tcPr>
            <w:tcW w:w="2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96"/>
              </w:rPr>
              <w:t>Other comprehensive income (loss), net of tax</w:t>
            </w:r>
          </w:p>
        </w:tc>
        <w:tc>
          <w:tcPr>
            <w:tcW w:w="8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52,815</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52,815</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52,815</w:t>
            </w:r>
          </w:p>
        </w:tc>
        <w:tc>
          <w:tcPr>
            <w:tcW w:w="0" w:type="dxa"/>
            <w:vAlign w:val="bottom"/>
          </w:tcPr>
          <w:p>
            <w:pPr>
              <w:spacing w:after="0"/>
              <w:rPr>
                <w:sz w:val="1"/>
                <w:szCs w:val="1"/>
                <w:color w:val="auto"/>
              </w:rPr>
            </w:pPr>
          </w:p>
        </w:tc>
      </w:tr>
      <w:tr>
        <w:trPr>
          <w:trHeight w:val="182"/>
        </w:trPr>
        <w:tc>
          <w:tcPr>
            <w:tcW w:w="2800" w:type="dxa"/>
            <w:vAlign w:val="bottom"/>
          </w:tcPr>
          <w:p>
            <w:pPr>
              <w:ind w:left="20"/>
              <w:spacing w:after="0"/>
              <w:rPr>
                <w:sz w:val="20"/>
                <w:szCs w:val="20"/>
                <w:color w:val="auto"/>
              </w:rPr>
            </w:pPr>
            <w:r>
              <w:rPr>
                <w:rFonts w:ascii="Arial" w:cs="Arial" w:eastAsia="Arial" w:hAnsi="Arial"/>
                <w:sz w:val="14"/>
                <w:szCs w:val="14"/>
                <w:color w:val="auto"/>
              </w:rPr>
              <w:t>Net stock issued and repurchased</w:t>
            </w:r>
          </w:p>
        </w:tc>
        <w:tc>
          <w:tcPr>
            <w:tcW w:w="820" w:type="dxa"/>
            <w:vAlign w:val="bottom"/>
          </w:tcPr>
          <w:p>
            <w:pPr>
              <w:jc w:val="right"/>
              <w:spacing w:after="0"/>
              <w:rPr>
                <w:sz w:val="20"/>
                <w:szCs w:val="20"/>
                <w:color w:val="auto"/>
              </w:rPr>
            </w:pPr>
            <w:r>
              <w:rPr>
                <w:rFonts w:ascii="Arial" w:cs="Arial" w:eastAsia="Arial" w:hAnsi="Arial"/>
                <w:sz w:val="14"/>
                <w:szCs w:val="14"/>
                <w:color w:val="auto"/>
              </w:rPr>
              <w:t>165</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784</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784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784</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 expense</w:t>
            </w: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6,127</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6,127</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6,127</w:t>
            </w:r>
          </w:p>
        </w:tc>
        <w:tc>
          <w:tcPr>
            <w:tcW w:w="0" w:type="dxa"/>
            <w:vAlign w:val="bottom"/>
          </w:tcPr>
          <w:p>
            <w:pPr>
              <w:spacing w:after="0"/>
              <w:rPr>
                <w:sz w:val="1"/>
                <w:szCs w:val="1"/>
                <w:color w:val="auto"/>
              </w:rPr>
            </w:pPr>
          </w:p>
        </w:tc>
      </w:tr>
      <w:tr>
        <w:trPr>
          <w:trHeight w:val="182"/>
        </w:trPr>
        <w:tc>
          <w:tcPr>
            <w:tcW w:w="2800" w:type="dxa"/>
            <w:vAlign w:val="bottom"/>
          </w:tcPr>
          <w:p>
            <w:pPr>
              <w:ind w:left="20"/>
              <w:spacing w:after="0"/>
              <w:rPr>
                <w:sz w:val="20"/>
                <w:szCs w:val="20"/>
                <w:color w:val="auto"/>
              </w:rPr>
            </w:pPr>
            <w:r>
              <w:rPr>
                <w:rFonts w:ascii="Arial" w:cs="Arial" w:eastAsia="Arial" w:hAnsi="Arial"/>
                <w:sz w:val="14"/>
                <w:szCs w:val="14"/>
                <w:color w:val="auto"/>
              </w:rPr>
              <w:t>Stock repurchased program</w:t>
            </w:r>
          </w:p>
        </w:tc>
        <w:tc>
          <w:tcPr>
            <w:tcW w:w="820" w:type="dxa"/>
            <w:vAlign w:val="bottom"/>
          </w:tcPr>
          <w:p>
            <w:pPr>
              <w:jc w:val="right"/>
              <w:spacing w:after="0"/>
              <w:rPr>
                <w:sz w:val="20"/>
                <w:szCs w:val="20"/>
                <w:color w:val="auto"/>
              </w:rPr>
            </w:pPr>
            <w:r>
              <w:rPr>
                <w:rFonts w:ascii="Arial" w:cs="Arial" w:eastAsia="Arial" w:hAnsi="Arial"/>
                <w:sz w:val="14"/>
                <w:szCs w:val="14"/>
                <w:color w:val="auto"/>
              </w:rPr>
              <w:t>(280)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(16,629)</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(16,629)</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(16,629)</w:t>
            </w:r>
          </w:p>
        </w:tc>
        <w:tc>
          <w:tcPr>
            <w:tcW w:w="0" w:type="dxa"/>
            <w:vAlign w:val="bottom"/>
          </w:tcPr>
          <w:p>
            <w:pPr>
              <w:spacing w:after="0"/>
              <w:rPr>
                <w:sz w:val="1"/>
                <w:szCs w:val="1"/>
                <w:color w:val="auto"/>
              </w:rPr>
            </w:pPr>
          </w:p>
        </w:tc>
      </w:tr>
      <w:tr>
        <w:trPr>
          <w:trHeight w:val="20"/>
        </w:trPr>
        <w:tc>
          <w:tcPr>
            <w:tcW w:w="28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Balances at March 31, 2022</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45,037</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1,770,057</w:t>
            </w: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(95,283)</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(514,694)</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1,160,080</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26,672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1,186,752</w:t>
            </w:r>
          </w:p>
        </w:tc>
        <w:tc>
          <w:tcPr>
            <w:tcW w:w="0" w:type="dxa"/>
            <w:vAlign w:val="bottom"/>
          </w:tcPr>
          <w:p>
            <w:pPr>
              <w:spacing w:after="0"/>
              <w:rPr>
                <w:sz w:val="1"/>
                <w:szCs w:val="1"/>
                <w:color w:val="auto"/>
              </w:rPr>
            </w:pPr>
          </w:p>
        </w:tc>
      </w:tr>
      <w:tr>
        <w:trPr>
          <w:trHeight w:val="182"/>
        </w:trPr>
        <w:tc>
          <w:tcPr>
            <w:tcW w:w="280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(36,967)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(36,967)</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color w:val="auto"/>
              </w:rPr>
              <w:t>102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(36,865)</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96"/>
              </w:rPr>
              <w:t>Other comprehensive income (loss), net of tax</w:t>
            </w:r>
          </w:p>
        </w:tc>
        <w:tc>
          <w:tcPr>
            <w:tcW w:w="8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(20,422)</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(20,422)</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(20,422)</w:t>
            </w:r>
          </w:p>
        </w:tc>
        <w:tc>
          <w:tcPr>
            <w:tcW w:w="0" w:type="dxa"/>
            <w:vAlign w:val="bottom"/>
          </w:tcPr>
          <w:p>
            <w:pPr>
              <w:spacing w:after="0"/>
              <w:rPr>
                <w:sz w:val="1"/>
                <w:szCs w:val="1"/>
                <w:color w:val="auto"/>
              </w:rPr>
            </w:pPr>
          </w:p>
        </w:tc>
      </w:tr>
      <w:tr>
        <w:trPr>
          <w:trHeight w:val="186"/>
        </w:trPr>
        <w:tc>
          <w:tcPr>
            <w:tcW w:w="2800" w:type="dxa"/>
            <w:vAlign w:val="bottom"/>
          </w:tcPr>
          <w:p>
            <w:pPr>
              <w:ind w:left="20"/>
              <w:spacing w:after="0"/>
              <w:rPr>
                <w:sz w:val="20"/>
                <w:szCs w:val="20"/>
                <w:color w:val="auto"/>
              </w:rPr>
            </w:pPr>
            <w:r>
              <w:rPr>
                <w:rFonts w:ascii="Arial" w:cs="Arial" w:eastAsia="Arial" w:hAnsi="Arial"/>
                <w:sz w:val="14"/>
                <w:szCs w:val="14"/>
                <w:color w:val="auto"/>
              </w:rPr>
              <w:t>Distributions to noncontrolling interests</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(3,784)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(3,784)</w:t>
            </w:r>
          </w:p>
        </w:tc>
        <w:tc>
          <w:tcPr>
            <w:tcW w:w="0" w:type="dxa"/>
            <w:vAlign w:val="bottom"/>
          </w:tcPr>
          <w:p>
            <w:pPr>
              <w:spacing w:after="0"/>
              <w:rPr>
                <w:sz w:val="1"/>
                <w:szCs w:val="1"/>
                <w:color w:val="auto"/>
              </w:rPr>
            </w:pPr>
          </w:p>
        </w:tc>
      </w:tr>
      <w:tr>
        <w:trPr>
          <w:trHeight w:val="186"/>
        </w:trPr>
        <w:tc>
          <w:tcPr>
            <w:tcW w:w="2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stock issued and repurchased</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1,014</w:t>
            </w:r>
          </w:p>
        </w:tc>
        <w:tc>
          <w:tcPr>
            <w:tcW w:w="1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1,014</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1,014</w:t>
            </w:r>
          </w:p>
        </w:tc>
        <w:tc>
          <w:tcPr>
            <w:tcW w:w="0" w:type="dxa"/>
            <w:vAlign w:val="bottom"/>
          </w:tcPr>
          <w:p>
            <w:pPr>
              <w:spacing w:after="0"/>
              <w:rPr>
                <w:sz w:val="1"/>
                <w:szCs w:val="1"/>
                <w:color w:val="auto"/>
              </w:rPr>
            </w:pPr>
          </w:p>
        </w:tc>
      </w:tr>
      <w:tr>
        <w:trPr>
          <w:trHeight w:val="186"/>
        </w:trPr>
        <w:tc>
          <w:tcPr>
            <w:tcW w:w="2800" w:type="dxa"/>
            <w:vAlign w:val="bottom"/>
          </w:tcPr>
          <w:p>
            <w:pPr>
              <w:ind w:left="20"/>
              <w:spacing w:after="0"/>
              <w:rPr>
                <w:sz w:val="20"/>
                <w:szCs w:val="20"/>
                <w:color w:val="auto"/>
              </w:rPr>
            </w:pPr>
            <w:r>
              <w:rPr>
                <w:rFonts w:ascii="Arial" w:cs="Arial" w:eastAsia="Arial" w:hAnsi="Arial"/>
                <w:sz w:val="14"/>
                <w:szCs w:val="14"/>
                <w:color w:val="auto"/>
              </w:rPr>
              <w:t>Stock-based compensation expense</w:t>
            </w:r>
          </w:p>
        </w:tc>
        <w:tc>
          <w:tcPr>
            <w:tcW w:w="8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6,405</w:t>
            </w: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6,405</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6,405</w:t>
            </w:r>
          </w:p>
        </w:tc>
        <w:tc>
          <w:tcPr>
            <w:tcW w:w="0" w:type="dxa"/>
            <w:vAlign w:val="bottom"/>
          </w:tcPr>
          <w:p>
            <w:pPr>
              <w:spacing w:after="0"/>
              <w:rPr>
                <w:sz w:val="1"/>
                <w:szCs w:val="1"/>
                <w:color w:val="auto"/>
              </w:rPr>
            </w:pPr>
          </w:p>
        </w:tc>
      </w:tr>
      <w:tr>
        <w:trPr>
          <w:trHeight w:val="224"/>
        </w:trPr>
        <w:tc>
          <w:tcPr>
            <w:tcW w:w="2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Balances at June 30, 2022</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45,070</w:t>
            </w: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1,777,476</w:t>
            </w:r>
          </w:p>
        </w:tc>
        <w:tc>
          <w:tcPr>
            <w:tcW w:w="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(115,705)</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(551,661)</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1,110,110</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22,990</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1,133,100</w:t>
            </w: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7"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7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20" w:type="dxa"/>
            <w:vAlign w:val="bottom"/>
            <w:gridSpan w:val="4"/>
          </w:tcPr>
          <w:p>
            <w:pPr>
              <w:jc w:val="right"/>
              <w:ind w:right="788"/>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
        </w:trPr>
        <w:tc>
          <w:tcPr>
            <w:tcW w:w="780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7800" w:type="dxa"/>
            <w:vAlign w:val="bottom"/>
            <w:tcBorders>
              <w:bottom w:val="single" w:sz="8" w:color="auto"/>
            </w:tcBorders>
            <w:vMerge w:val="continue"/>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77"/>
        </w:trPr>
        <w:tc>
          <w:tcPr>
            <w:tcW w:w="7800" w:type="dxa"/>
            <w:vAlign w:val="bottom"/>
          </w:tcPr>
          <w:p>
            <w:pPr>
              <w:ind w:left="20"/>
              <w:spacing w:after="0"/>
              <w:rPr>
                <w:sz w:val="20"/>
                <w:szCs w:val="20"/>
                <w:color w:val="auto"/>
              </w:rPr>
            </w:pPr>
            <w:r>
              <w:rPr>
                <w:rFonts w:ascii="Arial" w:cs="Arial" w:eastAsia="Arial" w:hAnsi="Arial"/>
                <w:sz w:val="14"/>
                <w:szCs w:val="14"/>
                <w:color w:val="auto"/>
              </w:rPr>
              <w:t>Operating activities</w:t>
            </w: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Net income (loss)</w:t>
            </w:r>
          </w:p>
        </w:tc>
        <w:tc>
          <w:tcPr>
            <w:tcW w:w="380" w:type="dxa"/>
            <w:vAlign w:val="bottom"/>
            <w:tcBorders>
              <w:bottom w:val="single" w:sz="8" w:color="CCEEFF"/>
            </w:tcBorders>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13,066</w:t>
            </w:r>
          </w:p>
        </w:tc>
        <w:tc>
          <w:tcPr>
            <w:tcW w:w="500" w:type="dxa"/>
            <w:vAlign w:val="bottom"/>
            <w:tcBorders>
              <w:bottom w:val="single" w:sz="8" w:color="CCEEFF"/>
            </w:tcBorders>
            <w:gridSpan w:val="2"/>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(35,969)</w:t>
            </w:r>
          </w:p>
        </w:tc>
        <w:tc>
          <w:tcPr>
            <w:tcW w:w="0" w:type="dxa"/>
            <w:vAlign w:val="bottom"/>
          </w:tcPr>
          <w:p>
            <w:pPr>
              <w:spacing w:after="0"/>
              <w:rPr>
                <w:sz w:val="1"/>
                <w:szCs w:val="1"/>
                <w:color w:val="auto"/>
              </w:rPr>
            </w:pPr>
          </w:p>
        </w:tc>
      </w:tr>
      <w:tr>
        <w:trPr>
          <w:trHeight w:val="186"/>
        </w:trPr>
        <w:tc>
          <w:tcPr>
            <w:tcW w:w="7800" w:type="dxa"/>
            <w:vAlign w:val="bottom"/>
          </w:tcPr>
          <w:p>
            <w:pPr>
              <w:ind w:left="340"/>
              <w:spacing w:after="0"/>
              <w:rPr>
                <w:sz w:val="20"/>
                <w:szCs w:val="20"/>
                <w:color w:val="auto"/>
              </w:rPr>
            </w:pPr>
            <w:r>
              <w:rPr>
                <w:rFonts w:ascii="Arial" w:cs="Arial" w:eastAsia="Arial" w:hAnsi="Arial"/>
                <w:sz w:val="14"/>
                <w:szCs w:val="14"/>
                <w:color w:val="auto"/>
              </w:rPr>
              <w:t>Adjustments to reconcile net income (loss) to net cash provided by operating activities:</w:t>
            </w: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8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Depreciation and amortization of intangible assets</w:t>
            </w:r>
          </w:p>
        </w:tc>
        <w:tc>
          <w:tcPr>
            <w:tcW w:w="38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28,368</w:t>
            </w:r>
          </w:p>
        </w:tc>
        <w:tc>
          <w:tcPr>
            <w:tcW w:w="1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33,251</w:t>
            </w:r>
          </w:p>
        </w:tc>
        <w:tc>
          <w:tcPr>
            <w:tcW w:w="0" w:type="dxa"/>
            <w:vAlign w:val="bottom"/>
          </w:tcPr>
          <w:p>
            <w:pPr>
              <w:spacing w:after="0"/>
              <w:rPr>
                <w:sz w:val="1"/>
                <w:szCs w:val="1"/>
                <w:color w:val="auto"/>
              </w:rPr>
            </w:pPr>
          </w:p>
        </w:tc>
      </w:tr>
      <w:tr>
        <w:trPr>
          <w:trHeight w:val="182"/>
        </w:trPr>
        <w:tc>
          <w:tcPr>
            <w:tcW w:w="7800" w:type="dxa"/>
            <w:vAlign w:val="bottom"/>
          </w:tcPr>
          <w:p>
            <w:pPr>
              <w:ind w:left="680"/>
              <w:spacing w:after="0"/>
              <w:rPr>
                <w:sz w:val="20"/>
                <w:szCs w:val="20"/>
                <w:color w:val="auto"/>
              </w:rPr>
            </w:pPr>
            <w:r>
              <w:rPr>
                <w:rFonts w:ascii="Arial" w:cs="Arial" w:eastAsia="Arial" w:hAnsi="Arial"/>
                <w:sz w:val="14"/>
                <w:szCs w:val="14"/>
                <w:color w:val="auto"/>
              </w:rPr>
              <w:t>Non-cash operating lease expense</w:t>
            </w: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8,141</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8,234</w:t>
            </w: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800" w:type="dxa"/>
            <w:vAlign w:val="bottom"/>
            <w:shd w:val="clear" w:color="auto" w:fill="CCEEFF"/>
          </w:tcPr>
          <w:p>
            <w:pPr>
              <w:ind w:left="680"/>
              <w:spacing w:after="0"/>
              <w:rPr>
                <w:sz w:val="20"/>
                <w:szCs w:val="20"/>
                <w:color w:val="auto"/>
              </w:rPr>
            </w:pPr>
            <w:r>
              <w:rPr>
                <w:rFonts w:ascii="Arial" w:cs="Arial" w:eastAsia="Arial" w:hAnsi="Arial"/>
                <w:sz w:val="14"/>
                <w:szCs w:val="14"/>
                <w:color w:val="auto"/>
              </w:rPr>
              <w:t>Stock-based compensation</w:t>
            </w: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13,694</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12,532</w:t>
            </w:r>
          </w:p>
        </w:tc>
        <w:tc>
          <w:tcPr>
            <w:tcW w:w="0" w:type="dxa"/>
            <w:vAlign w:val="bottom"/>
          </w:tcPr>
          <w:p>
            <w:pPr>
              <w:spacing w:after="0"/>
              <w:rPr>
                <w:sz w:val="1"/>
                <w:szCs w:val="1"/>
                <w:color w:val="auto"/>
              </w:rPr>
            </w:pPr>
          </w:p>
        </w:tc>
      </w:tr>
      <w:tr>
        <w:trPr>
          <w:trHeight w:val="182"/>
        </w:trPr>
        <w:tc>
          <w:tcPr>
            <w:tcW w:w="7800" w:type="dxa"/>
            <w:vAlign w:val="bottom"/>
          </w:tcPr>
          <w:p>
            <w:pPr>
              <w:ind w:left="680"/>
              <w:spacing w:after="0"/>
              <w:rPr>
                <w:sz w:val="20"/>
                <w:szCs w:val="20"/>
                <w:color w:val="auto"/>
              </w:rPr>
            </w:pPr>
            <w:r>
              <w:rPr>
                <w:rFonts w:ascii="Arial" w:cs="Arial" w:eastAsia="Arial" w:hAnsi="Arial"/>
                <w:sz w:val="14"/>
                <w:szCs w:val="14"/>
                <w:color w:val="auto"/>
              </w:rPr>
              <w:t>Amortization of prepaid debt fees</w:t>
            </w: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1,820</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1,720</w:t>
            </w: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Deferred taxes, net</w:t>
            </w:r>
          </w:p>
        </w:tc>
        <w:tc>
          <w:tcPr>
            <w:tcW w:w="3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(2,509)</w:t>
            </w:r>
          </w:p>
        </w:tc>
        <w:tc>
          <w:tcPr>
            <w:tcW w:w="1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(4,061)</w:t>
            </w:r>
          </w:p>
        </w:tc>
        <w:tc>
          <w:tcPr>
            <w:tcW w:w="0" w:type="dxa"/>
            <w:vAlign w:val="bottom"/>
          </w:tcPr>
          <w:p>
            <w:pPr>
              <w:spacing w:after="0"/>
              <w:rPr>
                <w:sz w:val="1"/>
                <w:szCs w:val="1"/>
                <w:color w:val="auto"/>
              </w:rPr>
            </w:pPr>
          </w:p>
        </w:tc>
      </w:tr>
      <w:tr>
        <w:trPr>
          <w:trHeight w:val="186"/>
        </w:trPr>
        <w:tc>
          <w:tcPr>
            <w:tcW w:w="7800" w:type="dxa"/>
            <w:vAlign w:val="bottom"/>
          </w:tcPr>
          <w:p>
            <w:pPr>
              <w:ind w:left="680"/>
              <w:spacing w:after="0"/>
              <w:rPr>
                <w:sz w:val="20"/>
                <w:szCs w:val="20"/>
                <w:color w:val="auto"/>
              </w:rPr>
            </w:pPr>
            <w:r>
              <w:rPr>
                <w:rFonts w:ascii="Arial" w:cs="Arial" w:eastAsia="Arial" w:hAnsi="Arial"/>
                <w:sz w:val="14"/>
                <w:szCs w:val="14"/>
                <w:color w:val="auto"/>
              </w:rPr>
              <w:t>Loss on sale of business</w:t>
            </w: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630</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2,415</w:t>
            </w:r>
          </w:p>
        </w:tc>
        <w:tc>
          <w:tcPr>
            <w:tcW w:w="0" w:type="dxa"/>
            <w:vAlign w:val="bottom"/>
          </w:tcPr>
          <w:p>
            <w:pPr>
              <w:spacing w:after="0"/>
              <w:rPr>
                <w:sz w:val="1"/>
                <w:szCs w:val="1"/>
                <w:color w:val="auto"/>
              </w:rPr>
            </w:pPr>
          </w:p>
        </w:tc>
      </w:tr>
      <w:tr>
        <w:trPr>
          <w:trHeight w:val="186"/>
        </w:trPr>
        <w:tc>
          <w:tcPr>
            <w:tcW w:w="78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Goodwill impairment</w:t>
            </w:r>
          </w:p>
        </w:tc>
        <w:tc>
          <w:tcPr>
            <w:tcW w:w="38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38,480</w:t>
            </w:r>
          </w:p>
        </w:tc>
        <w:tc>
          <w:tcPr>
            <w:tcW w:w="0" w:type="dxa"/>
            <w:vAlign w:val="bottom"/>
          </w:tcPr>
          <w:p>
            <w:pPr>
              <w:spacing w:after="0"/>
              <w:rPr>
                <w:sz w:val="1"/>
                <w:szCs w:val="1"/>
                <w:color w:val="auto"/>
              </w:rPr>
            </w:pPr>
          </w:p>
        </w:tc>
      </w:tr>
      <w:tr>
        <w:trPr>
          <w:trHeight w:val="182"/>
        </w:trPr>
        <w:tc>
          <w:tcPr>
            <w:tcW w:w="7800" w:type="dxa"/>
            <w:vAlign w:val="bottom"/>
          </w:tcPr>
          <w:p>
            <w:pPr>
              <w:ind w:left="680"/>
              <w:spacing w:after="0"/>
              <w:rPr>
                <w:sz w:val="20"/>
                <w:szCs w:val="20"/>
                <w:color w:val="auto"/>
              </w:rPr>
            </w:pPr>
            <w:r>
              <w:rPr>
                <w:rFonts w:ascii="Arial" w:cs="Arial" w:eastAsia="Arial" w:hAnsi="Arial"/>
                <w:sz w:val="14"/>
                <w:szCs w:val="14"/>
                <w:color w:val="auto"/>
              </w:rPr>
              <w:t>Restructuring, non-cash</w:t>
            </w: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922</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(817)</w:t>
            </w: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800" w:type="dxa"/>
            <w:vAlign w:val="bottom"/>
            <w:shd w:val="clear" w:color="auto" w:fill="CCEEFF"/>
          </w:tcPr>
          <w:p>
            <w:pPr>
              <w:ind w:left="680"/>
              <w:spacing w:after="0"/>
              <w:rPr>
                <w:sz w:val="20"/>
                <w:szCs w:val="20"/>
                <w:color w:val="auto"/>
              </w:rPr>
            </w:pPr>
            <w:r>
              <w:rPr>
                <w:rFonts w:ascii="Arial" w:cs="Arial" w:eastAsia="Arial" w:hAnsi="Arial"/>
                <w:sz w:val="14"/>
                <w:szCs w:val="14"/>
                <w:color w:val="auto"/>
              </w:rPr>
              <w:t>Other adjustments, net</w:t>
            </w: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w:t>
            </w:r>
          </w:p>
        </w:tc>
        <w:tc>
          <w:tcPr>
            <w:tcW w:w="0" w:type="dxa"/>
            <w:vAlign w:val="bottom"/>
          </w:tcPr>
          <w:p>
            <w:pPr>
              <w:spacing w:after="0"/>
              <w:rPr>
                <w:sz w:val="1"/>
                <w:szCs w:val="1"/>
                <w:color w:val="auto"/>
              </w:rPr>
            </w:pPr>
          </w:p>
        </w:tc>
      </w:tr>
      <w:tr>
        <w:trPr>
          <w:trHeight w:val="182"/>
        </w:trPr>
        <w:tc>
          <w:tcPr>
            <w:tcW w:w="7800" w:type="dxa"/>
            <w:vAlign w:val="bottom"/>
          </w:tcPr>
          <w:p>
            <w:pPr>
              <w:ind w:left="20"/>
              <w:spacing w:after="0"/>
              <w:rPr>
                <w:sz w:val="20"/>
                <w:szCs w:val="20"/>
                <w:color w:val="auto"/>
              </w:rPr>
            </w:pPr>
            <w:r>
              <w:rPr>
                <w:rFonts w:ascii="Arial" w:cs="Arial" w:eastAsia="Arial" w:hAnsi="Arial"/>
                <w:sz w:val="14"/>
                <w:szCs w:val="14"/>
                <w:color w:val="auto"/>
              </w:rPr>
              <w:t>Changes in operating assets and liabilities, net of acquisition and sale of business:</w:t>
            </w: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Accounts receivable</w:t>
            </w:r>
          </w:p>
        </w:tc>
        <w:tc>
          <w:tcPr>
            <w:tcW w:w="3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(34,681)</w:t>
            </w:r>
          </w:p>
        </w:tc>
        <w:tc>
          <w:tcPr>
            <w:tcW w:w="1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28,924</w:t>
            </w:r>
          </w:p>
        </w:tc>
        <w:tc>
          <w:tcPr>
            <w:tcW w:w="0" w:type="dxa"/>
            <w:vAlign w:val="bottom"/>
          </w:tcPr>
          <w:p>
            <w:pPr>
              <w:spacing w:after="0"/>
              <w:rPr>
                <w:sz w:val="1"/>
                <w:szCs w:val="1"/>
                <w:color w:val="auto"/>
              </w:rPr>
            </w:pPr>
          </w:p>
        </w:tc>
      </w:tr>
      <w:tr>
        <w:trPr>
          <w:trHeight w:val="186"/>
        </w:trPr>
        <w:tc>
          <w:tcPr>
            <w:tcW w:w="7800" w:type="dxa"/>
            <w:vAlign w:val="bottom"/>
          </w:tcPr>
          <w:p>
            <w:pPr>
              <w:ind w:left="340"/>
              <w:spacing w:after="0"/>
              <w:rPr>
                <w:sz w:val="20"/>
                <w:szCs w:val="20"/>
                <w:color w:val="auto"/>
              </w:rPr>
            </w:pPr>
            <w:r>
              <w:rPr>
                <w:rFonts w:ascii="Arial" w:cs="Arial" w:eastAsia="Arial" w:hAnsi="Arial"/>
                <w:sz w:val="14"/>
                <w:szCs w:val="14"/>
                <w:color w:val="auto"/>
              </w:rPr>
              <w:t>Inventories</w:t>
            </w: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(36,466)</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(13,592)</w:t>
            </w:r>
          </w:p>
        </w:tc>
        <w:tc>
          <w:tcPr>
            <w:tcW w:w="0" w:type="dxa"/>
            <w:vAlign w:val="bottom"/>
          </w:tcPr>
          <w:p>
            <w:pPr>
              <w:spacing w:after="0"/>
              <w:rPr>
                <w:sz w:val="1"/>
                <w:szCs w:val="1"/>
                <w:color w:val="auto"/>
              </w:rPr>
            </w:pPr>
          </w:p>
        </w:tc>
      </w:tr>
      <w:tr>
        <w:trPr>
          <w:trHeight w:val="186"/>
        </w:trPr>
        <w:tc>
          <w:tcPr>
            <w:tcW w:w="78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Other current assets</w:t>
            </w:r>
          </w:p>
        </w:tc>
        <w:tc>
          <w:tcPr>
            <w:tcW w:w="38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(33,554)</w:t>
            </w:r>
          </w:p>
        </w:tc>
        <w:tc>
          <w:tcPr>
            <w:tcW w:w="1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(10,688)</w:t>
            </w:r>
          </w:p>
        </w:tc>
        <w:tc>
          <w:tcPr>
            <w:tcW w:w="0" w:type="dxa"/>
            <w:vAlign w:val="bottom"/>
          </w:tcPr>
          <w:p>
            <w:pPr>
              <w:spacing w:after="0"/>
              <w:rPr>
                <w:sz w:val="1"/>
                <w:szCs w:val="1"/>
                <w:color w:val="auto"/>
              </w:rPr>
            </w:pPr>
          </w:p>
        </w:tc>
      </w:tr>
      <w:tr>
        <w:trPr>
          <w:trHeight w:val="186"/>
        </w:trPr>
        <w:tc>
          <w:tcPr>
            <w:tcW w:w="7800" w:type="dxa"/>
            <w:vAlign w:val="bottom"/>
          </w:tcPr>
          <w:p>
            <w:pPr>
              <w:ind w:left="340"/>
              <w:spacing w:after="0"/>
              <w:rPr>
                <w:sz w:val="20"/>
                <w:szCs w:val="20"/>
                <w:color w:val="auto"/>
              </w:rPr>
            </w:pPr>
            <w:r>
              <w:rPr>
                <w:rFonts w:ascii="Arial" w:cs="Arial" w:eastAsia="Arial" w:hAnsi="Arial"/>
                <w:sz w:val="14"/>
                <w:szCs w:val="14"/>
                <w:color w:val="auto"/>
              </w:rPr>
              <w:t>Other long-term assets</w:t>
            </w: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5,595</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(3,134)</w:t>
            </w:r>
          </w:p>
        </w:tc>
        <w:tc>
          <w:tcPr>
            <w:tcW w:w="0" w:type="dxa"/>
            <w:vAlign w:val="bottom"/>
          </w:tcPr>
          <w:p>
            <w:pPr>
              <w:spacing w:after="0"/>
              <w:rPr>
                <w:sz w:val="1"/>
                <w:szCs w:val="1"/>
                <w:color w:val="auto"/>
              </w:rPr>
            </w:pPr>
          </w:p>
        </w:tc>
      </w:tr>
      <w:tr>
        <w:trPr>
          <w:trHeight w:val="186"/>
        </w:trPr>
        <w:tc>
          <w:tcPr>
            <w:tcW w:w="78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Accounts payable, other current liabilities, and taxes payable</w:t>
            </w:r>
          </w:p>
        </w:tc>
        <w:tc>
          <w:tcPr>
            <w:tcW w:w="38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4,670</w:t>
            </w:r>
          </w:p>
        </w:tc>
        <w:tc>
          <w:tcPr>
            <w:tcW w:w="1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(16,611)</w:t>
            </w:r>
          </w:p>
        </w:tc>
        <w:tc>
          <w:tcPr>
            <w:tcW w:w="0" w:type="dxa"/>
            <w:vAlign w:val="bottom"/>
          </w:tcPr>
          <w:p>
            <w:pPr>
              <w:spacing w:after="0"/>
              <w:rPr>
                <w:sz w:val="1"/>
                <w:szCs w:val="1"/>
                <w:color w:val="auto"/>
              </w:rPr>
            </w:pPr>
          </w:p>
        </w:tc>
      </w:tr>
      <w:tr>
        <w:trPr>
          <w:trHeight w:val="182"/>
        </w:trPr>
        <w:tc>
          <w:tcPr>
            <w:tcW w:w="7800" w:type="dxa"/>
            <w:vAlign w:val="bottom"/>
          </w:tcPr>
          <w:p>
            <w:pPr>
              <w:ind w:left="340"/>
              <w:spacing w:after="0"/>
              <w:rPr>
                <w:sz w:val="20"/>
                <w:szCs w:val="20"/>
                <w:color w:val="auto"/>
              </w:rPr>
            </w:pPr>
            <w:r>
              <w:rPr>
                <w:rFonts w:ascii="Arial" w:cs="Arial" w:eastAsia="Arial" w:hAnsi="Arial"/>
                <w:sz w:val="14"/>
                <w:szCs w:val="14"/>
                <w:color w:val="auto"/>
              </w:rPr>
              <w:t>Wages and benefits payable</w:t>
            </w: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9,040</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(22,264)</w:t>
            </w: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8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Unearned revenue</w:t>
            </w: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42,919</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36,093</w:t>
            </w:r>
          </w:p>
        </w:tc>
        <w:tc>
          <w:tcPr>
            <w:tcW w:w="0" w:type="dxa"/>
            <w:vAlign w:val="bottom"/>
          </w:tcPr>
          <w:p>
            <w:pPr>
              <w:spacing w:after="0"/>
              <w:rPr>
                <w:sz w:val="1"/>
                <w:szCs w:val="1"/>
                <w:color w:val="auto"/>
              </w:rPr>
            </w:pPr>
          </w:p>
        </w:tc>
      </w:tr>
      <w:tr>
        <w:trPr>
          <w:trHeight w:val="182"/>
        </w:trPr>
        <w:tc>
          <w:tcPr>
            <w:tcW w:w="7800" w:type="dxa"/>
            <w:vAlign w:val="bottom"/>
          </w:tcPr>
          <w:p>
            <w:pPr>
              <w:ind w:left="340"/>
              <w:spacing w:after="0"/>
              <w:rPr>
                <w:sz w:val="20"/>
                <w:szCs w:val="20"/>
                <w:color w:val="auto"/>
              </w:rPr>
            </w:pPr>
            <w:r>
              <w:rPr>
                <w:rFonts w:ascii="Arial" w:cs="Arial" w:eastAsia="Arial" w:hAnsi="Arial"/>
                <w:sz w:val="14"/>
                <w:szCs w:val="14"/>
                <w:color w:val="auto"/>
              </w:rPr>
              <w:t>Warranty</w:t>
            </w: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(440)</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(2,501)</w:t>
            </w: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Restructuring</w:t>
            </w:r>
          </w:p>
        </w:tc>
        <w:tc>
          <w:tcPr>
            <w:tcW w:w="3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31,181</w:t>
            </w:r>
          </w:p>
        </w:tc>
        <w:tc>
          <w:tcPr>
            <w:tcW w:w="1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(23,448)</w:t>
            </w:r>
          </w:p>
        </w:tc>
        <w:tc>
          <w:tcPr>
            <w:tcW w:w="0" w:type="dxa"/>
            <w:vAlign w:val="bottom"/>
          </w:tcPr>
          <w:p>
            <w:pPr>
              <w:spacing w:after="0"/>
              <w:rPr>
                <w:sz w:val="1"/>
                <w:szCs w:val="1"/>
                <w:color w:val="auto"/>
              </w:rPr>
            </w:pPr>
          </w:p>
        </w:tc>
      </w:tr>
      <w:tr>
        <w:trPr>
          <w:trHeight w:val="186"/>
        </w:trPr>
        <w:tc>
          <w:tcPr>
            <w:tcW w:w="7800" w:type="dxa"/>
            <w:vAlign w:val="bottom"/>
          </w:tcPr>
          <w:p>
            <w:pPr>
              <w:ind w:left="340"/>
              <w:spacing w:after="0"/>
              <w:rPr>
                <w:sz w:val="20"/>
                <w:szCs w:val="20"/>
                <w:color w:val="auto"/>
              </w:rPr>
            </w:pPr>
            <w:r>
              <w:rPr>
                <w:rFonts w:ascii="Arial" w:cs="Arial" w:eastAsia="Arial" w:hAnsi="Arial"/>
                <w:sz w:val="14"/>
                <w:szCs w:val="14"/>
                <w:color w:val="auto"/>
              </w:rPr>
              <w:t>Other operating, net</w:t>
            </w: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(9,208)</w:t>
            </w: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(6,102)</w:t>
            </w:r>
          </w:p>
        </w:tc>
        <w:tc>
          <w:tcPr>
            <w:tcW w:w="0" w:type="dxa"/>
            <w:vAlign w:val="bottom"/>
          </w:tcPr>
          <w:p>
            <w:pPr>
              <w:spacing w:after="0"/>
              <w:rPr>
                <w:sz w:val="1"/>
                <w:szCs w:val="1"/>
                <w:color w:val="auto"/>
              </w:rPr>
            </w:pPr>
          </w:p>
        </w:tc>
      </w:tr>
      <w:tr>
        <w:trPr>
          <w:trHeight w:val="179"/>
        </w:trPr>
        <w:tc>
          <w:tcPr>
            <w:tcW w:w="78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Net cash provided by operating activities</w:t>
            </w:r>
          </w:p>
        </w:tc>
        <w:tc>
          <w:tcPr>
            <w:tcW w:w="3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42,989</w:t>
            </w:r>
          </w:p>
        </w:tc>
        <w:tc>
          <w:tcPr>
            <w:tcW w:w="1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22,656</w:t>
            </w:r>
          </w:p>
        </w:tc>
        <w:tc>
          <w:tcPr>
            <w:tcW w:w="0" w:type="dxa"/>
            <w:vAlign w:val="bottom"/>
          </w:tcPr>
          <w:p>
            <w:pPr>
              <w:spacing w:after="0"/>
              <w:rPr>
                <w:sz w:val="1"/>
                <w:szCs w:val="1"/>
                <w:color w:val="auto"/>
              </w:rPr>
            </w:pPr>
          </w:p>
        </w:tc>
      </w:tr>
      <w:tr>
        <w:trPr>
          <w:trHeight w:val="216"/>
        </w:trPr>
        <w:tc>
          <w:tcPr>
            <w:tcW w:w="7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Investing activities</w:t>
            </w:r>
          </w:p>
        </w:tc>
        <w:tc>
          <w:tcPr>
            <w:tcW w:w="3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7800" w:type="dxa"/>
            <w:vAlign w:val="bottom"/>
          </w:tcPr>
          <w:p>
            <w:pPr>
              <w:ind w:left="340"/>
              <w:spacing w:after="0"/>
              <w:rPr>
                <w:sz w:val="20"/>
                <w:szCs w:val="20"/>
                <w:color w:val="auto"/>
              </w:rPr>
            </w:pPr>
            <w:r>
              <w:rPr>
                <w:rFonts w:ascii="Arial" w:cs="Arial" w:eastAsia="Arial" w:hAnsi="Arial"/>
                <w:sz w:val="14"/>
                <w:szCs w:val="14"/>
                <w:color w:val="auto"/>
              </w:rPr>
              <w:t>Net proceeds (payments) related to the sale of business</w:t>
            </w: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(772)</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55,933</w:t>
            </w:r>
          </w:p>
        </w:tc>
        <w:tc>
          <w:tcPr>
            <w:tcW w:w="0" w:type="dxa"/>
            <w:vAlign w:val="bottom"/>
          </w:tcPr>
          <w:p>
            <w:pPr>
              <w:spacing w:after="0"/>
              <w:rPr>
                <w:sz w:val="1"/>
                <w:szCs w:val="1"/>
                <w:color w:val="auto"/>
              </w:rPr>
            </w:pPr>
          </w:p>
        </w:tc>
      </w:tr>
      <w:tr>
        <w:trPr>
          <w:trHeight w:val="186"/>
        </w:trPr>
        <w:tc>
          <w:tcPr>
            <w:tcW w:w="78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Acquisitions of property, plant, and equipment</w:t>
            </w:r>
          </w:p>
        </w:tc>
        <w:tc>
          <w:tcPr>
            <w:tcW w:w="38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(12,498)</w:t>
            </w:r>
          </w:p>
        </w:tc>
        <w:tc>
          <w:tcPr>
            <w:tcW w:w="1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(10,663)</w:t>
            </w:r>
          </w:p>
        </w:tc>
        <w:tc>
          <w:tcPr>
            <w:tcW w:w="0" w:type="dxa"/>
            <w:vAlign w:val="bottom"/>
          </w:tcPr>
          <w:p>
            <w:pPr>
              <w:spacing w:after="0"/>
              <w:rPr>
                <w:sz w:val="1"/>
                <w:szCs w:val="1"/>
                <w:color w:val="auto"/>
              </w:rPr>
            </w:pPr>
          </w:p>
        </w:tc>
      </w:tr>
      <w:tr>
        <w:trPr>
          <w:trHeight w:val="182"/>
        </w:trPr>
        <w:tc>
          <w:tcPr>
            <w:tcW w:w="7800" w:type="dxa"/>
            <w:vAlign w:val="bottom"/>
          </w:tcPr>
          <w:p>
            <w:pPr>
              <w:ind w:left="340"/>
              <w:spacing w:after="0"/>
              <w:rPr>
                <w:sz w:val="20"/>
                <w:szCs w:val="20"/>
                <w:color w:val="auto"/>
              </w:rPr>
            </w:pPr>
            <w:r>
              <w:rPr>
                <w:rFonts w:ascii="Arial" w:cs="Arial" w:eastAsia="Arial" w:hAnsi="Arial"/>
                <w:sz w:val="14"/>
                <w:szCs w:val="14"/>
                <w:color w:val="auto"/>
              </w:rPr>
              <w:t>Business acquisitions, net of cash and cash equivalents acquired</w:t>
            </w: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8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Other investing, net</w:t>
            </w:r>
          </w:p>
        </w:tc>
        <w:tc>
          <w:tcPr>
            <w:tcW w:w="3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1,722</w:t>
            </w:r>
          </w:p>
        </w:tc>
        <w:tc>
          <w:tcPr>
            <w:tcW w:w="0" w:type="dxa"/>
            <w:vAlign w:val="bottom"/>
          </w:tcPr>
          <w:p>
            <w:pPr>
              <w:spacing w:after="0"/>
              <w:rPr>
                <w:sz w:val="1"/>
                <w:szCs w:val="1"/>
                <w:color w:val="auto"/>
              </w:rPr>
            </w:pPr>
          </w:p>
        </w:tc>
      </w:tr>
      <w:tr>
        <w:trPr>
          <w:trHeight w:val="179"/>
        </w:trPr>
        <w:tc>
          <w:tcPr>
            <w:tcW w:w="7800" w:type="dxa"/>
            <w:vAlign w:val="bottom"/>
          </w:tcPr>
          <w:p>
            <w:pPr>
              <w:ind w:left="680"/>
              <w:spacing w:after="0"/>
              <w:rPr>
                <w:sz w:val="20"/>
                <w:szCs w:val="20"/>
                <w:color w:val="auto"/>
              </w:rPr>
            </w:pPr>
            <w:r>
              <w:rPr>
                <w:rFonts w:ascii="Arial" w:cs="Arial" w:eastAsia="Arial" w:hAnsi="Arial"/>
                <w:sz w:val="14"/>
                <w:szCs w:val="14"/>
                <w:color w:val="auto"/>
              </w:rPr>
              <w:t>Net cash provided by (used in) investing activities</w:t>
            </w: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(13,220)</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47,015</w:t>
            </w: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7800" w:type="dxa"/>
            <w:vAlign w:val="bottom"/>
          </w:tcPr>
          <w:p>
            <w:pPr>
              <w:ind w:left="20"/>
              <w:spacing w:after="0"/>
              <w:rPr>
                <w:sz w:val="20"/>
                <w:szCs w:val="20"/>
                <w:color w:val="auto"/>
              </w:rPr>
            </w:pPr>
            <w:r>
              <w:rPr>
                <w:rFonts w:ascii="Arial" w:cs="Arial" w:eastAsia="Arial" w:hAnsi="Arial"/>
                <w:sz w:val="14"/>
                <w:szCs w:val="14"/>
                <w:color w:val="auto"/>
              </w:rPr>
              <w:t>Financing activities</w:t>
            </w: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8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Issuance of common stock</w:t>
            </w: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1,641</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1,797</w:t>
            </w:r>
          </w:p>
        </w:tc>
        <w:tc>
          <w:tcPr>
            <w:tcW w:w="0" w:type="dxa"/>
            <w:vAlign w:val="bottom"/>
          </w:tcPr>
          <w:p>
            <w:pPr>
              <w:spacing w:after="0"/>
              <w:rPr>
                <w:sz w:val="1"/>
                <w:szCs w:val="1"/>
                <w:color w:val="auto"/>
              </w:rPr>
            </w:pPr>
          </w:p>
        </w:tc>
      </w:tr>
      <w:tr>
        <w:trPr>
          <w:trHeight w:val="182"/>
        </w:trPr>
        <w:tc>
          <w:tcPr>
            <w:tcW w:w="7800" w:type="dxa"/>
            <w:vAlign w:val="bottom"/>
          </w:tcPr>
          <w:p>
            <w:pPr>
              <w:ind w:left="340"/>
              <w:spacing w:after="0"/>
              <w:rPr>
                <w:sz w:val="20"/>
                <w:szCs w:val="20"/>
                <w:color w:val="auto"/>
              </w:rPr>
            </w:pPr>
            <w:r>
              <w:rPr>
                <w:rFonts w:ascii="Arial" w:cs="Arial" w:eastAsia="Arial" w:hAnsi="Arial"/>
                <w:sz w:val="14"/>
                <w:szCs w:val="14"/>
                <w:color w:val="auto"/>
              </w:rPr>
              <w:t>Repurchase of common stock</w:t>
            </w: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(16,972)</w:t>
            </w: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Prepaid debt fees</w:t>
            </w:r>
          </w:p>
        </w:tc>
        <w:tc>
          <w:tcPr>
            <w:tcW w:w="3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(517)</w:t>
            </w:r>
          </w:p>
        </w:tc>
        <w:tc>
          <w:tcPr>
            <w:tcW w:w="1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(695)</w:t>
            </w:r>
          </w:p>
        </w:tc>
        <w:tc>
          <w:tcPr>
            <w:tcW w:w="0" w:type="dxa"/>
            <w:vAlign w:val="bottom"/>
          </w:tcPr>
          <w:p>
            <w:pPr>
              <w:spacing w:after="0"/>
              <w:rPr>
                <w:sz w:val="1"/>
                <w:szCs w:val="1"/>
                <w:color w:val="auto"/>
              </w:rPr>
            </w:pPr>
          </w:p>
        </w:tc>
      </w:tr>
      <w:tr>
        <w:trPr>
          <w:trHeight w:val="186"/>
        </w:trPr>
        <w:tc>
          <w:tcPr>
            <w:tcW w:w="7800" w:type="dxa"/>
            <w:vAlign w:val="bottom"/>
          </w:tcPr>
          <w:p>
            <w:pPr>
              <w:ind w:left="340"/>
              <w:spacing w:after="0"/>
              <w:rPr>
                <w:sz w:val="20"/>
                <w:szCs w:val="20"/>
                <w:color w:val="auto"/>
              </w:rPr>
            </w:pPr>
            <w:r>
              <w:rPr>
                <w:rFonts w:ascii="Arial" w:cs="Arial" w:eastAsia="Arial" w:hAnsi="Arial"/>
                <w:sz w:val="14"/>
                <w:szCs w:val="14"/>
                <w:color w:val="auto"/>
              </w:rPr>
              <w:t>Other financing, net</w:t>
            </w: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(354)</w:t>
            </w: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(4,206)</w:t>
            </w:r>
          </w:p>
        </w:tc>
        <w:tc>
          <w:tcPr>
            <w:tcW w:w="0" w:type="dxa"/>
            <w:vAlign w:val="bottom"/>
          </w:tcPr>
          <w:p>
            <w:pPr>
              <w:spacing w:after="0"/>
              <w:rPr>
                <w:sz w:val="1"/>
                <w:szCs w:val="1"/>
                <w:color w:val="auto"/>
              </w:rPr>
            </w:pPr>
          </w:p>
        </w:tc>
      </w:tr>
      <w:tr>
        <w:trPr>
          <w:trHeight w:val="179"/>
        </w:trPr>
        <w:tc>
          <w:tcPr>
            <w:tcW w:w="78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Net cash provided by (used in) financing activities</w:t>
            </w:r>
          </w:p>
        </w:tc>
        <w:tc>
          <w:tcPr>
            <w:tcW w:w="3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770</w:t>
            </w:r>
          </w:p>
        </w:tc>
        <w:tc>
          <w:tcPr>
            <w:tcW w:w="1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(20,076)</w:t>
            </w:r>
          </w:p>
        </w:tc>
        <w:tc>
          <w:tcPr>
            <w:tcW w:w="0" w:type="dxa"/>
            <w:vAlign w:val="bottom"/>
          </w:tcPr>
          <w:p>
            <w:pPr>
              <w:spacing w:after="0"/>
              <w:rPr>
                <w:sz w:val="1"/>
                <w:szCs w:val="1"/>
                <w:color w:val="auto"/>
              </w:rPr>
            </w:pPr>
          </w:p>
        </w:tc>
      </w:tr>
      <w:tr>
        <w:trPr>
          <w:trHeight w:val="216"/>
        </w:trPr>
        <w:tc>
          <w:tcPr>
            <w:tcW w:w="7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Effect of foreign exchange rate changes on cash and cash equivalents</w:t>
            </w:r>
          </w:p>
        </w:tc>
        <w:tc>
          <w:tcPr>
            <w:tcW w:w="38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241</w:t>
            </w: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(3,674)</w:t>
            </w:r>
          </w:p>
        </w:tc>
        <w:tc>
          <w:tcPr>
            <w:tcW w:w="0" w:type="dxa"/>
            <w:vAlign w:val="bottom"/>
          </w:tcPr>
          <w:p>
            <w:pPr>
              <w:spacing w:after="0"/>
              <w:rPr>
                <w:sz w:val="1"/>
                <w:szCs w:val="1"/>
                <w:color w:val="auto"/>
              </w:rPr>
            </w:pPr>
          </w:p>
        </w:tc>
      </w:tr>
      <w:tr>
        <w:trPr>
          <w:trHeight w:val="179"/>
        </w:trPr>
        <w:tc>
          <w:tcPr>
            <w:tcW w:w="7800" w:type="dxa"/>
            <w:vAlign w:val="bottom"/>
          </w:tcPr>
          <w:p>
            <w:pPr>
              <w:ind w:left="20"/>
              <w:spacing w:after="0"/>
              <w:rPr>
                <w:sz w:val="20"/>
                <w:szCs w:val="20"/>
                <w:color w:val="auto"/>
              </w:rPr>
            </w:pPr>
            <w:r>
              <w:rPr>
                <w:rFonts w:ascii="Arial" w:cs="Arial" w:eastAsia="Arial" w:hAnsi="Arial"/>
                <w:sz w:val="14"/>
                <w:szCs w:val="14"/>
                <w:color w:val="auto"/>
              </w:rPr>
              <w:t>Increase in cash and cash equivalents</w:t>
            </w:r>
          </w:p>
        </w:tc>
        <w:tc>
          <w:tcPr>
            <w:tcW w:w="38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30,780</w:t>
            </w:r>
          </w:p>
        </w:tc>
        <w:tc>
          <w:tcPr>
            <w:tcW w:w="12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45,921</w:t>
            </w:r>
          </w:p>
        </w:tc>
        <w:tc>
          <w:tcPr>
            <w:tcW w:w="0" w:type="dxa"/>
            <w:vAlign w:val="bottom"/>
          </w:tcPr>
          <w:p>
            <w:pPr>
              <w:spacing w:after="0"/>
              <w:rPr>
                <w:sz w:val="1"/>
                <w:szCs w:val="1"/>
                <w:color w:val="auto"/>
              </w:rPr>
            </w:pPr>
          </w:p>
        </w:tc>
      </w:tr>
      <w:tr>
        <w:trPr>
          <w:trHeight w:val="206"/>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 at beginning of period</w:t>
            </w:r>
          </w:p>
        </w:tc>
        <w:tc>
          <w:tcPr>
            <w:tcW w:w="38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202,007</w:t>
            </w: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162,579</w:t>
            </w:r>
          </w:p>
        </w:tc>
        <w:tc>
          <w:tcPr>
            <w:tcW w:w="0" w:type="dxa"/>
            <w:vAlign w:val="bottom"/>
          </w:tcPr>
          <w:p>
            <w:pPr>
              <w:spacing w:after="0"/>
              <w:rPr>
                <w:sz w:val="1"/>
                <w:szCs w:val="1"/>
                <w:color w:val="auto"/>
              </w:rPr>
            </w:pPr>
          </w:p>
        </w:tc>
      </w:tr>
      <w:tr>
        <w:trPr>
          <w:trHeight w:val="176"/>
        </w:trPr>
        <w:tc>
          <w:tcPr>
            <w:tcW w:w="7800" w:type="dxa"/>
            <w:vAlign w:val="bottom"/>
          </w:tcPr>
          <w:p>
            <w:pPr>
              <w:ind w:left="20"/>
              <w:spacing w:after="0"/>
              <w:rPr>
                <w:sz w:val="20"/>
                <w:szCs w:val="20"/>
                <w:color w:val="auto"/>
              </w:rPr>
            </w:pPr>
            <w:r>
              <w:rPr>
                <w:rFonts w:ascii="Arial" w:cs="Arial" w:eastAsia="Arial" w:hAnsi="Arial"/>
                <w:sz w:val="14"/>
                <w:szCs w:val="14"/>
                <w:color w:val="auto"/>
              </w:rPr>
              <w:t>Cash and cash equivalents at end of period</w:t>
            </w:r>
          </w:p>
        </w:tc>
        <w:tc>
          <w:tcPr>
            <w:tcW w:w="380" w:type="dxa"/>
            <w:vAlign w:val="bottom"/>
            <w:tcBorders>
              <w:top w:val="single" w:sz="8" w:color="auto"/>
            </w:tcBorders>
          </w:tcPr>
          <w:p>
            <w:pPr>
              <w:jc w:val="right"/>
              <w:ind w:right="228"/>
              <w:spacing w:after="0"/>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232,787</w:t>
            </w:r>
          </w:p>
        </w:tc>
        <w:tc>
          <w:tcPr>
            <w:tcW w:w="120" w:type="dxa"/>
            <w:vAlign w:val="bottom"/>
          </w:tcPr>
          <w:p>
            <w:pPr>
              <w:spacing w:after="0"/>
              <w:rPr>
                <w:sz w:val="15"/>
                <w:szCs w:val="15"/>
                <w:color w:val="auto"/>
              </w:rPr>
            </w:pPr>
          </w:p>
        </w:tc>
        <w:tc>
          <w:tcPr>
            <w:tcW w:w="380" w:type="dxa"/>
            <w:vAlign w:val="bottom"/>
            <w:tcBorders>
              <w:top w:val="single" w:sz="8" w:color="auto"/>
            </w:tcBorders>
          </w:tcPr>
          <w:p>
            <w:pPr>
              <w:jc w:val="right"/>
              <w:ind w:right="228"/>
              <w:spacing w:after="0"/>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208,500</w:t>
            </w: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78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7800" w:type="dxa"/>
            <w:vAlign w:val="bottom"/>
          </w:tcPr>
          <w:p>
            <w:pPr>
              <w:ind w:left="20"/>
              <w:spacing w:after="0"/>
              <w:rPr>
                <w:sz w:val="20"/>
                <w:szCs w:val="20"/>
                <w:color w:val="auto"/>
              </w:rPr>
            </w:pPr>
            <w:r>
              <w:rPr>
                <w:rFonts w:ascii="Arial" w:cs="Arial" w:eastAsia="Arial" w:hAnsi="Arial"/>
                <w:sz w:val="14"/>
                <w:szCs w:val="14"/>
                <w:i w:val="1"/>
                <w:iCs w:val="1"/>
                <w:color w:val="auto"/>
              </w:rPr>
              <w:t>Supplemental disclosure of cash flow information:</w:t>
            </w: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8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Cash paid during the period for:</w:t>
            </w:r>
          </w:p>
        </w:tc>
        <w:tc>
          <w:tcPr>
            <w:tcW w:w="38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7800" w:type="dxa"/>
            <w:vAlign w:val="bottom"/>
          </w:tcPr>
          <w:p>
            <w:pPr>
              <w:ind w:left="680"/>
              <w:spacing w:after="0"/>
              <w:rPr>
                <w:sz w:val="20"/>
                <w:szCs w:val="20"/>
                <w:color w:val="auto"/>
              </w:rPr>
            </w:pPr>
            <w:r>
              <w:rPr>
                <w:rFonts w:ascii="Arial" w:cs="Arial" w:eastAsia="Arial" w:hAnsi="Arial"/>
                <w:sz w:val="14"/>
                <w:szCs w:val="14"/>
                <w:color w:val="auto"/>
              </w:rPr>
              <w:t>Income taxes, net</w:t>
            </w:r>
          </w:p>
        </w:tc>
        <w:tc>
          <w:tcPr>
            <w:tcW w:w="380" w:type="dxa"/>
            <w:vAlign w:val="bottom"/>
          </w:tcPr>
          <w:p>
            <w:pPr>
              <w:jc w:val="right"/>
              <w:ind w:right="228"/>
              <w:spacing w:after="0"/>
              <w:rPr>
                <w:sz w:val="20"/>
                <w:szCs w:val="20"/>
                <w:color w:val="auto"/>
              </w:rPr>
            </w:pPr>
            <w:r>
              <w:rPr>
                <w:rFonts w:ascii="Arial" w:cs="Arial" w:eastAsia="Arial" w:hAnsi="Arial"/>
                <w:sz w:val="14"/>
                <w:szCs w:val="14"/>
                <w:color w:val="auto"/>
                <w:w w:val="76"/>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20,653</w:t>
            </w:r>
          </w:p>
        </w:tc>
        <w:tc>
          <w:tcPr>
            <w:tcW w:w="500" w:type="dxa"/>
            <w:vAlign w:val="bottom"/>
            <w:gridSpan w:val="2"/>
          </w:tcPr>
          <w:p>
            <w:pPr>
              <w:jc w:val="right"/>
              <w:ind w:right="22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7,062</w:t>
            </w: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800" w:type="dxa"/>
            <w:vAlign w:val="bottom"/>
            <w:shd w:val="clear" w:color="auto" w:fill="CCEEFF"/>
          </w:tcPr>
          <w:p>
            <w:pPr>
              <w:ind w:left="680"/>
              <w:spacing w:after="0"/>
              <w:rPr>
                <w:sz w:val="20"/>
                <w:szCs w:val="20"/>
                <w:color w:val="auto"/>
              </w:rPr>
            </w:pPr>
            <w:r>
              <w:rPr>
                <w:rFonts w:ascii="Arial" w:cs="Arial" w:eastAsia="Arial" w:hAnsi="Arial"/>
                <w:sz w:val="14"/>
                <w:szCs w:val="14"/>
                <w:color w:val="auto"/>
              </w:rPr>
              <w:t>Interest</w:t>
            </w: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785</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717</w:t>
            </w:r>
          </w:p>
        </w:tc>
        <w:tc>
          <w:tcPr>
            <w:tcW w:w="0" w:type="dxa"/>
            <w:vAlign w:val="bottom"/>
          </w:tcPr>
          <w:p>
            <w:pPr>
              <w:spacing w:after="0"/>
              <w:rPr>
                <w:sz w:val="1"/>
                <w:szCs w:val="1"/>
                <w:color w:val="auto"/>
              </w:rPr>
            </w:pPr>
          </w:p>
        </w:tc>
      </w:tr>
    </w:tbl>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In this Quarterly Report on Form 10-Q, the terms "we", "us", "our", "Itron", and the "Company" refer to Itron, Inc. and its subsidiaries.</w:t>
      </w:r>
    </w:p>
    <w:p>
      <w:pPr>
        <w:spacing w:after="0" w:line="248"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6"/>
          <w:szCs w:val="16"/>
          <w:b w:val="1"/>
          <w:bCs w:val="1"/>
          <w:color w:val="auto"/>
        </w:rPr>
        <w:t>Summary of Significant Accounting Policies</w:t>
      </w:r>
    </w:p>
    <w:p>
      <w:pPr>
        <w:spacing w:after="0" w:line="25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Financial Statement Preparation</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consolidated financial statements presented in this Quarterly Report on Form 10-Q are unaudited and reflect entries necessary for the fair presentation of the Consolidated Statements of Operations and the Consolidated Statements of Comprehensive Income (Loss) for the three and six months ended June 30, 2023 and 2022, Consolidated Statements of Equity for the three months ended June 30, 2023 and 2022 and March 31, 2023 and 2022, the Consolidated Statements of Cash Flows for the six months ended June 30, 2023 and 2022, and the Consolidated Balance Sheets as of June 30, 2023 and December 31, 2022, of Itron, Inc. and its subsidiaries. All entries required for the fair presentation of the financial statements are of a normal recurring nature, except as disclosed. The results of operations for the three and six months ended June 30, 2023 are not necessarily indicative of the results expected for the full year or for any other period.</w:t>
      </w:r>
    </w:p>
    <w:p>
      <w:pPr>
        <w:spacing w:after="0" w:line="21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Certain information and notes normally included in financial statements prepared in accordance with U.S. generally accepted accounting principles (GAAP) have been partially or completely omitted pursuant to the rules and regulations of the U.S. Securities and Exchange Commission (SEC) regarding interim results. These consolidated financial statements should be read in conjunction with the consolidated financial statements and the notes thereto for the fiscal year ended December 31, 2022 filed with the SEC in our Annual Report on Form 10-K on February 27, 2023 (2022 Annual Report). There have been no significant changes in financial statement preparation or significant accounting policies since December 31, 2022.</w:t>
      </w:r>
    </w:p>
    <w:p>
      <w:pPr>
        <w:spacing w:after="0" w:line="20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Risks and Uncertainties</w:t>
      </w:r>
    </w:p>
    <w:p>
      <w:pPr>
        <w:spacing w:after="0" w:line="2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Global economic impacts, such as the COVID-19 pandemic and the Ukraine conflict, may create disruption in customer demand and global supply chains, resulting in market volatility, which our management continues to monitor. In the aftermath of these types of events global supply chains struggle to keep pace with rapidly changing demand. While recently improving from 2022 levels, our ability to obtain adequate supply of semiconductor components has impacted our ability to service customer demand. Temporal imbalance in supply and demand creates business uncertainties that include costs and availability. Efforts continue with suppliers to increase supply, including the approval of alternate sources. Recently, inflation in our raw materials and component costs, freight charges, and labor costs have increased above historical levels, due to, among other things, the continuing impacts of the uncertain economic environment. We may or may not be able to fully recover these increased costs through pricing actions with our customers. Currently, we have not identified any significant decrease in long-term customer demand for our products and services. Certain of our customer projects have experienced delays in deliveries, with revenues originally forecasted in prior periods shifting to future periods.</w:t>
      </w:r>
    </w:p>
    <w:p>
      <w:pPr>
        <w:spacing w:after="0" w:line="19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While we have limited direct business exposure in areas with current conflict, such as Russia, Belarus, and Ukraine, military actions globally and any resulting sanctions could adversely affect the global economy, as well as further disrupt the supply chain. A major disruption in the global economy and supply chain could have a material adverse effect on our business, prospects, financial condition, results of operations, and cash flows. The extent and duration of the military action, sanctions, and resulting market and/or supply disruptions are impossible to predict, but could be substantial, and our management continues to monitor these events closely</w:t>
      </w:r>
      <w:r>
        <w:rPr>
          <w:rFonts w:ascii="Arial" w:cs="Arial" w:eastAsia="Arial" w:hAnsi="Arial"/>
          <w:sz w:val="18"/>
          <w:szCs w:val="18"/>
          <w:color w:val="333333"/>
        </w:rPr>
        <w:t>.</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Reclassification</w:t>
      </w:r>
    </w:p>
    <w:p>
      <w:pPr>
        <w:spacing w:after="0" w:line="23" w:lineRule="exact"/>
        <w:rPr>
          <w:sz w:val="20"/>
          <w:szCs w:val="20"/>
          <w:color w:val="auto"/>
        </w:rPr>
      </w:pPr>
    </w:p>
    <w:p>
      <w:pPr>
        <w:ind w:right="920"/>
        <w:spacing w:after="0" w:line="260" w:lineRule="auto"/>
        <w:rPr>
          <w:sz w:val="20"/>
          <w:szCs w:val="20"/>
          <w:color w:val="auto"/>
        </w:rPr>
      </w:pPr>
      <w:r>
        <w:rPr>
          <w:rFonts w:ascii="Arial" w:cs="Arial" w:eastAsia="Arial" w:hAnsi="Arial"/>
          <w:sz w:val="18"/>
          <w:szCs w:val="18"/>
          <w:color w:val="auto"/>
        </w:rPr>
        <w:t>In the Consolidated Statements of Cash Flows, the following reclassifications have been made to prior year amounts to conform to current year presentation of restructuring liabilities: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520" w:type="dxa"/>
            <w:vAlign w:val="bottom"/>
            <w:tcBorders>
              <w:bottom w:val="single" w:sz="8" w:color="auto"/>
            </w:tcBorders>
            <w:gridSpan w:val="6"/>
          </w:tcPr>
          <w:p>
            <w:pPr>
              <w:jc w:val="right"/>
              <w:ind w:right="40"/>
              <w:spacing w:after="0"/>
              <w:rPr>
                <w:sz w:val="20"/>
                <w:szCs w:val="20"/>
                <w:color w:val="auto"/>
              </w:rPr>
            </w:pPr>
            <w:r>
              <w:rPr>
                <w:rFonts w:ascii="Arial" w:cs="Arial" w:eastAsia="Arial" w:hAnsi="Arial"/>
                <w:sz w:val="16"/>
                <w:szCs w:val="16"/>
                <w:b w:val="1"/>
                <w:bCs w:val="1"/>
                <w:color w:val="auto"/>
              </w:rPr>
              <w:t>Six Months Ended June 30, 2022</w:t>
            </w:r>
          </w:p>
        </w:tc>
        <w:tc>
          <w:tcPr>
            <w:tcW w:w="1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610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220" w:type="dxa"/>
            <w:vAlign w:val="bottom"/>
          </w:tcPr>
          <w:p>
            <w:pPr>
              <w:spacing w:after="0"/>
              <w:rPr>
                <w:sz w:val="13"/>
                <w:szCs w:val="13"/>
                <w:color w:val="auto"/>
              </w:rPr>
            </w:pPr>
          </w:p>
        </w:tc>
        <w:tc>
          <w:tcPr>
            <w:tcW w:w="1420" w:type="dxa"/>
            <w:vAlign w:val="bottom"/>
          </w:tcPr>
          <w:p>
            <w:pPr>
              <w:jc w:val="right"/>
              <w:ind w:right="259"/>
              <w:spacing w:after="0" w:line="158" w:lineRule="exact"/>
              <w:rPr>
                <w:sz w:val="20"/>
                <w:szCs w:val="20"/>
                <w:color w:val="auto"/>
              </w:rPr>
            </w:pPr>
            <w:r>
              <w:rPr>
                <w:rFonts w:ascii="Arial" w:cs="Arial" w:eastAsia="Arial" w:hAnsi="Arial"/>
                <w:sz w:val="16"/>
                <w:szCs w:val="16"/>
                <w:b w:val="1"/>
                <w:bCs w:val="1"/>
                <w:color w:val="auto"/>
              </w:rPr>
              <w:t>As Previously</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vMerge w:val="restart"/>
          </w:tcPr>
          <w:p>
            <w:pPr>
              <w:jc w:val="right"/>
              <w:ind w:right="319"/>
              <w:spacing w:after="0"/>
              <w:rPr>
                <w:sz w:val="20"/>
                <w:szCs w:val="20"/>
                <w:color w:val="auto"/>
              </w:rPr>
            </w:pPr>
            <w:r>
              <w:rPr>
                <w:rFonts w:ascii="Arial" w:cs="Arial" w:eastAsia="Arial" w:hAnsi="Arial"/>
                <w:sz w:val="16"/>
                <w:szCs w:val="16"/>
                <w:b w:val="1"/>
                <w:bCs w:val="1"/>
                <w:color w:val="auto"/>
              </w:rPr>
              <w:t>Adjustments</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w w:val="91"/>
              </w:rPr>
              <w:t>As Reclassified</w:t>
            </w:r>
          </w:p>
        </w:tc>
        <w:tc>
          <w:tcPr>
            <w:tcW w:w="0" w:type="dxa"/>
            <w:vAlign w:val="bottom"/>
          </w:tcPr>
          <w:p>
            <w:pPr>
              <w:spacing w:after="0"/>
              <w:rPr>
                <w:sz w:val="1"/>
                <w:szCs w:val="1"/>
                <w:color w:val="auto"/>
              </w:rPr>
            </w:pPr>
          </w:p>
        </w:tc>
      </w:tr>
      <w:tr>
        <w:trPr>
          <w:trHeight w:val="213"/>
        </w:trPr>
        <w:tc>
          <w:tcPr>
            <w:tcW w:w="610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Reported</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00" w:type="dxa"/>
            <w:vAlign w:val="bottom"/>
          </w:tcPr>
          <w:p>
            <w:pPr>
              <w:ind w:left="20"/>
              <w:spacing w:after="0"/>
              <w:rPr>
                <w:sz w:val="20"/>
                <w:szCs w:val="20"/>
                <w:color w:val="auto"/>
              </w:rPr>
            </w:pPr>
            <w:r>
              <w:rPr>
                <w:rFonts w:ascii="Arial" w:cs="Arial" w:eastAsia="Arial" w:hAnsi="Arial"/>
                <w:sz w:val="16"/>
                <w:szCs w:val="16"/>
                <w:color w:val="auto"/>
              </w:rPr>
              <w:t>Changes in operating assets and liabilities, net of acquisitions and sale of business:</w:t>
            </w: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payable, other current liabilities, and taxes payable</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(24,604)</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7,993</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(16,611)</w:t>
            </w:r>
          </w:p>
        </w:tc>
        <w:tc>
          <w:tcPr>
            <w:tcW w:w="0" w:type="dxa"/>
            <w:vAlign w:val="bottom"/>
          </w:tcPr>
          <w:p>
            <w:pPr>
              <w:spacing w:after="0"/>
              <w:rPr>
                <w:sz w:val="1"/>
                <w:szCs w:val="1"/>
                <w:color w:val="auto"/>
              </w:rPr>
            </w:pPr>
          </w:p>
        </w:tc>
      </w:tr>
      <w:tr>
        <w:trPr>
          <w:trHeight w:val="213"/>
        </w:trPr>
        <w:tc>
          <w:tcPr>
            <w:tcW w:w="6100" w:type="dxa"/>
            <w:vAlign w:val="bottom"/>
          </w:tcPr>
          <w:p>
            <w:pPr>
              <w:ind w:left="140"/>
              <w:spacing w:after="0"/>
              <w:rPr>
                <w:sz w:val="20"/>
                <w:szCs w:val="20"/>
                <w:color w:val="auto"/>
              </w:rPr>
            </w:pPr>
            <w:r>
              <w:rPr>
                <w:rFonts w:ascii="Arial" w:cs="Arial" w:eastAsia="Arial" w:hAnsi="Arial"/>
                <w:sz w:val="16"/>
                <w:szCs w:val="16"/>
                <w:color w:val="auto"/>
              </w:rPr>
              <w:t>Restructuring</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(23,448)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(23,448)</w:t>
            </w:r>
          </w:p>
        </w:tc>
        <w:tc>
          <w:tcPr>
            <w:tcW w:w="0" w:type="dxa"/>
            <w:vAlign w:val="bottom"/>
          </w:tcPr>
          <w:p>
            <w:pPr>
              <w:spacing w:after="0"/>
              <w:rPr>
                <w:sz w:val="1"/>
                <w:szCs w:val="1"/>
                <w:color w:val="auto"/>
              </w:rPr>
            </w:pPr>
          </w:p>
        </w:tc>
      </w:tr>
      <w:tr>
        <w:trPr>
          <w:trHeight w:val="219"/>
        </w:trPr>
        <w:tc>
          <w:tcPr>
            <w:tcW w:w="6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operating, net</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(21,557)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15,455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(6,102)</w:t>
            </w: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Recently Adopted Accounting Standards</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In October 2021, the Financial Accounting Standards Board (FASB) issued Accounting Standards Update (ASU) 2021-08 amending </w:t>
      </w:r>
      <w:r>
        <w:rPr>
          <w:rFonts w:ascii="Arial" w:cs="Arial" w:eastAsia="Arial" w:hAnsi="Arial"/>
          <w:sz w:val="17"/>
          <w:szCs w:val="17"/>
          <w:i w:val="1"/>
          <w:iCs w:val="1"/>
          <w:color w:val="auto"/>
        </w:rPr>
        <w:t>Business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Combination: </w:t>
      </w:r>
      <w:r>
        <w:rPr>
          <w:rFonts w:ascii="Arial" w:cs="Arial" w:eastAsia="Arial" w:hAnsi="Arial"/>
          <w:sz w:val="17"/>
          <w:szCs w:val="17"/>
          <w:color w:val="auto"/>
        </w:rPr>
        <w:t>(</w:t>
      </w:r>
      <w:r>
        <w:rPr>
          <w:rFonts w:ascii="Arial" w:cs="Arial" w:eastAsia="Arial" w:hAnsi="Arial"/>
          <w:sz w:val="17"/>
          <w:szCs w:val="17"/>
          <w:i w:val="1"/>
          <w:iCs w:val="1"/>
          <w:color w:val="auto"/>
        </w:rPr>
        <w:t xml:space="preserve">Topic 805), </w:t>
      </w:r>
      <w:r>
        <w:rPr>
          <w:rFonts w:ascii="Arial" w:cs="Arial" w:eastAsia="Arial" w:hAnsi="Arial"/>
          <w:sz w:val="17"/>
          <w:szCs w:val="17"/>
          <w:color w:val="auto"/>
        </w:rPr>
        <w:t>which was necessary due to 2014-09,</w:t>
      </w:r>
      <w:r>
        <w:rPr>
          <w:rFonts w:ascii="Arial" w:cs="Arial" w:eastAsia="Arial" w:hAnsi="Arial"/>
          <w:sz w:val="17"/>
          <w:szCs w:val="17"/>
          <w:i w:val="1"/>
          <w:iCs w:val="1"/>
          <w:color w:val="auto"/>
        </w:rPr>
        <w:t xml:space="preserve"> Revenue from Contracts with Customers (Topic 606). </w:t>
      </w:r>
      <w:r>
        <w:rPr>
          <w:rFonts w:ascii="Arial" w:cs="Arial" w:eastAsia="Arial" w:hAnsi="Arial"/>
          <w:sz w:val="17"/>
          <w:szCs w:val="17"/>
          <w:color w:val="auto"/>
        </w:rPr>
        <w:t>The FASB issued this Update to</w:t>
      </w:r>
      <w:r>
        <w:rPr>
          <w:rFonts w:ascii="Arial" w:cs="Arial" w:eastAsia="Arial" w:hAnsi="Arial"/>
          <w:sz w:val="17"/>
          <w:szCs w:val="17"/>
          <w:i w:val="1"/>
          <w:iCs w:val="1"/>
          <w:color w:val="auto"/>
        </w:rPr>
        <w:t xml:space="preserve"> </w:t>
      </w:r>
      <w:r>
        <w:rPr>
          <w:rFonts w:ascii="Arial" w:cs="Arial" w:eastAsia="Arial" w:hAnsi="Arial"/>
          <w:sz w:val="17"/>
          <w:szCs w:val="17"/>
          <w:color w:val="auto"/>
        </w:rPr>
        <w:t>improve the accounting for acquired revenue contracts with customers in a business combination by addressing diversity in practice and inconsistency related to (1) recognition of an acquired contract liability and (2) payment terms and their effect on subsequent revenue recognized by the acquirer. We adopted this amendment as of the effective date of January 1, 2023. These amendments are to be applied prospectively to business combinations occurring on or after the effective date of the amendments. We currently plan to apply the practical expedients as needed for any future acquisitions. The practical expedients cover contracts that were modified prior to acquisition date as well as determining which date an acquirer would have to determine the standalone selling price of each performance obligation in an acquired contract.</w:t>
      </w:r>
    </w:p>
    <w:p>
      <w:pPr>
        <w:spacing w:after="0" w:line="206"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6"/>
          <w:szCs w:val="16"/>
          <w:b w:val="1"/>
          <w:bCs w:val="1"/>
          <w:color w:val="auto"/>
        </w:rPr>
        <w:t>Earnings Per Share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earnings per share (EPS):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4"/>
          </w:tcPr>
          <w:p>
            <w:pPr>
              <w:jc w:val="right"/>
              <w:ind w:right="539"/>
              <w:spacing w:after="0"/>
              <w:rPr>
                <w:sz w:val="20"/>
                <w:szCs w:val="20"/>
                <w:color w:val="auto"/>
              </w:rPr>
            </w:pPr>
            <w:r>
              <w:rPr>
                <w:rFonts w:ascii="Arial" w:cs="Arial" w:eastAsia="Arial" w:hAnsi="Arial"/>
                <w:sz w:val="16"/>
                <w:szCs w:val="16"/>
                <w:b w:val="1"/>
                <w:bCs w:val="1"/>
                <w:color w:val="auto"/>
              </w:rPr>
              <w:t>Three Months Ended June 30,</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4"/>
          </w:tcPr>
          <w:p>
            <w:pPr>
              <w:jc w:val="right"/>
              <w:ind w:right="639"/>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213"/>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 except per share data</w:t>
            </w: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12"/>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 available to common shareholders</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24,201</w:t>
            </w:r>
          </w:p>
        </w:tc>
        <w:tc>
          <w:tcPr>
            <w:tcW w:w="480" w:type="dxa"/>
            <w:vAlign w:val="bottom"/>
            <w:gridSpan w:val="2"/>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(36,967)</w:t>
            </w:r>
          </w:p>
        </w:tc>
        <w:tc>
          <w:tcPr>
            <w:tcW w:w="480" w:type="dxa"/>
            <w:vAlign w:val="bottom"/>
            <w:gridSpan w:val="2"/>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12,365</w:t>
            </w:r>
          </w:p>
        </w:tc>
        <w:tc>
          <w:tcPr>
            <w:tcW w:w="480" w:type="dxa"/>
            <w:vAlign w:val="bottom"/>
            <w:gridSpan w:val="2"/>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(36,061)</w:t>
            </w:r>
          </w:p>
        </w:tc>
        <w:tc>
          <w:tcPr>
            <w:tcW w:w="0" w:type="dxa"/>
            <w:vAlign w:val="bottom"/>
          </w:tcPr>
          <w:p>
            <w:pPr>
              <w:spacing w:after="0"/>
              <w:rPr>
                <w:sz w:val="1"/>
                <w:szCs w:val="1"/>
                <w:color w:val="auto"/>
              </w:rPr>
            </w:pPr>
          </w:p>
        </w:tc>
      </w:tr>
      <w:tr>
        <w:trPr>
          <w:trHeight w:val="243"/>
        </w:trPr>
        <w:tc>
          <w:tcPr>
            <w:tcW w:w="4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common shares outstanding - Basic</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45,435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45,066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45,358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45,042</w:t>
            </w:r>
          </w:p>
        </w:tc>
        <w:tc>
          <w:tcPr>
            <w:tcW w:w="0" w:type="dxa"/>
            <w:vAlign w:val="bottom"/>
          </w:tcPr>
          <w:p>
            <w:pPr>
              <w:spacing w:after="0"/>
              <w:rPr>
                <w:sz w:val="1"/>
                <w:szCs w:val="1"/>
                <w:color w:val="auto"/>
              </w:rPr>
            </w:pPr>
          </w:p>
        </w:tc>
      </w:tr>
      <w:tr>
        <w:trPr>
          <w:trHeight w:val="213"/>
        </w:trPr>
        <w:tc>
          <w:tcPr>
            <w:tcW w:w="4440" w:type="dxa"/>
            <w:vAlign w:val="bottom"/>
          </w:tcPr>
          <w:p>
            <w:pPr>
              <w:ind w:left="360"/>
              <w:spacing w:after="0"/>
              <w:rPr>
                <w:sz w:val="20"/>
                <w:szCs w:val="20"/>
                <w:color w:val="auto"/>
              </w:rPr>
            </w:pPr>
            <w:r>
              <w:rPr>
                <w:rFonts w:ascii="Arial" w:cs="Arial" w:eastAsia="Arial" w:hAnsi="Arial"/>
                <w:sz w:val="16"/>
                <w:szCs w:val="16"/>
                <w:color w:val="auto"/>
              </w:rPr>
              <w:t>Dilutive effect of stock-based awards</w:t>
            </w: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346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319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4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Dilutive effect of convertible notes</w:t>
            </w:r>
          </w:p>
        </w:tc>
        <w:tc>
          <w:tcPr>
            <w:tcW w:w="3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4440" w:type="dxa"/>
            <w:vAlign w:val="bottom"/>
          </w:tcPr>
          <w:p>
            <w:pPr>
              <w:ind w:left="20"/>
              <w:spacing w:after="0"/>
              <w:rPr>
                <w:sz w:val="20"/>
                <w:szCs w:val="20"/>
                <w:color w:val="auto"/>
              </w:rPr>
            </w:pPr>
            <w:r>
              <w:rPr>
                <w:rFonts w:ascii="Arial" w:cs="Arial" w:eastAsia="Arial" w:hAnsi="Arial"/>
                <w:sz w:val="16"/>
                <w:szCs w:val="16"/>
                <w:color w:val="auto"/>
              </w:rPr>
              <w:t>Weighted average common shares outstanding - Diluted</w:t>
            </w: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45,781</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45,066</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45,677</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45,042</w:t>
            </w:r>
          </w:p>
        </w:tc>
        <w:tc>
          <w:tcPr>
            <w:tcW w:w="0" w:type="dxa"/>
            <w:vAlign w:val="bottom"/>
          </w:tcPr>
          <w:p>
            <w:pPr>
              <w:spacing w:after="0"/>
              <w:rPr>
                <w:sz w:val="1"/>
                <w:szCs w:val="1"/>
                <w:color w:val="auto"/>
              </w:rPr>
            </w:pPr>
          </w:p>
        </w:tc>
      </w:tr>
      <w:tr>
        <w:trPr>
          <w:trHeight w:val="229"/>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(loss) per common share - Basic</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0.53</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(0.82)</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0.27</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(0.80)</w:t>
            </w:r>
          </w:p>
        </w:tc>
        <w:tc>
          <w:tcPr>
            <w:tcW w:w="0" w:type="dxa"/>
            <w:vAlign w:val="bottom"/>
          </w:tcPr>
          <w:p>
            <w:pPr>
              <w:spacing w:after="0"/>
              <w:rPr>
                <w:sz w:val="1"/>
                <w:szCs w:val="1"/>
                <w:color w:val="auto"/>
              </w:rPr>
            </w:pPr>
          </w:p>
        </w:tc>
      </w:tr>
      <w:tr>
        <w:trPr>
          <w:trHeight w:val="20"/>
        </w:trPr>
        <w:tc>
          <w:tcPr>
            <w:tcW w:w="4440" w:type="dxa"/>
            <w:vAlign w:val="bottom"/>
            <w:vMerge w:val="restart"/>
          </w:tcPr>
          <w:p>
            <w:pPr>
              <w:ind w:left="20"/>
              <w:spacing w:after="0"/>
              <w:rPr>
                <w:sz w:val="20"/>
                <w:szCs w:val="20"/>
                <w:color w:val="auto"/>
              </w:rPr>
            </w:pPr>
            <w:r>
              <w:rPr>
                <w:rFonts w:ascii="Arial" w:cs="Arial" w:eastAsia="Arial" w:hAnsi="Arial"/>
                <w:sz w:val="16"/>
                <w:szCs w:val="16"/>
                <w:color w:val="auto"/>
              </w:rPr>
              <w:t>Net income (loss) per common share - Diluted</w:t>
            </w: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440" w:type="dxa"/>
            <w:vAlign w:val="bottom"/>
            <w:vMerge w:val="continue"/>
          </w:tcPr>
          <w:p>
            <w:pPr>
              <w:spacing w:after="0"/>
              <w:rPr>
                <w:sz w:val="16"/>
                <w:szCs w:val="16"/>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0.53</w:t>
            </w:r>
          </w:p>
        </w:tc>
        <w:tc>
          <w:tcPr>
            <w:tcW w:w="480" w:type="dxa"/>
            <w:vAlign w:val="bottom"/>
            <w:gridSpan w:val="2"/>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(0.82)</w:t>
            </w:r>
          </w:p>
        </w:tc>
        <w:tc>
          <w:tcPr>
            <w:tcW w:w="48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0.27</w:t>
            </w:r>
          </w:p>
        </w:tc>
        <w:tc>
          <w:tcPr>
            <w:tcW w:w="480" w:type="dxa"/>
            <w:vAlign w:val="bottom"/>
            <w:gridSpan w:val="2"/>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(0.80)</w:t>
            </w:r>
          </w:p>
        </w:tc>
        <w:tc>
          <w:tcPr>
            <w:tcW w:w="0" w:type="dxa"/>
            <w:vAlign w:val="bottom"/>
          </w:tcPr>
          <w:p>
            <w:pPr>
              <w:spacing w:after="0"/>
              <w:rPr>
                <w:sz w:val="1"/>
                <w:szCs w:val="1"/>
                <w:color w:val="auto"/>
              </w:rPr>
            </w:pPr>
          </w:p>
        </w:tc>
      </w:tr>
      <w:tr>
        <w:trPr>
          <w:trHeight w:val="24"/>
        </w:trPr>
        <w:tc>
          <w:tcPr>
            <w:tcW w:w="4440" w:type="dxa"/>
            <w:vAlign w:val="bottom"/>
          </w:tcPr>
          <w:p>
            <w:pPr>
              <w:spacing w:after="0"/>
              <w:rPr>
                <w:sz w:val="2"/>
                <w:szCs w:val="2"/>
                <w:color w:val="auto"/>
              </w:rPr>
            </w:pPr>
          </w:p>
        </w:tc>
        <w:tc>
          <w:tcPr>
            <w:tcW w:w="360" w:type="dxa"/>
            <w:vAlign w:val="bottom"/>
            <w:tcBorders>
              <w:top w:val="single" w:sz="8" w:color="auto"/>
              <w:bottom w:val="single" w:sz="8" w:color="auto"/>
            </w:tcBorders>
          </w:tcPr>
          <w:p>
            <w:pPr>
              <w:spacing w:after="0"/>
              <w:rPr>
                <w:sz w:val="2"/>
                <w:szCs w:val="2"/>
                <w:color w:val="auto"/>
              </w:rPr>
            </w:pPr>
          </w:p>
        </w:tc>
        <w:tc>
          <w:tcPr>
            <w:tcW w:w="12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top w:val="single" w:sz="8" w:color="auto"/>
              <w:bottom w:val="single" w:sz="8" w:color="auto"/>
            </w:tcBorders>
          </w:tcPr>
          <w:p>
            <w:pPr>
              <w:spacing w:after="0"/>
              <w:rPr>
                <w:sz w:val="2"/>
                <w:szCs w:val="2"/>
                <w:color w:val="auto"/>
              </w:rPr>
            </w:pPr>
          </w:p>
        </w:tc>
        <w:tc>
          <w:tcPr>
            <w:tcW w:w="124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top w:val="single" w:sz="8" w:color="auto"/>
              <w:bottom w:val="single" w:sz="8" w:color="auto"/>
            </w:tcBorders>
          </w:tcPr>
          <w:p>
            <w:pPr>
              <w:spacing w:after="0"/>
              <w:rPr>
                <w:sz w:val="2"/>
                <w:szCs w:val="2"/>
                <w:color w:val="auto"/>
              </w:rPr>
            </w:pPr>
          </w:p>
        </w:tc>
        <w:tc>
          <w:tcPr>
            <w:tcW w:w="12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top w:val="single" w:sz="8" w:color="auto"/>
              <w:bottom w:val="single" w:sz="8" w:color="auto"/>
            </w:tcBorders>
          </w:tcPr>
          <w:p>
            <w:pPr>
              <w:spacing w:after="0"/>
              <w:rPr>
                <w:sz w:val="2"/>
                <w:szCs w:val="2"/>
                <w:color w:val="auto"/>
              </w:rPr>
            </w:pPr>
          </w:p>
        </w:tc>
        <w:tc>
          <w:tcPr>
            <w:tcW w:w="124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Stock-based Awards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For stock-based awards, the dilutive effect is calculated using the treasury stock method. Under this method, the dilutive effect is computed as if the awards were exercised at the beginning of the period (or at time of issuance, if later) and assumes the related proceeds were used to repurchase our common stock at the average market price during the period. Related proceeds include the amount the employee must pay upon exercise and the future compensation cost associated with the stock award. Approximately 0.4 million stock-based awards were excluded from the calculation of diluted EPS for both the three and six months ended June 30, 2023 because they were anti-dilutive. Approximately 0.9 million and 0.8 million stock-based awards were excluded from the calculation of diluted EPS for the three and six months ended June 30, 2022 because they were anti-dilutive. These stock-based awards could be dilutive in future periods.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Convertible Notes and Warrants</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For our convertible notes issued in March 2021, the dilutive effect is calculated using the if-converted method. We are required, pursuant to the indenture governing our convertible notes, to settle the principal amount of the convertible notes in cash and may elect to settle the remaining conversion obligation (stock price in excess of conversion price) in cash, shares, or a combination thereof. Under the if-converted method, we include the number of shares required to satisfy the remaining conversion obligation, assuming all the convertible notes were converted. The average closing prices of our common stock for the quarter ended June 30, 2023 were used as the basis for determining the dilutive effect on EPS. The quarterly average closing prices for our common stock did not exceed the conversion price of $126.00, and therefore all associated shares were anti-dilutive.</w:t>
      </w:r>
    </w:p>
    <w:p>
      <w:pPr>
        <w:spacing w:after="0" w:line="20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conjunction with the issuance of the convertible notes, we sold warrants to purchase 3.7 million shares of Itron common stock. The warrants have a strike price of $180.00 per share. For calculating the dilutive effect of the warrants, we use the treasury stock method. With this method, we assume exercise of the warrants at the beginning of the period, or at time of issuance if later, and the issuance of common stock upon exercise. Proceeds from the exercise of the warrants are assumed to be used to repurchase shares of our stock at the average market price during the period. The incremental shares, representing the number of shares assumed to be exercised with the warrants less the number of shares repurchased, are included in diluted weighted average common shares outstanding. For periods where the warrants strike price of $180.00 per share is greater than the average share price of Itron stock for the period, the warrants would be anti-dilutive. For the three and six months ended June 30, 2023, the quarterly average closing prices of our common stock did not exceed the warrant strike price and therefore 3.7 million shares were considered anti-dilutive.</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Convertible Note Hedge Transactions</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connection with the issuance of the convertible notes, we entered into privately negotiated call option contracts on our common stock (the convertible note hedge transactions) with certain commercial banks (the Counterparties). The convertible note hedge transactions cover, subject to anti-dilution adjustments substantially similar to those in the convertible notes, approximately 3.7 million shares of our common stock, the same number of shares initially underlying the convertible notes, at a strike price of approximately $126.00, subject to customary adjustments. The convertible note hedge transactions will expire upon the maturity of the convertible notes, subject to earlier exercise or termination. Exercise of the convertible note hedge transactions would reduce the number of shares of our common stock outstanding and therefore would be anti-dilutive.</w:t>
      </w:r>
    </w:p>
    <w:p>
      <w:pPr>
        <w:spacing w:after="0" w:line="201"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6"/>
          <w:szCs w:val="16"/>
          <w:b w:val="1"/>
          <w:bCs w:val="1"/>
          <w:color w:val="auto"/>
        </w:rPr>
        <w:t>Certain Balance Sheet Components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 summary of accounts receivable from contracts with customers is as follows: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760" w:type="dxa"/>
            <w:vAlign w:val="bottom"/>
          </w:tcPr>
          <w:p>
            <w:pPr>
              <w:ind w:left="240"/>
              <w:spacing w:after="0"/>
              <w:rPr>
                <w:sz w:val="20"/>
                <w:szCs w:val="20"/>
                <w:color w:val="auto"/>
              </w:rPr>
            </w:pPr>
            <w:r>
              <w:rPr>
                <w:rFonts w:ascii="Arial" w:cs="Arial" w:eastAsia="Arial" w:hAnsi="Arial"/>
                <w:sz w:val="16"/>
                <w:szCs w:val="16"/>
                <w:i w:val="1"/>
                <w:iCs w:val="1"/>
                <w:color w:val="auto"/>
              </w:rPr>
              <w:t>Accounts receivable, net</w:t>
            </w:r>
          </w:p>
        </w:tc>
        <w:tc>
          <w:tcPr>
            <w:tcW w:w="3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219"/>
        </w:trPr>
        <w:tc>
          <w:tcPr>
            <w:tcW w:w="67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3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June 30, 2023</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December 31, 2022</w:t>
            </w:r>
          </w:p>
        </w:tc>
      </w:tr>
      <w:tr>
        <w:trPr>
          <w:trHeight w:val="213"/>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Trade receivables (net of allowance of $4,694 and $4,863)</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284,598</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249,771</w:t>
            </w:r>
          </w:p>
        </w:tc>
      </w:tr>
      <w:tr>
        <w:trPr>
          <w:trHeight w:val="216"/>
        </w:trPr>
        <w:tc>
          <w:tcPr>
            <w:tcW w:w="6760" w:type="dxa"/>
            <w:vAlign w:val="bottom"/>
          </w:tcPr>
          <w:p>
            <w:pPr>
              <w:ind w:left="20"/>
              <w:spacing w:after="0"/>
              <w:rPr>
                <w:sz w:val="20"/>
                <w:szCs w:val="20"/>
                <w:color w:val="auto"/>
              </w:rPr>
            </w:pPr>
            <w:r>
              <w:rPr>
                <w:rFonts w:ascii="Arial" w:cs="Arial" w:eastAsia="Arial" w:hAnsi="Arial"/>
                <w:sz w:val="16"/>
                <w:szCs w:val="16"/>
                <w:color w:val="auto"/>
              </w:rPr>
              <w:t>Unbilled receivables</w:t>
            </w:r>
          </w:p>
        </w:tc>
        <w:tc>
          <w:tcPr>
            <w:tcW w:w="3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34,211</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30,664</w:t>
            </w:r>
          </w:p>
        </w:tc>
      </w:tr>
      <w:tr>
        <w:trPr>
          <w:trHeight w:val="230"/>
        </w:trPr>
        <w:tc>
          <w:tcPr>
            <w:tcW w:w="67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accounts receivable, net</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318,809</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280,435</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60" w:type="dxa"/>
            <w:vAlign w:val="bottom"/>
          </w:tcPr>
          <w:p>
            <w:pPr>
              <w:ind w:left="240"/>
              <w:spacing w:after="0"/>
              <w:rPr>
                <w:sz w:val="20"/>
                <w:szCs w:val="20"/>
                <w:color w:val="auto"/>
              </w:rPr>
            </w:pPr>
            <w:r>
              <w:rPr>
                <w:rFonts w:ascii="Arial" w:cs="Arial" w:eastAsia="Arial" w:hAnsi="Arial"/>
                <w:sz w:val="16"/>
                <w:szCs w:val="16"/>
                <w:i w:val="1"/>
                <w:iCs w:val="1"/>
                <w:color w:val="auto"/>
              </w:rPr>
              <w:t>Allowance for credit losses account activity</w:t>
            </w:r>
          </w:p>
        </w:tc>
        <w:tc>
          <w:tcPr>
            <w:tcW w:w="2840" w:type="dxa"/>
            <w:vAlign w:val="bottom"/>
            <w:tcBorders>
              <w:bottom w:val="single" w:sz="8" w:color="auto"/>
            </w:tcBorders>
            <w:gridSpan w:val="5"/>
          </w:tcPr>
          <w:p>
            <w:pPr>
              <w:ind w:left="660"/>
              <w:spacing w:after="0"/>
              <w:rPr>
                <w:sz w:val="20"/>
                <w:szCs w:val="20"/>
                <w:color w:val="auto"/>
              </w:rPr>
            </w:pPr>
            <w:r>
              <w:rPr>
                <w:rFonts w:ascii="Arial" w:cs="Arial" w:eastAsia="Arial" w:hAnsi="Arial"/>
                <w:sz w:val="16"/>
                <w:szCs w:val="16"/>
                <w:b w:val="1"/>
                <w:bCs w:val="1"/>
                <w:color w:val="auto"/>
                <w:w w:val="95"/>
              </w:rPr>
              <w:t>Three Months Ended June 30,</w:t>
            </w:r>
          </w:p>
        </w:tc>
        <w:tc>
          <w:tcPr>
            <w:tcW w:w="5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760" w:type="dxa"/>
            <w:vAlign w:val="bottom"/>
            <w:tcBorders>
              <w:bottom w:val="single" w:sz="8" w:color="auto"/>
            </w:tcBorders>
            <w:gridSpan w:val="6"/>
          </w:tcPr>
          <w:p>
            <w:pPr>
              <w:jc w:val="right"/>
              <w:ind w:right="39"/>
              <w:spacing w:after="0"/>
              <w:rPr>
                <w:sz w:val="20"/>
                <w:szCs w:val="20"/>
                <w:color w:val="auto"/>
              </w:rPr>
            </w:pPr>
            <w:r>
              <w:rPr>
                <w:rFonts w:ascii="Arial" w:cs="Arial" w:eastAsia="Arial" w:hAnsi="Arial"/>
                <w:sz w:val="16"/>
                <w:szCs w:val="16"/>
                <w:b w:val="1"/>
                <w:bCs w:val="1"/>
                <w:color w:val="auto"/>
              </w:rPr>
              <w:t>Six Months Ended June 30,</w:t>
            </w:r>
          </w:p>
        </w:tc>
        <w:tc>
          <w:tcPr>
            <w:tcW w:w="6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2023</w:t>
            </w:r>
          </w:p>
        </w:tc>
        <w:tc>
          <w:tcPr>
            <w:tcW w:w="5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gridSpan w:val="2"/>
          </w:tcPr>
          <w:p>
            <w:pPr>
              <w:ind w:left="640"/>
              <w:spacing w:after="0"/>
              <w:rPr>
                <w:sz w:val="20"/>
                <w:szCs w:val="20"/>
                <w:color w:val="auto"/>
              </w:rPr>
            </w:pPr>
            <w:r>
              <w:rPr>
                <w:rFonts w:ascii="Arial" w:cs="Arial" w:eastAsia="Arial" w:hAnsi="Arial"/>
                <w:sz w:val="16"/>
                <w:szCs w:val="16"/>
                <w:b w:val="1"/>
                <w:bCs w:val="1"/>
                <w:color w:val="auto"/>
              </w:rPr>
              <w:t>2022</w:t>
            </w:r>
          </w:p>
        </w:tc>
        <w:tc>
          <w:tcPr>
            <w:tcW w:w="5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6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balance</w:t>
            </w:r>
          </w:p>
        </w:tc>
        <w:tc>
          <w:tcPr>
            <w:tcW w:w="110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4,782</w:t>
            </w:r>
          </w:p>
        </w:tc>
        <w:tc>
          <w:tcPr>
            <w:tcW w:w="760" w:type="dxa"/>
            <w:vAlign w:val="bottom"/>
            <w:gridSpan w:val="2"/>
            <w:shd w:val="clear" w:color="auto" w:fill="CCEEFF"/>
          </w:tcPr>
          <w:p>
            <w:pPr>
              <w:jc w:val="right"/>
              <w:ind w:right="459"/>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5,598</w:t>
            </w:r>
          </w:p>
        </w:tc>
        <w:tc>
          <w:tcPr>
            <w:tcW w:w="1200" w:type="dxa"/>
            <w:vAlign w:val="bottom"/>
            <w:gridSpan w:val="2"/>
            <w:shd w:val="clear" w:color="auto" w:fill="CCEEFF"/>
          </w:tcPr>
          <w:p>
            <w:pPr>
              <w:jc w:val="right"/>
              <w:ind w:right="899"/>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4,863</w:t>
            </w:r>
          </w:p>
        </w:tc>
        <w:tc>
          <w:tcPr>
            <w:tcW w:w="1140" w:type="dxa"/>
            <w:vAlign w:val="bottom"/>
            <w:gridSpan w:val="3"/>
            <w:shd w:val="clear" w:color="auto" w:fill="CCEEFF"/>
          </w:tcPr>
          <w:p>
            <w:pPr>
              <w:jc w:val="right"/>
              <w:ind w:right="839"/>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5,730</w:t>
            </w:r>
          </w:p>
        </w:tc>
        <w:tc>
          <w:tcPr>
            <w:tcW w:w="0" w:type="dxa"/>
            <w:vAlign w:val="bottom"/>
          </w:tcPr>
          <w:p>
            <w:pPr>
              <w:spacing w:after="0"/>
              <w:rPr>
                <w:sz w:val="1"/>
                <w:szCs w:val="1"/>
                <w:color w:val="auto"/>
              </w:rPr>
            </w:pPr>
          </w:p>
        </w:tc>
      </w:tr>
      <w:tr>
        <w:trPr>
          <w:trHeight w:val="213"/>
        </w:trPr>
        <w:tc>
          <w:tcPr>
            <w:tcW w:w="4360" w:type="dxa"/>
            <w:vAlign w:val="bottom"/>
          </w:tcPr>
          <w:p>
            <w:pPr>
              <w:ind w:left="360"/>
              <w:spacing w:after="0"/>
              <w:rPr>
                <w:sz w:val="20"/>
                <w:szCs w:val="20"/>
                <w:color w:val="auto"/>
              </w:rPr>
            </w:pPr>
            <w:r>
              <w:rPr>
                <w:rFonts w:ascii="Arial" w:cs="Arial" w:eastAsia="Arial" w:hAnsi="Arial"/>
                <w:sz w:val="16"/>
                <w:szCs w:val="16"/>
                <w:color w:val="auto"/>
              </w:rPr>
              <w:t>Provision for (release of) doubtful accounts, net</w:t>
            </w:r>
          </w:p>
        </w:tc>
        <w:tc>
          <w:tcPr>
            <w:tcW w:w="1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619</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6"/>
                <w:szCs w:val="16"/>
                <w:color w:val="auto"/>
              </w:rPr>
              <w:t>(39)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518</w:t>
            </w: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written-off, net</w:t>
            </w:r>
          </w:p>
        </w:tc>
        <w:tc>
          <w:tcPr>
            <w:tcW w:w="1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(244)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w:t>
            </w:r>
          </w:p>
        </w:tc>
        <w:tc>
          <w:tcPr>
            <w:tcW w:w="0" w:type="dxa"/>
            <w:vAlign w:val="bottom"/>
          </w:tcPr>
          <w:p>
            <w:pPr>
              <w:spacing w:after="0"/>
              <w:rPr>
                <w:sz w:val="1"/>
                <w:szCs w:val="1"/>
                <w:color w:val="auto"/>
              </w:rPr>
            </w:pPr>
          </w:p>
        </w:tc>
      </w:tr>
      <w:tr>
        <w:trPr>
          <w:trHeight w:val="213"/>
        </w:trPr>
        <w:tc>
          <w:tcPr>
            <w:tcW w:w="43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Effect of change in exchange rates</w:t>
            </w:r>
          </w:p>
        </w:tc>
        <w:tc>
          <w:tcPr>
            <w:tcW w:w="1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w:t>
            </w:r>
          </w:p>
        </w:tc>
        <w:tc>
          <w:tcPr>
            <w:tcW w:w="12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w:t>
            </w:r>
          </w:p>
        </w:tc>
        <w:tc>
          <w:tcPr>
            <w:tcW w:w="12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114</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(374)</w:t>
            </w:r>
          </w:p>
        </w:tc>
        <w:tc>
          <w:tcPr>
            <w:tcW w:w="0" w:type="dxa"/>
            <w:vAlign w:val="bottom"/>
          </w:tcPr>
          <w:p>
            <w:pPr>
              <w:spacing w:after="0"/>
              <w:rPr>
                <w:sz w:val="1"/>
                <w:szCs w:val="1"/>
                <w:color w:val="auto"/>
              </w:rPr>
            </w:pPr>
          </w:p>
        </w:tc>
      </w:tr>
      <w:tr>
        <w:trPr>
          <w:trHeight w:val="233"/>
        </w:trPr>
        <w:tc>
          <w:tcPr>
            <w:tcW w:w="4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Ending balance</w:t>
            </w:r>
          </w:p>
        </w:tc>
        <w:tc>
          <w:tcPr>
            <w:tcW w:w="110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4,694</w:t>
            </w:r>
          </w:p>
        </w:tc>
        <w:tc>
          <w:tcPr>
            <w:tcW w:w="760" w:type="dxa"/>
            <w:vAlign w:val="bottom"/>
            <w:gridSpan w:val="2"/>
            <w:shd w:val="clear" w:color="auto" w:fill="CCEEFF"/>
          </w:tcPr>
          <w:p>
            <w:pPr>
              <w:jc w:val="right"/>
              <w:ind w:right="459"/>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5,630</w:t>
            </w:r>
          </w:p>
        </w:tc>
        <w:tc>
          <w:tcPr>
            <w:tcW w:w="1200" w:type="dxa"/>
            <w:vAlign w:val="bottom"/>
            <w:gridSpan w:val="2"/>
            <w:shd w:val="clear" w:color="auto" w:fill="CCEEFF"/>
          </w:tcPr>
          <w:p>
            <w:pPr>
              <w:jc w:val="right"/>
              <w:ind w:right="899"/>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4,694</w:t>
            </w:r>
          </w:p>
        </w:tc>
        <w:tc>
          <w:tcPr>
            <w:tcW w:w="1140" w:type="dxa"/>
            <w:vAlign w:val="bottom"/>
            <w:gridSpan w:val="3"/>
            <w:shd w:val="clear" w:color="auto" w:fill="CCEEFF"/>
          </w:tcPr>
          <w:p>
            <w:pPr>
              <w:jc w:val="right"/>
              <w:ind w:right="839"/>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5,630</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bottom w:val="single" w:sz="8" w:color="CCEEFF"/>
            </w:tcBorders>
            <w:vMerge w:val="restart"/>
          </w:tcPr>
          <w:p>
            <w:pPr>
              <w:ind w:left="240"/>
              <w:spacing w:after="0"/>
              <w:rPr>
                <w:sz w:val="20"/>
                <w:szCs w:val="20"/>
                <w:color w:val="auto"/>
              </w:rPr>
            </w:pPr>
            <w:r>
              <w:rPr>
                <w:rFonts w:ascii="Arial" w:cs="Arial" w:eastAsia="Arial" w:hAnsi="Arial"/>
                <w:sz w:val="16"/>
                <w:szCs w:val="16"/>
                <w:i w:val="1"/>
                <w:iCs w:val="1"/>
                <w:color w:val="auto"/>
              </w:rPr>
              <w:t>Inventories</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1"/>
        </w:trPr>
        <w:tc>
          <w:tcPr>
            <w:tcW w:w="436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43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1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3"/>
          </w:tcPr>
          <w:p>
            <w:pPr>
              <w:jc w:val="right"/>
              <w:ind w:right="539"/>
              <w:spacing w:after="0"/>
              <w:rPr>
                <w:sz w:val="20"/>
                <w:szCs w:val="20"/>
                <w:color w:val="auto"/>
              </w:rPr>
            </w:pPr>
            <w:r>
              <w:rPr>
                <w:rFonts w:ascii="Arial" w:cs="Arial" w:eastAsia="Arial" w:hAnsi="Arial"/>
                <w:sz w:val="16"/>
                <w:szCs w:val="16"/>
                <w:b w:val="1"/>
                <w:bCs w:val="1"/>
                <w:color w:val="auto"/>
              </w:rPr>
              <w:t>June 30, 2023</w:t>
            </w:r>
          </w:p>
        </w:tc>
        <w:tc>
          <w:tcPr>
            <w:tcW w:w="1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4"/>
          </w:tcPr>
          <w:p>
            <w:pPr>
              <w:jc w:val="right"/>
              <w:ind w:right="359"/>
              <w:spacing w:after="0"/>
              <w:rPr>
                <w:sz w:val="20"/>
                <w:szCs w:val="20"/>
                <w:color w:val="auto"/>
              </w:rPr>
            </w:pPr>
            <w:r>
              <w:rPr>
                <w:rFonts w:ascii="Arial" w:cs="Arial" w:eastAsia="Arial" w:hAnsi="Arial"/>
                <w:sz w:val="16"/>
                <w:szCs w:val="16"/>
                <w:b w:val="1"/>
                <w:bCs w:val="1"/>
                <w:color w:val="auto"/>
                <w:w w:val="90"/>
              </w:rPr>
              <w:t>December 31, 2022</w:t>
            </w:r>
          </w:p>
        </w:tc>
        <w:tc>
          <w:tcPr>
            <w:tcW w:w="0" w:type="dxa"/>
            <w:vAlign w:val="bottom"/>
          </w:tcPr>
          <w:p>
            <w:pPr>
              <w:spacing w:after="0"/>
              <w:rPr>
                <w:sz w:val="1"/>
                <w:szCs w:val="1"/>
                <w:color w:val="auto"/>
              </w:rPr>
            </w:pPr>
          </w:p>
        </w:tc>
      </w:tr>
      <w:tr>
        <w:trPr>
          <w:trHeight w:val="213"/>
        </w:trPr>
        <w:tc>
          <w:tcPr>
            <w:tcW w:w="4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Raw materials</w:t>
            </w:r>
          </w:p>
        </w:tc>
        <w:tc>
          <w:tcPr>
            <w:tcW w:w="1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217,508</w:t>
            </w:r>
          </w:p>
        </w:tc>
        <w:tc>
          <w:tcPr>
            <w:tcW w:w="5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182,118</w:t>
            </w:r>
          </w:p>
        </w:tc>
        <w:tc>
          <w:tcPr>
            <w:tcW w:w="0" w:type="dxa"/>
            <w:vAlign w:val="bottom"/>
          </w:tcPr>
          <w:p>
            <w:pPr>
              <w:spacing w:after="0"/>
              <w:rPr>
                <w:sz w:val="1"/>
                <w:szCs w:val="1"/>
                <w:color w:val="auto"/>
              </w:rPr>
            </w:pPr>
          </w:p>
        </w:tc>
      </w:tr>
      <w:tr>
        <w:trPr>
          <w:trHeight w:val="213"/>
        </w:trPr>
        <w:tc>
          <w:tcPr>
            <w:tcW w:w="4360" w:type="dxa"/>
            <w:vAlign w:val="bottom"/>
          </w:tcPr>
          <w:p>
            <w:pPr>
              <w:ind w:left="20"/>
              <w:spacing w:after="0"/>
              <w:rPr>
                <w:sz w:val="20"/>
                <w:szCs w:val="20"/>
                <w:color w:val="auto"/>
              </w:rPr>
            </w:pPr>
            <w:r>
              <w:rPr>
                <w:rFonts w:ascii="Arial" w:cs="Arial" w:eastAsia="Arial" w:hAnsi="Arial"/>
                <w:sz w:val="16"/>
                <w:szCs w:val="16"/>
                <w:color w:val="auto"/>
              </w:rPr>
              <w:t>Work in process</w:t>
            </w:r>
          </w:p>
        </w:tc>
        <w:tc>
          <w:tcPr>
            <w:tcW w:w="1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11,120</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8,386</w:t>
            </w:r>
          </w:p>
        </w:tc>
        <w:tc>
          <w:tcPr>
            <w:tcW w:w="0" w:type="dxa"/>
            <w:vAlign w:val="bottom"/>
          </w:tcPr>
          <w:p>
            <w:pPr>
              <w:spacing w:after="0"/>
              <w:rPr>
                <w:sz w:val="1"/>
                <w:szCs w:val="1"/>
                <w:color w:val="auto"/>
              </w:rPr>
            </w:pPr>
          </w:p>
        </w:tc>
      </w:tr>
      <w:tr>
        <w:trPr>
          <w:trHeight w:val="219"/>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Finished goods</w:t>
            </w:r>
          </w:p>
        </w:tc>
        <w:tc>
          <w:tcPr>
            <w:tcW w:w="1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38,414</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38,197</w:t>
            </w:r>
          </w:p>
        </w:tc>
        <w:tc>
          <w:tcPr>
            <w:tcW w:w="0" w:type="dxa"/>
            <w:vAlign w:val="bottom"/>
          </w:tcPr>
          <w:p>
            <w:pPr>
              <w:spacing w:after="0"/>
              <w:rPr>
                <w:sz w:val="1"/>
                <w:szCs w:val="1"/>
                <w:color w:val="auto"/>
              </w:rPr>
            </w:pPr>
          </w:p>
        </w:tc>
      </w:tr>
      <w:tr>
        <w:trPr>
          <w:trHeight w:val="210"/>
        </w:trPr>
        <w:tc>
          <w:tcPr>
            <w:tcW w:w="4360" w:type="dxa"/>
            <w:vAlign w:val="bottom"/>
          </w:tcPr>
          <w:p>
            <w:pPr>
              <w:ind w:left="360"/>
              <w:spacing w:after="0"/>
              <w:rPr>
                <w:sz w:val="20"/>
                <w:szCs w:val="20"/>
                <w:color w:val="auto"/>
              </w:rPr>
            </w:pPr>
            <w:r>
              <w:rPr>
                <w:rFonts w:ascii="Arial" w:cs="Arial" w:eastAsia="Arial" w:hAnsi="Arial"/>
                <w:sz w:val="16"/>
                <w:szCs w:val="16"/>
                <w:color w:val="auto"/>
              </w:rPr>
              <w:t>Total inventories</w:t>
            </w:r>
          </w:p>
        </w:tc>
        <w:tc>
          <w:tcPr>
            <w:tcW w:w="1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0" w:type="dxa"/>
            <w:vAlign w:val="bottom"/>
            <w:gridSpan w:val="3"/>
          </w:tcPr>
          <w:p>
            <w:pPr>
              <w:ind w:left="78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267,042</w:t>
            </w:r>
          </w:p>
        </w:tc>
        <w:tc>
          <w:tcPr>
            <w:tcW w:w="5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w w:val="93"/>
              </w:rPr>
              <w:t>228,701</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760" w:type="dxa"/>
            <w:vAlign w:val="bottom"/>
          </w:tcPr>
          <w:p>
            <w:pPr>
              <w:ind w:left="240"/>
              <w:spacing w:after="0"/>
              <w:rPr>
                <w:sz w:val="20"/>
                <w:szCs w:val="20"/>
                <w:color w:val="auto"/>
              </w:rPr>
            </w:pPr>
            <w:r>
              <w:rPr>
                <w:rFonts w:ascii="Arial" w:cs="Arial" w:eastAsia="Arial" w:hAnsi="Arial"/>
                <w:sz w:val="16"/>
                <w:szCs w:val="16"/>
                <w:i w:val="1"/>
                <w:iCs w:val="1"/>
                <w:color w:val="auto"/>
              </w:rPr>
              <w:t>Property, plant, and equipment, net</w:t>
            </w:r>
          </w:p>
        </w:tc>
        <w:tc>
          <w:tcPr>
            <w:tcW w:w="3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219"/>
        </w:trPr>
        <w:tc>
          <w:tcPr>
            <w:tcW w:w="67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3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June 30, 2023</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December 31, 2022</w:t>
            </w:r>
          </w:p>
        </w:tc>
      </w:tr>
      <w:tr>
        <w:trPr>
          <w:trHeight w:val="213"/>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Machinery and equipment</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314,495</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306,699</w:t>
            </w:r>
          </w:p>
        </w:tc>
      </w:tr>
      <w:tr>
        <w:trPr>
          <w:trHeight w:val="213"/>
        </w:trPr>
        <w:tc>
          <w:tcPr>
            <w:tcW w:w="6760" w:type="dxa"/>
            <w:vAlign w:val="bottom"/>
          </w:tcPr>
          <w:p>
            <w:pPr>
              <w:ind w:left="20"/>
              <w:spacing w:after="0"/>
              <w:rPr>
                <w:sz w:val="20"/>
                <w:szCs w:val="20"/>
                <w:color w:val="auto"/>
              </w:rPr>
            </w:pPr>
            <w:r>
              <w:rPr>
                <w:rFonts w:ascii="Arial" w:cs="Arial" w:eastAsia="Arial" w:hAnsi="Arial"/>
                <w:sz w:val="16"/>
                <w:szCs w:val="16"/>
                <w:color w:val="auto"/>
              </w:rPr>
              <w:t>Computers and software</w:t>
            </w:r>
          </w:p>
        </w:tc>
        <w:tc>
          <w:tcPr>
            <w:tcW w:w="3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121,873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119,670</w:t>
            </w:r>
          </w:p>
        </w:tc>
      </w:tr>
      <w:tr>
        <w:trPr>
          <w:trHeight w:val="219"/>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Buildings, furniture, and improvements</w:t>
            </w:r>
          </w:p>
        </w:tc>
        <w:tc>
          <w:tcPr>
            <w:tcW w:w="3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131,247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130,301</w:t>
            </w:r>
          </w:p>
        </w:tc>
      </w:tr>
      <w:tr>
        <w:trPr>
          <w:trHeight w:val="213"/>
        </w:trPr>
        <w:tc>
          <w:tcPr>
            <w:tcW w:w="6760" w:type="dxa"/>
            <w:vAlign w:val="bottom"/>
          </w:tcPr>
          <w:p>
            <w:pPr>
              <w:ind w:left="20"/>
              <w:spacing w:after="0"/>
              <w:rPr>
                <w:sz w:val="20"/>
                <w:szCs w:val="20"/>
                <w:color w:val="auto"/>
              </w:rPr>
            </w:pPr>
            <w:r>
              <w:rPr>
                <w:rFonts w:ascii="Arial" w:cs="Arial" w:eastAsia="Arial" w:hAnsi="Arial"/>
                <w:sz w:val="16"/>
                <w:szCs w:val="16"/>
                <w:color w:val="auto"/>
              </w:rPr>
              <w:t>Land</w:t>
            </w:r>
          </w:p>
        </w:tc>
        <w:tc>
          <w:tcPr>
            <w:tcW w:w="3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8,700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8,566</w:t>
            </w:r>
          </w:p>
        </w:tc>
      </w:tr>
      <w:tr>
        <w:trPr>
          <w:trHeight w:val="219"/>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Construction in progress, including purchased equipment</w:t>
            </w:r>
          </w:p>
        </w:tc>
        <w:tc>
          <w:tcPr>
            <w:tcW w:w="36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18,800</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19,403</w:t>
            </w:r>
          </w:p>
        </w:tc>
      </w:tr>
      <w:tr>
        <w:trPr>
          <w:trHeight w:val="207"/>
        </w:trPr>
        <w:tc>
          <w:tcPr>
            <w:tcW w:w="6760" w:type="dxa"/>
            <w:vAlign w:val="bottom"/>
          </w:tcPr>
          <w:p>
            <w:pPr>
              <w:ind w:left="360"/>
              <w:spacing w:after="0"/>
              <w:rPr>
                <w:sz w:val="20"/>
                <w:szCs w:val="20"/>
                <w:color w:val="auto"/>
              </w:rPr>
            </w:pPr>
            <w:r>
              <w:rPr>
                <w:rFonts w:ascii="Arial" w:cs="Arial" w:eastAsia="Arial" w:hAnsi="Arial"/>
                <w:sz w:val="16"/>
                <w:szCs w:val="16"/>
                <w:color w:val="auto"/>
              </w:rPr>
              <w:t>Total cost</w:t>
            </w:r>
          </w:p>
        </w:tc>
        <w:tc>
          <w:tcPr>
            <w:tcW w:w="36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595,115</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584,639</w:t>
            </w:r>
          </w:p>
        </w:tc>
      </w:tr>
      <w:tr>
        <w:trPr>
          <w:trHeight w:val="219"/>
        </w:trPr>
        <w:tc>
          <w:tcPr>
            <w:tcW w:w="67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Accumulated depreciation</w:t>
            </w:r>
          </w:p>
        </w:tc>
        <w:tc>
          <w:tcPr>
            <w:tcW w:w="36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(462,467)</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(444,516)</w:t>
            </w:r>
          </w:p>
        </w:tc>
      </w:tr>
      <w:tr>
        <w:trPr>
          <w:trHeight w:val="209"/>
        </w:trPr>
        <w:tc>
          <w:tcPr>
            <w:tcW w:w="6760" w:type="dxa"/>
            <w:vAlign w:val="bottom"/>
          </w:tcPr>
          <w:p>
            <w:pPr>
              <w:ind w:left="680"/>
              <w:spacing w:after="0"/>
              <w:rPr>
                <w:sz w:val="20"/>
                <w:szCs w:val="20"/>
                <w:color w:val="auto"/>
              </w:rPr>
            </w:pPr>
            <w:r>
              <w:rPr>
                <w:rFonts w:ascii="Arial" w:cs="Arial" w:eastAsia="Arial" w:hAnsi="Arial"/>
                <w:sz w:val="16"/>
                <w:szCs w:val="16"/>
                <w:color w:val="auto"/>
              </w:rPr>
              <w:t>Property, plant, and equipment, net</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820" w:type="dxa"/>
            <w:vAlign w:val="bottom"/>
          </w:tcPr>
          <w:p>
            <w:pPr>
              <w:jc w:val="right"/>
              <w:spacing w:after="0"/>
              <w:rPr>
                <w:sz w:val="20"/>
                <w:szCs w:val="20"/>
                <w:color w:val="auto"/>
              </w:rPr>
            </w:pPr>
            <w:r>
              <w:rPr>
                <w:rFonts w:ascii="Arial" w:cs="Arial" w:eastAsia="Arial" w:hAnsi="Arial"/>
                <w:sz w:val="16"/>
                <w:szCs w:val="16"/>
                <w:color w:val="auto"/>
              </w:rPr>
              <w:t>132,648</w:t>
            </w: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920" w:type="dxa"/>
            <w:vAlign w:val="bottom"/>
          </w:tcPr>
          <w:p>
            <w:pPr>
              <w:jc w:val="right"/>
              <w:spacing w:after="0"/>
              <w:rPr>
                <w:sz w:val="20"/>
                <w:szCs w:val="20"/>
                <w:color w:val="auto"/>
              </w:rPr>
            </w:pPr>
            <w:r>
              <w:rPr>
                <w:rFonts w:ascii="Arial" w:cs="Arial" w:eastAsia="Arial" w:hAnsi="Arial"/>
                <w:sz w:val="16"/>
                <w:szCs w:val="16"/>
                <w:color w:val="auto"/>
              </w:rPr>
              <w:t>140,123</w:t>
            </w:r>
          </w:p>
        </w:tc>
      </w:tr>
      <w:tr>
        <w:trPr>
          <w:trHeight w:val="21"/>
        </w:trPr>
        <w:tc>
          <w:tcPr>
            <w:tcW w:w="67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20" w:type="dxa"/>
            <w:vAlign w:val="bottom"/>
          </w:tcPr>
          <w:p>
            <w:pPr>
              <w:ind w:left="240"/>
              <w:spacing w:after="0"/>
              <w:rPr>
                <w:sz w:val="20"/>
                <w:szCs w:val="20"/>
                <w:color w:val="auto"/>
              </w:rPr>
            </w:pPr>
            <w:r>
              <w:rPr>
                <w:rFonts w:ascii="Arial" w:cs="Arial" w:eastAsia="Arial" w:hAnsi="Arial"/>
                <w:sz w:val="16"/>
                <w:szCs w:val="16"/>
                <w:i w:val="1"/>
                <w:iCs w:val="1"/>
                <w:color w:val="auto"/>
              </w:rPr>
              <w:t>Depreciation expense</w:t>
            </w:r>
          </w:p>
        </w:tc>
        <w:tc>
          <w:tcPr>
            <w:tcW w:w="2820" w:type="dxa"/>
            <w:vAlign w:val="bottom"/>
            <w:tcBorders>
              <w:bottom w:val="single" w:sz="8" w:color="auto"/>
            </w:tcBorders>
            <w:gridSpan w:val="4"/>
          </w:tcPr>
          <w:p>
            <w:pPr>
              <w:ind w:left="640"/>
              <w:spacing w:after="0"/>
              <w:rPr>
                <w:sz w:val="20"/>
                <w:szCs w:val="20"/>
                <w:color w:val="auto"/>
              </w:rPr>
            </w:pPr>
            <w:r>
              <w:rPr>
                <w:rFonts w:ascii="Arial" w:cs="Arial" w:eastAsia="Arial" w:hAnsi="Arial"/>
                <w:sz w:val="16"/>
                <w:szCs w:val="16"/>
                <w:b w:val="1"/>
                <w:bCs w:val="1"/>
                <w:color w:val="auto"/>
                <w:w w:val="95"/>
              </w:rPr>
              <w:t>Three Months Ended June 30,</w:t>
            </w: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b w:val="1"/>
                <w:bCs w:val="1"/>
                <w:color w:val="auto"/>
                <w:w w:val="90"/>
              </w:rPr>
              <w:t>Six Months Ended June 30,</w:t>
            </w:r>
          </w:p>
        </w:tc>
        <w:tc>
          <w:tcPr>
            <w:tcW w:w="1260" w:type="dxa"/>
            <w:vAlign w:val="bottom"/>
            <w:tcBorders>
              <w:bottom w:val="single" w:sz="8" w:color="auto"/>
            </w:tcBorders>
          </w:tcPr>
          <w:p>
            <w:pPr>
              <w:spacing w:after="0"/>
              <w:rPr>
                <w:sz w:val="18"/>
                <w:szCs w:val="18"/>
                <w:color w:val="auto"/>
              </w:rPr>
            </w:pPr>
          </w:p>
        </w:tc>
      </w:tr>
      <w:tr>
        <w:trPr>
          <w:trHeight w:val="213"/>
        </w:trPr>
        <w:tc>
          <w:tcPr>
            <w:tcW w:w="332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1080" w:type="dxa"/>
            <w:vAlign w:val="bottom"/>
            <w:tcBorders>
              <w:bottom w:val="single" w:sz="8" w:color="auto"/>
            </w:tcBorders>
          </w:tcPr>
          <w:p>
            <w:pPr>
              <w:ind w:left="640"/>
              <w:spacing w:after="0"/>
              <w:rPr>
                <w:sz w:val="20"/>
                <w:szCs w:val="20"/>
                <w:color w:val="auto"/>
              </w:rPr>
            </w:pPr>
            <w:r>
              <w:rPr>
                <w:rFonts w:ascii="Arial" w:cs="Arial" w:eastAsia="Arial" w:hAnsi="Arial"/>
                <w:sz w:val="16"/>
                <w:szCs w:val="16"/>
                <w:b w:val="1"/>
                <w:bCs w:val="1"/>
                <w:color w:val="auto"/>
              </w:rPr>
              <w:t>2023</w:t>
            </w:r>
          </w:p>
        </w:tc>
        <w:tc>
          <w:tcPr>
            <w:tcW w:w="5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2022</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9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b w:val="1"/>
                <w:bCs w:val="1"/>
                <w:color w:val="auto"/>
                <w:w w:val="89"/>
              </w:rPr>
              <w:t>2022</w:t>
            </w:r>
          </w:p>
        </w:tc>
      </w:tr>
      <w:tr>
        <w:trPr>
          <w:trHeight w:val="212"/>
        </w:trPr>
        <w:tc>
          <w:tcPr>
            <w:tcW w:w="3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expense</w:t>
            </w:r>
          </w:p>
        </w:tc>
        <w:tc>
          <w:tcPr>
            <w:tcW w:w="1080" w:type="dxa"/>
            <w:vAlign w:val="bottom"/>
            <w:shd w:val="clear" w:color="auto" w:fill="CCEEFF"/>
          </w:tcPr>
          <w:p>
            <w:pPr>
              <w:jc w:val="right"/>
              <w:ind w:right="921"/>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9,183</w:t>
            </w:r>
          </w:p>
        </w:tc>
        <w:tc>
          <w:tcPr>
            <w:tcW w:w="1200" w:type="dxa"/>
            <w:vAlign w:val="bottom"/>
            <w:gridSpan w:val="2"/>
            <w:shd w:val="clear" w:color="auto" w:fill="CCEEFF"/>
          </w:tcPr>
          <w:p>
            <w:pPr>
              <w:jc w:val="right"/>
              <w:ind w:right="899"/>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9,929</w:t>
            </w:r>
          </w:p>
        </w:tc>
        <w:tc>
          <w:tcPr>
            <w:tcW w:w="1360" w:type="dxa"/>
            <w:vAlign w:val="bottom"/>
            <w:gridSpan w:val="2"/>
            <w:shd w:val="clear" w:color="auto" w:fill="CCEEFF"/>
          </w:tcPr>
          <w:p>
            <w:pPr>
              <w:jc w:val="right"/>
              <w:ind w:right="107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18,598</w:t>
            </w:r>
          </w:p>
        </w:tc>
        <w:tc>
          <w:tcPr>
            <w:tcW w:w="1020" w:type="dxa"/>
            <w:vAlign w:val="bottom"/>
            <w:gridSpan w:val="2"/>
            <w:shd w:val="clear" w:color="auto" w:fill="CCEEFF"/>
          </w:tcPr>
          <w:p>
            <w:pPr>
              <w:jc w:val="right"/>
              <w:ind w:right="80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20,213</w:t>
            </w:r>
          </w:p>
        </w:tc>
      </w:tr>
    </w:tbl>
    <w:p>
      <w:pPr>
        <w:spacing w:after="0" w:line="306"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6"/>
          <w:szCs w:val="16"/>
          <w:b w:val="1"/>
          <w:bCs w:val="1"/>
          <w:color w:val="auto"/>
        </w:rPr>
        <w:t>Intangible Assets and Liabilities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The gross carrying amount and accumulated amortization (accretion) of our intangible assets and liabilities, other than goodwill, were as follows: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0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90"/>
              </w:rPr>
              <w:t>June 30, 2023</w:t>
            </w: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1"/>
              </w:rPr>
              <w:t>December 31, 2022</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3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jc w:val="center"/>
              <w:ind w:right="79"/>
              <w:spacing w:after="0" w:line="158" w:lineRule="exact"/>
              <w:rPr>
                <w:sz w:val="20"/>
                <w:szCs w:val="20"/>
                <w:color w:val="auto"/>
              </w:rPr>
            </w:pPr>
            <w:r>
              <w:rPr>
                <w:rFonts w:ascii="Arial" w:cs="Arial" w:eastAsia="Arial" w:hAnsi="Arial"/>
                <w:sz w:val="16"/>
                <w:szCs w:val="16"/>
                <w:b w:val="1"/>
                <w:bCs w:val="1"/>
                <w:color w:val="auto"/>
                <w:w w:val="91"/>
              </w:rPr>
              <w:t>Accumulated</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jc w:val="center"/>
              <w:ind w:right="79"/>
              <w:spacing w:after="0" w:line="158" w:lineRule="exact"/>
              <w:rPr>
                <w:sz w:val="20"/>
                <w:szCs w:val="20"/>
                <w:color w:val="auto"/>
              </w:rPr>
            </w:pPr>
            <w:r>
              <w:rPr>
                <w:rFonts w:ascii="Arial" w:cs="Arial" w:eastAsia="Arial" w:hAnsi="Arial"/>
                <w:sz w:val="16"/>
                <w:szCs w:val="16"/>
                <w:b w:val="1"/>
                <w:bCs w:val="1"/>
                <w:color w:val="auto"/>
                <w:w w:val="91"/>
              </w:rPr>
              <w:t>Accumulated</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00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260" w:type="dxa"/>
            <w:vAlign w:val="bottom"/>
          </w:tcPr>
          <w:p>
            <w:pPr>
              <w:spacing w:after="0"/>
              <w:rPr>
                <w:sz w:val="14"/>
                <w:szCs w:val="14"/>
                <w:color w:val="auto"/>
              </w:rPr>
            </w:pPr>
          </w:p>
        </w:tc>
        <w:tc>
          <w:tcPr>
            <w:tcW w:w="940" w:type="dxa"/>
            <w:vAlign w:val="bottom"/>
            <w:vMerge w:val="restart"/>
          </w:tcPr>
          <w:p>
            <w:pPr>
              <w:jc w:val="right"/>
              <w:ind w:right="319"/>
              <w:spacing w:after="0"/>
              <w:rPr>
                <w:sz w:val="20"/>
                <w:szCs w:val="20"/>
                <w:color w:val="auto"/>
              </w:rPr>
            </w:pPr>
            <w:r>
              <w:rPr>
                <w:rFonts w:ascii="Arial" w:cs="Arial" w:eastAsia="Arial" w:hAnsi="Arial"/>
                <w:sz w:val="16"/>
                <w:szCs w:val="16"/>
                <w:b w:val="1"/>
                <w:bCs w:val="1"/>
                <w:color w:val="auto"/>
              </w:rPr>
              <w:t>Gross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auto"/>
                <w:w w:val="95"/>
              </w:rPr>
              <w:t>(Amortization)</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vMerge w:val="restart"/>
          </w:tcPr>
          <w:p>
            <w:pPr>
              <w:jc w:val="right"/>
              <w:ind w:right="379"/>
              <w:spacing w:after="0"/>
              <w:rPr>
                <w:sz w:val="20"/>
                <w:szCs w:val="20"/>
                <w:color w:val="auto"/>
              </w:rPr>
            </w:pPr>
            <w:r>
              <w:rPr>
                <w:rFonts w:ascii="Arial" w:cs="Arial" w:eastAsia="Arial" w:hAnsi="Arial"/>
                <w:sz w:val="16"/>
                <w:szCs w:val="16"/>
                <w:b w:val="1"/>
                <w:bCs w:val="1"/>
                <w:color w:val="auto"/>
              </w:rPr>
              <w:t>Net</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auto"/>
              </w:rPr>
              <w:t>Gross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auto"/>
                <w:w w:val="95"/>
              </w:rPr>
              <w:t>(Amortization)</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vMerge w:val="restart"/>
          </w:tcPr>
          <w:p>
            <w:pPr>
              <w:jc w:val="right"/>
              <w:ind w:right="399"/>
              <w:spacing w:after="0"/>
              <w:rPr>
                <w:sz w:val="20"/>
                <w:szCs w:val="20"/>
                <w:color w:val="auto"/>
              </w:rPr>
            </w:pPr>
            <w:r>
              <w:rPr>
                <w:rFonts w:ascii="Arial" w:cs="Arial" w:eastAsia="Arial" w:hAnsi="Arial"/>
                <w:sz w:val="16"/>
                <w:szCs w:val="16"/>
                <w:b w:val="1"/>
                <w:bCs w:val="1"/>
                <w:color w:val="auto"/>
              </w:rPr>
              <w:t>Net</w:t>
            </w:r>
          </w:p>
        </w:tc>
        <w:tc>
          <w:tcPr>
            <w:tcW w:w="0" w:type="dxa"/>
            <w:vAlign w:val="bottom"/>
          </w:tcPr>
          <w:p>
            <w:pPr>
              <w:spacing w:after="0"/>
              <w:rPr>
                <w:sz w:val="1"/>
                <w:szCs w:val="1"/>
                <w:color w:val="auto"/>
              </w:rPr>
            </w:pPr>
          </w:p>
        </w:tc>
      </w:tr>
      <w:tr>
        <w:trPr>
          <w:trHeight w:val="213"/>
        </w:trPr>
        <w:tc>
          <w:tcPr>
            <w:tcW w:w="3000" w:type="dxa"/>
            <w:vAlign w:val="bottom"/>
            <w:tcBorders>
              <w:bottom w:val="single" w:sz="8" w:color="auto"/>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2"/>
              </w:rPr>
              <w:t>Accretion</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2"/>
              </w:rPr>
              <w:t>Accretion</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00" w:type="dxa"/>
            <w:vAlign w:val="bottom"/>
          </w:tcPr>
          <w:p>
            <w:pPr>
              <w:ind w:left="20"/>
              <w:spacing w:after="0"/>
              <w:rPr>
                <w:sz w:val="20"/>
                <w:szCs w:val="20"/>
                <w:color w:val="auto"/>
              </w:rPr>
            </w:pPr>
            <w:r>
              <w:rPr>
                <w:rFonts w:ascii="Arial" w:cs="Arial" w:eastAsia="Arial" w:hAnsi="Arial"/>
                <w:sz w:val="16"/>
                <w:szCs w:val="16"/>
                <w:b w:val="1"/>
                <w:bCs w:val="1"/>
                <w:color w:val="auto"/>
              </w:rPr>
              <w:t>Intangible Assets</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Core-developed technology</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500,663</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(496,838)</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3,825</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498,601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(492,782)</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5,819</w:t>
            </w:r>
          </w:p>
        </w:tc>
        <w:tc>
          <w:tcPr>
            <w:tcW w:w="0" w:type="dxa"/>
            <w:vAlign w:val="bottom"/>
          </w:tcPr>
          <w:p>
            <w:pPr>
              <w:spacing w:after="0"/>
              <w:rPr>
                <w:sz w:val="1"/>
                <w:szCs w:val="1"/>
                <w:color w:val="auto"/>
              </w:rPr>
            </w:pPr>
          </w:p>
        </w:tc>
      </w:tr>
      <w:tr>
        <w:trPr>
          <w:trHeight w:val="213"/>
        </w:trPr>
        <w:tc>
          <w:tcPr>
            <w:tcW w:w="3000" w:type="dxa"/>
            <w:vAlign w:val="bottom"/>
          </w:tcPr>
          <w:p>
            <w:pPr>
              <w:ind w:left="20"/>
              <w:spacing w:after="0"/>
              <w:rPr>
                <w:sz w:val="20"/>
                <w:szCs w:val="20"/>
                <w:color w:val="auto"/>
              </w:rPr>
            </w:pPr>
            <w:r>
              <w:rPr>
                <w:rFonts w:ascii="Arial" w:cs="Arial" w:eastAsia="Arial" w:hAnsi="Arial"/>
                <w:sz w:val="16"/>
                <w:szCs w:val="16"/>
                <w:color w:val="auto"/>
              </w:rPr>
              <w:t>Customer contracts and relationships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326,723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(277,206)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49,517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322,360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(265,503)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56,857</w:t>
            </w: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Trademarks and trade names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72,931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(71,043)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72,156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(70,101)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2,055</w:t>
            </w:r>
          </w:p>
        </w:tc>
        <w:tc>
          <w:tcPr>
            <w:tcW w:w="0" w:type="dxa"/>
            <w:vAlign w:val="bottom"/>
          </w:tcPr>
          <w:p>
            <w:pPr>
              <w:spacing w:after="0"/>
              <w:rPr>
                <w:sz w:val="1"/>
                <w:szCs w:val="1"/>
                <w:color w:val="auto"/>
              </w:rPr>
            </w:pPr>
          </w:p>
        </w:tc>
      </w:tr>
      <w:tr>
        <w:trPr>
          <w:trHeight w:val="213"/>
        </w:trPr>
        <w:tc>
          <w:tcPr>
            <w:tcW w:w="30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12,019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(11,871)</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12,017</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(11,807)</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w:t>
            </w:r>
          </w:p>
        </w:tc>
        <w:tc>
          <w:tcPr>
            <w:tcW w:w="0" w:type="dxa"/>
            <w:vAlign w:val="bottom"/>
          </w:tcPr>
          <w:p>
            <w:pPr>
              <w:spacing w:after="0"/>
              <w:rPr>
                <w:sz w:val="1"/>
                <w:szCs w:val="1"/>
                <w:color w:val="auto"/>
              </w:rPr>
            </w:pPr>
          </w:p>
        </w:tc>
      </w:tr>
      <w:tr>
        <w:trPr>
          <w:trHeight w:val="233"/>
        </w:trPr>
        <w:tc>
          <w:tcPr>
            <w:tcW w:w="30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intangible assets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912,336</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(856,958)</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55,378</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905,134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(840,193)</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64,941</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Intangible Liabilities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Pr>
          <w:p>
            <w:pPr>
              <w:ind w:left="20"/>
              <w:spacing w:after="0"/>
              <w:rPr>
                <w:sz w:val="20"/>
                <w:szCs w:val="20"/>
                <w:color w:val="auto"/>
              </w:rPr>
            </w:pPr>
            <w:r>
              <w:rPr>
                <w:rFonts w:ascii="Arial" w:cs="Arial" w:eastAsia="Arial" w:hAnsi="Arial"/>
                <w:sz w:val="16"/>
                <w:szCs w:val="16"/>
                <w:color w:val="auto"/>
              </w:rPr>
              <w:t>Customer contracts and relationships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(23,900)</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23,900</w:t>
            </w:r>
          </w:p>
        </w:tc>
        <w:tc>
          <w:tcPr>
            <w:tcW w:w="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(23,900)</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23,900</w:t>
            </w:r>
          </w:p>
        </w:tc>
        <w:tc>
          <w:tcPr>
            <w:tcW w:w="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
        </w:trPr>
        <w:tc>
          <w:tcPr>
            <w:tcW w:w="30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A summary of intangible assets and liabilities activity is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b w:val="1"/>
                <w:bCs w:val="1"/>
                <w:color w:val="auto"/>
              </w:rPr>
              <w:t>Six Months Ended June 30,</w:t>
            </w:r>
          </w:p>
        </w:tc>
        <w:tc>
          <w:tcPr>
            <w:tcW w:w="1280" w:type="dxa"/>
            <w:vAlign w:val="bottom"/>
            <w:tcBorders>
              <w:bottom w:val="single" w:sz="8" w:color="auto"/>
            </w:tcBorders>
          </w:tcPr>
          <w:p>
            <w:pPr>
              <w:spacing w:after="0"/>
              <w:rPr>
                <w:sz w:val="18"/>
                <w:szCs w:val="18"/>
                <w:color w:val="auto"/>
              </w:rPr>
            </w:pPr>
          </w:p>
        </w:tc>
      </w:tr>
      <w:tr>
        <w:trPr>
          <w:trHeight w:val="213"/>
        </w:trPr>
        <w:tc>
          <w:tcPr>
            <w:tcW w:w="67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5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85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859"/>
              <w:spacing w:after="0"/>
              <w:rPr>
                <w:sz w:val="20"/>
                <w:szCs w:val="20"/>
                <w:color w:val="auto"/>
              </w:rPr>
            </w:pPr>
            <w:r>
              <w:rPr>
                <w:rFonts w:ascii="Arial" w:cs="Arial" w:eastAsia="Arial" w:hAnsi="Arial"/>
                <w:sz w:val="16"/>
                <w:szCs w:val="16"/>
                <w:b w:val="1"/>
                <w:bCs w:val="1"/>
                <w:color w:val="auto"/>
                <w:w w:val="89"/>
              </w:rPr>
              <w:t>2022</w:t>
            </w:r>
          </w:p>
        </w:tc>
      </w:tr>
      <w:tr>
        <w:trPr>
          <w:trHeight w:val="212"/>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 gross beginning balance</w:t>
            </w: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905,134</w:t>
            </w:r>
          </w:p>
        </w:tc>
        <w:tc>
          <w:tcPr>
            <w:tcW w:w="1020" w:type="dxa"/>
            <w:vAlign w:val="bottom"/>
            <w:gridSpan w:val="2"/>
            <w:shd w:val="clear" w:color="auto" w:fill="CCEEFF"/>
          </w:tcPr>
          <w:p>
            <w:pPr>
              <w:jc w:val="right"/>
              <w:ind w:right="80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928,422</w:t>
            </w:r>
          </w:p>
        </w:tc>
      </w:tr>
      <w:tr>
        <w:trPr>
          <w:trHeight w:val="213"/>
        </w:trPr>
        <w:tc>
          <w:tcPr>
            <w:tcW w:w="6760" w:type="dxa"/>
            <w:vAlign w:val="bottom"/>
          </w:tcPr>
          <w:p>
            <w:pPr>
              <w:ind w:left="360"/>
              <w:spacing w:after="0"/>
              <w:rPr>
                <w:sz w:val="20"/>
                <w:szCs w:val="20"/>
                <w:color w:val="auto"/>
              </w:rPr>
            </w:pPr>
            <w:r>
              <w:rPr>
                <w:rFonts w:ascii="Arial" w:cs="Arial" w:eastAsia="Arial" w:hAnsi="Arial"/>
                <w:sz w:val="16"/>
                <w:szCs w:val="16"/>
                <w:color w:val="auto"/>
              </w:rPr>
              <w:t>Effect of change in exchange rates</w:t>
            </w:r>
          </w:p>
        </w:tc>
        <w:tc>
          <w:tcPr>
            <w:tcW w:w="5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7,202</w:t>
            </w:r>
          </w:p>
        </w:tc>
        <w:tc>
          <w:tcPr>
            <w:tcW w:w="12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(22,306)</w:t>
            </w:r>
          </w:p>
        </w:tc>
      </w:tr>
      <w:tr>
        <w:trPr>
          <w:trHeight w:val="230"/>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 gross ending balance</w:t>
            </w: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912,336</w:t>
            </w:r>
          </w:p>
        </w:tc>
        <w:tc>
          <w:tcPr>
            <w:tcW w:w="1020" w:type="dxa"/>
            <w:vAlign w:val="bottom"/>
            <w:gridSpan w:val="2"/>
            <w:shd w:val="clear" w:color="auto" w:fill="CCEEFF"/>
          </w:tcPr>
          <w:p>
            <w:pPr>
              <w:jc w:val="right"/>
              <w:ind w:right="80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906,116</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207"/>
        </w:trPr>
        <w:tc>
          <w:tcPr>
            <w:tcW w:w="6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16"/>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liabilities, gross beginning balance</w:t>
            </w: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(23,900)</w:t>
            </w:r>
          </w:p>
        </w:tc>
        <w:tc>
          <w:tcPr>
            <w:tcW w:w="1020" w:type="dxa"/>
            <w:vAlign w:val="bottom"/>
            <w:gridSpan w:val="2"/>
            <w:shd w:val="clear" w:color="auto" w:fill="CCEEFF"/>
          </w:tcPr>
          <w:p>
            <w:pPr>
              <w:jc w:val="right"/>
              <w:ind w:right="80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(23,900)</w:t>
            </w:r>
          </w:p>
        </w:tc>
      </w:tr>
      <w:tr>
        <w:trPr>
          <w:trHeight w:val="213"/>
        </w:trPr>
        <w:tc>
          <w:tcPr>
            <w:tcW w:w="67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Effect of change in exchange rates</w:t>
            </w:r>
          </w:p>
        </w:tc>
        <w:tc>
          <w:tcPr>
            <w:tcW w:w="5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liabilities, gross ending balance</w:t>
            </w: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(23,900)</w:t>
            </w:r>
          </w:p>
        </w:tc>
        <w:tc>
          <w:tcPr>
            <w:tcW w:w="1020" w:type="dxa"/>
            <w:vAlign w:val="bottom"/>
            <w:gridSpan w:val="2"/>
            <w:shd w:val="clear" w:color="auto" w:fill="CCEEFF"/>
          </w:tcPr>
          <w:p>
            <w:pPr>
              <w:jc w:val="right"/>
              <w:ind w:right="80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(23,900)</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Assumed intangible liabilities reflect the present value of the projected cash outflows for an existing contract where remaining costs are expected to exceed projected revenues.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ind w:left="2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Estimated future annual amortization is as follows:</w:t>
      </w:r>
    </w:p>
    <w:p>
      <w:pPr>
        <w:spacing w:after="0" w:line="28"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95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Year Ending December 31,</w:t>
            </w:r>
          </w:p>
        </w:tc>
        <w:tc>
          <w:tcPr>
            <w:tcW w:w="140" w:type="dxa"/>
            <w:vAlign w:val="bottom"/>
          </w:tcPr>
          <w:p>
            <w:pPr>
              <w:spacing w:after="0"/>
              <w:rPr>
                <w:sz w:val="16"/>
                <w:szCs w:val="16"/>
                <w:color w:val="auto"/>
              </w:rPr>
            </w:pPr>
          </w:p>
        </w:tc>
        <w:tc>
          <w:tcPr>
            <w:tcW w:w="1520" w:type="dxa"/>
            <w:vAlign w:val="bottom"/>
          </w:tcPr>
          <w:p>
            <w:pPr>
              <w:jc w:val="right"/>
              <w:ind w:right="119"/>
              <w:spacing w:after="0"/>
              <w:rPr>
                <w:sz w:val="20"/>
                <w:szCs w:val="20"/>
                <w:color w:val="auto"/>
              </w:rPr>
            </w:pPr>
            <w:r>
              <w:rPr>
                <w:rFonts w:ascii="Arial" w:cs="Arial" w:eastAsia="Arial" w:hAnsi="Arial"/>
                <w:sz w:val="16"/>
                <w:szCs w:val="16"/>
                <w:b w:val="1"/>
                <w:bCs w:val="1"/>
                <w:color w:val="auto"/>
                <w:w w:val="96"/>
              </w:rPr>
              <w:t>Estimated Annual</w:t>
            </w:r>
          </w:p>
        </w:tc>
        <w:tc>
          <w:tcPr>
            <w:tcW w:w="0" w:type="dxa"/>
            <w:vAlign w:val="bottom"/>
          </w:tcPr>
          <w:p>
            <w:pPr>
              <w:spacing w:after="0"/>
              <w:rPr>
                <w:sz w:val="1"/>
                <w:szCs w:val="1"/>
                <w:color w:val="auto"/>
              </w:rPr>
            </w:pPr>
          </w:p>
        </w:tc>
      </w:tr>
      <w:tr>
        <w:trPr>
          <w:trHeight w:val="213"/>
        </w:trPr>
        <w:tc>
          <w:tcPr>
            <w:tcW w:w="958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Amortization</w:t>
            </w:r>
          </w:p>
        </w:tc>
        <w:tc>
          <w:tcPr>
            <w:tcW w:w="0" w:type="dxa"/>
            <w:vAlign w:val="bottom"/>
          </w:tcPr>
          <w:p>
            <w:pPr>
              <w:spacing w:after="0"/>
              <w:rPr>
                <w:sz w:val="1"/>
                <w:szCs w:val="1"/>
                <w:color w:val="auto"/>
              </w:rPr>
            </w:pPr>
          </w:p>
        </w:tc>
      </w:tr>
      <w:tr>
        <w:trPr>
          <w:trHeight w:val="209"/>
        </w:trPr>
        <w:tc>
          <w:tcPr>
            <w:tcW w:w="958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9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 (amount remaining at June 30, 2023)</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9,230</w:t>
            </w:r>
          </w:p>
        </w:tc>
        <w:tc>
          <w:tcPr>
            <w:tcW w:w="0" w:type="dxa"/>
            <w:vAlign w:val="bottom"/>
          </w:tcPr>
          <w:p>
            <w:pPr>
              <w:spacing w:after="0"/>
              <w:rPr>
                <w:sz w:val="1"/>
                <w:szCs w:val="1"/>
                <w:color w:val="auto"/>
              </w:rPr>
            </w:pPr>
          </w:p>
        </w:tc>
      </w:tr>
      <w:tr>
        <w:trPr>
          <w:trHeight w:val="213"/>
        </w:trPr>
        <w:tc>
          <w:tcPr>
            <w:tcW w:w="9580" w:type="dxa"/>
            <w:vAlign w:val="bottom"/>
          </w:tcPr>
          <w:p>
            <w:pPr>
              <w:ind w:left="20"/>
              <w:spacing w:after="0"/>
              <w:rPr>
                <w:sz w:val="20"/>
                <w:szCs w:val="20"/>
                <w:color w:val="auto"/>
              </w:rPr>
            </w:pPr>
            <w:r>
              <w:rPr>
                <w:rFonts w:ascii="Arial" w:cs="Arial" w:eastAsia="Arial" w:hAnsi="Arial"/>
                <w:sz w:val="16"/>
                <w:szCs w:val="16"/>
                <w:color w:val="auto"/>
              </w:rPr>
              <w:t>2024</w:t>
            </w: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15,100</w:t>
            </w:r>
          </w:p>
        </w:tc>
        <w:tc>
          <w:tcPr>
            <w:tcW w:w="0" w:type="dxa"/>
            <w:vAlign w:val="bottom"/>
          </w:tcPr>
          <w:p>
            <w:pPr>
              <w:spacing w:after="0"/>
              <w:rPr>
                <w:sz w:val="1"/>
                <w:szCs w:val="1"/>
                <w:color w:val="auto"/>
              </w:rPr>
            </w:pPr>
          </w:p>
        </w:tc>
      </w:tr>
      <w:tr>
        <w:trPr>
          <w:trHeight w:val="219"/>
        </w:trPr>
        <w:tc>
          <w:tcPr>
            <w:tcW w:w="9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14,356</w:t>
            </w:r>
          </w:p>
        </w:tc>
        <w:tc>
          <w:tcPr>
            <w:tcW w:w="0" w:type="dxa"/>
            <w:vAlign w:val="bottom"/>
          </w:tcPr>
          <w:p>
            <w:pPr>
              <w:spacing w:after="0"/>
              <w:rPr>
                <w:sz w:val="1"/>
                <w:szCs w:val="1"/>
                <w:color w:val="auto"/>
              </w:rPr>
            </w:pPr>
          </w:p>
        </w:tc>
      </w:tr>
      <w:tr>
        <w:trPr>
          <w:trHeight w:val="213"/>
        </w:trPr>
        <w:tc>
          <w:tcPr>
            <w:tcW w:w="9580" w:type="dxa"/>
            <w:vAlign w:val="bottom"/>
          </w:tcPr>
          <w:p>
            <w:pPr>
              <w:ind w:left="20"/>
              <w:spacing w:after="0"/>
              <w:rPr>
                <w:sz w:val="20"/>
                <w:szCs w:val="20"/>
                <w:color w:val="auto"/>
              </w:rPr>
            </w:pPr>
            <w:r>
              <w:rPr>
                <w:rFonts w:ascii="Arial" w:cs="Arial" w:eastAsia="Arial" w:hAnsi="Arial"/>
                <w:sz w:val="16"/>
                <w:szCs w:val="16"/>
                <w:color w:val="auto"/>
              </w:rPr>
              <w:t>2026</w:t>
            </w: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10,342</w:t>
            </w:r>
          </w:p>
        </w:tc>
        <w:tc>
          <w:tcPr>
            <w:tcW w:w="0" w:type="dxa"/>
            <w:vAlign w:val="bottom"/>
          </w:tcPr>
          <w:p>
            <w:pPr>
              <w:spacing w:after="0"/>
              <w:rPr>
                <w:sz w:val="1"/>
                <w:szCs w:val="1"/>
                <w:color w:val="auto"/>
              </w:rPr>
            </w:pPr>
          </w:p>
        </w:tc>
      </w:tr>
      <w:tr>
        <w:trPr>
          <w:trHeight w:val="219"/>
        </w:trPr>
        <w:tc>
          <w:tcPr>
            <w:tcW w:w="9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2027</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5,629</w:t>
            </w:r>
          </w:p>
        </w:tc>
        <w:tc>
          <w:tcPr>
            <w:tcW w:w="0" w:type="dxa"/>
            <w:vAlign w:val="bottom"/>
          </w:tcPr>
          <w:p>
            <w:pPr>
              <w:spacing w:after="0"/>
              <w:rPr>
                <w:sz w:val="1"/>
                <w:szCs w:val="1"/>
                <w:color w:val="auto"/>
              </w:rPr>
            </w:pPr>
          </w:p>
        </w:tc>
      </w:tr>
      <w:tr>
        <w:trPr>
          <w:trHeight w:val="213"/>
        </w:trPr>
        <w:tc>
          <w:tcPr>
            <w:tcW w:w="9580" w:type="dxa"/>
            <w:vAlign w:val="bottom"/>
          </w:tcPr>
          <w:p>
            <w:pPr>
              <w:ind w:left="20"/>
              <w:spacing w:after="0"/>
              <w:rPr>
                <w:sz w:val="20"/>
                <w:szCs w:val="20"/>
                <w:color w:val="auto"/>
              </w:rPr>
            </w:pPr>
            <w:r>
              <w:rPr>
                <w:rFonts w:ascii="Arial" w:cs="Arial" w:eastAsia="Arial" w:hAnsi="Arial"/>
                <w:sz w:val="16"/>
                <w:szCs w:val="16"/>
                <w:color w:val="auto"/>
              </w:rPr>
              <w:t>Thereafter</w:t>
            </w: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721</w:t>
            </w:r>
          </w:p>
        </w:tc>
        <w:tc>
          <w:tcPr>
            <w:tcW w:w="0" w:type="dxa"/>
            <w:vAlign w:val="bottom"/>
          </w:tcPr>
          <w:p>
            <w:pPr>
              <w:spacing w:after="0"/>
              <w:rPr>
                <w:sz w:val="1"/>
                <w:szCs w:val="1"/>
                <w:color w:val="auto"/>
              </w:rPr>
            </w:pPr>
          </w:p>
        </w:tc>
      </w:tr>
      <w:tr>
        <w:trPr>
          <w:trHeight w:val="234"/>
        </w:trPr>
        <w:tc>
          <w:tcPr>
            <w:tcW w:w="9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intangible assets subject to amortization</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55,378</w:t>
            </w:r>
          </w:p>
        </w:tc>
        <w:tc>
          <w:tcPr>
            <w:tcW w:w="0" w:type="dxa"/>
            <w:vAlign w:val="bottom"/>
          </w:tcPr>
          <w:p>
            <w:pPr>
              <w:spacing w:after="0"/>
              <w:rPr>
                <w:sz w:val="1"/>
                <w:szCs w:val="1"/>
                <w:color w:val="auto"/>
              </w:rPr>
            </w:pPr>
          </w:p>
        </w:tc>
      </w:tr>
      <w:tr>
        <w:trPr>
          <w:trHeight w:val="20"/>
        </w:trPr>
        <w:tc>
          <w:tcPr>
            <w:tcW w:w="95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r>
              <w:rPr>
                <w:rFonts w:ascii="Arial" w:cs="Arial" w:eastAsia="Arial" w:hAnsi="Arial"/>
                <w:sz w:val="18"/>
                <w:szCs w:val="18"/>
                <w:b w:val="1"/>
                <w:bCs w:val="1"/>
                <w:color w:val="auto"/>
              </w:rPr>
              <w:t>Note 5:  Goodwill</w:t>
            </w:r>
          </w:p>
        </w:tc>
        <w:tc>
          <w:tcPr>
            <w:tcW w:w="2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459"/>
        </w:trPr>
        <w:tc>
          <w:tcPr>
            <w:tcW w:w="9260" w:type="dxa"/>
            <w:vAlign w:val="bottom"/>
            <w:gridSpan w:val="9"/>
          </w:tcPr>
          <w:p>
            <w:pPr>
              <w:spacing w:after="0"/>
              <w:rPr>
                <w:sz w:val="20"/>
                <w:szCs w:val="20"/>
                <w:color w:val="auto"/>
              </w:rPr>
            </w:pPr>
            <w:r>
              <w:rPr>
                <w:rFonts w:ascii="Arial" w:cs="Arial" w:eastAsia="Arial" w:hAnsi="Arial"/>
                <w:sz w:val="18"/>
                <w:szCs w:val="18"/>
                <w:color w:val="auto"/>
              </w:rPr>
              <w:t>The following table reflects changes in the carrying amount of goodwill for the six months ended June 30, 2023:</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40"/>
        </w:trPr>
        <w:tc>
          <w:tcPr>
            <w:tcW w:w="340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2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Device Solutions</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2"/>
              </w:rPr>
              <w:t>Networked Solutions</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Outcomes</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Total Company</w:t>
            </w:r>
          </w:p>
        </w:tc>
      </w:tr>
      <w:tr>
        <w:trPr>
          <w:trHeight w:val="213"/>
        </w:trPr>
        <w:tc>
          <w:tcPr>
            <w:tcW w:w="3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 balance at January 1, 2023</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CEEFF"/>
          </w:tcPr>
          <w:p>
            <w:pPr>
              <w:ind w:left="142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899,887</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138,834</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1,038,721</w:t>
            </w:r>
          </w:p>
        </w:tc>
      </w:tr>
      <w:tr>
        <w:trPr>
          <w:trHeight w:val="213"/>
        </w:trPr>
        <w:tc>
          <w:tcPr>
            <w:tcW w:w="34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Effect of change in exchange rates</w:t>
            </w:r>
          </w:p>
        </w:tc>
        <w:tc>
          <w:tcPr>
            <w:tcW w:w="2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ind w:left="14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6,975</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8,038</w:t>
            </w:r>
          </w:p>
        </w:tc>
      </w:tr>
      <w:tr>
        <w:trPr>
          <w:trHeight w:val="229"/>
        </w:trPr>
        <w:tc>
          <w:tcPr>
            <w:tcW w:w="3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 balance at June 30, 2023</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CEEFF"/>
          </w:tcPr>
          <w:p>
            <w:pPr>
              <w:ind w:left="142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906,862</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139,897</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1,046,759</w:t>
            </w: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20"/>
        <w:spacing w:after="0"/>
        <w:tabs>
          <w:tab w:leader="none" w:pos="74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7"/>
          <w:szCs w:val="17"/>
          <w:b w:val="1"/>
          <w:bCs w:val="1"/>
          <w:color w:val="auto"/>
        </w:rPr>
        <w:t>Debt</w:t>
      </w:r>
    </w:p>
    <w:p>
      <w:pPr>
        <w:spacing w:after="0" w:line="25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components of our borrowings were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67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3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June 30, 2023</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December 31, 2022</w:t>
            </w:r>
          </w:p>
        </w:tc>
      </w:tr>
      <w:tr>
        <w:trPr>
          <w:trHeight w:val="210"/>
        </w:trPr>
        <w:tc>
          <w:tcPr>
            <w:tcW w:w="6780" w:type="dxa"/>
            <w:vAlign w:val="bottom"/>
            <w:gridSpan w:val="2"/>
          </w:tcPr>
          <w:p>
            <w:pPr>
              <w:spacing w:after="0"/>
              <w:rPr>
                <w:sz w:val="20"/>
                <w:szCs w:val="20"/>
                <w:color w:val="auto"/>
              </w:rPr>
            </w:pPr>
            <w:r>
              <w:rPr>
                <w:rFonts w:ascii="Arial" w:cs="Arial" w:eastAsia="Arial" w:hAnsi="Arial"/>
                <w:sz w:val="16"/>
                <w:szCs w:val="16"/>
                <w:color w:val="auto"/>
              </w:rPr>
              <w:t>Credit facility</w:t>
            </w:r>
          </w:p>
        </w:tc>
        <w:tc>
          <w:tcPr>
            <w:tcW w:w="3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6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Multicurrency revolving line of credit</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0" w:type="dxa"/>
            <w:vAlign w:val="bottom"/>
          </w:tcPr>
          <w:p>
            <w:pPr>
              <w:spacing w:after="0"/>
              <w:rPr>
                <w:sz w:val="18"/>
                <w:szCs w:val="18"/>
                <w:color w:val="auto"/>
              </w:rPr>
            </w:pPr>
          </w:p>
        </w:tc>
        <w:tc>
          <w:tcPr>
            <w:tcW w:w="6760" w:type="dxa"/>
            <w:vAlign w:val="bottom"/>
          </w:tcPr>
          <w:p>
            <w:pPr>
              <w:ind w:left="20"/>
              <w:spacing w:after="0"/>
              <w:rPr>
                <w:sz w:val="20"/>
                <w:szCs w:val="20"/>
                <w:color w:val="auto"/>
              </w:rPr>
            </w:pPr>
            <w:r>
              <w:rPr>
                <w:rFonts w:ascii="Arial" w:cs="Arial" w:eastAsia="Arial" w:hAnsi="Arial"/>
                <w:sz w:val="16"/>
                <w:szCs w:val="16"/>
                <w:color w:val="auto"/>
              </w:rPr>
              <w:t>Convertible notes</w:t>
            </w:r>
          </w:p>
        </w:tc>
        <w:tc>
          <w:tcPr>
            <w:tcW w:w="3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460,000</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460,000</w:t>
            </w:r>
          </w:p>
        </w:tc>
      </w:tr>
      <w:tr>
        <w:trPr>
          <w:trHeight w:val="213"/>
        </w:trPr>
        <w:tc>
          <w:tcPr>
            <w:tcW w:w="20" w:type="dxa"/>
            <w:vAlign w:val="bottom"/>
          </w:tcPr>
          <w:p>
            <w:pPr>
              <w:spacing w:after="0"/>
              <w:rPr>
                <w:sz w:val="18"/>
                <w:szCs w:val="18"/>
                <w:color w:val="auto"/>
              </w:rPr>
            </w:pPr>
          </w:p>
        </w:tc>
        <w:tc>
          <w:tcPr>
            <w:tcW w:w="67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debt</w:t>
            </w:r>
          </w:p>
        </w:tc>
        <w:tc>
          <w:tcPr>
            <w:tcW w:w="36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460,000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460,000</w:t>
            </w:r>
          </w:p>
        </w:tc>
      </w:tr>
      <w:tr>
        <w:trPr>
          <w:trHeight w:val="213"/>
        </w:trPr>
        <w:tc>
          <w:tcPr>
            <w:tcW w:w="20" w:type="dxa"/>
            <w:vAlign w:val="bottom"/>
          </w:tcPr>
          <w:p>
            <w:pPr>
              <w:spacing w:after="0"/>
              <w:rPr>
                <w:sz w:val="18"/>
                <w:szCs w:val="18"/>
                <w:color w:val="auto"/>
              </w:rPr>
            </w:pPr>
          </w:p>
        </w:tc>
        <w:tc>
          <w:tcPr>
            <w:tcW w:w="6760" w:type="dxa"/>
            <w:vAlign w:val="bottom"/>
          </w:tcPr>
          <w:p>
            <w:pPr>
              <w:ind w:left="520"/>
              <w:spacing w:after="0"/>
              <w:rPr>
                <w:sz w:val="20"/>
                <w:szCs w:val="20"/>
                <w:color w:val="auto"/>
              </w:rPr>
            </w:pPr>
            <w:r>
              <w:rPr>
                <w:rFonts w:ascii="Arial" w:cs="Arial" w:eastAsia="Arial" w:hAnsi="Arial"/>
                <w:sz w:val="16"/>
                <w:szCs w:val="16"/>
                <w:color w:val="auto"/>
              </w:rPr>
              <w:t>Less: unamortized prepaid debt fees - convertible notes</w:t>
            </w:r>
          </w:p>
        </w:tc>
        <w:tc>
          <w:tcPr>
            <w:tcW w:w="3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6,333</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7,474</w:t>
            </w:r>
          </w:p>
        </w:tc>
      </w:tr>
      <w:tr>
        <w:trPr>
          <w:trHeight w:val="230"/>
        </w:trPr>
        <w:tc>
          <w:tcPr>
            <w:tcW w:w="20" w:type="dxa"/>
            <w:vAlign w:val="bottom"/>
          </w:tcPr>
          <w:p>
            <w:pPr>
              <w:spacing w:after="0"/>
              <w:rPr>
                <w:sz w:val="19"/>
                <w:szCs w:val="19"/>
                <w:color w:val="auto"/>
              </w:rPr>
            </w:pPr>
          </w:p>
        </w:tc>
        <w:tc>
          <w:tcPr>
            <w:tcW w:w="67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Long-term debt, net</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453,667</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452,526</w:t>
            </w:r>
          </w:p>
        </w:tc>
      </w:tr>
      <w:tr>
        <w:trPr>
          <w:trHeight w:val="20"/>
        </w:trPr>
        <w:tc>
          <w:tcPr>
            <w:tcW w:w="20" w:type="dxa"/>
            <w:vAlign w:val="bottom"/>
          </w:tcPr>
          <w:p>
            <w:pPr>
              <w:spacing w:after="0" w:line="20" w:lineRule="exact"/>
              <w:rPr>
                <w:sz w:val="1"/>
                <w:szCs w:val="1"/>
                <w:color w:val="auto"/>
              </w:rPr>
            </w:pPr>
          </w:p>
        </w:tc>
        <w:tc>
          <w:tcPr>
            <w:tcW w:w="67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Credit Facility</w:t>
      </w:r>
    </w:p>
    <w:p>
      <w:pPr>
        <w:spacing w:after="0" w:line="23" w:lineRule="exact"/>
        <w:rPr>
          <w:sz w:val="20"/>
          <w:szCs w:val="20"/>
          <w:color w:val="auto"/>
        </w:rPr>
      </w:pPr>
    </w:p>
    <w:p>
      <w:pPr>
        <w:jc w:val="both"/>
        <w:ind w:left="20"/>
        <w:spacing w:after="0" w:line="253" w:lineRule="auto"/>
        <w:rPr>
          <w:sz w:val="20"/>
          <w:szCs w:val="20"/>
          <w:color w:val="auto"/>
        </w:rPr>
      </w:pPr>
      <w:r>
        <w:rPr>
          <w:rFonts w:ascii="Arial" w:cs="Arial" w:eastAsia="Arial" w:hAnsi="Arial"/>
          <w:sz w:val="18"/>
          <w:szCs w:val="18"/>
          <w:color w:val="auto"/>
        </w:rPr>
        <w:t>Our current credit facility, initially entered on January 5, 2018 (as amended, the 2018 credit facility), originally provided for committed credit facilities in the amount of $1.2 billion U.S. dollars. This facility now consists of a multicurrency revolving line of credit (the revolver) with a principal amount of up to $500 million. The revolver also contains a $300 million standby letter of credit sub-facility and a $50 million swingline sub-facility. The $650 million U.S. dollar term loan included in the original facility was fully repaid in August 2021.</w:t>
      </w:r>
    </w:p>
    <w:p>
      <w:pPr>
        <w:spacing w:after="0" w:line="220" w:lineRule="exact"/>
        <w:rPr>
          <w:sz w:val="20"/>
          <w:szCs w:val="20"/>
          <w:color w:val="auto"/>
        </w:rPr>
      </w:pPr>
    </w:p>
    <w:p>
      <w:pPr>
        <w:jc w:val="both"/>
        <w:ind w:left="20"/>
        <w:spacing w:after="0" w:line="254" w:lineRule="auto"/>
        <w:rPr>
          <w:sz w:val="20"/>
          <w:szCs w:val="20"/>
          <w:color w:val="auto"/>
        </w:rPr>
      </w:pPr>
      <w:r>
        <w:rPr>
          <w:rFonts w:ascii="Arial" w:cs="Arial" w:eastAsia="Arial" w:hAnsi="Arial"/>
          <w:sz w:val="18"/>
          <w:szCs w:val="18"/>
          <w:color w:val="auto"/>
        </w:rPr>
        <w:t>The 2018 credit facility permits us and certain of our foreign subsidiaries to borrow in U.S. dollars, euros, or, with lender approval, other currencies readily convertible into U.S. dollars. All obligations under the 2018 credit facility are guaranteed by Itron, Inc. and material U.S. domestic subsidiaries and are secured by a pledge of substantially all of the assets of Itron, Inc. and material U.S. domestic subsidiaries. This includes a pledge of 100% of the capital stock of material U.S. domestic subsidiaries and up to 66% of the voting stock (100% of the non-voting stock) of first-tier foreign subsidiaries. In addition, the obligations of any foreign subsidiary who is a foreign borrower, as defined by the 2018 credit facility, are guaranteed by the foreign subsidiary and by its direct and indirect foreign parents. The 2018 credit facility includes debt covenants, which contain certain financial thresholds and place certain restrictions on the incurrence of debt, investments, and the issuance of dividends. We were in compliance with the debt covenants under the 2018 credit facility at June 30, 2023.</w:t>
      </w:r>
    </w:p>
    <w:p>
      <w:pPr>
        <w:spacing w:after="0" w:line="219" w:lineRule="exact"/>
        <w:rPr>
          <w:sz w:val="20"/>
          <w:szCs w:val="20"/>
          <w:color w:val="auto"/>
        </w:rPr>
      </w:pPr>
    </w:p>
    <w:p>
      <w:pPr>
        <w:jc w:val="both"/>
        <w:ind w:left="20"/>
        <w:spacing w:after="0" w:line="291" w:lineRule="auto"/>
        <w:rPr>
          <w:sz w:val="20"/>
          <w:szCs w:val="20"/>
          <w:color w:val="auto"/>
        </w:rPr>
      </w:pPr>
      <w:r>
        <w:rPr>
          <w:rFonts w:ascii="Arial" w:cs="Arial" w:eastAsia="Arial" w:hAnsi="Arial"/>
          <w:sz w:val="16"/>
          <w:szCs w:val="16"/>
          <w:color w:val="auto"/>
        </w:rPr>
        <w:t>Under the 2018 credit facility, we elect applicable market interest rates for both the term loan and any outstanding revolving loans. We also pay an applicable margin, which is based on our total net leverage ratio as defined in the credit agreement. The applicable rates per annum may be based on either:</w:t>
      </w:r>
    </w:p>
    <w:p>
      <w:pPr>
        <w:jc w:val="both"/>
        <w:ind w:left="20" w:firstLine="8"/>
        <w:spacing w:after="0" w:line="255" w:lineRule="auto"/>
        <w:tabs>
          <w:tab w:leader="none" w:pos="281"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LIBOR rate or EURIBOR rate (subject to a floor of 0%), plus an applicable margin, or (2) the Alternate Base Rate, plus an applicable margin. The Alternate Base Rate election is equal to the greatest of three rates: (i) the prime rate, (ii) the Federal Reserve effective rate plus 0.50%, or (iii) one-month LIBOR plus</w:t>
      </w:r>
    </w:p>
    <w:p>
      <w:pPr>
        <w:sectPr>
          <w:pgSz w:w="11900" w:h="16838" w:orient="portrait"/>
          <w:cols w:equalWidth="0" w:num="1">
            <w:col w:w="11260"/>
          </w:cols>
          <w:pgMar w:left="300" w:top="125" w:right="339" w:bottom="1440" w:gutter="0" w:footer="0" w:header="0"/>
        </w:sect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1.00%. The cessation of LIBOR occurred in June 2023</w:t>
      </w:r>
      <w:r>
        <w:rPr>
          <w:rFonts w:ascii="Arial" w:cs="Arial" w:eastAsia="Arial" w:hAnsi="Arial"/>
          <w:sz w:val="19"/>
          <w:szCs w:val="19"/>
          <w:color w:val="1F497D"/>
        </w:rPr>
        <w:t>.</w:t>
      </w:r>
      <w:r>
        <w:rPr>
          <w:rFonts w:ascii="Arial" w:cs="Arial" w:eastAsia="Arial" w:hAnsi="Arial"/>
          <w:sz w:val="18"/>
          <w:szCs w:val="18"/>
          <w:color w:val="auto"/>
        </w:rPr>
        <w:t xml:space="preserve"> On November 23, 2022, we amended the 2018 credit facility to replace the LIBOR rate with the Term Secured Overnight Financing Rate (SOFR) as the base interest rate. On February 21, 2023, we entered into a sixth amendment to the 2018 credit facility. This amendment modifies provisions to allow for the addback for debt covenant calculations of non-recurring cash expenses related to restructuring charges incurred during the quarter ended March 31, 2023.</w:t>
      </w:r>
    </w:p>
    <w:p>
      <w:pPr>
        <w:spacing w:after="0" w:line="21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At June 30, 2023, there were no outstanding loan balances under the credit facility, and $61.6 million was utilized by outstanding standby letters of credit, resulting in $438.4 million available for additional borrowings or standby letters of credit within the revolver. At June 30, 2023, $238.4 million was available for additional standby letters of credit under the letter of credit sub-facility, and no amounts were outstanding under the swingline sub-facility.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Notes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March 12, 2021, we closed the sale of the convertible notes in a private placement to qualified institutional buyers, resulting in net proceeds to us of $448.5 million after deducting initial purchasers' discounts of the offering. The convertible notes do not bear regular interest, and the principal amount does not accrete. The convertible notes will mature on March 15, 2026, unless earlier repurchased, redeemed, or converted in accordance with their terms. No sinking fund is provided for the convertible notes.</w:t>
      </w:r>
    </w:p>
    <w:p>
      <w:pPr>
        <w:spacing w:after="0" w:line="22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initial conversion rate of the convertible notes is 7.9365 shares of our common stock per $1,000 principal amount of notes, which is equivalent to an initial conversion price of approximately $126.00 per share. The conversion rate of the convertible notes is subject to adjustment upon the occurrence of certain specified events. In addition, upon the occurrence of a make-whole fundamental change (as defined in the indenture governing the convertible notes) or upon a notice of redemption, we will, in certain circumstances, increase the conversion rate for a holder that elects to convert its convertible notes in connection with such make-whole fundamental change or notice of redemption, as the case may be.</w:t>
      </w:r>
    </w:p>
    <w:p>
      <w:pPr>
        <w:spacing w:after="0" w:line="20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Prior to the close of business on the business day immediately preceding December 15, 2025, the convertible notes are convertible at the option of the holders only under the following circumstances: (1) during any calendar quarter commencing after the calendar quarter ending on June 30, 2021 (and only during such calendar quarter), if the last reported sale price of the common stock for at least 20 trading days (whether or not consecutive) during the period of 30 consecutive trading days ending on the last trading day of the immediately preceding calendar quarter is greater than or equal to 130% of the conversion price on each applicable trading day; (2) during the five business-day period after any five consecutive trading-day period (the measurement period) in which the trading price per $1,000 principal amount of convertible notes for each trading day of the measurement period was less than 98% of the product of the last reported sale price of the common stock and the conversion rate on each such trading day; (3) upon the occurrence of specified corporate events; or (4) upon redemption by us. On or after December 15, 2025, until the close of business on the second scheduled trading day immediately preceding March 15, 2026, holders of the convertible notes may convert all or a portion of their notes at any time. Upon conversion, we will pay cash up to the aggregate principal amount of convertible notes to be converted and pay and/or deliver, as the case may be, cash, shares of common stock or a combination of cash and shares of common stock, at our election, in respect of the remainder, if any, of our conversion obligation in excess of the aggregate principal amount of the convertible notes being converted.</w:t>
      </w:r>
    </w:p>
    <w:p>
      <w:pPr>
        <w:spacing w:after="0" w:line="20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or after March 20, 2024 and prior to December 15, 2025, we may redeem for cash all or part of the convertible notes, at our option, if the last reported sales price of common stock has been at least 130% of the conversion price then in effect for at least 20 trading days (whether or not consecutive), including the trading day immediately preceding the date on which we provide notice of redemption, during any 30 consecutive trading days ending on, and including, the trading day immediately before the date we send the related notice of the redemption. The redemption price of each convertible note to be redeemed will be the principal amount of such note, plus accrued and unpaid special interest, if any. Upon the occurrence of a fundamental change (as defined in the indenture governing the convertible notes), subject to a limited exception described in the indenture governing the convertible notes, holders may require us to repurchase all or a portion of their notes for cash at a price equal to plus accrued and unpaid special interest to, but not including, the fundamental change repurchase date (as defined in the indenture governing the convertible notes).</w:t>
      </w:r>
    </w:p>
    <w:p>
      <w:pPr>
        <w:spacing w:after="0" w:line="20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convertible notes are senior unsecured obligations and rank equally in right of payment with all of our existing and future unsubordinated debt and senior in right of payment to any future debt that is expressly subordinated in right of payment to the convertible notes. The convertible notes will be effectively subordinated to any of our existing and future secured debt to the extent of the assets securing such indebtedness. The convertible notes will be structurally subordinated to all existing debt and any future debt and any other liabilities of our subsidiaries.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Debt Maturities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amount of required minimum principal payments on our long-term debt in aggregate over the next five years is as follows: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0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Year Ending December 31,</w:t>
            </w:r>
          </w:p>
        </w:tc>
        <w:tc>
          <w:tcPr>
            <w:tcW w:w="24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Minimum Payments</w:t>
            </w:r>
          </w:p>
        </w:tc>
      </w:tr>
      <w:tr>
        <w:trPr>
          <w:trHeight w:val="210"/>
        </w:trPr>
        <w:tc>
          <w:tcPr>
            <w:tcW w:w="902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24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19"/>
        </w:trPr>
        <w:tc>
          <w:tcPr>
            <w:tcW w:w="9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 (amount remaining at June 30, 2023)</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9020" w:type="dxa"/>
            <w:vAlign w:val="bottom"/>
          </w:tcPr>
          <w:p>
            <w:pPr>
              <w:ind w:left="20"/>
              <w:spacing w:after="0"/>
              <w:rPr>
                <w:sz w:val="20"/>
                <w:szCs w:val="20"/>
                <w:color w:val="auto"/>
              </w:rPr>
            </w:pPr>
            <w:r>
              <w:rPr>
                <w:rFonts w:ascii="Arial" w:cs="Arial" w:eastAsia="Arial" w:hAnsi="Arial"/>
                <w:sz w:val="16"/>
                <w:szCs w:val="16"/>
                <w:color w:val="auto"/>
              </w:rPr>
              <w:t>2024</w:t>
            </w:r>
          </w:p>
        </w:tc>
        <w:tc>
          <w:tcPr>
            <w:tcW w:w="24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9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24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9020" w:type="dxa"/>
            <w:vAlign w:val="bottom"/>
          </w:tcPr>
          <w:p>
            <w:pPr>
              <w:ind w:left="20"/>
              <w:spacing w:after="0"/>
              <w:rPr>
                <w:sz w:val="20"/>
                <w:szCs w:val="20"/>
                <w:color w:val="auto"/>
              </w:rPr>
            </w:pPr>
            <w:r>
              <w:rPr>
                <w:rFonts w:ascii="Arial" w:cs="Arial" w:eastAsia="Arial" w:hAnsi="Arial"/>
                <w:sz w:val="16"/>
                <w:szCs w:val="16"/>
                <w:color w:val="auto"/>
              </w:rPr>
              <w:t>2026</w:t>
            </w:r>
          </w:p>
        </w:tc>
        <w:tc>
          <w:tcPr>
            <w:tcW w:w="24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460,000</w:t>
            </w:r>
          </w:p>
        </w:tc>
      </w:tr>
      <w:tr>
        <w:trPr>
          <w:trHeight w:val="219"/>
        </w:trPr>
        <w:tc>
          <w:tcPr>
            <w:tcW w:w="9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2027</w:t>
            </w:r>
          </w:p>
        </w:tc>
        <w:tc>
          <w:tcPr>
            <w:tcW w:w="24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9020" w:type="dxa"/>
            <w:vAlign w:val="bottom"/>
          </w:tcPr>
          <w:p>
            <w:pPr>
              <w:ind w:left="20"/>
              <w:spacing w:after="0"/>
              <w:rPr>
                <w:sz w:val="20"/>
                <w:szCs w:val="20"/>
                <w:color w:val="auto"/>
              </w:rPr>
            </w:pPr>
            <w:r>
              <w:rPr>
                <w:rFonts w:ascii="Arial" w:cs="Arial" w:eastAsia="Arial" w:hAnsi="Arial"/>
                <w:sz w:val="16"/>
                <w:szCs w:val="16"/>
                <w:color w:val="auto"/>
              </w:rPr>
              <w:t>Thereafter</w:t>
            </w:r>
          </w:p>
        </w:tc>
        <w:tc>
          <w:tcPr>
            <w:tcW w:w="24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4"/>
        </w:trPr>
        <w:tc>
          <w:tcPr>
            <w:tcW w:w="9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minimum payments on debt</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460,000</w:t>
            </w:r>
          </w:p>
        </w:tc>
      </w:tr>
      <w:tr>
        <w:trPr>
          <w:trHeight w:val="20"/>
        </w:trPr>
        <w:tc>
          <w:tcPr>
            <w:tcW w:w="9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6"/>
          <w:szCs w:val="16"/>
          <w:b w:val="1"/>
          <w:bCs w:val="1"/>
          <w:color w:val="auto"/>
        </w:rPr>
        <w:t>Derivative Financial Instruments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As part of our risk management strategy, we use derivative instruments to hedge certain foreign currencies. Refer to Note 13: Shareholders' Equity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Note 14: Fair Value of Financial Instruments for additional disclosures on our derivative instruments.</w:t>
      </w:r>
    </w:p>
    <w:p>
      <w:pPr>
        <w:spacing w:after="0" w:line="23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Derivatives Not Designated as Hedging Relationships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exposed to foreign exchange risk when we enter into non-functional currency transactions, both intercompany and third party. At each period-end, non-functional currency monetary assets and liabilities are revalued with the change recognized within other income (expense) in our Consolidated Statements of Operations. We enter into monthly foreign exchange forward contracts, which are not designated for hedge accounting, with the intent to reduce earnings volatility associated with currency exposures. As of June 30, 2023, a total of 35 contracts were offsetting our exposures from the euro, pound sterling, Indonesian rupiah, Canadian dollar, Australian dollar and various other currencies, with notional amounts ranging from $97,000 to $41.8 million.</w:t>
      </w:r>
    </w:p>
    <w:p>
      <w:pPr>
        <w:spacing w:after="0" w:line="2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will continue to monitor and assess our interest rate and foreign exchange risk and may institute additional derivative instruments to manage such risk in the future.</w:t>
      </w:r>
    </w:p>
    <w:p>
      <w:pPr>
        <w:spacing w:after="0" w:line="193"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5"/>
          <w:szCs w:val="15"/>
          <w:b w:val="1"/>
          <w:bCs w:val="1"/>
          <w:color w:val="auto"/>
        </w:rPr>
        <w:t>Defined Benefit Pension Plans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sponsor both funded and unfunded defined benefit pension plans offering death and disability, retirement, and special termination benefits for certain of our international employees, primarily in Germany, France, Indonesia, India, and Italy. The defined benefit obligation is calculated annually by using the projected unit credit method. The measurement date for the pension plans was December 31, 2022.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on the Consolidated Balance Sheets consist of:</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3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June 30, 2023</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December 31, 2022</w:t>
            </w:r>
          </w:p>
        </w:tc>
      </w:tr>
      <w:tr>
        <w:trPr>
          <w:trHeight w:val="209"/>
        </w:trPr>
        <w:tc>
          <w:tcPr>
            <w:tcW w:w="6760" w:type="dxa"/>
            <w:vAlign w:val="bottom"/>
          </w:tcPr>
          <w:p>
            <w:pPr>
              <w:ind w:left="20"/>
              <w:spacing w:after="0"/>
              <w:rPr>
                <w:sz w:val="20"/>
                <w:szCs w:val="20"/>
                <w:color w:val="auto"/>
              </w:rPr>
            </w:pPr>
            <w:r>
              <w:rPr>
                <w:rFonts w:ascii="Arial" w:cs="Arial" w:eastAsia="Arial" w:hAnsi="Arial"/>
                <w:sz w:val="16"/>
                <w:szCs w:val="16"/>
                <w:color w:val="auto"/>
              </w:rPr>
              <w:t>Assets</w:t>
            </w:r>
          </w:p>
        </w:tc>
        <w:tc>
          <w:tcPr>
            <w:tcW w:w="3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19"/>
        </w:trPr>
        <w:tc>
          <w:tcPr>
            <w:tcW w:w="6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Plan assets in other long-term assets</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w:t>
            </w:r>
          </w:p>
        </w:tc>
      </w:tr>
      <w:tr>
        <w:trPr>
          <w:trHeight w:val="243"/>
        </w:trPr>
        <w:tc>
          <w:tcPr>
            <w:tcW w:w="6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20" w:type="dxa"/>
            <w:vAlign w:val="bottom"/>
          </w:tcPr>
          <w:p>
            <w:pPr>
              <w:spacing w:after="0"/>
              <w:rPr>
                <w:sz w:val="21"/>
                <w:szCs w:val="21"/>
                <w:color w:val="auto"/>
              </w:rPr>
            </w:pPr>
          </w:p>
        </w:tc>
      </w:tr>
      <w:tr>
        <w:trPr>
          <w:trHeight w:val="216"/>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Liabilities</w:t>
            </w:r>
          </w:p>
        </w:tc>
        <w:tc>
          <w:tcPr>
            <w:tcW w:w="3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r>
      <w:tr>
        <w:trPr>
          <w:trHeight w:val="213"/>
        </w:trPr>
        <w:tc>
          <w:tcPr>
            <w:tcW w:w="6760" w:type="dxa"/>
            <w:vAlign w:val="bottom"/>
          </w:tcPr>
          <w:p>
            <w:pPr>
              <w:ind w:left="220"/>
              <w:spacing w:after="0"/>
              <w:rPr>
                <w:sz w:val="20"/>
                <w:szCs w:val="20"/>
                <w:color w:val="auto"/>
              </w:rPr>
            </w:pPr>
            <w:r>
              <w:rPr>
                <w:rFonts w:ascii="Arial" w:cs="Arial" w:eastAsia="Arial" w:hAnsi="Arial"/>
                <w:sz w:val="16"/>
                <w:szCs w:val="16"/>
                <w:color w:val="auto"/>
              </w:rPr>
              <w:t>Current portion of pension benefit obligation in wages and benefits payable</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820" w:type="dxa"/>
            <w:vAlign w:val="bottom"/>
          </w:tcPr>
          <w:p>
            <w:pPr>
              <w:jc w:val="right"/>
              <w:spacing w:after="0"/>
              <w:rPr>
                <w:sz w:val="20"/>
                <w:szCs w:val="20"/>
                <w:color w:val="auto"/>
              </w:rPr>
            </w:pPr>
            <w:r>
              <w:rPr>
                <w:rFonts w:ascii="Arial" w:cs="Arial" w:eastAsia="Arial" w:hAnsi="Arial"/>
                <w:sz w:val="16"/>
                <w:szCs w:val="16"/>
                <w:color w:val="auto"/>
              </w:rPr>
              <w:t>3,894</w:t>
            </w: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920" w:type="dxa"/>
            <w:vAlign w:val="bottom"/>
          </w:tcPr>
          <w:p>
            <w:pPr>
              <w:jc w:val="right"/>
              <w:spacing w:after="0"/>
              <w:rPr>
                <w:sz w:val="20"/>
                <w:szCs w:val="20"/>
                <w:color w:val="auto"/>
              </w:rPr>
            </w:pPr>
            <w:r>
              <w:rPr>
                <w:rFonts w:ascii="Arial" w:cs="Arial" w:eastAsia="Arial" w:hAnsi="Arial"/>
                <w:sz w:val="16"/>
                <w:szCs w:val="16"/>
                <w:color w:val="auto"/>
              </w:rPr>
              <w:t>3,400</w:t>
            </w:r>
          </w:p>
        </w:tc>
      </w:tr>
      <w:tr>
        <w:trPr>
          <w:trHeight w:val="219"/>
        </w:trPr>
        <w:tc>
          <w:tcPr>
            <w:tcW w:w="6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Long-term portion of pension benefit obligation</w:t>
            </w:r>
          </w:p>
        </w:tc>
        <w:tc>
          <w:tcPr>
            <w:tcW w:w="36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59,739</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57,839</w:t>
            </w:r>
          </w:p>
        </w:tc>
      </w:tr>
      <w:tr>
        <w:trPr>
          <w:trHeight w:val="207"/>
        </w:trPr>
        <w:tc>
          <w:tcPr>
            <w:tcW w:w="6760" w:type="dxa"/>
            <w:vAlign w:val="bottom"/>
          </w:tcPr>
          <w:p>
            <w:pPr>
              <w:ind w:left="20"/>
              <w:spacing w:after="0"/>
              <w:rPr>
                <w:sz w:val="20"/>
                <w:szCs w:val="20"/>
                <w:color w:val="auto"/>
              </w:rPr>
            </w:pPr>
            <w:r>
              <w:rPr>
                <w:rFonts w:ascii="Arial" w:cs="Arial" w:eastAsia="Arial" w:hAnsi="Arial"/>
                <w:sz w:val="16"/>
                <w:szCs w:val="16"/>
                <w:color w:val="auto"/>
              </w:rPr>
              <w:t>Pension benefit obligation, net</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820" w:type="dxa"/>
            <w:vAlign w:val="bottom"/>
          </w:tcPr>
          <w:p>
            <w:pPr>
              <w:jc w:val="right"/>
              <w:spacing w:after="0"/>
              <w:rPr>
                <w:sz w:val="20"/>
                <w:szCs w:val="20"/>
                <w:color w:val="auto"/>
              </w:rPr>
            </w:pPr>
            <w:r>
              <w:rPr>
                <w:rFonts w:ascii="Arial" w:cs="Arial" w:eastAsia="Arial" w:hAnsi="Arial"/>
                <w:sz w:val="16"/>
                <w:szCs w:val="16"/>
                <w:color w:val="auto"/>
              </w:rPr>
              <w:t>63,472</w:t>
            </w: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920" w:type="dxa"/>
            <w:vAlign w:val="bottom"/>
          </w:tcPr>
          <w:p>
            <w:pPr>
              <w:jc w:val="right"/>
              <w:spacing w:after="0"/>
              <w:rPr>
                <w:sz w:val="20"/>
                <w:szCs w:val="20"/>
                <w:color w:val="auto"/>
              </w:rPr>
            </w:pPr>
            <w:r>
              <w:rPr>
                <w:rFonts w:ascii="Arial" w:cs="Arial" w:eastAsia="Arial" w:hAnsi="Arial"/>
                <w:sz w:val="16"/>
                <w:szCs w:val="16"/>
                <w:color w:val="auto"/>
              </w:rPr>
              <w:t>61,077</w:t>
            </w:r>
          </w:p>
        </w:tc>
      </w:tr>
      <w:tr>
        <w:trPr>
          <w:trHeight w:val="23"/>
        </w:trPr>
        <w:tc>
          <w:tcPr>
            <w:tcW w:w="6760" w:type="dxa"/>
            <w:vAlign w:val="bottom"/>
          </w:tcPr>
          <w:p>
            <w:pPr>
              <w:spacing w:after="0"/>
              <w:rPr>
                <w:sz w:val="2"/>
                <w:szCs w:val="2"/>
                <w:color w:val="auto"/>
              </w:rPr>
            </w:pPr>
          </w:p>
        </w:tc>
        <w:tc>
          <w:tcPr>
            <w:tcW w:w="360" w:type="dxa"/>
            <w:vAlign w:val="bottom"/>
            <w:tcBorders>
              <w:top w:val="single" w:sz="8" w:color="auto"/>
              <w:bottom w:val="single" w:sz="8" w:color="auto"/>
            </w:tcBorders>
          </w:tcPr>
          <w:p>
            <w:pPr>
              <w:spacing w:after="0"/>
              <w:rPr>
                <w:sz w:val="2"/>
                <w:szCs w:val="2"/>
                <w:color w:val="auto"/>
              </w:rPr>
            </w:pPr>
          </w:p>
        </w:tc>
        <w:tc>
          <w:tcPr>
            <w:tcW w:w="182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1920" w:type="dxa"/>
            <w:vAlign w:val="bottom"/>
            <w:tcBorders>
              <w:top w:val="single" w:sz="8" w:color="auto"/>
              <w:bottom w:val="single" w:sz="8" w:color="auto"/>
            </w:tcBorders>
          </w:tcPr>
          <w:p>
            <w:pPr>
              <w:spacing w:after="0"/>
              <w:rPr>
                <w:sz w:val="2"/>
                <w:szCs w:val="2"/>
                <w:color w:val="auto"/>
              </w:rPr>
            </w:pPr>
          </w:p>
        </w:tc>
      </w:tr>
    </w:tbl>
    <w:p>
      <w:pPr>
        <w:spacing w:after="0" w:line="31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asset investment strategy focuses on maintaining a portfolio using primarily insurance funds, which are accounted for as investments and measured at fair value, in order to achieve our long-term investment objectives on a risk-adjusted basis. Our general funding policy for these qualified pension plans is to contribute amounts sufficient to satisfy regulatory funding standards of the respective countries for each plan.</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Net periodic pension benefit cost for our plans includes the following components: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60" w:type="dxa"/>
            <w:vAlign w:val="bottom"/>
          </w:tcPr>
          <w:p>
            <w:pPr>
              <w:spacing w:after="0"/>
              <w:rPr>
                <w:sz w:val="18"/>
                <w:szCs w:val="18"/>
                <w:color w:val="auto"/>
              </w:rPr>
            </w:pPr>
          </w:p>
        </w:tc>
        <w:tc>
          <w:tcPr>
            <w:tcW w:w="2840" w:type="dxa"/>
            <w:vAlign w:val="bottom"/>
            <w:tcBorders>
              <w:bottom w:val="single" w:sz="8" w:color="auto"/>
            </w:tcBorders>
            <w:gridSpan w:val="4"/>
          </w:tcPr>
          <w:p>
            <w:pPr>
              <w:jc w:val="right"/>
              <w:ind w:right="19"/>
              <w:spacing w:after="0"/>
              <w:rPr>
                <w:sz w:val="20"/>
                <w:szCs w:val="20"/>
                <w:color w:val="auto"/>
              </w:rPr>
            </w:pPr>
            <w:r>
              <w:rPr>
                <w:rFonts w:ascii="Arial" w:cs="Arial" w:eastAsia="Arial" w:hAnsi="Arial"/>
                <w:sz w:val="16"/>
                <w:szCs w:val="16"/>
                <w:b w:val="1"/>
                <w:bCs w:val="1"/>
                <w:color w:val="auto"/>
              </w:rPr>
              <w:t>Three Months Ended June 30,</w:t>
            </w:r>
          </w:p>
        </w:tc>
        <w:tc>
          <w:tcPr>
            <w:tcW w:w="5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4"/>
          </w:tcPr>
          <w:p>
            <w:pPr>
              <w:jc w:val="right"/>
              <w:ind w:right="659"/>
              <w:spacing w:after="0"/>
              <w:rPr>
                <w:sz w:val="20"/>
                <w:szCs w:val="20"/>
                <w:color w:val="auto"/>
              </w:rPr>
            </w:pPr>
            <w:r>
              <w:rPr>
                <w:rFonts w:ascii="Arial" w:cs="Arial" w:eastAsia="Arial" w:hAnsi="Arial"/>
                <w:sz w:val="16"/>
                <w:szCs w:val="16"/>
                <w:b w:val="1"/>
                <w:bCs w:val="1"/>
                <w:color w:val="auto"/>
              </w:rPr>
              <w:t>Six Months Ended June 30,</w:t>
            </w:r>
          </w:p>
        </w:tc>
      </w:tr>
      <w:tr>
        <w:trPr>
          <w:trHeight w:val="213"/>
        </w:trPr>
        <w:tc>
          <w:tcPr>
            <w:tcW w:w="43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2023</w:t>
            </w:r>
          </w:p>
        </w:tc>
        <w:tc>
          <w:tcPr>
            <w:tcW w:w="5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2022</w:t>
            </w:r>
          </w:p>
        </w:tc>
        <w:tc>
          <w:tcPr>
            <w:tcW w:w="5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2022</w:t>
            </w:r>
          </w:p>
        </w:tc>
      </w:tr>
      <w:tr>
        <w:trPr>
          <w:trHeight w:val="212"/>
        </w:trPr>
        <w:tc>
          <w:tcPr>
            <w:tcW w:w="4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Service cost</w:t>
            </w:r>
          </w:p>
        </w:tc>
        <w:tc>
          <w:tcPr>
            <w:tcW w:w="110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636</w:t>
            </w:r>
          </w:p>
        </w:tc>
        <w:tc>
          <w:tcPr>
            <w:tcW w:w="1200" w:type="dxa"/>
            <w:vAlign w:val="bottom"/>
            <w:gridSpan w:val="2"/>
            <w:shd w:val="clear" w:color="auto" w:fill="CCEEFF"/>
          </w:tcPr>
          <w:p>
            <w:pPr>
              <w:jc w:val="right"/>
              <w:ind w:right="899"/>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708</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1,240</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1,502</w:t>
            </w:r>
          </w:p>
        </w:tc>
      </w:tr>
      <w:tr>
        <w:trPr>
          <w:trHeight w:val="213"/>
        </w:trPr>
        <w:tc>
          <w:tcPr>
            <w:tcW w:w="436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1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721</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423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1,433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866</w:t>
            </w:r>
          </w:p>
        </w:tc>
      </w:tr>
      <w:tr>
        <w:trPr>
          <w:trHeight w:val="219"/>
        </w:trPr>
        <w:tc>
          <w:tcPr>
            <w:tcW w:w="4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return on plan assets</w:t>
            </w:r>
          </w:p>
        </w:tc>
        <w:tc>
          <w:tcPr>
            <w:tcW w:w="1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w:t>
            </w:r>
          </w:p>
        </w:tc>
      </w:tr>
      <w:tr>
        <w:trPr>
          <w:trHeight w:val="213"/>
        </w:trPr>
        <w:tc>
          <w:tcPr>
            <w:tcW w:w="4360" w:type="dxa"/>
            <w:vAlign w:val="bottom"/>
          </w:tcPr>
          <w:p>
            <w:pPr>
              <w:ind w:left="20"/>
              <w:spacing w:after="0"/>
              <w:rPr>
                <w:sz w:val="20"/>
                <w:szCs w:val="20"/>
                <w:color w:val="auto"/>
              </w:rPr>
            </w:pPr>
            <w:r>
              <w:rPr>
                <w:rFonts w:ascii="Arial" w:cs="Arial" w:eastAsia="Arial" w:hAnsi="Arial"/>
                <w:sz w:val="16"/>
                <w:szCs w:val="16"/>
                <w:color w:val="auto"/>
              </w:rPr>
              <w:t>Amortization of prior service costs</w:t>
            </w:r>
          </w:p>
        </w:tc>
        <w:tc>
          <w:tcPr>
            <w:tcW w:w="1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216"/>
        </w:trPr>
        <w:tc>
          <w:tcPr>
            <w:tcW w:w="4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actuarial net loss</w:t>
            </w:r>
          </w:p>
        </w:tc>
        <w:tc>
          <w:tcPr>
            <w:tcW w:w="1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12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431</w:t>
            </w:r>
          </w:p>
        </w:tc>
      </w:tr>
      <w:tr>
        <w:trPr>
          <w:trHeight w:val="212"/>
        </w:trPr>
        <w:tc>
          <w:tcPr>
            <w:tcW w:w="4360" w:type="dxa"/>
            <w:vAlign w:val="bottom"/>
          </w:tcPr>
          <w:p>
            <w:pPr>
              <w:ind w:left="360"/>
              <w:spacing w:after="0"/>
              <w:rPr>
                <w:sz w:val="20"/>
                <w:szCs w:val="20"/>
                <w:color w:val="auto"/>
              </w:rPr>
            </w:pPr>
            <w:r>
              <w:rPr>
                <w:rFonts w:ascii="Arial" w:cs="Arial" w:eastAsia="Arial" w:hAnsi="Arial"/>
                <w:sz w:val="16"/>
                <w:szCs w:val="16"/>
                <w:color w:val="auto"/>
              </w:rPr>
              <w:t>Net periodic benefit cost</w:t>
            </w:r>
          </w:p>
        </w:tc>
        <w:tc>
          <w:tcPr>
            <w:tcW w:w="1100" w:type="dxa"/>
            <w:vAlign w:val="bottom"/>
          </w:tcPr>
          <w:p>
            <w:pPr>
              <w:jc w:val="right"/>
              <w:ind w:right="919"/>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1,161</w:t>
            </w:r>
          </w:p>
        </w:tc>
        <w:tc>
          <w:tcPr>
            <w:tcW w:w="1200" w:type="dxa"/>
            <w:vAlign w:val="bottom"/>
            <w:gridSpan w:val="2"/>
          </w:tcPr>
          <w:p>
            <w:pPr>
              <w:jc w:val="right"/>
              <w:ind w:right="899"/>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1,265</w:t>
            </w:r>
          </w:p>
        </w:tc>
        <w:tc>
          <w:tcPr>
            <w:tcW w:w="5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2,284</w:t>
            </w:r>
          </w:p>
        </w:tc>
        <w:tc>
          <w:tcPr>
            <w:tcW w:w="4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2,672</w:t>
            </w:r>
          </w:p>
        </w:tc>
      </w:tr>
      <w:tr>
        <w:trPr>
          <w:trHeight w:val="21"/>
        </w:trPr>
        <w:tc>
          <w:tcPr>
            <w:tcW w:w="43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components of net periodic benefit cost, other than the service cost component, are included in total other income (expense) on the Consolidated Statements of Operations.</w:t>
      </w:r>
    </w:p>
    <w:p>
      <w:pPr>
        <w:spacing w:after="0" w:line="193"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5"/>
          <w:szCs w:val="15"/>
          <w:b w:val="1"/>
          <w:bCs w:val="1"/>
          <w:color w:val="auto"/>
        </w:rPr>
        <w:t>Stock-Based Compensation</w:t>
      </w:r>
    </w:p>
    <w:p>
      <w:pPr>
        <w:spacing w:after="0" w:line="25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grant stock-based compensation awards, including restricted stock units, phantom stock, and unrestricted stock units, under the Second Amended and Restated 2010 Stock Incentive Plan (Stock Incentive Plan). Prior to December 31, 2020, stock options were also granted as part of the stock-based compensation awards. In the Stock Incentive Plan, we have 12,123,538 shares of common stock authorized for issuance subject to stock splits, dividends, and other similar events, and at June 30, 2023, 3,418,336 shares were available for grant. We issue new shares of common stock upon the exercise of stock options or when vesting conditions on restricted stock units are fully satisfied. These shares are subject to a fungible share provision such that the authorized share available for grant is reduced by (i) one share for every one share subject to a stock option or share appreciation right granted under the Plan and (ii) 1.7 shares for every one share of common stock that was subject to an award other than an option or share appreciation right.</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also award phantom stock units, which are settled in cash upon vesting and accounted for as liability-based awards, with no impact to the shares available for grant.</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we maintain the Employee Stock Purchase Plan (ESPP), for which 544,060 shares of common stock were available for future issuance at June 30, 2023. In May 2023, the shareholders authorized, via a proxy approval, the reallocation of 500,000 reserved shares from the shares available for grant in the Stock Incentive Plan to the ESPP.</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ESPP activity and stock-based grants other than stock options and restricted stock units were not significant for the three and six months ended June 30, 2023 and 2022.</w:t>
      </w:r>
    </w:p>
    <w:p>
      <w:pPr>
        <w:spacing w:after="0" w:line="19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Stock-Based Compensation Expense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Total stock-based compensation expense and the related tax benefit were as follows: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60" w:type="dxa"/>
            <w:vAlign w:val="bottom"/>
          </w:tcPr>
          <w:p>
            <w:pPr>
              <w:spacing w:after="0"/>
              <w:rPr>
                <w:sz w:val="18"/>
                <w:szCs w:val="18"/>
                <w:color w:val="auto"/>
              </w:rPr>
            </w:pPr>
          </w:p>
        </w:tc>
        <w:tc>
          <w:tcPr>
            <w:tcW w:w="2840" w:type="dxa"/>
            <w:vAlign w:val="bottom"/>
            <w:tcBorders>
              <w:bottom w:val="single" w:sz="8" w:color="auto"/>
            </w:tcBorders>
            <w:gridSpan w:val="4"/>
          </w:tcPr>
          <w:p>
            <w:pPr>
              <w:jc w:val="right"/>
              <w:ind w:right="19"/>
              <w:spacing w:after="0"/>
              <w:rPr>
                <w:sz w:val="20"/>
                <w:szCs w:val="20"/>
                <w:color w:val="auto"/>
              </w:rPr>
            </w:pPr>
            <w:r>
              <w:rPr>
                <w:rFonts w:ascii="Arial" w:cs="Arial" w:eastAsia="Arial" w:hAnsi="Arial"/>
                <w:sz w:val="16"/>
                <w:szCs w:val="16"/>
                <w:b w:val="1"/>
                <w:bCs w:val="1"/>
                <w:color w:val="auto"/>
              </w:rPr>
              <w:t>Three Months Ended June 30,</w:t>
            </w:r>
          </w:p>
        </w:tc>
        <w:tc>
          <w:tcPr>
            <w:tcW w:w="5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4"/>
          </w:tcPr>
          <w:p>
            <w:pPr>
              <w:jc w:val="right"/>
              <w:ind w:right="659"/>
              <w:spacing w:after="0"/>
              <w:rPr>
                <w:sz w:val="20"/>
                <w:szCs w:val="20"/>
                <w:color w:val="auto"/>
              </w:rPr>
            </w:pPr>
            <w:r>
              <w:rPr>
                <w:rFonts w:ascii="Arial" w:cs="Arial" w:eastAsia="Arial" w:hAnsi="Arial"/>
                <w:sz w:val="16"/>
                <w:szCs w:val="16"/>
                <w:b w:val="1"/>
                <w:bCs w:val="1"/>
                <w:color w:val="auto"/>
              </w:rPr>
              <w:t>Six Months Ended June 30,</w:t>
            </w:r>
          </w:p>
        </w:tc>
      </w:tr>
      <w:tr>
        <w:trPr>
          <w:trHeight w:val="213"/>
        </w:trPr>
        <w:tc>
          <w:tcPr>
            <w:tcW w:w="43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2023</w:t>
            </w:r>
          </w:p>
        </w:tc>
        <w:tc>
          <w:tcPr>
            <w:tcW w:w="5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2022</w:t>
            </w:r>
          </w:p>
        </w:tc>
        <w:tc>
          <w:tcPr>
            <w:tcW w:w="5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2022</w:t>
            </w:r>
          </w:p>
        </w:tc>
      </w:tr>
      <w:tr>
        <w:trPr>
          <w:trHeight w:val="212"/>
        </w:trPr>
        <w:tc>
          <w:tcPr>
            <w:tcW w:w="4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options</w:t>
            </w:r>
          </w:p>
        </w:tc>
        <w:tc>
          <w:tcPr>
            <w:tcW w:w="110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00" w:type="dxa"/>
            <w:vAlign w:val="bottom"/>
            <w:gridSpan w:val="2"/>
            <w:shd w:val="clear" w:color="auto" w:fill="CCEEFF"/>
          </w:tcPr>
          <w:p>
            <w:pPr>
              <w:jc w:val="right"/>
              <w:ind w:right="899"/>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562</w:t>
            </w:r>
          </w:p>
        </w:tc>
      </w:tr>
      <w:tr>
        <w:trPr>
          <w:trHeight w:val="213"/>
        </w:trPr>
        <w:tc>
          <w:tcPr>
            <w:tcW w:w="4360" w:type="dxa"/>
            <w:vAlign w:val="bottom"/>
          </w:tcPr>
          <w:p>
            <w:pPr>
              <w:ind w:left="20"/>
              <w:spacing w:after="0"/>
              <w:rPr>
                <w:sz w:val="20"/>
                <w:szCs w:val="20"/>
                <w:color w:val="auto"/>
              </w:rPr>
            </w:pPr>
            <w:r>
              <w:rPr>
                <w:rFonts w:ascii="Arial" w:cs="Arial" w:eastAsia="Arial" w:hAnsi="Arial"/>
                <w:sz w:val="16"/>
                <w:szCs w:val="16"/>
                <w:color w:val="auto"/>
              </w:rPr>
              <w:t>Restricted stock units</w:t>
            </w:r>
          </w:p>
        </w:tc>
        <w:tc>
          <w:tcPr>
            <w:tcW w:w="1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6,516</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5,869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13,099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11,453</w:t>
            </w:r>
          </w:p>
        </w:tc>
      </w:tr>
      <w:tr>
        <w:trPr>
          <w:trHeight w:val="219"/>
        </w:trPr>
        <w:tc>
          <w:tcPr>
            <w:tcW w:w="4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Unrestricted stock awards</w:t>
            </w:r>
          </w:p>
        </w:tc>
        <w:tc>
          <w:tcPr>
            <w:tcW w:w="1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w:t>
            </w:r>
          </w:p>
        </w:tc>
      </w:tr>
      <w:tr>
        <w:trPr>
          <w:trHeight w:val="216"/>
        </w:trPr>
        <w:tc>
          <w:tcPr>
            <w:tcW w:w="4360" w:type="dxa"/>
            <w:vAlign w:val="bottom"/>
          </w:tcPr>
          <w:p>
            <w:pPr>
              <w:ind w:left="20"/>
              <w:spacing w:after="0"/>
              <w:rPr>
                <w:sz w:val="20"/>
                <w:szCs w:val="20"/>
                <w:color w:val="auto"/>
              </w:rPr>
            </w:pPr>
            <w:r>
              <w:rPr>
                <w:rFonts w:ascii="Arial" w:cs="Arial" w:eastAsia="Arial" w:hAnsi="Arial"/>
                <w:sz w:val="16"/>
                <w:szCs w:val="16"/>
                <w:color w:val="auto"/>
              </w:rPr>
              <w:t>Phantom stock units</w:t>
            </w:r>
          </w:p>
        </w:tc>
        <w:tc>
          <w:tcPr>
            <w:tcW w:w="1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1,147</w:t>
            </w:r>
          </w:p>
        </w:tc>
        <w:tc>
          <w:tcPr>
            <w:tcW w:w="12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582</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1,924</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772</w:t>
            </w:r>
          </w:p>
        </w:tc>
      </w:tr>
      <w:tr>
        <w:trPr>
          <w:trHeight w:val="230"/>
        </w:trPr>
        <w:tc>
          <w:tcPr>
            <w:tcW w:w="43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stock-based compensation</w:t>
            </w:r>
          </w:p>
        </w:tc>
        <w:tc>
          <w:tcPr>
            <w:tcW w:w="110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7,922</w:t>
            </w:r>
          </w:p>
        </w:tc>
        <w:tc>
          <w:tcPr>
            <w:tcW w:w="1200" w:type="dxa"/>
            <w:vAlign w:val="bottom"/>
            <w:gridSpan w:val="2"/>
            <w:shd w:val="clear" w:color="auto" w:fill="CCEEFF"/>
          </w:tcPr>
          <w:p>
            <w:pPr>
              <w:jc w:val="right"/>
              <w:ind w:right="899"/>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6,987</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15,618</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13,304</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203"/>
        </w:trPr>
        <w:tc>
          <w:tcPr>
            <w:tcW w:w="4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36"/>
        </w:trPr>
        <w:tc>
          <w:tcPr>
            <w:tcW w:w="4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Related tax benefit</w:t>
            </w:r>
          </w:p>
        </w:tc>
        <w:tc>
          <w:tcPr>
            <w:tcW w:w="110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1,670</w:t>
            </w:r>
          </w:p>
        </w:tc>
        <w:tc>
          <w:tcPr>
            <w:tcW w:w="1200" w:type="dxa"/>
            <w:vAlign w:val="bottom"/>
            <w:gridSpan w:val="2"/>
            <w:shd w:val="clear" w:color="auto" w:fill="CCEEFF"/>
          </w:tcPr>
          <w:p>
            <w:pPr>
              <w:jc w:val="right"/>
              <w:ind w:right="899"/>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1,434</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3,373</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2,803</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 Options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stock option activity is as follows: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jc w:val="center"/>
              <w:ind w:right="59"/>
              <w:spacing w:after="0"/>
              <w:rPr>
                <w:sz w:val="20"/>
                <w:szCs w:val="20"/>
                <w:color w:val="auto"/>
              </w:rPr>
            </w:pPr>
            <w:r>
              <w:rPr>
                <w:rFonts w:ascii="Arial" w:cs="Arial" w:eastAsia="Arial" w:hAnsi="Arial"/>
                <w:sz w:val="16"/>
                <w:szCs w:val="16"/>
                <w:b w:val="1"/>
                <w:bCs w:val="1"/>
                <w:color w:val="auto"/>
                <w:w w:val="91"/>
              </w:rPr>
              <w:t>Weighted</w:t>
            </w:r>
          </w:p>
        </w:tc>
        <w:tc>
          <w:tcPr>
            <w:tcW w:w="12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w w:val="90"/>
              </w:rPr>
              <w:t>Weighted Average</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00" w:type="dxa"/>
            <w:vAlign w:val="bottom"/>
            <w:gridSpan w:val="3"/>
            <w:vMerge w:val="restart"/>
          </w:tcPr>
          <w:p>
            <w:pPr>
              <w:jc w:val="center"/>
              <w:ind w:right="460"/>
              <w:spacing w:after="0"/>
              <w:rPr>
                <w:sz w:val="20"/>
                <w:szCs w:val="20"/>
                <w:color w:val="auto"/>
              </w:rPr>
            </w:pPr>
            <w:r>
              <w:rPr>
                <w:rFonts w:ascii="Arial" w:cs="Arial" w:eastAsia="Arial" w:hAnsi="Arial"/>
                <w:sz w:val="16"/>
                <w:szCs w:val="16"/>
                <w:b w:val="1"/>
                <w:bCs w:val="1"/>
                <w:color w:val="auto"/>
                <w:w w:val="90"/>
              </w:rPr>
              <w:t>Aggregate</w:t>
            </w:r>
          </w:p>
        </w:tc>
        <w:tc>
          <w:tcPr>
            <w:tcW w:w="1400" w:type="dxa"/>
            <w:vAlign w:val="bottom"/>
          </w:tcPr>
          <w:p>
            <w:pPr>
              <w:jc w:val="center"/>
              <w:ind w:right="99"/>
              <w:spacing w:after="0"/>
              <w:rPr>
                <w:sz w:val="20"/>
                <w:szCs w:val="20"/>
                <w:color w:val="auto"/>
              </w:rPr>
            </w:pPr>
            <w:r>
              <w:rPr>
                <w:rFonts w:ascii="Arial" w:cs="Arial" w:eastAsia="Arial" w:hAnsi="Arial"/>
                <w:sz w:val="16"/>
                <w:szCs w:val="16"/>
                <w:b w:val="1"/>
                <w:bCs w:val="1"/>
                <w:color w:val="auto"/>
                <w:w w:val="91"/>
              </w:rPr>
              <w:t>Weighted</w:t>
            </w:r>
          </w:p>
        </w:tc>
        <w:tc>
          <w:tcPr>
            <w:tcW w:w="0" w:type="dxa"/>
            <w:vAlign w:val="bottom"/>
          </w:tcPr>
          <w:p>
            <w:pPr>
              <w:spacing w:after="0"/>
              <w:rPr>
                <w:sz w:val="1"/>
                <w:szCs w:val="1"/>
                <w:color w:val="auto"/>
              </w:rPr>
            </w:pPr>
          </w:p>
        </w:tc>
      </w:tr>
      <w:tr>
        <w:trPr>
          <w:trHeight w:val="162"/>
        </w:trPr>
        <w:tc>
          <w:tcPr>
            <w:tcW w:w="3000" w:type="dxa"/>
            <w:vAlign w:val="bottom"/>
          </w:tcPr>
          <w:p>
            <w:pPr>
              <w:spacing w:after="0"/>
              <w:rPr>
                <w:sz w:val="14"/>
                <w:szCs w:val="14"/>
                <w:color w:val="auto"/>
              </w:rPr>
            </w:pPr>
          </w:p>
        </w:tc>
        <w:tc>
          <w:tcPr>
            <w:tcW w:w="1320" w:type="dxa"/>
            <w:vAlign w:val="bottom"/>
            <w:vMerge w:val="restart"/>
          </w:tcPr>
          <w:p>
            <w:pPr>
              <w:jc w:val="right"/>
              <w:ind w:right="359"/>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w w:val="88"/>
              </w:rPr>
              <w:t>Average Exercise</w:t>
            </w:r>
          </w:p>
        </w:tc>
        <w:tc>
          <w:tcPr>
            <w:tcW w:w="120" w:type="dxa"/>
            <w:vAlign w:val="bottom"/>
          </w:tcPr>
          <w:p>
            <w:pPr>
              <w:spacing w:after="0"/>
              <w:rPr>
                <w:sz w:val="14"/>
                <w:szCs w:val="14"/>
                <w:color w:val="auto"/>
              </w:rPr>
            </w:pPr>
          </w:p>
        </w:tc>
        <w:tc>
          <w:tcPr>
            <w:tcW w:w="16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2"/>
              </w:rPr>
              <w:t>Remaining</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gridSpan w:val="3"/>
            <w:vMerge w:val="continue"/>
          </w:tcPr>
          <w:p>
            <w:pPr>
              <w:spacing w:after="0"/>
              <w:rPr>
                <w:sz w:val="14"/>
                <w:szCs w:val="14"/>
                <w:color w:val="auto"/>
              </w:rPr>
            </w:pPr>
          </w:p>
        </w:tc>
        <w:tc>
          <w:tcPr>
            <w:tcW w:w="1400" w:type="dxa"/>
            <w:vAlign w:val="bottom"/>
          </w:tcPr>
          <w:p>
            <w:pPr>
              <w:jc w:val="center"/>
              <w:ind w:right="99"/>
              <w:spacing w:after="0" w:line="162" w:lineRule="exact"/>
              <w:rPr>
                <w:sz w:val="20"/>
                <w:szCs w:val="20"/>
                <w:color w:val="auto"/>
              </w:rPr>
            </w:pPr>
            <w:r>
              <w:rPr>
                <w:rFonts w:ascii="Arial" w:cs="Arial" w:eastAsia="Arial" w:hAnsi="Arial"/>
                <w:sz w:val="16"/>
                <w:szCs w:val="16"/>
                <w:b w:val="1"/>
                <w:bCs w:val="1"/>
                <w:color w:val="auto"/>
                <w:w w:val="92"/>
              </w:rPr>
              <w:t>Average Grant</w:t>
            </w:r>
          </w:p>
        </w:tc>
        <w:tc>
          <w:tcPr>
            <w:tcW w:w="0" w:type="dxa"/>
            <w:vAlign w:val="bottom"/>
          </w:tcPr>
          <w:p>
            <w:pPr>
              <w:spacing w:after="0"/>
              <w:rPr>
                <w:sz w:val="1"/>
                <w:szCs w:val="1"/>
                <w:color w:val="auto"/>
              </w:rPr>
            </w:pPr>
          </w:p>
        </w:tc>
      </w:tr>
      <w:tr>
        <w:trPr>
          <w:trHeight w:val="213"/>
        </w:trPr>
        <w:tc>
          <w:tcPr>
            <w:tcW w:w="3000" w:type="dxa"/>
            <w:vAlign w:val="bottom"/>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1"/>
              </w:rPr>
              <w:t>Price per Share</w:t>
            </w:r>
          </w:p>
        </w:tc>
        <w:tc>
          <w:tcPr>
            <w:tcW w:w="120" w:type="dxa"/>
            <w:vAlign w:val="bottom"/>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Contractual Life</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95"/>
              </w:rPr>
              <w:t>Intrinsic Value</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95"/>
              </w:rPr>
              <w:t>Date Fair Value</w:t>
            </w:r>
          </w:p>
        </w:tc>
        <w:tc>
          <w:tcPr>
            <w:tcW w:w="0" w:type="dxa"/>
            <w:vAlign w:val="bottom"/>
          </w:tcPr>
          <w:p>
            <w:pPr>
              <w:spacing w:after="0"/>
              <w:rPr>
                <w:sz w:val="1"/>
                <w:szCs w:val="1"/>
                <w:color w:val="auto"/>
              </w:rPr>
            </w:pPr>
          </w:p>
        </w:tc>
      </w:tr>
      <w:tr>
        <w:trPr>
          <w:trHeight w:val="209"/>
        </w:trPr>
        <w:tc>
          <w:tcPr>
            <w:tcW w:w="3000" w:type="dxa"/>
            <w:vAlign w:val="bottom"/>
          </w:tcPr>
          <w:p>
            <w:pPr>
              <w:spacing w:after="0"/>
              <w:rPr>
                <w:sz w:val="18"/>
                <w:szCs w:val="18"/>
                <w:color w:val="auto"/>
              </w:rPr>
            </w:pPr>
          </w:p>
        </w:tc>
        <w:tc>
          <w:tcPr>
            <w:tcW w:w="1320" w:type="dxa"/>
            <w:vAlign w:val="bottom"/>
          </w:tcPr>
          <w:p>
            <w:pPr>
              <w:jc w:val="right"/>
              <w:ind w:right="159"/>
              <w:spacing w:after="0"/>
              <w:rPr>
                <w:sz w:val="20"/>
                <w:szCs w:val="20"/>
                <w:color w:val="auto"/>
              </w:rPr>
            </w:pPr>
            <w:r>
              <w:rPr>
                <w:rFonts w:ascii="Arial" w:cs="Arial" w:eastAsia="Arial" w:hAnsi="Arial"/>
                <w:sz w:val="16"/>
                <w:szCs w:val="16"/>
                <w:i w:val="1"/>
                <w:iCs w:val="1"/>
                <w:color w:val="auto"/>
              </w:rPr>
              <w:t>In thousands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6"/>
                <w:szCs w:val="16"/>
                <w:i w:val="1"/>
                <w:iCs w:val="1"/>
                <w:color w:val="auto"/>
                <w:w w:val="86"/>
              </w:rPr>
              <w:t>Years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3"/>
          </w:tcPr>
          <w:p>
            <w:pPr>
              <w:jc w:val="center"/>
              <w:ind w:right="460"/>
              <w:spacing w:after="0"/>
              <w:rPr>
                <w:sz w:val="20"/>
                <w:szCs w:val="20"/>
                <w:color w:val="auto"/>
              </w:rPr>
            </w:pPr>
            <w:r>
              <w:rPr>
                <w:rFonts w:ascii="Arial" w:cs="Arial" w:eastAsia="Arial" w:hAnsi="Arial"/>
                <w:sz w:val="16"/>
                <w:szCs w:val="16"/>
                <w:i w:val="1"/>
                <w:iCs w:val="1"/>
                <w:color w:val="auto"/>
                <w:w w:val="91"/>
              </w:rPr>
              <w:t>In thousands</w:t>
            </w: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January 1, 2022</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61.18</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000" w:type="dxa"/>
            <w:vAlign w:val="bottom"/>
          </w:tcPr>
          <w:p>
            <w:pPr>
              <w:ind w:left="360"/>
              <w:spacing w:after="0"/>
              <w:rPr>
                <w:sz w:val="20"/>
                <w:szCs w:val="20"/>
                <w:color w:val="auto"/>
              </w:rPr>
            </w:pPr>
            <w:r>
              <w:rPr>
                <w:rFonts w:ascii="Arial" w:cs="Arial" w:eastAsia="Arial" w:hAnsi="Arial"/>
                <w:sz w:val="16"/>
                <w:szCs w:val="16"/>
                <w:color w:val="auto"/>
              </w:rPr>
              <w:t>Granted</w:t>
            </w: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1400" w:type="dxa"/>
            <w:vAlign w:val="bottom"/>
          </w:tcPr>
          <w:p>
            <w:pPr>
              <w:ind w:left="1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Exercised</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00" w:type="dxa"/>
            <w:vAlign w:val="bottom"/>
            <w:gridSpan w:val="3"/>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000" w:type="dxa"/>
            <w:vAlign w:val="bottom"/>
          </w:tcPr>
          <w:p>
            <w:pPr>
              <w:ind w:left="360"/>
              <w:spacing w:after="0"/>
              <w:rPr>
                <w:sz w:val="20"/>
                <w:szCs w:val="20"/>
                <w:color w:val="auto"/>
              </w:rPr>
            </w:pPr>
            <w:r>
              <w:rPr>
                <w:rFonts w:ascii="Arial" w:cs="Arial" w:eastAsia="Arial" w:hAnsi="Arial"/>
                <w:sz w:val="16"/>
                <w:szCs w:val="16"/>
                <w:color w:val="auto"/>
              </w:rPr>
              <w:t>Forfeited</w:t>
            </w:r>
          </w:p>
        </w:tc>
        <w:tc>
          <w:tcPr>
            <w:tcW w:w="132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87.27</w:t>
            </w: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Canceled</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78.84</w:t>
            </w:r>
          </w:p>
        </w:tc>
        <w:tc>
          <w:tcPr>
            <w:tcW w:w="12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000" w:type="dxa"/>
            <w:vAlign w:val="bottom"/>
          </w:tcPr>
          <w:p>
            <w:pPr>
              <w:ind w:left="20"/>
              <w:spacing w:after="0"/>
              <w:rPr>
                <w:sz w:val="20"/>
                <w:szCs w:val="20"/>
                <w:color w:val="auto"/>
              </w:rPr>
            </w:pPr>
            <w:r>
              <w:rPr>
                <w:rFonts w:ascii="Arial" w:cs="Arial" w:eastAsia="Arial" w:hAnsi="Arial"/>
                <w:sz w:val="16"/>
                <w:szCs w:val="16"/>
                <w:color w:val="auto"/>
              </w:rPr>
              <w:t>Outstanding, June 30, 2022</w:t>
            </w:r>
          </w:p>
        </w:tc>
        <w:tc>
          <w:tcPr>
            <w:tcW w:w="1320" w:type="dxa"/>
            <w:vAlign w:val="bottom"/>
          </w:tcPr>
          <w:p>
            <w:pPr>
              <w:jc w:val="right"/>
              <w:spacing w:after="0"/>
              <w:rPr>
                <w:sz w:val="20"/>
                <w:szCs w:val="20"/>
                <w:color w:val="auto"/>
              </w:rPr>
            </w:pPr>
            <w:r>
              <w:rPr>
                <w:rFonts w:ascii="Arial" w:cs="Arial" w:eastAsia="Arial" w:hAnsi="Arial"/>
                <w:sz w:val="16"/>
                <w:szCs w:val="16"/>
                <w:color w:val="auto"/>
              </w:rPr>
              <w:t>383</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60.69</w:t>
            </w:r>
          </w:p>
        </w:tc>
        <w:tc>
          <w:tcPr>
            <w:tcW w:w="1800" w:type="dxa"/>
            <w:vAlign w:val="bottom"/>
            <w:gridSpan w:val="2"/>
          </w:tcPr>
          <w:p>
            <w:pPr>
              <w:jc w:val="right"/>
              <w:spacing w:after="0"/>
              <w:rPr>
                <w:sz w:val="20"/>
                <w:szCs w:val="20"/>
                <w:color w:val="auto"/>
              </w:rPr>
            </w:pPr>
            <w:r>
              <w:rPr>
                <w:rFonts w:ascii="Arial" w:cs="Arial" w:eastAsia="Arial" w:hAnsi="Arial"/>
                <w:sz w:val="16"/>
                <w:szCs w:val="16"/>
                <w:color w:val="auto"/>
              </w:rPr>
              <w:t>5.4</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1,729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0" w:type="dxa"/>
            <w:vAlign w:val="bottom"/>
            <w:tcBorders>
              <w:bottom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30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000" w:type="dxa"/>
            <w:vAlign w:val="bottom"/>
          </w:tcPr>
          <w:p>
            <w:pPr>
              <w:ind w:left="20"/>
              <w:spacing w:after="0"/>
              <w:rPr>
                <w:sz w:val="20"/>
                <w:szCs w:val="20"/>
                <w:color w:val="auto"/>
              </w:rPr>
            </w:pPr>
            <w:r>
              <w:rPr>
                <w:rFonts w:ascii="Arial" w:cs="Arial" w:eastAsia="Arial" w:hAnsi="Arial"/>
                <w:sz w:val="16"/>
                <w:szCs w:val="16"/>
                <w:color w:val="auto"/>
              </w:rPr>
              <w:t>Outstanding, January 1, 2023</w:t>
            </w:r>
          </w:p>
        </w:tc>
        <w:tc>
          <w:tcPr>
            <w:tcW w:w="1320" w:type="dxa"/>
            <w:vAlign w:val="bottom"/>
          </w:tcPr>
          <w:p>
            <w:pPr>
              <w:jc w:val="right"/>
              <w:spacing w:after="0"/>
              <w:rPr>
                <w:sz w:val="20"/>
                <w:szCs w:val="20"/>
                <w:color w:val="auto"/>
              </w:rPr>
            </w:pPr>
            <w:r>
              <w:rPr>
                <w:rFonts w:ascii="Arial" w:cs="Arial" w:eastAsia="Arial" w:hAnsi="Arial"/>
                <w:sz w:val="16"/>
                <w:szCs w:val="16"/>
                <w:color w:val="auto"/>
              </w:rPr>
              <w:t>381</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60.63</w:t>
            </w:r>
          </w:p>
        </w:tc>
        <w:tc>
          <w:tcPr>
            <w:tcW w:w="1800" w:type="dxa"/>
            <w:vAlign w:val="bottom"/>
            <w:gridSpan w:val="2"/>
          </w:tcPr>
          <w:p>
            <w:pPr>
              <w:jc w:val="right"/>
              <w:spacing w:after="0"/>
              <w:rPr>
                <w:sz w:val="20"/>
                <w:szCs w:val="20"/>
                <w:color w:val="auto"/>
              </w:rPr>
            </w:pPr>
            <w:r>
              <w:rPr>
                <w:rFonts w:ascii="Arial" w:cs="Arial" w:eastAsia="Arial" w:hAnsi="Arial"/>
                <w:sz w:val="16"/>
                <w:szCs w:val="16"/>
                <w:color w:val="auto"/>
              </w:rPr>
              <w:t>4.8</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1,892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Granted</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ind w:left="1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000" w:type="dxa"/>
            <w:vAlign w:val="bottom"/>
          </w:tcPr>
          <w:p>
            <w:pPr>
              <w:ind w:left="360"/>
              <w:spacing w:after="0"/>
              <w:rPr>
                <w:sz w:val="20"/>
                <w:szCs w:val="20"/>
                <w:color w:val="auto"/>
              </w:rPr>
            </w:pPr>
            <w:r>
              <w:rPr>
                <w:rFonts w:ascii="Arial" w:cs="Arial" w:eastAsia="Arial" w:hAnsi="Arial"/>
                <w:sz w:val="16"/>
                <w:szCs w:val="16"/>
                <w:color w:val="auto"/>
              </w:rPr>
              <w:t>Exercised</w:t>
            </w:r>
          </w:p>
        </w:tc>
        <w:tc>
          <w:tcPr>
            <w:tcW w:w="132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55.49</w:t>
            </w: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Forfeited</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0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Canceled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4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6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4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4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June 30, 2023</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60.70</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5,494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30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3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Exercisable, June 30, 2023</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60.66</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5,456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June 30, 2023, total unrecognized stock-based compensation expense related to nonvested stock options was $22,000, which is expected to be recognized over a weighted average period of approximately 0.4 years.</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Restricted Stock Units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restricted stock unit activity:</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00" w:type="dxa"/>
            <w:vAlign w:val="bottom"/>
          </w:tcPr>
          <w:p>
            <w:pPr>
              <w:spacing w:after="0"/>
              <w:rPr>
                <w:sz w:val="16"/>
                <w:szCs w:val="16"/>
                <w:color w:val="auto"/>
              </w:rPr>
            </w:pPr>
          </w:p>
        </w:tc>
        <w:tc>
          <w:tcPr>
            <w:tcW w:w="2180" w:type="dxa"/>
            <w:vAlign w:val="bottom"/>
            <w:vMerge w:val="restart"/>
          </w:tcPr>
          <w:p>
            <w:pPr>
              <w:jc w:val="right"/>
              <w:ind w:right="639"/>
              <w:spacing w:after="0"/>
              <w:rPr>
                <w:sz w:val="20"/>
                <w:szCs w:val="20"/>
                <w:color w:val="auto"/>
              </w:rPr>
            </w:pPr>
            <w:r>
              <w:rPr>
                <w:rFonts w:ascii="Arial" w:cs="Arial" w:eastAsia="Arial" w:hAnsi="Arial"/>
                <w:sz w:val="16"/>
                <w:szCs w:val="16"/>
                <w:b w:val="1"/>
                <w:bCs w:val="1"/>
                <w:color w:val="auto"/>
              </w:rPr>
              <w:t>Number of</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80" w:type="dxa"/>
            <w:vAlign w:val="bottom"/>
          </w:tcPr>
          <w:p>
            <w:pPr>
              <w:jc w:val="center"/>
              <w:ind w:right="259"/>
              <w:spacing w:after="0"/>
              <w:rPr>
                <w:sz w:val="20"/>
                <w:szCs w:val="20"/>
                <w:color w:val="auto"/>
              </w:rPr>
            </w:pPr>
            <w:r>
              <w:rPr>
                <w:rFonts w:ascii="Arial" w:cs="Arial" w:eastAsia="Arial" w:hAnsi="Arial"/>
                <w:sz w:val="16"/>
                <w:szCs w:val="16"/>
                <w:b w:val="1"/>
                <w:bCs w:val="1"/>
                <w:color w:val="auto"/>
                <w:w w:val="91"/>
              </w:rPr>
              <w:t>Weighted</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40" w:type="dxa"/>
            <w:vAlign w:val="bottom"/>
            <w:vMerge w:val="restart"/>
          </w:tcPr>
          <w:p>
            <w:pPr>
              <w:jc w:val="right"/>
              <w:ind w:right="639"/>
              <w:spacing w:after="0"/>
              <w:rPr>
                <w:sz w:val="20"/>
                <w:szCs w:val="20"/>
                <w:color w:val="auto"/>
              </w:rPr>
            </w:pPr>
            <w:r>
              <w:rPr>
                <w:rFonts w:ascii="Arial" w:cs="Arial" w:eastAsia="Arial" w:hAnsi="Arial"/>
                <w:sz w:val="16"/>
                <w:szCs w:val="16"/>
                <w:b w:val="1"/>
                <w:bCs w:val="1"/>
                <w:color w:val="auto"/>
              </w:rPr>
              <w:t>Aggregate</w:t>
            </w:r>
          </w:p>
        </w:tc>
        <w:tc>
          <w:tcPr>
            <w:tcW w:w="0" w:type="dxa"/>
            <w:vAlign w:val="bottom"/>
          </w:tcPr>
          <w:p>
            <w:pPr>
              <w:spacing w:after="0"/>
              <w:rPr>
                <w:sz w:val="1"/>
                <w:szCs w:val="1"/>
                <w:color w:val="auto"/>
              </w:rPr>
            </w:pPr>
          </w:p>
        </w:tc>
      </w:tr>
      <w:tr>
        <w:trPr>
          <w:trHeight w:val="162"/>
        </w:trPr>
        <w:tc>
          <w:tcPr>
            <w:tcW w:w="440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 except fair value</w:t>
            </w:r>
          </w:p>
        </w:tc>
        <w:tc>
          <w:tcPr>
            <w:tcW w:w="21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80" w:type="dxa"/>
            <w:vAlign w:val="bottom"/>
          </w:tcPr>
          <w:p>
            <w:pPr>
              <w:jc w:val="center"/>
              <w:ind w:right="259"/>
              <w:spacing w:after="0" w:line="162" w:lineRule="exact"/>
              <w:rPr>
                <w:sz w:val="20"/>
                <w:szCs w:val="20"/>
                <w:color w:val="auto"/>
              </w:rPr>
            </w:pPr>
            <w:r>
              <w:rPr>
                <w:rFonts w:ascii="Arial" w:cs="Arial" w:eastAsia="Arial" w:hAnsi="Arial"/>
                <w:sz w:val="16"/>
                <w:szCs w:val="16"/>
                <w:b w:val="1"/>
                <w:bCs w:val="1"/>
                <w:color w:val="auto"/>
                <w:w w:val="92"/>
              </w:rPr>
              <w:t>Average Grant</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400" w:type="dxa"/>
            <w:vAlign w:val="bottom"/>
            <w:tcBorders>
              <w:bottom w:val="single" w:sz="8" w:color="auto"/>
            </w:tcBorders>
            <w:vMerge w:val="continue"/>
          </w:tcPr>
          <w:p>
            <w:pPr>
              <w:spacing w:after="0"/>
              <w:rPr>
                <w:sz w:val="18"/>
                <w:szCs w:val="18"/>
                <w:color w:val="auto"/>
              </w:rPr>
            </w:pPr>
          </w:p>
        </w:tc>
        <w:tc>
          <w:tcPr>
            <w:tcW w:w="21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Restricted Stock Units</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center"/>
              <w:ind w:right="259"/>
              <w:spacing w:after="0"/>
              <w:rPr>
                <w:sz w:val="20"/>
                <w:szCs w:val="20"/>
                <w:color w:val="auto"/>
              </w:rPr>
            </w:pPr>
            <w:r>
              <w:rPr>
                <w:rFonts w:ascii="Arial" w:cs="Arial" w:eastAsia="Arial" w:hAnsi="Arial"/>
                <w:sz w:val="16"/>
                <w:szCs w:val="16"/>
                <w:b w:val="1"/>
                <w:bCs w:val="1"/>
                <w:color w:val="auto"/>
                <w:w w:val="95"/>
              </w:rPr>
              <w:t>Date Fair Value</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Intrinsic Value</w:t>
            </w:r>
          </w:p>
        </w:tc>
        <w:tc>
          <w:tcPr>
            <w:tcW w:w="0" w:type="dxa"/>
            <w:vAlign w:val="bottom"/>
          </w:tcPr>
          <w:p>
            <w:pPr>
              <w:spacing w:after="0"/>
              <w:rPr>
                <w:sz w:val="1"/>
                <w:szCs w:val="1"/>
                <w:color w:val="auto"/>
              </w:rPr>
            </w:pPr>
          </w:p>
        </w:tc>
      </w:tr>
      <w:tr>
        <w:trPr>
          <w:trHeight w:val="212"/>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January 1, 2022</w:t>
            </w:r>
          </w:p>
        </w:tc>
        <w:tc>
          <w:tcPr>
            <w:tcW w:w="2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00" w:type="dxa"/>
            <w:vAlign w:val="bottom"/>
          </w:tcPr>
          <w:p>
            <w:pPr>
              <w:ind w:left="360"/>
              <w:spacing w:after="0"/>
              <w:rPr>
                <w:sz w:val="20"/>
                <w:szCs w:val="20"/>
                <w:color w:val="auto"/>
              </w:rPr>
            </w:pPr>
            <w:r>
              <w:rPr>
                <w:rFonts w:ascii="Arial" w:cs="Arial" w:eastAsia="Arial" w:hAnsi="Arial"/>
                <w:sz w:val="16"/>
                <w:szCs w:val="16"/>
                <w:color w:val="auto"/>
              </w:rPr>
              <w:t>Granted</w:t>
            </w:r>
          </w:p>
        </w:tc>
        <w:tc>
          <w:tcPr>
            <w:tcW w:w="2180" w:type="dxa"/>
            <w:vAlign w:val="bottom"/>
          </w:tcPr>
          <w:p>
            <w:pPr>
              <w:jc w:val="right"/>
              <w:spacing w:after="0"/>
              <w:rPr>
                <w:sz w:val="20"/>
                <w:szCs w:val="20"/>
                <w:color w:val="auto"/>
              </w:rPr>
            </w:pPr>
            <w:r>
              <w:rPr>
                <w:rFonts w:ascii="Arial" w:cs="Arial" w:eastAsia="Arial" w:hAnsi="Arial"/>
                <w:sz w:val="16"/>
                <w:szCs w:val="16"/>
                <w:color w:val="auto"/>
              </w:rPr>
              <w:t>356</w:t>
            </w:r>
          </w:p>
        </w:tc>
        <w:tc>
          <w:tcPr>
            <w:tcW w:w="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80" w:type="dxa"/>
            <w:vAlign w:val="bottom"/>
          </w:tcPr>
          <w:p>
            <w:pPr>
              <w:jc w:val="right"/>
              <w:spacing w:after="0"/>
              <w:rPr>
                <w:sz w:val="20"/>
                <w:szCs w:val="20"/>
                <w:color w:val="auto"/>
              </w:rPr>
            </w:pPr>
            <w:r>
              <w:rPr>
                <w:rFonts w:ascii="Arial" w:cs="Arial" w:eastAsia="Arial" w:hAnsi="Arial"/>
                <w:sz w:val="16"/>
                <w:szCs w:val="16"/>
                <w:color w:val="auto"/>
              </w:rPr>
              <w:t>53.47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00" w:type="dxa"/>
            <w:vAlign w:val="bottom"/>
            <w:shd w:val="clear" w:color="auto" w:fill="CCEEFF"/>
          </w:tcPr>
          <w:p>
            <w:pPr>
              <w:ind w:left="360"/>
              <w:spacing w:after="0" w:line="219" w:lineRule="exact"/>
              <w:rPr>
                <w:sz w:val="20"/>
                <w:szCs w:val="20"/>
                <w:color w:val="auto"/>
              </w:rPr>
            </w:pPr>
            <w:r>
              <w:rPr>
                <w:rFonts w:ascii="Arial" w:cs="Arial" w:eastAsia="Arial" w:hAnsi="Arial"/>
                <w:sz w:val="16"/>
                <w:szCs w:val="16"/>
                <w:color w:val="auto"/>
              </w:rPr>
              <w:t xml:space="preserve">Released </w:t>
            </w:r>
            <w:r>
              <w:rPr>
                <w:rFonts w:ascii="Arial" w:cs="Arial" w:eastAsia="Arial" w:hAnsi="Arial"/>
                <w:sz w:val="21"/>
                <w:szCs w:val="21"/>
                <w:color w:val="auto"/>
                <w:vertAlign w:val="superscript"/>
              </w:rPr>
              <w:t>(1)</w:t>
            </w:r>
          </w:p>
        </w:tc>
        <w:tc>
          <w:tcPr>
            <w:tcW w:w="2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8,430</w:t>
            </w:r>
          </w:p>
        </w:tc>
        <w:tc>
          <w:tcPr>
            <w:tcW w:w="0" w:type="dxa"/>
            <w:vAlign w:val="bottom"/>
          </w:tcPr>
          <w:p>
            <w:pPr>
              <w:spacing w:after="0"/>
              <w:rPr>
                <w:sz w:val="1"/>
                <w:szCs w:val="1"/>
                <w:color w:val="auto"/>
              </w:rPr>
            </w:pPr>
          </w:p>
        </w:tc>
      </w:tr>
      <w:tr>
        <w:trPr>
          <w:trHeight w:val="213"/>
        </w:trPr>
        <w:tc>
          <w:tcPr>
            <w:tcW w:w="44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Forfeited</w:t>
            </w: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18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8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June 30, 2022</w:t>
            </w:r>
          </w:p>
        </w:tc>
        <w:tc>
          <w:tcPr>
            <w:tcW w:w="2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584</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0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January 1, 2023</w:t>
            </w:r>
          </w:p>
        </w:tc>
        <w:tc>
          <w:tcPr>
            <w:tcW w:w="2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528</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66.39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00" w:type="dxa"/>
            <w:vAlign w:val="bottom"/>
          </w:tcPr>
          <w:p>
            <w:pPr>
              <w:ind w:left="360"/>
              <w:spacing w:after="0"/>
              <w:rPr>
                <w:sz w:val="20"/>
                <w:szCs w:val="20"/>
                <w:color w:val="auto"/>
              </w:rPr>
            </w:pPr>
            <w:r>
              <w:rPr>
                <w:rFonts w:ascii="Arial" w:cs="Arial" w:eastAsia="Arial" w:hAnsi="Arial"/>
                <w:sz w:val="16"/>
                <w:szCs w:val="16"/>
                <w:color w:val="auto"/>
              </w:rPr>
              <w:t>Granted</w:t>
            </w:r>
          </w:p>
        </w:tc>
        <w:tc>
          <w:tcPr>
            <w:tcW w:w="2180" w:type="dxa"/>
            <w:vAlign w:val="bottom"/>
          </w:tcPr>
          <w:p>
            <w:pPr>
              <w:jc w:val="right"/>
              <w:spacing w:after="0"/>
              <w:rPr>
                <w:sz w:val="20"/>
                <w:szCs w:val="20"/>
                <w:color w:val="auto"/>
              </w:rPr>
            </w:pPr>
            <w:r>
              <w:rPr>
                <w:rFonts w:ascii="Arial" w:cs="Arial" w:eastAsia="Arial" w:hAnsi="Arial"/>
                <w:sz w:val="16"/>
                <w:szCs w:val="16"/>
                <w:color w:val="auto"/>
              </w:rPr>
              <w:t>442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56.37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00" w:type="dxa"/>
            <w:vAlign w:val="bottom"/>
            <w:shd w:val="clear" w:color="auto" w:fill="CCEEFF"/>
          </w:tcPr>
          <w:p>
            <w:pPr>
              <w:ind w:left="360"/>
              <w:spacing w:after="0" w:line="219" w:lineRule="exact"/>
              <w:rPr>
                <w:sz w:val="20"/>
                <w:szCs w:val="20"/>
                <w:color w:val="auto"/>
              </w:rPr>
            </w:pPr>
            <w:r>
              <w:rPr>
                <w:rFonts w:ascii="Arial" w:cs="Arial" w:eastAsia="Arial" w:hAnsi="Arial"/>
                <w:sz w:val="16"/>
                <w:szCs w:val="16"/>
                <w:color w:val="auto"/>
              </w:rPr>
              <w:t xml:space="preserve">Released </w:t>
            </w:r>
            <w:r>
              <w:rPr>
                <w:rFonts w:ascii="Arial" w:cs="Arial" w:eastAsia="Arial" w:hAnsi="Arial"/>
                <w:sz w:val="21"/>
                <w:szCs w:val="21"/>
                <w:color w:val="auto"/>
                <w:vertAlign w:val="superscript"/>
              </w:rPr>
              <w:t>(1)</w:t>
            </w:r>
          </w:p>
        </w:tc>
        <w:tc>
          <w:tcPr>
            <w:tcW w:w="2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72.56</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1,236</w:t>
            </w:r>
          </w:p>
        </w:tc>
        <w:tc>
          <w:tcPr>
            <w:tcW w:w="0" w:type="dxa"/>
            <w:vAlign w:val="bottom"/>
          </w:tcPr>
          <w:p>
            <w:pPr>
              <w:spacing w:after="0"/>
              <w:rPr>
                <w:sz w:val="1"/>
                <w:szCs w:val="1"/>
                <w:color w:val="auto"/>
              </w:rPr>
            </w:pPr>
          </w:p>
        </w:tc>
      </w:tr>
      <w:tr>
        <w:trPr>
          <w:trHeight w:val="213"/>
        </w:trPr>
        <w:tc>
          <w:tcPr>
            <w:tcW w:w="44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Forfeited</w:t>
            </w: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18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63.89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8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June 30, 2023</w:t>
            </w:r>
          </w:p>
        </w:tc>
        <w:tc>
          <w:tcPr>
            <w:tcW w:w="2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729</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58.70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40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Vested but not released, June 30, 2023</w:t>
            </w:r>
          </w:p>
        </w:tc>
        <w:tc>
          <w:tcPr>
            <w:tcW w:w="2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88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1,001</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 w:lineRule="exact"/>
        <w:rPr>
          <w:sz w:val="20"/>
          <w:szCs w:val="20"/>
          <w:color w:val="auto"/>
        </w:rPr>
      </w:pPr>
    </w:p>
    <w:p>
      <w:pPr>
        <w:ind w:left="320" w:hanging="312"/>
        <w:spacing w:after="0"/>
        <w:tabs>
          <w:tab w:leader="none" w:pos="320" w:val="left"/>
        </w:tabs>
        <w:numPr>
          <w:ilvl w:val="0"/>
          <w:numId w:val="4"/>
        </w:numPr>
        <w:rPr>
          <w:rFonts w:ascii="Arial" w:cs="Arial" w:eastAsia="Arial" w:hAnsi="Arial"/>
          <w:sz w:val="21"/>
          <w:szCs w:val="21"/>
          <w:color w:val="auto"/>
          <w:vertAlign w:val="superscript"/>
        </w:rPr>
      </w:pPr>
      <w:r>
        <w:rPr>
          <w:rFonts w:ascii="Arial" w:cs="Arial" w:eastAsia="Arial" w:hAnsi="Arial"/>
          <w:sz w:val="16"/>
          <w:szCs w:val="16"/>
          <w:color w:val="auto"/>
        </w:rPr>
        <w:t>Shares released is presented as gross shares and does not reflect shares withheld by us for employee payroll tax obligations.</w:t>
      </w:r>
    </w:p>
    <w:p>
      <w:pPr>
        <w:spacing w:after="0" w:line="23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At June 30, 2023, total unrecognized compensation expense on restricted stock units was $43.3 million, which is expected to be recognized over a weighted average period of approximately 1.9 years.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The weighted average assumptions used to estimate the fair value of performance-based restricted stock units granted with a service and market condition and the resulting weighted average fair value are as follows:</w:t>
      </w:r>
    </w:p>
    <w:tbl>
      <w:tblPr>
        <w:tblLayout w:type="fixed"/>
        <w:tblInd w:w="0" w:type="dxa"/>
        <w:tblCellMar>
          <w:top w:w="0" w:type="dxa"/>
          <w:left w:w="0" w:type="dxa"/>
          <w:bottom w:w="0" w:type="dxa"/>
          <w:right w:w="0" w:type="dxa"/>
        </w:tblCellMar>
      </w:tblPr>
      <w:tr>
        <w:trPr>
          <w:trHeight w:val="213"/>
        </w:trPr>
        <w:tc>
          <w:tcPr>
            <w:tcW w:w="7640" w:type="dxa"/>
            <w:vAlign w:val="bottom"/>
          </w:tcPr>
          <w:p>
            <w:pPr>
              <w:spacing w:after="0"/>
              <w:rPr>
                <w:sz w:val="18"/>
                <w:szCs w:val="18"/>
                <w:color w:val="auto"/>
              </w:rPr>
            </w:pPr>
          </w:p>
        </w:tc>
        <w:tc>
          <w:tcPr>
            <w:tcW w:w="296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6"/>
                <w:szCs w:val="16"/>
                <w:b w:val="1"/>
                <w:bCs w:val="1"/>
                <w:color w:val="auto"/>
              </w:rPr>
              <w:t>Six Months Ended June 30,</w:t>
            </w:r>
          </w:p>
        </w:tc>
        <w:tc>
          <w:tcPr>
            <w:tcW w:w="640" w:type="dxa"/>
            <w:vAlign w:val="bottom"/>
            <w:tcBorders>
              <w:bottom w:val="single" w:sz="8" w:color="auto"/>
            </w:tcBorders>
          </w:tcPr>
          <w:p>
            <w:pPr>
              <w:spacing w:after="0"/>
              <w:rPr>
                <w:sz w:val="18"/>
                <w:szCs w:val="18"/>
                <w:color w:val="auto"/>
              </w:rPr>
            </w:pPr>
          </w:p>
        </w:tc>
      </w:tr>
      <w:tr>
        <w:trPr>
          <w:trHeight w:val="210"/>
        </w:trPr>
        <w:tc>
          <w:tcPr>
            <w:tcW w:w="76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2023</w:t>
            </w:r>
          </w:p>
        </w:tc>
        <w:tc>
          <w:tcPr>
            <w:tcW w:w="64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2022</w:t>
            </w:r>
          </w:p>
        </w:tc>
        <w:tc>
          <w:tcPr>
            <w:tcW w:w="640" w:type="dxa"/>
            <w:vAlign w:val="bottom"/>
          </w:tcPr>
          <w:p>
            <w:pPr>
              <w:spacing w:after="0"/>
              <w:rPr>
                <w:sz w:val="18"/>
                <w:szCs w:val="18"/>
                <w:color w:val="auto"/>
              </w:rPr>
            </w:pPr>
          </w:p>
        </w:tc>
      </w:tr>
      <w:tr>
        <w:trPr>
          <w:trHeight w:val="212"/>
        </w:trPr>
        <w:tc>
          <w:tcPr>
            <w:tcW w:w="7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Expected volatility</w:t>
            </w:r>
          </w:p>
        </w:tc>
        <w:tc>
          <w:tcPr>
            <w:tcW w:w="1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50.0 %</w:t>
            </w: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55.7 %</w:t>
            </w:r>
          </w:p>
        </w:tc>
      </w:tr>
      <w:tr>
        <w:trPr>
          <w:trHeight w:val="213"/>
        </w:trPr>
        <w:tc>
          <w:tcPr>
            <w:tcW w:w="7640" w:type="dxa"/>
            <w:vAlign w:val="bottom"/>
          </w:tcPr>
          <w:p>
            <w:pPr>
              <w:ind w:left="20"/>
              <w:spacing w:after="0"/>
              <w:rPr>
                <w:sz w:val="20"/>
                <w:szCs w:val="20"/>
                <w:color w:val="auto"/>
              </w:rPr>
            </w:pPr>
            <w:r>
              <w:rPr>
                <w:rFonts w:ascii="Arial" w:cs="Arial" w:eastAsia="Arial" w:hAnsi="Arial"/>
                <w:sz w:val="16"/>
                <w:szCs w:val="16"/>
                <w:color w:val="auto"/>
              </w:rPr>
              <w:t>Risk-free interest rate</w:t>
            </w:r>
          </w:p>
        </w:tc>
        <w:tc>
          <w:tcPr>
            <w:tcW w:w="1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4.6 %</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1.7 %</w:t>
            </w:r>
          </w:p>
        </w:tc>
      </w:tr>
      <w:tr>
        <w:trPr>
          <w:trHeight w:val="219"/>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term (years)</w:t>
            </w:r>
          </w:p>
        </w:tc>
        <w:tc>
          <w:tcPr>
            <w:tcW w:w="1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r>
      <w:tr>
        <w:trPr>
          <w:trHeight w:val="243"/>
        </w:trPr>
        <w:tc>
          <w:tcPr>
            <w:tcW w:w="76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40" w:type="dxa"/>
            <w:vAlign w:val="bottom"/>
          </w:tcPr>
          <w:p>
            <w:pPr>
              <w:spacing w:after="0"/>
              <w:rPr>
                <w:sz w:val="21"/>
                <w:szCs w:val="21"/>
                <w:color w:val="auto"/>
              </w:rPr>
            </w:pPr>
          </w:p>
        </w:tc>
      </w:tr>
      <w:tr>
        <w:trPr>
          <w:trHeight w:val="216"/>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fair value</w:t>
            </w:r>
          </w:p>
        </w:tc>
        <w:tc>
          <w:tcPr>
            <w:tcW w:w="110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59.52</w:t>
            </w:r>
          </w:p>
        </w:tc>
        <w:tc>
          <w:tcPr>
            <w:tcW w:w="1220" w:type="dxa"/>
            <w:vAlign w:val="bottom"/>
            <w:gridSpan w:val="2"/>
            <w:shd w:val="clear" w:color="auto" w:fill="CCEEFF"/>
          </w:tcPr>
          <w:p>
            <w:pPr>
              <w:jc w:val="right"/>
              <w:ind w:right="100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57.88</w:t>
            </w: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Income Taxes</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determine the interim tax benefit (provision) by applying an estimate of the annual effective tax rate to the year-to-date pretax book income (loss) and adjusting for discrete items during the reporting period, if any. Tax jurisdictions with losses for which tax benefits cannot be realized, as well as significant unusual or infrequently occurring items that are separately reported, are excluded from the annual effective tax rate.</w:t>
      </w:r>
    </w:p>
    <w:p>
      <w:pPr>
        <w:spacing w:after="0" w:line="1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tax rate for the three and six months ended June 30, 2023 of 27% and 41%, respectively, differed from the federal statutory rate of 21% due to the impact of valuation allowances on deferred tax assets, the forecasted mix of earnings in domestic and international jurisdictions, U.S. taxation of foreign earnings including GILTI (Global Intangible Low Taxed Income) tax, net of Section 250 deduction (largely driven by research and development capitalization), Subpart F income, an expense related to stock-based compensation, tax credits, and uncertain tax positions.</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tax rate for the three and six months ended June 30, 2022 of (2)% and (14)%, respectively, differed from the federal statutory rate of 21% due to the impact of valuation allowances on deferred tax assets, the forecasted mix of earnings in domestic and international jurisdictions, GILTI (Global Intangible Low-Taxed Income) and Subpart F tax, net of Section 250 deduction (largely driven by research and development capitalization), discrete tax expense related to the Dresser divestiture, a discrete tax benefit due to goodwill impairment, an expense related to stock-based compensation, tax credits, and uncertain tax positions.</w:t>
      </w:r>
    </w:p>
    <w:p>
      <w:pPr>
        <w:spacing w:after="0" w:line="21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Beginning January 1, 2022, the Tax Cuts and Jobs Act of 2017 eliminated the option to deduct research and development expenditures currently and requires taxpayers to capitalize and amortize them over five or fifteen years, dependent upon the geography in which the expenditures are incurred. Although Congress has considered legislation that would defer, modify, or repeal the capitalization and amortization requirement, as of quarter end no such deferral has been passed. The income tax provision has been prepared according to currently enacted tax legislation.</w:t>
      </w:r>
    </w:p>
    <w:p>
      <w:pPr>
        <w:spacing w:after="0" w:line="198" w:lineRule="exact"/>
        <w:rPr>
          <w:sz w:val="20"/>
          <w:szCs w:val="20"/>
          <w:color w:val="auto"/>
        </w:rPr>
      </w:pPr>
    </w:p>
    <w:p>
      <w:pPr>
        <w:jc w:val="both"/>
        <w:spacing w:after="0" w:line="308" w:lineRule="auto"/>
        <w:rPr>
          <w:sz w:val="20"/>
          <w:szCs w:val="20"/>
          <w:color w:val="auto"/>
        </w:rPr>
      </w:pPr>
      <w:r>
        <w:rPr>
          <w:rFonts w:ascii="Arial" w:cs="Arial" w:eastAsia="Arial" w:hAnsi="Arial"/>
          <w:sz w:val="16"/>
          <w:szCs w:val="16"/>
          <w:color w:val="auto"/>
        </w:rPr>
        <w:t>In August 2022, the Inflation Reduction Act was signed into law, which made a number of changes to the Internal Revenue Code, including adding a 1% excise tax on stock buybacks by publicly traded corporations and a 15% minimum tax on adjusted financial statement income of certain large companies.</w:t>
      </w:r>
    </w:p>
    <w:p>
      <w:pPr>
        <w:jc w:val="both"/>
        <w:spacing w:after="0" w:line="277" w:lineRule="auto"/>
        <w:rPr>
          <w:sz w:val="20"/>
          <w:szCs w:val="20"/>
          <w:color w:val="auto"/>
        </w:rPr>
      </w:pPr>
      <w:r>
        <w:rPr>
          <w:rFonts w:ascii="Arial" w:cs="Arial" w:eastAsia="Arial" w:hAnsi="Arial"/>
          <w:sz w:val="18"/>
          <w:szCs w:val="18"/>
          <w:color w:val="auto"/>
        </w:rPr>
        <w:t>We are subject to the new 1% excise tax beginning January 1, 2023, but the amount will vary depending upon various factors. The 15% minimum tax only applies to corporations with average book income in excess of $1 billion, therefore it is not currently applicable.</w:t>
      </w:r>
    </w:p>
    <w:p>
      <w:pPr>
        <w:spacing w:after="0" w:line="19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Organization for Economic Cooperation and Development (OECD) Pillar 2 global minimum tax rules are intended to apply for tax years beginning in 2024. On February 1, 2023, the FASB staff noted that they believe that the Pillar 2 tax would be an alternative minimum tax and therefore deferred tax assets would not need to be recognized related to this parallel taxing system. On February 2, 2023, the OECD issued administrative guidance providing transition and safe harbor rules around the implementation of the Pillar 2 global minimum tax. Under a transitional safe harbor released July 17, 2023, the undertaxed profits rule (UTPR) top-up tax in the jurisdiction of a company's ultimate parent entity will be zero for each fiscal year of the transition period, if that jurisdiction has a corporate tax rate of at least 20%. The safe harbor transition period will apply to fiscal years beginning on or before December 31, 2025 and ending before December 31, 2026. The Company is closely monitoring developments and evaluating the impacts these new rules will have on our tax rate, including eligibility to qualify for these safe harbor rules.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We classify interest expense and penalties related to unrecognized tax liabilities and interest income on tax overpayments as components of income tax expense. The net interest and penalties expense amounts recognized were as follows:</w:t>
      </w:r>
    </w:p>
    <w:tbl>
      <w:tblPr>
        <w:tblLayout w:type="fixed"/>
        <w:tblInd w:w="0" w:type="dxa"/>
        <w:tblCellMar>
          <w:top w:w="0" w:type="dxa"/>
          <w:left w:w="0" w:type="dxa"/>
          <w:bottom w:w="0" w:type="dxa"/>
          <w:right w:w="0" w:type="dxa"/>
        </w:tblCellMar>
      </w:tblPr>
      <w:tr>
        <w:trPr>
          <w:trHeight w:val="210"/>
        </w:trPr>
        <w:tc>
          <w:tcPr>
            <w:tcW w:w="4360" w:type="dxa"/>
            <w:vAlign w:val="bottom"/>
          </w:tcPr>
          <w:p>
            <w:pPr>
              <w:spacing w:after="0"/>
              <w:rPr>
                <w:sz w:val="18"/>
                <w:szCs w:val="18"/>
                <w:color w:val="auto"/>
              </w:rPr>
            </w:pPr>
          </w:p>
        </w:tc>
        <w:tc>
          <w:tcPr>
            <w:tcW w:w="2900" w:type="dxa"/>
            <w:vAlign w:val="bottom"/>
            <w:tcBorders>
              <w:bottom w:val="single" w:sz="8" w:color="auto"/>
            </w:tcBorders>
            <w:gridSpan w:val="4"/>
          </w:tcPr>
          <w:p>
            <w:pPr>
              <w:ind w:left="660"/>
              <w:spacing w:after="0"/>
              <w:rPr>
                <w:sz w:val="20"/>
                <w:szCs w:val="20"/>
                <w:color w:val="auto"/>
              </w:rPr>
            </w:pPr>
            <w:r>
              <w:rPr>
                <w:rFonts w:ascii="Arial" w:cs="Arial" w:eastAsia="Arial" w:hAnsi="Arial"/>
                <w:sz w:val="16"/>
                <w:szCs w:val="16"/>
                <w:b w:val="1"/>
                <w:bCs w:val="1"/>
                <w:color w:val="auto"/>
                <w:w w:val="97"/>
              </w:rPr>
              <w:t>Three Months Ended June 30,</w:t>
            </w:r>
          </w:p>
        </w:tc>
        <w:tc>
          <w:tcPr>
            <w:tcW w:w="4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4"/>
          </w:tcPr>
          <w:p>
            <w:pPr>
              <w:jc w:val="right"/>
              <w:ind w:right="659"/>
              <w:spacing w:after="0"/>
              <w:rPr>
                <w:sz w:val="20"/>
                <w:szCs w:val="20"/>
                <w:color w:val="auto"/>
              </w:rPr>
            </w:pPr>
            <w:r>
              <w:rPr>
                <w:rFonts w:ascii="Arial" w:cs="Arial" w:eastAsia="Arial" w:hAnsi="Arial"/>
                <w:sz w:val="16"/>
                <w:szCs w:val="16"/>
                <w:b w:val="1"/>
                <w:bCs w:val="1"/>
                <w:color w:val="auto"/>
              </w:rPr>
              <w:t>Six Months Ended June 30,</w:t>
            </w:r>
          </w:p>
        </w:tc>
      </w:tr>
      <w:tr>
        <w:trPr>
          <w:trHeight w:val="213"/>
        </w:trPr>
        <w:tc>
          <w:tcPr>
            <w:tcW w:w="43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1160" w:type="dxa"/>
            <w:vAlign w:val="bottom"/>
            <w:tcBorders>
              <w:bottom w:val="single" w:sz="8" w:color="auto"/>
            </w:tcBorders>
          </w:tcPr>
          <w:p>
            <w:pPr>
              <w:ind w:left="660"/>
              <w:spacing w:after="0"/>
              <w:rPr>
                <w:sz w:val="20"/>
                <w:szCs w:val="20"/>
                <w:color w:val="auto"/>
              </w:rPr>
            </w:pPr>
            <w:r>
              <w:rPr>
                <w:rFonts w:ascii="Arial" w:cs="Arial" w:eastAsia="Arial" w:hAnsi="Arial"/>
                <w:sz w:val="16"/>
                <w:szCs w:val="16"/>
                <w:b w:val="1"/>
                <w:bCs w:val="1"/>
                <w:color w:val="auto"/>
              </w:rPr>
              <w:t>2023</w:t>
            </w:r>
          </w:p>
        </w:tc>
        <w:tc>
          <w:tcPr>
            <w:tcW w:w="4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2022</w:t>
            </w:r>
          </w:p>
        </w:tc>
        <w:tc>
          <w:tcPr>
            <w:tcW w:w="4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2022</w:t>
            </w:r>
          </w:p>
        </w:tc>
      </w:tr>
      <w:tr>
        <w:trPr>
          <w:trHeight w:val="212"/>
        </w:trPr>
        <w:tc>
          <w:tcPr>
            <w:tcW w:w="4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interest and penalties expense</w:t>
            </w:r>
          </w:p>
        </w:tc>
        <w:tc>
          <w:tcPr>
            <w:tcW w:w="1160" w:type="dxa"/>
            <w:vAlign w:val="bottom"/>
            <w:shd w:val="clear" w:color="auto" w:fill="CCEEFF"/>
          </w:tcPr>
          <w:p>
            <w:pPr>
              <w:jc w:val="right"/>
              <w:ind w:right="979"/>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556</w:t>
            </w:r>
          </w:p>
        </w:tc>
        <w:tc>
          <w:tcPr>
            <w:tcW w:w="1260" w:type="dxa"/>
            <w:vAlign w:val="bottom"/>
            <w:gridSpan w:val="2"/>
            <w:shd w:val="clear" w:color="auto" w:fill="CCEEFF"/>
          </w:tcPr>
          <w:p>
            <w:pPr>
              <w:jc w:val="right"/>
              <w:ind w:right="959"/>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806</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616</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Accrued interest and penalties recognized were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98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31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June 30, 2023</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December 31, 2022</w:t>
            </w:r>
          </w:p>
        </w:tc>
      </w:tr>
      <w:tr>
        <w:trPr>
          <w:trHeight w:val="213"/>
        </w:trPr>
        <w:tc>
          <w:tcPr>
            <w:tcW w:w="3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interest</w:t>
            </w:r>
          </w:p>
        </w:tc>
        <w:tc>
          <w:tcPr>
            <w:tcW w:w="31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8,633</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7,575</w:t>
            </w:r>
          </w:p>
        </w:tc>
      </w:tr>
      <w:tr>
        <w:trPr>
          <w:trHeight w:val="210"/>
        </w:trPr>
        <w:tc>
          <w:tcPr>
            <w:tcW w:w="3980" w:type="dxa"/>
            <w:vAlign w:val="bottom"/>
          </w:tcPr>
          <w:p>
            <w:pPr>
              <w:ind w:left="20"/>
              <w:spacing w:after="0"/>
              <w:rPr>
                <w:sz w:val="20"/>
                <w:szCs w:val="20"/>
                <w:color w:val="auto"/>
              </w:rPr>
            </w:pPr>
            <w:r>
              <w:rPr>
                <w:rFonts w:ascii="Arial" w:cs="Arial" w:eastAsia="Arial" w:hAnsi="Arial"/>
                <w:sz w:val="16"/>
                <w:szCs w:val="16"/>
                <w:color w:val="auto"/>
              </w:rPr>
              <w:t>Accrued penalties</w:t>
            </w:r>
          </w:p>
        </w:tc>
        <w:tc>
          <w:tcPr>
            <w:tcW w:w="314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464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567</w:t>
            </w:r>
          </w:p>
        </w:tc>
      </w:tr>
    </w:tbl>
    <w:p>
      <w:pPr>
        <w:spacing w:after="0" w:line="316"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Unrecognized tax benefits related to uncertain tax positions and the amount of unrecognized tax benefits that, if recognized, would affect our effective tax rate were as follows:</w:t>
      </w:r>
    </w:p>
    <w:tbl>
      <w:tblPr>
        <w:tblLayout w:type="fixed"/>
        <w:tblInd w:w="0" w:type="dxa"/>
        <w:tblCellMar>
          <w:top w:w="0" w:type="dxa"/>
          <w:left w:w="0" w:type="dxa"/>
          <w:bottom w:w="0" w:type="dxa"/>
          <w:right w:w="0" w:type="dxa"/>
        </w:tblCellMar>
      </w:tblPr>
      <w:tr>
        <w:trPr>
          <w:trHeight w:val="213"/>
        </w:trPr>
        <w:tc>
          <w:tcPr>
            <w:tcW w:w="648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6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June 30, 2023</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December 31, 2022</w:t>
            </w:r>
          </w:p>
        </w:tc>
      </w:tr>
      <w:tr>
        <w:trPr>
          <w:trHeight w:val="213"/>
        </w:trPr>
        <w:tc>
          <w:tcPr>
            <w:tcW w:w="6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Unrecognized tax benefits related to uncertain tax positions</w:t>
            </w:r>
          </w:p>
        </w:tc>
        <w:tc>
          <w:tcPr>
            <w:tcW w:w="6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126,045</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130,144</w:t>
            </w:r>
          </w:p>
        </w:tc>
      </w:tr>
      <w:tr>
        <w:trPr>
          <w:trHeight w:val="210"/>
        </w:trPr>
        <w:tc>
          <w:tcPr>
            <w:tcW w:w="6480" w:type="dxa"/>
            <w:vAlign w:val="bottom"/>
          </w:tcPr>
          <w:p>
            <w:pPr>
              <w:ind w:left="20"/>
              <w:spacing w:after="0"/>
              <w:rPr>
                <w:sz w:val="20"/>
                <w:szCs w:val="20"/>
                <w:color w:val="auto"/>
              </w:rPr>
            </w:pPr>
            <w:r>
              <w:rPr>
                <w:rFonts w:ascii="Arial" w:cs="Arial" w:eastAsia="Arial" w:hAnsi="Arial"/>
                <w:sz w:val="16"/>
                <w:szCs w:val="16"/>
                <w:color w:val="auto"/>
                <w:w w:val="96"/>
              </w:rPr>
              <w:t>The amount of unrecognized tax benefits that, if recognized, would affect our effective tax rate</w:t>
            </w:r>
          </w:p>
        </w:tc>
        <w:tc>
          <w:tcPr>
            <w:tcW w:w="64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126,038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130,137</w:t>
            </w:r>
          </w:p>
        </w:tc>
      </w:tr>
    </w:tbl>
    <w:p>
      <w:pPr>
        <w:spacing w:after="0" w:line="3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June 30, 2023, we are under examination by certain tax authorities. We believe we have appropriately accrued for the expected outcome of all tax matters and do not currently anticipate that the ultimate resolution of these examinations will have a material adverse effect on our financial condition, future results of operations, or cash flows.</w:t>
      </w:r>
    </w:p>
    <w:p>
      <w:pPr>
        <w:spacing w:after="0" w:line="21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Based upon the timing and outcome of examinations, litigation, the impact of legislative, regulatory, and judicial developments, and the impact of these items on the statute of limitations, it is reasonably possible that the related unrecognized tax benefits could change from those recognized within the next 12 months. However, at this time, an estimate of the range of reasonably possible adjustments to the balance of unrecognized tax benefits cannot be made.</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file income tax returns in various jurisdictions. The material jurisdictions where we are subject to examination include, among others, the United States, France, Germany, Italy, Indonesia, and the United Kingdom.</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6"/>
          <w:szCs w:val="16"/>
          <w:b w:val="1"/>
          <w:bCs w:val="1"/>
          <w:color w:val="auto"/>
        </w:rPr>
        <w:t>Commitments and Contingencies</w:t>
      </w:r>
    </w:p>
    <w:p>
      <w:pPr>
        <w:spacing w:after="0" w:line="25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Guarantees and Indemnifications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often required to obtain standby letters of credit (LOCs) or bonds in support of our obligations for customer contracts. These standby LOCs or bonds typically provide a guarantee to the customer for our future performance, which usually covers the installation phase of a contract and may, on occasion, cover the operations and maintenance phase of outsourcing contracts.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Our available lines of credit, outstanding standby LOCs, and bonds were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3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June 30, 2023</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December 31, 2022</w:t>
            </w:r>
          </w:p>
        </w:tc>
      </w:tr>
      <w:tr>
        <w:trPr>
          <w:trHeight w:val="209"/>
        </w:trPr>
        <w:tc>
          <w:tcPr>
            <w:tcW w:w="6760" w:type="dxa"/>
            <w:vAlign w:val="bottom"/>
          </w:tcPr>
          <w:p>
            <w:pPr>
              <w:ind w:left="20"/>
              <w:spacing w:after="0"/>
              <w:rPr>
                <w:sz w:val="20"/>
                <w:szCs w:val="20"/>
                <w:color w:val="auto"/>
              </w:rPr>
            </w:pPr>
            <w:r>
              <w:rPr>
                <w:rFonts w:ascii="Arial" w:cs="Arial" w:eastAsia="Arial" w:hAnsi="Arial"/>
                <w:sz w:val="16"/>
                <w:szCs w:val="16"/>
                <w:color w:val="auto"/>
              </w:rPr>
              <w:t>Credit facility</w:t>
            </w:r>
          </w:p>
        </w:tc>
        <w:tc>
          <w:tcPr>
            <w:tcW w:w="3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19"/>
        </w:trPr>
        <w:tc>
          <w:tcPr>
            <w:tcW w:w="67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Multicurrency revolving line of credit</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500,000</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500,000</w:t>
            </w:r>
          </w:p>
        </w:tc>
      </w:tr>
      <w:tr>
        <w:trPr>
          <w:trHeight w:val="213"/>
        </w:trPr>
        <w:tc>
          <w:tcPr>
            <w:tcW w:w="6760" w:type="dxa"/>
            <w:vAlign w:val="bottom"/>
          </w:tcPr>
          <w:p>
            <w:pPr>
              <w:ind w:left="360"/>
              <w:spacing w:after="0"/>
              <w:rPr>
                <w:sz w:val="20"/>
                <w:szCs w:val="20"/>
                <w:color w:val="auto"/>
              </w:rPr>
            </w:pPr>
            <w:r>
              <w:rPr>
                <w:rFonts w:ascii="Arial" w:cs="Arial" w:eastAsia="Arial" w:hAnsi="Arial"/>
                <w:sz w:val="16"/>
                <w:szCs w:val="16"/>
                <w:color w:val="auto"/>
              </w:rPr>
              <w:t>Standby LOCs issued and outstanding</w:t>
            </w:r>
          </w:p>
        </w:tc>
        <w:tc>
          <w:tcPr>
            <w:tcW w:w="3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(61,555)</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(55,990)</w:t>
            </w:r>
          </w:p>
        </w:tc>
      </w:tr>
      <w:tr>
        <w:trPr>
          <w:trHeight w:val="229"/>
        </w:trPr>
        <w:tc>
          <w:tcPr>
            <w:tcW w:w="67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Net available for additional borrowings under the multicurrency revolving line of credit</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438,445</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444,010</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r>
      <w:tr>
        <w:trPr>
          <w:trHeight w:val="207"/>
        </w:trPr>
        <w:tc>
          <w:tcPr>
            <w:tcW w:w="6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233"/>
        </w:trPr>
        <w:tc>
          <w:tcPr>
            <w:tcW w:w="67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available for additional standby LOCs under sub-facility</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238,445</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244,010</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r>
      <w:tr>
        <w:trPr>
          <w:trHeight w:val="193"/>
        </w:trPr>
        <w:tc>
          <w:tcPr>
            <w:tcW w:w="6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20" w:type="dxa"/>
            <w:vAlign w:val="bottom"/>
          </w:tcPr>
          <w:p>
            <w:pPr>
              <w:spacing w:after="0"/>
              <w:rPr>
                <w:sz w:val="16"/>
                <w:szCs w:val="16"/>
                <w:color w:val="auto"/>
              </w:rPr>
            </w:pPr>
          </w:p>
        </w:tc>
      </w:tr>
      <w:tr>
        <w:trPr>
          <w:trHeight w:val="216"/>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Unsecured multicurrency revolving lines of credit with various financial institutions</w:t>
            </w:r>
          </w:p>
        </w:tc>
        <w:tc>
          <w:tcPr>
            <w:tcW w:w="3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r>
      <w:tr>
        <w:trPr>
          <w:trHeight w:val="213"/>
        </w:trPr>
        <w:tc>
          <w:tcPr>
            <w:tcW w:w="6760" w:type="dxa"/>
            <w:vAlign w:val="bottom"/>
          </w:tcPr>
          <w:p>
            <w:pPr>
              <w:ind w:left="360"/>
              <w:spacing w:after="0"/>
              <w:rPr>
                <w:sz w:val="20"/>
                <w:szCs w:val="20"/>
                <w:color w:val="auto"/>
              </w:rPr>
            </w:pPr>
            <w:r>
              <w:rPr>
                <w:rFonts w:ascii="Arial" w:cs="Arial" w:eastAsia="Arial" w:hAnsi="Arial"/>
                <w:sz w:val="16"/>
                <w:szCs w:val="16"/>
                <w:color w:val="auto"/>
              </w:rPr>
              <w:t>Multicurrency revolving lines of credit</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820" w:type="dxa"/>
            <w:vAlign w:val="bottom"/>
          </w:tcPr>
          <w:p>
            <w:pPr>
              <w:jc w:val="right"/>
              <w:spacing w:after="0"/>
              <w:rPr>
                <w:sz w:val="20"/>
                <w:szCs w:val="20"/>
                <w:color w:val="auto"/>
              </w:rPr>
            </w:pPr>
            <w:r>
              <w:rPr>
                <w:rFonts w:ascii="Arial" w:cs="Arial" w:eastAsia="Arial" w:hAnsi="Arial"/>
                <w:sz w:val="16"/>
                <w:szCs w:val="16"/>
                <w:color w:val="auto"/>
              </w:rPr>
              <w:t>85,513</w:t>
            </w: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920" w:type="dxa"/>
            <w:vAlign w:val="bottom"/>
          </w:tcPr>
          <w:p>
            <w:pPr>
              <w:jc w:val="right"/>
              <w:spacing w:after="0"/>
              <w:rPr>
                <w:sz w:val="20"/>
                <w:szCs w:val="20"/>
                <w:color w:val="auto"/>
              </w:rPr>
            </w:pPr>
            <w:r>
              <w:rPr>
                <w:rFonts w:ascii="Arial" w:cs="Arial" w:eastAsia="Arial" w:hAnsi="Arial"/>
                <w:sz w:val="16"/>
                <w:szCs w:val="16"/>
                <w:color w:val="auto"/>
              </w:rPr>
              <w:t>81,781</w:t>
            </w:r>
          </w:p>
        </w:tc>
      </w:tr>
      <w:tr>
        <w:trPr>
          <w:trHeight w:val="219"/>
        </w:trPr>
        <w:tc>
          <w:tcPr>
            <w:tcW w:w="67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Standby LOCs issued and outstanding</w:t>
            </w:r>
          </w:p>
        </w:tc>
        <w:tc>
          <w:tcPr>
            <w:tcW w:w="3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(18,820)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(22,530)</w:t>
            </w:r>
          </w:p>
        </w:tc>
      </w:tr>
      <w:tr>
        <w:trPr>
          <w:trHeight w:val="216"/>
        </w:trPr>
        <w:tc>
          <w:tcPr>
            <w:tcW w:w="6760" w:type="dxa"/>
            <w:vAlign w:val="bottom"/>
          </w:tcPr>
          <w:p>
            <w:pPr>
              <w:ind w:left="360"/>
              <w:spacing w:after="0"/>
              <w:rPr>
                <w:sz w:val="20"/>
                <w:szCs w:val="20"/>
                <w:color w:val="auto"/>
              </w:rPr>
            </w:pPr>
            <w:r>
              <w:rPr>
                <w:rFonts w:ascii="Arial" w:cs="Arial" w:eastAsia="Arial" w:hAnsi="Arial"/>
                <w:sz w:val="16"/>
                <w:szCs w:val="16"/>
                <w:color w:val="auto"/>
              </w:rPr>
              <w:t>Short-term borrowings</w:t>
            </w:r>
          </w:p>
        </w:tc>
        <w:tc>
          <w:tcPr>
            <w:tcW w:w="3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27"/>
        </w:trPr>
        <w:tc>
          <w:tcPr>
            <w:tcW w:w="67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Net available for additional borrowings and LOCs</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66,693</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59,251</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r>
      <w:tr>
        <w:trPr>
          <w:trHeight w:val="206"/>
        </w:trPr>
        <w:tc>
          <w:tcPr>
            <w:tcW w:w="6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233"/>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Unsecured surety bonds in force</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271,202</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285,754</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event any such standby LOC or bond were called, we would be obligated to reimburse the issuer of the standby LOC or bond; however, as of August 3, 2023, we do not believe any outstanding standby LOCs or bonds will be called.</w:t>
      </w:r>
    </w:p>
    <w:p>
      <w:pPr>
        <w:spacing w:after="0" w:line="1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generally provide an indemnification related to the infringement of any patent, copyright, trademark, or other intellectual property right on software or equipment within our sales contracts, which indemnifies the customer from, and pays the resulting costs, damages, and attorney's fees awarded against a customer with respect to, such a claim provided that (a) the customer promptly notifies us in writing of the claim and (b) we have the sole control of the defense and all related settlement negotiations. We may also provide an indemnification to our customers for third-party claims resulting from damages caused by the negligence or willful misconduct of our employees/agents in connection with the performance of certain contracts. The terms of our indemnifications generally do not limit the maximum potential payments. It is not possible to predict the maximum potential amount of future payments under these or similar agreements.</w:t>
      </w:r>
    </w:p>
    <w:p>
      <w:pPr>
        <w:spacing w:after="0" w:line="22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Legal Matters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subject to various legal proceedings and claims of which the outcomes are subject to significant uncertainty. Our policy is to assess the likelihood of any adverse judgments or outcomes related to legal matters, as well as ranges of probable losses. A determination of the amount of the liability required, if any, for these contingencies is made after an analysis of each known issue. A liability would be recognized and charged to operating expense when we determine that a loss is probable and the amount can be reasonably estimated. Additionally, we disclose contingencies for which a material loss is reasonably possible, but not probable.</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Warranty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warranty accrual account activity is as follows: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4"/>
          </w:tcPr>
          <w:p>
            <w:pPr>
              <w:jc w:val="right"/>
              <w:ind w:right="559"/>
              <w:spacing w:after="0"/>
              <w:rPr>
                <w:sz w:val="20"/>
                <w:szCs w:val="20"/>
                <w:color w:val="auto"/>
              </w:rPr>
            </w:pPr>
            <w:r>
              <w:rPr>
                <w:rFonts w:ascii="Arial" w:cs="Arial" w:eastAsia="Arial" w:hAnsi="Arial"/>
                <w:sz w:val="16"/>
                <w:szCs w:val="16"/>
                <w:b w:val="1"/>
                <w:bCs w:val="1"/>
                <w:color w:val="auto"/>
              </w:rPr>
              <w:t>Three Months Ended June 30,</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4"/>
          </w:tcPr>
          <w:p>
            <w:pPr>
              <w:jc w:val="right"/>
              <w:ind w:right="659"/>
              <w:spacing w:after="0"/>
              <w:rPr>
                <w:sz w:val="20"/>
                <w:szCs w:val="20"/>
                <w:color w:val="auto"/>
              </w:rPr>
            </w:pPr>
            <w:r>
              <w:rPr>
                <w:rFonts w:ascii="Arial" w:cs="Arial" w:eastAsia="Arial" w:hAnsi="Arial"/>
                <w:sz w:val="16"/>
                <w:szCs w:val="16"/>
                <w:b w:val="1"/>
                <w:bCs w:val="1"/>
                <w:color w:val="auto"/>
              </w:rPr>
              <w:t>Six Months Ended June 30,</w:t>
            </w:r>
          </w:p>
        </w:tc>
      </w:tr>
      <w:tr>
        <w:trPr>
          <w:trHeight w:val="213"/>
        </w:trPr>
        <w:tc>
          <w:tcPr>
            <w:tcW w:w="43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2022</w:t>
            </w:r>
          </w:p>
        </w:tc>
      </w:tr>
      <w:tr>
        <w:trPr>
          <w:trHeight w:val="212"/>
        </w:trPr>
        <w:tc>
          <w:tcPr>
            <w:tcW w:w="4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balance</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24,831</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30,835</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25,698</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32,022</w:t>
            </w:r>
          </w:p>
        </w:tc>
      </w:tr>
      <w:tr>
        <w:trPr>
          <w:trHeight w:val="213"/>
        </w:trPr>
        <w:tc>
          <w:tcPr>
            <w:tcW w:w="4360" w:type="dxa"/>
            <w:vAlign w:val="bottom"/>
          </w:tcPr>
          <w:p>
            <w:pPr>
              <w:ind w:left="360"/>
              <w:spacing w:after="0"/>
              <w:rPr>
                <w:sz w:val="20"/>
                <w:szCs w:val="20"/>
                <w:color w:val="auto"/>
              </w:rPr>
            </w:pPr>
            <w:r>
              <w:rPr>
                <w:rFonts w:ascii="Arial" w:cs="Arial" w:eastAsia="Arial" w:hAnsi="Arial"/>
                <w:sz w:val="16"/>
                <w:szCs w:val="16"/>
                <w:color w:val="auto"/>
              </w:rPr>
              <w:t>New product warranties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1,817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968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3,447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2,434</w:t>
            </w:r>
          </w:p>
        </w:tc>
      </w:tr>
      <w:tr>
        <w:trPr>
          <w:trHeight w:val="219"/>
        </w:trPr>
        <w:tc>
          <w:tcPr>
            <w:tcW w:w="43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adjustments and expirations, net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r>
      <w:tr>
        <w:trPr>
          <w:trHeight w:val="213"/>
        </w:trPr>
        <w:tc>
          <w:tcPr>
            <w:tcW w:w="4360" w:type="dxa"/>
            <w:vAlign w:val="bottom"/>
          </w:tcPr>
          <w:p>
            <w:pPr>
              <w:ind w:left="360"/>
              <w:spacing w:after="0"/>
              <w:rPr>
                <w:sz w:val="20"/>
                <w:szCs w:val="20"/>
                <w:color w:val="auto"/>
              </w:rPr>
            </w:pPr>
            <w:r>
              <w:rPr>
                <w:rFonts w:ascii="Arial" w:cs="Arial" w:eastAsia="Arial" w:hAnsi="Arial"/>
                <w:sz w:val="16"/>
                <w:szCs w:val="16"/>
                <w:color w:val="auto"/>
              </w:rPr>
              <w:t>Claims activity</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(1,943)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(2,338)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(3,930)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(4,772)</w:t>
            </w:r>
          </w:p>
        </w:tc>
      </w:tr>
      <w:tr>
        <w:trPr>
          <w:trHeight w:val="219"/>
        </w:trPr>
        <w:tc>
          <w:tcPr>
            <w:tcW w:w="43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Effect of change in exchange rates</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(649)</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237</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(910)</w:t>
            </w:r>
          </w:p>
        </w:tc>
      </w:tr>
      <w:tr>
        <w:trPr>
          <w:trHeight w:val="207"/>
        </w:trPr>
        <w:tc>
          <w:tcPr>
            <w:tcW w:w="4360" w:type="dxa"/>
            <w:vAlign w:val="bottom"/>
          </w:tcPr>
          <w:p>
            <w:pPr>
              <w:ind w:left="20"/>
              <w:spacing w:after="0"/>
              <w:rPr>
                <w:sz w:val="20"/>
                <w:szCs w:val="20"/>
                <w:color w:val="auto"/>
              </w:rPr>
            </w:pPr>
            <w:r>
              <w:rPr>
                <w:rFonts w:ascii="Arial" w:cs="Arial" w:eastAsia="Arial" w:hAnsi="Arial"/>
                <w:sz w:val="16"/>
                <w:szCs w:val="16"/>
                <w:color w:val="auto"/>
              </w:rPr>
              <w:t>Ending balance</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25,486</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28,709</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25,486</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28,709</w:t>
            </w:r>
          </w:p>
        </w:tc>
      </w:tr>
      <w:tr>
        <w:trPr>
          <w:trHeight w:val="219"/>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Less: current portion of warranty</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17,847</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17,378</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17,847</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17,378</w:t>
            </w:r>
          </w:p>
        </w:tc>
      </w:tr>
      <w:tr>
        <w:trPr>
          <w:trHeight w:val="209"/>
        </w:trPr>
        <w:tc>
          <w:tcPr>
            <w:tcW w:w="4360" w:type="dxa"/>
            <w:vAlign w:val="bottom"/>
          </w:tcPr>
          <w:p>
            <w:pPr>
              <w:ind w:left="360"/>
              <w:spacing w:after="0"/>
              <w:rPr>
                <w:sz w:val="20"/>
                <w:szCs w:val="20"/>
                <w:color w:val="auto"/>
              </w:rPr>
            </w:pPr>
            <w:r>
              <w:rPr>
                <w:rFonts w:ascii="Arial" w:cs="Arial" w:eastAsia="Arial" w:hAnsi="Arial"/>
                <w:sz w:val="16"/>
                <w:szCs w:val="16"/>
                <w:color w:val="auto"/>
              </w:rPr>
              <w:t>Long-term warranty</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7,639</w:t>
            </w:r>
          </w:p>
        </w:tc>
        <w:tc>
          <w:tcPr>
            <w:tcW w:w="4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11,331</w:t>
            </w:r>
          </w:p>
        </w:tc>
        <w:tc>
          <w:tcPr>
            <w:tcW w:w="5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7,639</w:t>
            </w:r>
          </w:p>
        </w:tc>
        <w:tc>
          <w:tcPr>
            <w:tcW w:w="5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11,331</w:t>
            </w:r>
          </w:p>
        </w:tc>
      </w:tr>
      <w:tr>
        <w:trPr>
          <w:trHeight w:val="21"/>
        </w:trPr>
        <w:tc>
          <w:tcPr>
            <w:tcW w:w="43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Total warranty expense is classified within cost of revenues and consists of new product warranties issued, costs related to insurance and supplier recoveries, other changes and adjustments to warranties, and customer claims. Warranty expense was as follows:</w:t>
      </w:r>
    </w:p>
    <w:tbl>
      <w:tblPr>
        <w:tblLayout w:type="fixed"/>
        <w:tblInd w:w="0" w:type="dxa"/>
        <w:tblCellMar>
          <w:top w:w="0" w:type="dxa"/>
          <w:left w:w="0" w:type="dxa"/>
          <w:bottom w:w="0" w:type="dxa"/>
          <w:right w:w="0" w:type="dxa"/>
        </w:tblCellMar>
      </w:tblPr>
      <w:tr>
        <w:trPr>
          <w:trHeight w:val="210"/>
        </w:trPr>
        <w:tc>
          <w:tcPr>
            <w:tcW w:w="4360" w:type="dxa"/>
            <w:vAlign w:val="bottom"/>
          </w:tcPr>
          <w:p>
            <w:pPr>
              <w:spacing w:after="0"/>
              <w:rPr>
                <w:sz w:val="18"/>
                <w:szCs w:val="18"/>
                <w:color w:val="auto"/>
              </w:rPr>
            </w:pPr>
          </w:p>
        </w:tc>
        <w:tc>
          <w:tcPr>
            <w:tcW w:w="2900" w:type="dxa"/>
            <w:vAlign w:val="bottom"/>
            <w:tcBorders>
              <w:bottom w:val="single" w:sz="8" w:color="auto"/>
            </w:tcBorders>
            <w:gridSpan w:val="4"/>
          </w:tcPr>
          <w:p>
            <w:pPr>
              <w:ind w:left="640"/>
              <w:spacing w:after="0"/>
              <w:rPr>
                <w:sz w:val="20"/>
                <w:szCs w:val="20"/>
                <w:color w:val="auto"/>
              </w:rPr>
            </w:pPr>
            <w:r>
              <w:rPr>
                <w:rFonts w:ascii="Arial" w:cs="Arial" w:eastAsia="Arial" w:hAnsi="Arial"/>
                <w:sz w:val="16"/>
                <w:szCs w:val="16"/>
                <w:b w:val="1"/>
                <w:bCs w:val="1"/>
                <w:color w:val="auto"/>
                <w:w w:val="98"/>
              </w:rPr>
              <w:t>Three Months Ended June 30,</w:t>
            </w:r>
          </w:p>
        </w:tc>
        <w:tc>
          <w:tcPr>
            <w:tcW w:w="4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4"/>
          </w:tcPr>
          <w:p>
            <w:pPr>
              <w:jc w:val="right"/>
              <w:ind w:right="659"/>
              <w:spacing w:after="0"/>
              <w:rPr>
                <w:sz w:val="20"/>
                <w:szCs w:val="20"/>
                <w:color w:val="auto"/>
              </w:rPr>
            </w:pPr>
            <w:r>
              <w:rPr>
                <w:rFonts w:ascii="Arial" w:cs="Arial" w:eastAsia="Arial" w:hAnsi="Arial"/>
                <w:sz w:val="16"/>
                <w:szCs w:val="16"/>
                <w:b w:val="1"/>
                <w:bCs w:val="1"/>
                <w:color w:val="auto"/>
              </w:rPr>
              <w:t>Six Months Ended June 30,</w:t>
            </w:r>
          </w:p>
        </w:tc>
      </w:tr>
      <w:tr>
        <w:trPr>
          <w:trHeight w:val="213"/>
        </w:trPr>
        <w:tc>
          <w:tcPr>
            <w:tcW w:w="43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1100" w:type="dxa"/>
            <w:vAlign w:val="bottom"/>
            <w:tcBorders>
              <w:bottom w:val="single" w:sz="8" w:color="auto"/>
            </w:tcBorders>
          </w:tcPr>
          <w:p>
            <w:pPr>
              <w:ind w:left="660"/>
              <w:spacing w:after="0"/>
              <w:rPr>
                <w:sz w:val="20"/>
                <w:szCs w:val="20"/>
                <w:color w:val="auto"/>
              </w:rPr>
            </w:pPr>
            <w:r>
              <w:rPr>
                <w:rFonts w:ascii="Arial" w:cs="Arial" w:eastAsia="Arial" w:hAnsi="Arial"/>
                <w:sz w:val="16"/>
                <w:szCs w:val="16"/>
                <w:b w:val="1"/>
                <w:bCs w:val="1"/>
                <w:color w:val="auto"/>
              </w:rPr>
              <w:t>2023</w:t>
            </w:r>
          </w:p>
        </w:tc>
        <w:tc>
          <w:tcPr>
            <w:tcW w:w="5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2022</w:t>
            </w:r>
          </w:p>
        </w:tc>
        <w:tc>
          <w:tcPr>
            <w:tcW w:w="4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2022</w:t>
            </w:r>
          </w:p>
        </w:tc>
      </w:tr>
      <w:tr>
        <w:trPr>
          <w:trHeight w:val="212"/>
        </w:trPr>
        <w:tc>
          <w:tcPr>
            <w:tcW w:w="4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warranty expense</w:t>
            </w:r>
          </w:p>
        </w:tc>
        <w:tc>
          <w:tcPr>
            <w:tcW w:w="110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2,540</w:t>
            </w:r>
          </w:p>
        </w:tc>
        <w:tc>
          <w:tcPr>
            <w:tcW w:w="1260" w:type="dxa"/>
            <w:vAlign w:val="bottom"/>
            <w:gridSpan w:val="2"/>
            <w:shd w:val="clear" w:color="auto" w:fill="CCEEFF"/>
          </w:tcPr>
          <w:p>
            <w:pPr>
              <w:jc w:val="right"/>
              <w:ind w:right="959"/>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861</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3,481</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2,369</w:t>
            </w:r>
          </w:p>
        </w:tc>
      </w:tr>
    </w:tbl>
    <w:p>
      <w:pPr>
        <w:spacing w:after="0" w:line="30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6"/>
          <w:szCs w:val="16"/>
          <w:b w:val="1"/>
          <w:bCs w:val="1"/>
          <w:color w:val="auto"/>
        </w:rPr>
        <w:t>Restructuring</w:t>
      </w:r>
    </w:p>
    <w:p>
      <w:pPr>
        <w:spacing w:after="0" w:line="25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2023 Projects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February 23, 2023, our Board of Directors approved a restructuring plan (the 2023 Projects). The 2023 Projects include activities that continue Itron's efforts to optimize its global supply chain and manufacturing operations, sales and marketing organizations, and other overhead. These projects are to be substantially complete by early 2025.</w:t>
      </w:r>
    </w:p>
    <w:p>
      <w:pPr>
        <w:spacing w:after="0" w:line="217"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The total expected restructuring costs, the restructuring costs recognized, and the remaining expected restructuring costs related to the 2023 Projects were as follows:</w:t>
      </w:r>
    </w:p>
    <w:tbl>
      <w:tblPr>
        <w:tblLayout w:type="fixed"/>
        <w:tblInd w:w="0" w:type="dxa"/>
        <w:tblCellMar>
          <w:top w:w="0" w:type="dxa"/>
          <w:left w:w="0" w:type="dxa"/>
          <w:bottom w:w="0" w:type="dxa"/>
          <w:right w:w="0" w:type="dxa"/>
        </w:tblCellMar>
      </w:tblPr>
      <w:tr>
        <w:trPr>
          <w:trHeight w:val="163"/>
        </w:trPr>
        <w:tc>
          <w:tcPr>
            <w:tcW w:w="2620" w:type="dxa"/>
            <w:vAlign w:val="bottom"/>
          </w:tcPr>
          <w:p>
            <w:pPr>
              <w:spacing w:after="0"/>
              <w:rPr>
                <w:sz w:val="14"/>
                <w:szCs w:val="14"/>
                <w:color w:val="auto"/>
              </w:rPr>
            </w:pPr>
          </w:p>
        </w:tc>
        <w:tc>
          <w:tcPr>
            <w:tcW w:w="206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w w:val="89"/>
              </w:rPr>
              <w:t>Total Expected Costs at June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vMerge w:val="restart"/>
          </w:tcPr>
          <w:p>
            <w:pPr>
              <w:ind w:left="20"/>
              <w:spacing w:after="0"/>
              <w:rPr>
                <w:sz w:val="20"/>
                <w:szCs w:val="20"/>
                <w:color w:val="auto"/>
              </w:rPr>
            </w:pPr>
            <w:r>
              <w:rPr>
                <w:rFonts w:ascii="Arial" w:cs="Arial" w:eastAsia="Arial" w:hAnsi="Arial"/>
                <w:sz w:val="16"/>
                <w:szCs w:val="16"/>
                <w:b w:val="1"/>
                <w:bCs w:val="1"/>
                <w:color w:val="auto"/>
                <w:w w:val="96"/>
              </w:rPr>
              <w:t>Costs Recognized in Prior</w:t>
            </w:r>
          </w:p>
        </w:tc>
        <w:tc>
          <w:tcPr>
            <w:tcW w:w="100" w:type="dxa"/>
            <w:vAlign w:val="bottom"/>
          </w:tcPr>
          <w:p>
            <w:pPr>
              <w:spacing w:after="0"/>
              <w:rPr>
                <w:sz w:val="14"/>
                <w:szCs w:val="14"/>
                <w:color w:val="auto"/>
              </w:rPr>
            </w:pPr>
          </w:p>
        </w:tc>
        <w:tc>
          <w:tcPr>
            <w:tcW w:w="2080" w:type="dxa"/>
            <w:vAlign w:val="bottom"/>
            <w:gridSpan w:val="2"/>
          </w:tcPr>
          <w:p>
            <w:pPr>
              <w:ind w:left="40"/>
              <w:spacing w:after="0" w:line="163" w:lineRule="exact"/>
              <w:rPr>
                <w:sz w:val="20"/>
                <w:szCs w:val="20"/>
                <w:color w:val="auto"/>
              </w:rPr>
            </w:pPr>
            <w:r>
              <w:rPr>
                <w:rFonts w:ascii="Arial" w:cs="Arial" w:eastAsia="Arial" w:hAnsi="Arial"/>
                <w:sz w:val="16"/>
                <w:szCs w:val="16"/>
                <w:b w:val="1"/>
                <w:bCs w:val="1"/>
                <w:color w:val="auto"/>
                <w:w w:val="90"/>
              </w:rPr>
              <w:t>Costs Recognized During the</w:t>
            </w:r>
          </w:p>
        </w:tc>
        <w:tc>
          <w:tcPr>
            <w:tcW w:w="120" w:type="dxa"/>
            <w:vAlign w:val="bottom"/>
          </w:tcPr>
          <w:p>
            <w:pPr>
              <w:spacing w:after="0"/>
              <w:rPr>
                <w:sz w:val="14"/>
                <w:szCs w:val="14"/>
                <w:color w:val="auto"/>
              </w:rPr>
            </w:pPr>
          </w:p>
        </w:tc>
        <w:tc>
          <w:tcPr>
            <w:tcW w:w="2060" w:type="dxa"/>
            <w:vAlign w:val="bottom"/>
            <w:gridSpan w:val="2"/>
          </w:tcPr>
          <w:p>
            <w:pPr>
              <w:spacing w:after="0" w:line="163" w:lineRule="exact"/>
              <w:rPr>
                <w:sz w:val="20"/>
                <w:szCs w:val="20"/>
                <w:color w:val="auto"/>
              </w:rPr>
            </w:pPr>
            <w:r>
              <w:rPr>
                <w:rFonts w:ascii="Arial" w:cs="Arial" w:eastAsia="Arial" w:hAnsi="Arial"/>
                <w:sz w:val="16"/>
                <w:szCs w:val="16"/>
                <w:b w:val="1"/>
                <w:bCs w:val="1"/>
                <w:color w:val="auto"/>
                <w:w w:val="90"/>
              </w:rPr>
              <w:t>Expected Remaining Costs to</w:t>
            </w:r>
          </w:p>
        </w:tc>
        <w:tc>
          <w:tcPr>
            <w:tcW w:w="0" w:type="dxa"/>
            <w:vAlign w:val="bottom"/>
          </w:tcPr>
          <w:p>
            <w:pPr>
              <w:spacing w:after="0"/>
              <w:rPr>
                <w:sz w:val="1"/>
                <w:szCs w:val="1"/>
                <w:color w:val="auto"/>
              </w:rPr>
            </w:pPr>
          </w:p>
        </w:tc>
      </w:tr>
      <w:tr>
        <w:trPr>
          <w:trHeight w:val="162"/>
        </w:trPr>
        <w:tc>
          <w:tcPr>
            <w:tcW w:w="262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20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2"/>
          </w:tcPr>
          <w:p>
            <w:pPr>
              <w:jc w:val="right"/>
              <w:spacing w:after="0" w:line="162" w:lineRule="exact"/>
              <w:rPr>
                <w:sz w:val="20"/>
                <w:szCs w:val="20"/>
                <w:color w:val="auto"/>
              </w:rPr>
            </w:pPr>
            <w:r>
              <w:rPr>
                <w:rFonts w:ascii="Arial" w:cs="Arial" w:eastAsia="Arial" w:hAnsi="Arial"/>
                <w:sz w:val="16"/>
                <w:szCs w:val="16"/>
                <w:b w:val="1"/>
                <w:bCs w:val="1"/>
                <w:color w:val="auto"/>
                <w:w w:val="95"/>
              </w:rPr>
              <w:t>Six Months Ended June 30,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tcPr>
          <w:p>
            <w:pPr>
              <w:jc w:val="right"/>
              <w:ind w:right="59"/>
              <w:spacing w:after="0" w:line="162" w:lineRule="exact"/>
              <w:rPr>
                <w:sz w:val="20"/>
                <w:szCs w:val="20"/>
                <w:color w:val="auto"/>
              </w:rPr>
            </w:pPr>
            <w:r>
              <w:rPr>
                <w:rFonts w:ascii="Arial" w:cs="Arial" w:eastAsia="Arial" w:hAnsi="Arial"/>
                <w:sz w:val="16"/>
                <w:szCs w:val="16"/>
                <w:b w:val="1"/>
                <w:bCs w:val="1"/>
                <w:color w:val="auto"/>
                <w:w w:val="89"/>
              </w:rPr>
              <w:t>be Recognized at June 30,</w:t>
            </w:r>
          </w:p>
        </w:tc>
        <w:tc>
          <w:tcPr>
            <w:tcW w:w="0" w:type="dxa"/>
            <w:vAlign w:val="bottom"/>
          </w:tcPr>
          <w:p>
            <w:pPr>
              <w:spacing w:after="0"/>
              <w:rPr>
                <w:sz w:val="1"/>
                <w:szCs w:val="1"/>
                <w:color w:val="auto"/>
              </w:rPr>
            </w:pPr>
          </w:p>
        </w:tc>
      </w:tr>
      <w:tr>
        <w:trPr>
          <w:trHeight w:val="213"/>
        </w:trPr>
        <w:tc>
          <w:tcPr>
            <w:tcW w:w="2620" w:type="dxa"/>
            <w:vAlign w:val="bottom"/>
            <w:tcBorders>
              <w:bottom w:val="single" w:sz="8" w:color="auto"/>
            </w:tcBorders>
            <w:vMerge w:val="continue"/>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30, 2023</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ind w:left="660"/>
              <w:spacing w:after="0"/>
              <w:rPr>
                <w:sz w:val="20"/>
                <w:szCs w:val="20"/>
                <w:color w:val="auto"/>
              </w:rPr>
            </w:pPr>
            <w:r>
              <w:rPr>
                <w:rFonts w:ascii="Arial" w:cs="Arial" w:eastAsia="Arial" w:hAnsi="Arial"/>
                <w:sz w:val="16"/>
                <w:szCs w:val="16"/>
                <w:b w:val="1"/>
                <w:bCs w:val="1"/>
                <w:color w:val="auto"/>
              </w:rPr>
              <w:t>Periods</w:t>
            </w: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12"/>
        </w:trPr>
        <w:tc>
          <w:tcPr>
            <w:tcW w:w="2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Employee severance costs</w:t>
            </w:r>
          </w:p>
        </w:tc>
        <w:tc>
          <w:tcPr>
            <w:tcW w:w="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36,994</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960" w:type="dxa"/>
            <w:vAlign w:val="bottom"/>
            <w:shd w:val="clear" w:color="auto" w:fill="CCEEFF"/>
          </w:tcPr>
          <w:p>
            <w:pPr>
              <w:ind w:left="1720"/>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36,994</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w w:val="89"/>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6"/>
        </w:trPr>
        <w:tc>
          <w:tcPr>
            <w:tcW w:w="2620" w:type="dxa"/>
            <w:vAlign w:val="bottom"/>
          </w:tcPr>
          <w:p>
            <w:pPr>
              <w:ind w:left="20"/>
              <w:spacing w:after="0" w:line="166" w:lineRule="exact"/>
              <w:rPr>
                <w:sz w:val="20"/>
                <w:szCs w:val="20"/>
                <w:color w:val="auto"/>
              </w:rPr>
            </w:pPr>
            <w:r>
              <w:rPr>
                <w:rFonts w:ascii="Arial" w:cs="Arial" w:eastAsia="Arial" w:hAnsi="Arial"/>
                <w:sz w:val="16"/>
                <w:szCs w:val="16"/>
                <w:color w:val="auto"/>
                <w:w w:val="94"/>
              </w:rPr>
              <w:t>Asset impairments &amp; net loss (gain) on</w:t>
            </w:r>
          </w:p>
        </w:tc>
        <w:tc>
          <w:tcPr>
            <w:tcW w:w="420" w:type="dxa"/>
            <w:vAlign w:val="bottom"/>
          </w:tcPr>
          <w:p>
            <w:pPr>
              <w:spacing w:after="0"/>
              <w:rPr>
                <w:sz w:val="14"/>
                <w:szCs w:val="14"/>
                <w:color w:val="auto"/>
              </w:rPr>
            </w:pPr>
          </w:p>
        </w:tc>
        <w:tc>
          <w:tcPr>
            <w:tcW w:w="1640" w:type="dxa"/>
            <w:vAlign w:val="bottom"/>
            <w:vMerge w:val="restart"/>
          </w:tcPr>
          <w:p>
            <w:pPr>
              <w:jc w:val="right"/>
              <w:spacing w:after="0"/>
              <w:rPr>
                <w:sz w:val="20"/>
                <w:szCs w:val="20"/>
                <w:color w:val="auto"/>
              </w:rPr>
            </w:pPr>
            <w:r>
              <w:rPr>
                <w:rFonts w:ascii="Arial" w:cs="Arial" w:eastAsia="Arial" w:hAnsi="Arial"/>
                <w:sz w:val="16"/>
                <w:szCs w:val="16"/>
                <w:color w:val="auto"/>
              </w:rPr>
              <w:t>1,132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vMerge w:val="restart"/>
          </w:tcPr>
          <w:p>
            <w:pPr>
              <w:ind w:left="17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80" w:type="dxa"/>
            <w:vAlign w:val="bottom"/>
            <w:vMerge w:val="restart"/>
          </w:tcPr>
          <w:p>
            <w:pPr>
              <w:jc w:val="right"/>
              <w:spacing w:after="0"/>
              <w:rPr>
                <w:sz w:val="20"/>
                <w:szCs w:val="20"/>
                <w:color w:val="auto"/>
              </w:rPr>
            </w:pPr>
            <w:r>
              <w:rPr>
                <w:rFonts w:ascii="Arial" w:cs="Arial" w:eastAsia="Arial" w:hAnsi="Arial"/>
                <w:sz w:val="16"/>
                <w:szCs w:val="16"/>
                <w:color w:val="auto"/>
              </w:rPr>
              <w:t>1,132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620" w:type="dxa"/>
            <w:vAlign w:val="bottom"/>
          </w:tcPr>
          <w:p>
            <w:pPr>
              <w:ind w:left="180"/>
              <w:spacing w:after="0"/>
              <w:rPr>
                <w:sz w:val="20"/>
                <w:szCs w:val="20"/>
                <w:color w:val="auto"/>
              </w:rPr>
            </w:pPr>
            <w:r>
              <w:rPr>
                <w:rFonts w:ascii="Arial" w:cs="Arial" w:eastAsia="Arial" w:hAnsi="Arial"/>
                <w:sz w:val="16"/>
                <w:szCs w:val="16"/>
                <w:color w:val="auto"/>
              </w:rPr>
              <w:t>sale or disposal</w:t>
            </w:r>
          </w:p>
        </w:tc>
        <w:tc>
          <w:tcPr>
            <w:tcW w:w="420" w:type="dxa"/>
            <w:vAlign w:val="bottom"/>
          </w:tcPr>
          <w:p>
            <w:pPr>
              <w:spacing w:after="0"/>
              <w:rPr>
                <w:sz w:val="18"/>
                <w:szCs w:val="18"/>
                <w:color w:val="auto"/>
              </w:rPr>
            </w:pPr>
          </w:p>
        </w:tc>
        <w:tc>
          <w:tcPr>
            <w:tcW w:w="16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restructuring costs</w:t>
            </w:r>
          </w:p>
        </w:tc>
        <w:tc>
          <w:tcPr>
            <w:tcW w:w="4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6,546</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ind w:left="17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1,319</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5,227</w:t>
            </w:r>
          </w:p>
        </w:tc>
        <w:tc>
          <w:tcPr>
            <w:tcW w:w="0" w:type="dxa"/>
            <w:vAlign w:val="bottom"/>
          </w:tcPr>
          <w:p>
            <w:pPr>
              <w:spacing w:after="0"/>
              <w:rPr>
                <w:sz w:val="1"/>
                <w:szCs w:val="1"/>
                <w:color w:val="auto"/>
              </w:rPr>
            </w:pPr>
          </w:p>
        </w:tc>
      </w:tr>
      <w:tr>
        <w:trPr>
          <w:trHeight w:val="210"/>
        </w:trPr>
        <w:tc>
          <w:tcPr>
            <w:tcW w:w="2620" w:type="dxa"/>
            <w:vAlign w:val="bottom"/>
          </w:tcPr>
          <w:p>
            <w:pPr>
              <w:ind w:left="520"/>
              <w:spacing w:after="0"/>
              <w:rPr>
                <w:sz w:val="20"/>
                <w:szCs w:val="20"/>
                <w:color w:val="auto"/>
              </w:rPr>
            </w:pPr>
            <w:r>
              <w:rPr>
                <w:rFonts w:ascii="Arial" w:cs="Arial" w:eastAsia="Arial" w:hAnsi="Arial"/>
                <w:sz w:val="16"/>
                <w:szCs w:val="16"/>
                <w:color w:val="auto"/>
              </w:rPr>
              <w:t>Total</w:t>
            </w:r>
          </w:p>
        </w:tc>
        <w:tc>
          <w:tcPr>
            <w:tcW w:w="420" w:type="dxa"/>
            <w:vAlign w:val="bottom"/>
          </w:tcPr>
          <w:p>
            <w:pPr>
              <w:ind w:left="20"/>
              <w:spacing w:after="0"/>
              <w:rPr>
                <w:sz w:val="20"/>
                <w:szCs w:val="20"/>
                <w:color w:val="auto"/>
              </w:rPr>
            </w:pPr>
            <w:r>
              <w:rPr>
                <w:rFonts w:ascii="Arial" w:cs="Arial" w:eastAsia="Arial" w:hAnsi="Arial"/>
                <w:sz w:val="16"/>
                <w:szCs w:val="16"/>
                <w:color w:val="auto"/>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44,672</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960" w:type="dxa"/>
            <w:vAlign w:val="bottom"/>
          </w:tcPr>
          <w:p>
            <w:pPr>
              <w:ind w:left="1720"/>
              <w:spacing w:after="0"/>
              <w:rPr>
                <w:sz w:val="20"/>
                <w:szCs w:val="20"/>
                <w:color w:val="auto"/>
              </w:rPr>
            </w:pPr>
            <w:r>
              <w:rPr>
                <w:rFonts w:ascii="Arial" w:cs="Arial" w:eastAsia="Arial" w:hAnsi="Arial"/>
                <w:sz w:val="16"/>
                <w:szCs w:val="16"/>
                <w:color w:val="auto"/>
              </w:rPr>
              <w:t>—</w:t>
            </w:r>
          </w:p>
        </w:tc>
        <w:tc>
          <w:tcPr>
            <w:tcW w:w="60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39,445</w:t>
            </w:r>
          </w:p>
        </w:tc>
        <w:tc>
          <w:tcPr>
            <w:tcW w:w="220" w:type="dxa"/>
            <w:vAlign w:val="bottom"/>
            <w:gridSpan w:val="2"/>
          </w:tcPr>
          <w:p>
            <w:pPr>
              <w:ind w:left="120"/>
              <w:spacing w:after="0"/>
              <w:rPr>
                <w:sz w:val="20"/>
                <w:szCs w:val="20"/>
                <w:color w:val="auto"/>
              </w:rPr>
            </w:pPr>
            <w:r>
              <w:rPr>
                <w:rFonts w:ascii="Arial" w:cs="Arial" w:eastAsia="Arial" w:hAnsi="Arial"/>
                <w:sz w:val="16"/>
                <w:szCs w:val="16"/>
                <w:color w:val="auto"/>
                <w:w w:val="89"/>
              </w:rPr>
              <w:t>$</w:t>
            </w:r>
          </w:p>
        </w:tc>
        <w:tc>
          <w:tcPr>
            <w:tcW w:w="1960" w:type="dxa"/>
            <w:vAlign w:val="bottom"/>
          </w:tcPr>
          <w:p>
            <w:pPr>
              <w:jc w:val="right"/>
              <w:spacing w:after="0"/>
              <w:rPr>
                <w:sz w:val="20"/>
                <w:szCs w:val="20"/>
                <w:color w:val="auto"/>
              </w:rPr>
            </w:pPr>
            <w:r>
              <w:rPr>
                <w:rFonts w:ascii="Arial" w:cs="Arial" w:eastAsia="Arial" w:hAnsi="Arial"/>
                <w:sz w:val="16"/>
                <w:szCs w:val="16"/>
                <w:color w:val="auto"/>
              </w:rPr>
              <w:t>5,227</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2021 Projects</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October 29, 2021, our Board of Directors approved a restructuring plan (the 2021 Projects), which in conjunction with the announcement of the sale of certain Gas product lines from our Device Solutions manufacturing and business operations in Europe and North America to Dresser, includes activities to drive reductions in certain locations and functional support areas. These projects are expected to be substantially complete by the end of 2024.</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The total expected restructuring costs, the restructuring costs recognized, and the remaining expected restructuring costs related to the 2021 Projects were as follows:</w:t>
      </w:r>
    </w:p>
    <w:tbl>
      <w:tblPr>
        <w:tblLayout w:type="fixed"/>
        <w:tblInd w:w="0" w:type="dxa"/>
        <w:tblCellMar>
          <w:top w:w="0" w:type="dxa"/>
          <w:left w:w="0" w:type="dxa"/>
          <w:bottom w:w="0" w:type="dxa"/>
          <w:right w:w="0" w:type="dxa"/>
        </w:tblCellMar>
      </w:tblPr>
      <w:tr>
        <w:trPr>
          <w:trHeight w:val="163"/>
        </w:trPr>
        <w:tc>
          <w:tcPr>
            <w:tcW w:w="2620" w:type="dxa"/>
            <w:vAlign w:val="bottom"/>
          </w:tcPr>
          <w:p>
            <w:pPr>
              <w:spacing w:after="0"/>
              <w:rPr>
                <w:sz w:val="14"/>
                <w:szCs w:val="14"/>
                <w:color w:val="auto"/>
              </w:rPr>
            </w:pPr>
          </w:p>
        </w:tc>
        <w:tc>
          <w:tcPr>
            <w:tcW w:w="208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w w:val="90"/>
              </w:rPr>
              <w:t>Total Expected Costs at June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w w:val="90"/>
              </w:rPr>
              <w:t>Costs Recognized in Prior</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tcPr>
          <w:p>
            <w:pPr>
              <w:jc w:val="center"/>
              <w:ind w:right="59"/>
              <w:spacing w:after="0" w:line="163" w:lineRule="exact"/>
              <w:rPr>
                <w:sz w:val="20"/>
                <w:szCs w:val="20"/>
                <w:color w:val="auto"/>
              </w:rPr>
            </w:pPr>
            <w:r>
              <w:rPr>
                <w:rFonts w:ascii="Arial" w:cs="Arial" w:eastAsia="Arial" w:hAnsi="Arial"/>
                <w:sz w:val="16"/>
                <w:szCs w:val="16"/>
                <w:b w:val="1"/>
                <w:bCs w:val="1"/>
                <w:color w:val="auto"/>
                <w:w w:val="89"/>
              </w:rPr>
              <w:t>Adjustments Recognized</w:t>
            </w:r>
          </w:p>
        </w:tc>
        <w:tc>
          <w:tcPr>
            <w:tcW w:w="100" w:type="dxa"/>
            <w:vAlign w:val="bottom"/>
          </w:tcPr>
          <w:p>
            <w:pPr>
              <w:spacing w:after="0"/>
              <w:rPr>
                <w:sz w:val="14"/>
                <w:szCs w:val="14"/>
                <w:color w:val="auto"/>
              </w:rPr>
            </w:pPr>
          </w:p>
        </w:tc>
        <w:tc>
          <w:tcPr>
            <w:tcW w:w="2080" w:type="dxa"/>
            <w:vAlign w:val="bottom"/>
            <w:gridSpan w:val="2"/>
          </w:tcPr>
          <w:p>
            <w:pPr>
              <w:ind w:left="20"/>
              <w:spacing w:after="0" w:line="163" w:lineRule="exact"/>
              <w:rPr>
                <w:sz w:val="20"/>
                <w:szCs w:val="20"/>
                <w:color w:val="auto"/>
              </w:rPr>
            </w:pPr>
            <w:r>
              <w:rPr>
                <w:rFonts w:ascii="Arial" w:cs="Arial" w:eastAsia="Arial" w:hAnsi="Arial"/>
                <w:sz w:val="16"/>
                <w:szCs w:val="16"/>
                <w:b w:val="1"/>
                <w:bCs w:val="1"/>
                <w:color w:val="auto"/>
                <w:w w:val="90"/>
              </w:rPr>
              <w:t>Expected Remaining Costs to</w:t>
            </w:r>
          </w:p>
        </w:tc>
        <w:tc>
          <w:tcPr>
            <w:tcW w:w="0" w:type="dxa"/>
            <w:vAlign w:val="bottom"/>
          </w:tcPr>
          <w:p>
            <w:pPr>
              <w:spacing w:after="0"/>
              <w:rPr>
                <w:sz w:val="1"/>
                <w:szCs w:val="1"/>
                <w:color w:val="auto"/>
              </w:rPr>
            </w:pPr>
          </w:p>
        </w:tc>
      </w:tr>
      <w:tr>
        <w:trPr>
          <w:trHeight w:val="162"/>
        </w:trPr>
        <w:tc>
          <w:tcPr>
            <w:tcW w:w="262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20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auto"/>
                <w:w w:val="93"/>
              </w:rPr>
              <w:t>During the Six Months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tcPr>
          <w:p>
            <w:pPr>
              <w:jc w:val="right"/>
              <w:ind w:right="59"/>
              <w:spacing w:after="0" w:line="162" w:lineRule="exact"/>
              <w:rPr>
                <w:sz w:val="20"/>
                <w:szCs w:val="20"/>
                <w:color w:val="auto"/>
              </w:rPr>
            </w:pPr>
            <w:r>
              <w:rPr>
                <w:rFonts w:ascii="Arial" w:cs="Arial" w:eastAsia="Arial" w:hAnsi="Arial"/>
                <w:sz w:val="16"/>
                <w:szCs w:val="16"/>
                <w:b w:val="1"/>
                <w:bCs w:val="1"/>
                <w:color w:val="auto"/>
                <w:w w:val="89"/>
              </w:rPr>
              <w:t>be Recognized at June 30,</w:t>
            </w:r>
          </w:p>
        </w:tc>
        <w:tc>
          <w:tcPr>
            <w:tcW w:w="0" w:type="dxa"/>
            <w:vAlign w:val="bottom"/>
          </w:tcPr>
          <w:p>
            <w:pPr>
              <w:spacing w:after="0"/>
              <w:rPr>
                <w:sz w:val="1"/>
                <w:szCs w:val="1"/>
                <w:color w:val="auto"/>
              </w:rPr>
            </w:pPr>
          </w:p>
        </w:tc>
      </w:tr>
      <w:tr>
        <w:trPr>
          <w:trHeight w:val="213"/>
        </w:trPr>
        <w:tc>
          <w:tcPr>
            <w:tcW w:w="2620" w:type="dxa"/>
            <w:vAlign w:val="bottom"/>
            <w:tcBorders>
              <w:bottom w:val="single" w:sz="8" w:color="auto"/>
            </w:tcBorders>
            <w:vMerge w:val="continue"/>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30, 2023</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Periods</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1"/>
              </w:rPr>
              <w:t>Ended June 30, 2023</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12"/>
        </w:trPr>
        <w:tc>
          <w:tcPr>
            <w:tcW w:w="2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Employee severance costs</w:t>
            </w:r>
          </w:p>
        </w:tc>
        <w:tc>
          <w:tcPr>
            <w:tcW w:w="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37,344</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38,359</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(1,015)</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w w:val="89"/>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6"/>
        </w:trPr>
        <w:tc>
          <w:tcPr>
            <w:tcW w:w="2620" w:type="dxa"/>
            <w:vAlign w:val="bottom"/>
          </w:tcPr>
          <w:p>
            <w:pPr>
              <w:ind w:left="20"/>
              <w:spacing w:after="0" w:line="166" w:lineRule="exact"/>
              <w:rPr>
                <w:sz w:val="20"/>
                <w:szCs w:val="20"/>
                <w:color w:val="auto"/>
              </w:rPr>
            </w:pPr>
            <w:r>
              <w:rPr>
                <w:rFonts w:ascii="Arial" w:cs="Arial" w:eastAsia="Arial" w:hAnsi="Arial"/>
                <w:sz w:val="16"/>
                <w:szCs w:val="16"/>
                <w:color w:val="auto"/>
                <w:w w:val="94"/>
              </w:rPr>
              <w:t>Asset impairments &amp; net loss (gain) on</w:t>
            </w:r>
          </w:p>
        </w:tc>
        <w:tc>
          <w:tcPr>
            <w:tcW w:w="420" w:type="dxa"/>
            <w:vAlign w:val="bottom"/>
          </w:tcPr>
          <w:p>
            <w:pPr>
              <w:spacing w:after="0"/>
              <w:rPr>
                <w:sz w:val="14"/>
                <w:szCs w:val="14"/>
                <w:color w:val="auto"/>
              </w:rPr>
            </w:pPr>
          </w:p>
        </w:tc>
        <w:tc>
          <w:tcPr>
            <w:tcW w:w="1660" w:type="dxa"/>
            <w:vAlign w:val="bottom"/>
            <w:vMerge w:val="restart"/>
          </w:tcPr>
          <w:p>
            <w:pPr>
              <w:jc w:val="right"/>
              <w:spacing w:after="0"/>
              <w:rPr>
                <w:sz w:val="20"/>
                <w:szCs w:val="20"/>
                <w:color w:val="auto"/>
              </w:rPr>
            </w:pPr>
            <w:r>
              <w:rPr>
                <w:rFonts w:ascii="Arial" w:cs="Arial" w:eastAsia="Arial" w:hAnsi="Arial"/>
                <w:sz w:val="16"/>
                <w:szCs w:val="16"/>
                <w:color w:val="auto"/>
              </w:rPr>
              <w:t>8,389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vMerge w:val="restart"/>
          </w:tcPr>
          <w:p>
            <w:pPr>
              <w:jc w:val="right"/>
              <w:spacing w:after="0"/>
              <w:rPr>
                <w:sz w:val="20"/>
                <w:szCs w:val="20"/>
                <w:color w:val="auto"/>
              </w:rPr>
            </w:pPr>
            <w:r>
              <w:rPr>
                <w:rFonts w:ascii="Arial" w:cs="Arial" w:eastAsia="Arial" w:hAnsi="Arial"/>
                <w:sz w:val="16"/>
                <w:szCs w:val="16"/>
                <w:color w:val="auto"/>
              </w:rPr>
              <w:t>8,599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vMerge w:val="restart"/>
          </w:tcPr>
          <w:p>
            <w:pPr>
              <w:jc w:val="right"/>
              <w:spacing w:after="0"/>
              <w:rPr>
                <w:sz w:val="20"/>
                <w:szCs w:val="20"/>
                <w:color w:val="auto"/>
              </w:rPr>
            </w:pPr>
            <w:r>
              <w:rPr>
                <w:rFonts w:ascii="Arial" w:cs="Arial" w:eastAsia="Arial" w:hAnsi="Arial"/>
                <w:sz w:val="16"/>
                <w:szCs w:val="16"/>
                <w:color w:val="auto"/>
              </w:rPr>
              <w:t>(210)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620" w:type="dxa"/>
            <w:vAlign w:val="bottom"/>
          </w:tcPr>
          <w:p>
            <w:pPr>
              <w:ind w:left="180"/>
              <w:spacing w:after="0"/>
              <w:rPr>
                <w:sz w:val="20"/>
                <w:szCs w:val="20"/>
                <w:color w:val="auto"/>
              </w:rPr>
            </w:pPr>
            <w:r>
              <w:rPr>
                <w:rFonts w:ascii="Arial" w:cs="Arial" w:eastAsia="Arial" w:hAnsi="Arial"/>
                <w:sz w:val="16"/>
                <w:szCs w:val="16"/>
                <w:color w:val="auto"/>
              </w:rPr>
              <w:t>sale or disposal</w:t>
            </w:r>
          </w:p>
        </w:tc>
        <w:tc>
          <w:tcPr>
            <w:tcW w:w="420" w:type="dxa"/>
            <w:vAlign w:val="bottom"/>
          </w:tcPr>
          <w:p>
            <w:pPr>
              <w:spacing w:after="0"/>
              <w:rPr>
                <w:sz w:val="18"/>
                <w:szCs w:val="18"/>
                <w:color w:val="auto"/>
              </w:rPr>
            </w:pPr>
          </w:p>
        </w:tc>
        <w:tc>
          <w:tcPr>
            <w:tcW w:w="16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restructuring costs</w:t>
            </w:r>
          </w:p>
        </w:tc>
        <w:tc>
          <w:tcPr>
            <w:tcW w:w="4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5,540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3,084</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2,400</w:t>
            </w:r>
          </w:p>
        </w:tc>
        <w:tc>
          <w:tcPr>
            <w:tcW w:w="0" w:type="dxa"/>
            <w:vAlign w:val="bottom"/>
          </w:tcPr>
          <w:p>
            <w:pPr>
              <w:spacing w:after="0"/>
              <w:rPr>
                <w:sz w:val="1"/>
                <w:szCs w:val="1"/>
                <w:color w:val="auto"/>
              </w:rPr>
            </w:pPr>
          </w:p>
        </w:tc>
      </w:tr>
      <w:tr>
        <w:trPr>
          <w:trHeight w:val="209"/>
        </w:trPr>
        <w:tc>
          <w:tcPr>
            <w:tcW w:w="2620" w:type="dxa"/>
            <w:vAlign w:val="bottom"/>
          </w:tcPr>
          <w:p>
            <w:pPr>
              <w:ind w:left="520"/>
              <w:spacing w:after="0"/>
              <w:rPr>
                <w:sz w:val="20"/>
                <w:szCs w:val="20"/>
                <w:color w:val="auto"/>
              </w:rPr>
            </w:pPr>
            <w:r>
              <w:rPr>
                <w:rFonts w:ascii="Arial" w:cs="Arial" w:eastAsia="Arial" w:hAnsi="Arial"/>
                <w:sz w:val="16"/>
                <w:szCs w:val="16"/>
                <w:color w:val="auto"/>
              </w:rPr>
              <w:t>Total</w:t>
            </w:r>
          </w:p>
        </w:tc>
        <w:tc>
          <w:tcPr>
            <w:tcW w:w="420" w:type="dxa"/>
            <w:vAlign w:val="bottom"/>
          </w:tcPr>
          <w:p>
            <w:pPr>
              <w:ind w:left="20"/>
              <w:spacing w:after="0"/>
              <w:rPr>
                <w:sz w:val="20"/>
                <w:szCs w:val="20"/>
                <w:color w:val="auto"/>
              </w:rPr>
            </w:pPr>
            <w:r>
              <w:rPr>
                <w:rFonts w:ascii="Arial" w:cs="Arial" w:eastAsia="Arial" w:hAnsi="Arial"/>
                <w:sz w:val="16"/>
                <w:szCs w:val="16"/>
                <w:color w:val="auto"/>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51,273</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940" w:type="dxa"/>
            <w:vAlign w:val="bottom"/>
          </w:tcPr>
          <w:p>
            <w:pPr>
              <w:jc w:val="right"/>
              <w:spacing w:after="0"/>
              <w:rPr>
                <w:sz w:val="20"/>
                <w:szCs w:val="20"/>
                <w:color w:val="auto"/>
              </w:rPr>
            </w:pPr>
            <w:r>
              <w:rPr>
                <w:rFonts w:ascii="Arial" w:cs="Arial" w:eastAsia="Arial" w:hAnsi="Arial"/>
                <w:sz w:val="16"/>
                <w:szCs w:val="16"/>
                <w:color w:val="auto"/>
              </w:rPr>
              <w:t>50,042</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940" w:type="dxa"/>
            <w:vAlign w:val="bottom"/>
          </w:tcPr>
          <w:p>
            <w:pPr>
              <w:jc w:val="right"/>
              <w:spacing w:after="0"/>
              <w:rPr>
                <w:sz w:val="20"/>
                <w:szCs w:val="20"/>
                <w:color w:val="auto"/>
              </w:rPr>
            </w:pPr>
            <w:r>
              <w:rPr>
                <w:rFonts w:ascii="Arial" w:cs="Arial" w:eastAsia="Arial" w:hAnsi="Arial"/>
                <w:sz w:val="16"/>
                <w:szCs w:val="16"/>
                <w:color w:val="auto"/>
              </w:rPr>
              <w:t>(1,169)</w:t>
            </w:r>
          </w:p>
        </w:tc>
        <w:tc>
          <w:tcPr>
            <w:tcW w:w="220" w:type="dxa"/>
            <w:vAlign w:val="bottom"/>
            <w:gridSpan w:val="2"/>
          </w:tcPr>
          <w:p>
            <w:pPr>
              <w:ind w:left="120"/>
              <w:spacing w:after="0"/>
              <w:rPr>
                <w:sz w:val="20"/>
                <w:szCs w:val="20"/>
                <w:color w:val="auto"/>
              </w:rPr>
            </w:pPr>
            <w:r>
              <w:rPr>
                <w:rFonts w:ascii="Arial" w:cs="Arial" w:eastAsia="Arial" w:hAnsi="Arial"/>
                <w:sz w:val="16"/>
                <w:szCs w:val="16"/>
                <w:color w:val="auto"/>
                <w:w w:val="89"/>
              </w:rPr>
              <w:t>$</w:t>
            </w:r>
          </w:p>
        </w:tc>
        <w:tc>
          <w:tcPr>
            <w:tcW w:w="1960" w:type="dxa"/>
            <w:vAlign w:val="bottom"/>
          </w:tcPr>
          <w:p>
            <w:pPr>
              <w:jc w:val="right"/>
              <w:spacing w:after="0"/>
              <w:rPr>
                <w:sz w:val="20"/>
                <w:szCs w:val="20"/>
                <w:color w:val="auto"/>
              </w:rPr>
            </w:pPr>
            <w:r>
              <w:rPr>
                <w:rFonts w:ascii="Arial" w:cs="Arial" w:eastAsia="Arial" w:hAnsi="Arial"/>
                <w:sz w:val="16"/>
                <w:szCs w:val="16"/>
                <w:color w:val="auto"/>
              </w:rPr>
              <w:t>2,400</w:t>
            </w:r>
          </w:p>
        </w:tc>
        <w:tc>
          <w:tcPr>
            <w:tcW w:w="0" w:type="dxa"/>
            <w:vAlign w:val="bottom"/>
          </w:tcPr>
          <w:p>
            <w:pPr>
              <w:spacing w:after="0"/>
              <w:rPr>
                <w:sz w:val="1"/>
                <w:szCs w:val="1"/>
                <w:color w:val="auto"/>
              </w:rPr>
            </w:pPr>
          </w:p>
        </w:tc>
      </w:tr>
      <w:tr>
        <w:trPr>
          <w:trHeight w:val="21"/>
        </w:trPr>
        <w:tc>
          <w:tcPr>
            <w:tcW w:w="26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2020 Projects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September 2020, our Board of Directors approved a restructuring plan (the 2020 Projects), which includes activities that continue our efforts to optimize our global supply chain and manufacturing operations, sales and marketing organizations, and other overhead. These projects are scheduled to be substantially complete by the end of 2023.</w:t>
      </w:r>
    </w:p>
    <w:p>
      <w:pPr>
        <w:spacing w:after="0" w:line="217"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The total expected restructuring costs, the restructuring costs recognized, and the remaining expected restructuring costs related to the 2020 Projects were as follows:</w:t>
      </w:r>
    </w:p>
    <w:tbl>
      <w:tblPr>
        <w:tblLayout w:type="fixed"/>
        <w:tblInd w:w="0" w:type="dxa"/>
        <w:tblCellMar>
          <w:top w:w="0" w:type="dxa"/>
          <w:left w:w="0" w:type="dxa"/>
          <w:bottom w:w="0" w:type="dxa"/>
          <w:right w:w="0" w:type="dxa"/>
        </w:tblCellMar>
      </w:tblPr>
      <w:tr>
        <w:trPr>
          <w:trHeight w:val="163"/>
        </w:trPr>
        <w:tc>
          <w:tcPr>
            <w:tcW w:w="2620" w:type="dxa"/>
            <w:vAlign w:val="bottom"/>
          </w:tcPr>
          <w:p>
            <w:pPr>
              <w:spacing w:after="0"/>
              <w:rPr>
                <w:sz w:val="14"/>
                <w:szCs w:val="14"/>
                <w:color w:val="auto"/>
              </w:rPr>
            </w:pPr>
          </w:p>
        </w:tc>
        <w:tc>
          <w:tcPr>
            <w:tcW w:w="206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w w:val="89"/>
              </w:rPr>
              <w:t>Total Expected Costs at June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w w:val="89"/>
              </w:rPr>
              <w:t>Costs Recognized in Prior</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tcPr>
          <w:p>
            <w:pPr>
              <w:jc w:val="center"/>
              <w:ind w:right="79"/>
              <w:spacing w:after="0" w:line="163" w:lineRule="exact"/>
              <w:rPr>
                <w:sz w:val="20"/>
                <w:szCs w:val="20"/>
                <w:color w:val="auto"/>
              </w:rPr>
            </w:pPr>
            <w:r>
              <w:rPr>
                <w:rFonts w:ascii="Arial" w:cs="Arial" w:eastAsia="Arial" w:hAnsi="Arial"/>
                <w:sz w:val="16"/>
                <w:szCs w:val="16"/>
                <w:b w:val="1"/>
                <w:bCs w:val="1"/>
                <w:color w:val="auto"/>
                <w:w w:val="88"/>
              </w:rPr>
              <w:t>Adjustments Recognized</w:t>
            </w:r>
          </w:p>
        </w:tc>
        <w:tc>
          <w:tcPr>
            <w:tcW w:w="100" w:type="dxa"/>
            <w:vAlign w:val="bottom"/>
          </w:tcPr>
          <w:p>
            <w:pPr>
              <w:spacing w:after="0"/>
              <w:rPr>
                <w:sz w:val="14"/>
                <w:szCs w:val="14"/>
                <w:color w:val="auto"/>
              </w:rPr>
            </w:pPr>
          </w:p>
        </w:tc>
        <w:tc>
          <w:tcPr>
            <w:tcW w:w="2080" w:type="dxa"/>
            <w:vAlign w:val="bottom"/>
            <w:gridSpan w:val="2"/>
          </w:tcPr>
          <w:p>
            <w:pPr>
              <w:ind w:left="20"/>
              <w:spacing w:after="0" w:line="163" w:lineRule="exact"/>
              <w:rPr>
                <w:sz w:val="20"/>
                <w:szCs w:val="20"/>
                <w:color w:val="auto"/>
              </w:rPr>
            </w:pPr>
            <w:r>
              <w:rPr>
                <w:rFonts w:ascii="Arial" w:cs="Arial" w:eastAsia="Arial" w:hAnsi="Arial"/>
                <w:sz w:val="16"/>
                <w:szCs w:val="16"/>
                <w:b w:val="1"/>
                <w:bCs w:val="1"/>
                <w:color w:val="auto"/>
                <w:w w:val="90"/>
              </w:rPr>
              <w:t>Expected Remaining Costs to</w:t>
            </w:r>
          </w:p>
        </w:tc>
        <w:tc>
          <w:tcPr>
            <w:tcW w:w="0" w:type="dxa"/>
            <w:vAlign w:val="bottom"/>
          </w:tcPr>
          <w:p>
            <w:pPr>
              <w:spacing w:after="0"/>
              <w:rPr>
                <w:sz w:val="1"/>
                <w:szCs w:val="1"/>
                <w:color w:val="auto"/>
              </w:rPr>
            </w:pPr>
          </w:p>
        </w:tc>
      </w:tr>
      <w:tr>
        <w:trPr>
          <w:trHeight w:val="162"/>
        </w:trPr>
        <w:tc>
          <w:tcPr>
            <w:tcW w:w="262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20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auto"/>
                <w:w w:val="93"/>
              </w:rPr>
              <w:t>During the Six Months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tcPr>
          <w:p>
            <w:pPr>
              <w:jc w:val="right"/>
              <w:ind w:right="59"/>
              <w:spacing w:after="0" w:line="162" w:lineRule="exact"/>
              <w:rPr>
                <w:sz w:val="20"/>
                <w:szCs w:val="20"/>
                <w:color w:val="auto"/>
              </w:rPr>
            </w:pPr>
            <w:r>
              <w:rPr>
                <w:rFonts w:ascii="Arial" w:cs="Arial" w:eastAsia="Arial" w:hAnsi="Arial"/>
                <w:sz w:val="16"/>
                <w:szCs w:val="16"/>
                <w:b w:val="1"/>
                <w:bCs w:val="1"/>
                <w:color w:val="auto"/>
                <w:w w:val="89"/>
              </w:rPr>
              <w:t>be Recognized at June 30,</w:t>
            </w:r>
          </w:p>
        </w:tc>
        <w:tc>
          <w:tcPr>
            <w:tcW w:w="0" w:type="dxa"/>
            <w:vAlign w:val="bottom"/>
          </w:tcPr>
          <w:p>
            <w:pPr>
              <w:spacing w:after="0"/>
              <w:rPr>
                <w:sz w:val="1"/>
                <w:szCs w:val="1"/>
                <w:color w:val="auto"/>
              </w:rPr>
            </w:pPr>
          </w:p>
        </w:tc>
      </w:tr>
      <w:tr>
        <w:trPr>
          <w:trHeight w:val="213"/>
        </w:trPr>
        <w:tc>
          <w:tcPr>
            <w:tcW w:w="2620" w:type="dxa"/>
            <w:vAlign w:val="bottom"/>
            <w:tcBorders>
              <w:bottom w:val="single" w:sz="8" w:color="auto"/>
            </w:tcBorders>
            <w:vMerge w:val="continue"/>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30, 2023</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Periods</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0"/>
              </w:rPr>
              <w:t>Ended June 30, 2023</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12"/>
        </w:trPr>
        <w:tc>
          <w:tcPr>
            <w:tcW w:w="2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Employee severance costs</w:t>
            </w:r>
          </w:p>
        </w:tc>
        <w:tc>
          <w:tcPr>
            <w:tcW w:w="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19,240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20,382</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(1,142)</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w w:val="89"/>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6"/>
        </w:trPr>
        <w:tc>
          <w:tcPr>
            <w:tcW w:w="2620" w:type="dxa"/>
            <w:vAlign w:val="bottom"/>
          </w:tcPr>
          <w:p>
            <w:pPr>
              <w:ind w:left="20"/>
              <w:spacing w:after="0" w:line="166" w:lineRule="exact"/>
              <w:rPr>
                <w:sz w:val="20"/>
                <w:szCs w:val="20"/>
                <w:color w:val="auto"/>
              </w:rPr>
            </w:pPr>
            <w:r>
              <w:rPr>
                <w:rFonts w:ascii="Arial" w:cs="Arial" w:eastAsia="Arial" w:hAnsi="Arial"/>
                <w:sz w:val="16"/>
                <w:szCs w:val="16"/>
                <w:color w:val="auto"/>
                <w:w w:val="94"/>
              </w:rPr>
              <w:t>Asset impairments &amp; net loss (gain) on</w:t>
            </w:r>
          </w:p>
        </w:tc>
        <w:tc>
          <w:tcPr>
            <w:tcW w:w="420" w:type="dxa"/>
            <w:vAlign w:val="bottom"/>
          </w:tcPr>
          <w:p>
            <w:pPr>
              <w:spacing w:after="0"/>
              <w:rPr>
                <w:sz w:val="14"/>
                <w:szCs w:val="14"/>
                <w:color w:val="auto"/>
              </w:rPr>
            </w:pPr>
          </w:p>
        </w:tc>
        <w:tc>
          <w:tcPr>
            <w:tcW w:w="1640" w:type="dxa"/>
            <w:vAlign w:val="bottom"/>
            <w:vMerge w:val="restart"/>
          </w:tcPr>
          <w:p>
            <w:pPr>
              <w:jc w:val="right"/>
              <w:spacing w:after="0"/>
              <w:rPr>
                <w:sz w:val="20"/>
                <w:szCs w:val="20"/>
                <w:color w:val="auto"/>
              </w:rPr>
            </w:pPr>
            <w:r>
              <w:rPr>
                <w:rFonts w:ascii="Arial" w:cs="Arial" w:eastAsia="Arial" w:hAnsi="Arial"/>
                <w:sz w:val="16"/>
                <w:szCs w:val="16"/>
                <w:color w:val="auto"/>
              </w:rPr>
              <w:t>6,465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vMerge w:val="restart"/>
          </w:tcPr>
          <w:p>
            <w:pPr>
              <w:jc w:val="right"/>
              <w:spacing w:after="0"/>
              <w:rPr>
                <w:sz w:val="20"/>
                <w:szCs w:val="20"/>
                <w:color w:val="auto"/>
              </w:rPr>
            </w:pPr>
            <w:r>
              <w:rPr>
                <w:rFonts w:ascii="Arial" w:cs="Arial" w:eastAsia="Arial" w:hAnsi="Arial"/>
                <w:sz w:val="16"/>
                <w:szCs w:val="16"/>
                <w:color w:val="auto"/>
              </w:rPr>
              <w:t>6,465</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620" w:type="dxa"/>
            <w:vAlign w:val="bottom"/>
          </w:tcPr>
          <w:p>
            <w:pPr>
              <w:ind w:left="180"/>
              <w:spacing w:after="0"/>
              <w:rPr>
                <w:sz w:val="20"/>
                <w:szCs w:val="20"/>
                <w:color w:val="auto"/>
              </w:rPr>
            </w:pPr>
            <w:r>
              <w:rPr>
                <w:rFonts w:ascii="Arial" w:cs="Arial" w:eastAsia="Arial" w:hAnsi="Arial"/>
                <w:sz w:val="16"/>
                <w:szCs w:val="16"/>
                <w:color w:val="auto"/>
              </w:rPr>
              <w:t>sale or disposal</w:t>
            </w:r>
          </w:p>
        </w:tc>
        <w:tc>
          <w:tcPr>
            <w:tcW w:w="420" w:type="dxa"/>
            <w:vAlign w:val="bottom"/>
          </w:tcPr>
          <w:p>
            <w:pPr>
              <w:spacing w:after="0"/>
              <w:rPr>
                <w:sz w:val="18"/>
                <w:szCs w:val="18"/>
                <w:color w:val="auto"/>
              </w:rPr>
            </w:pPr>
          </w:p>
        </w:tc>
        <w:tc>
          <w:tcPr>
            <w:tcW w:w="16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restructuring costs</w:t>
            </w:r>
          </w:p>
        </w:tc>
        <w:tc>
          <w:tcPr>
            <w:tcW w:w="42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7,990</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7,341</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349</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213"/>
        </w:trPr>
        <w:tc>
          <w:tcPr>
            <w:tcW w:w="2620" w:type="dxa"/>
            <w:vAlign w:val="bottom"/>
          </w:tcPr>
          <w:p>
            <w:pPr>
              <w:ind w:left="520"/>
              <w:spacing w:after="0"/>
              <w:rPr>
                <w:sz w:val="20"/>
                <w:szCs w:val="20"/>
                <w:color w:val="auto"/>
              </w:rPr>
            </w:pPr>
            <w:r>
              <w:rPr>
                <w:rFonts w:ascii="Arial" w:cs="Arial" w:eastAsia="Arial" w:hAnsi="Arial"/>
                <w:sz w:val="16"/>
                <w:szCs w:val="16"/>
                <w:color w:val="auto"/>
              </w:rPr>
              <w:t>Total</w:t>
            </w:r>
          </w:p>
        </w:tc>
        <w:tc>
          <w:tcPr>
            <w:tcW w:w="420" w:type="dxa"/>
            <w:vAlign w:val="bottom"/>
          </w:tcPr>
          <w:p>
            <w:pPr>
              <w:ind w:left="20"/>
              <w:spacing w:after="0"/>
              <w:rPr>
                <w:sz w:val="20"/>
                <w:szCs w:val="20"/>
                <w:color w:val="auto"/>
              </w:rPr>
            </w:pPr>
            <w:r>
              <w:rPr>
                <w:rFonts w:ascii="Arial" w:cs="Arial" w:eastAsia="Arial" w:hAnsi="Arial"/>
                <w:sz w:val="16"/>
                <w:szCs w:val="16"/>
                <w:color w:val="auto"/>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33,695</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940" w:type="dxa"/>
            <w:vAlign w:val="bottom"/>
          </w:tcPr>
          <w:p>
            <w:pPr>
              <w:jc w:val="right"/>
              <w:spacing w:after="0"/>
              <w:rPr>
                <w:sz w:val="20"/>
                <w:szCs w:val="20"/>
                <w:color w:val="auto"/>
              </w:rPr>
            </w:pPr>
            <w:r>
              <w:rPr>
                <w:rFonts w:ascii="Arial" w:cs="Arial" w:eastAsia="Arial" w:hAnsi="Arial"/>
                <w:sz w:val="16"/>
                <w:szCs w:val="16"/>
                <w:color w:val="auto"/>
              </w:rPr>
              <w:t>34,188</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940" w:type="dxa"/>
            <w:vAlign w:val="bottom"/>
          </w:tcPr>
          <w:p>
            <w:pPr>
              <w:jc w:val="right"/>
              <w:spacing w:after="0"/>
              <w:rPr>
                <w:sz w:val="20"/>
                <w:szCs w:val="20"/>
                <w:color w:val="auto"/>
              </w:rPr>
            </w:pPr>
            <w:r>
              <w:rPr>
                <w:rFonts w:ascii="Arial" w:cs="Arial" w:eastAsia="Arial" w:hAnsi="Arial"/>
                <w:sz w:val="16"/>
                <w:szCs w:val="16"/>
                <w:color w:val="auto"/>
              </w:rPr>
              <w:t>(793)</w:t>
            </w:r>
          </w:p>
        </w:tc>
        <w:tc>
          <w:tcPr>
            <w:tcW w:w="220" w:type="dxa"/>
            <w:vAlign w:val="bottom"/>
            <w:gridSpan w:val="2"/>
          </w:tcPr>
          <w:p>
            <w:pPr>
              <w:ind w:left="120"/>
              <w:spacing w:after="0"/>
              <w:rPr>
                <w:sz w:val="20"/>
                <w:szCs w:val="20"/>
                <w:color w:val="auto"/>
              </w:rPr>
            </w:pPr>
            <w:r>
              <w:rPr>
                <w:rFonts w:ascii="Arial" w:cs="Arial" w:eastAsia="Arial" w:hAnsi="Arial"/>
                <w:sz w:val="16"/>
                <w:szCs w:val="16"/>
                <w:color w:val="auto"/>
                <w:w w:val="89"/>
              </w:rPr>
              <w:t>$</w:t>
            </w:r>
          </w:p>
        </w:tc>
        <w:tc>
          <w:tcPr>
            <w:tcW w:w="1960" w:type="dxa"/>
            <w:vAlign w:val="bottom"/>
          </w:tcPr>
          <w:p>
            <w:pPr>
              <w:jc w:val="right"/>
              <w:spacing w:after="0"/>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21"/>
        </w:trPr>
        <w:tc>
          <w:tcPr>
            <w:tcW w:w="26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activity within the restructuring related balance sheet accounts for the 2023 Projects, the 2021 Projects, and the 2020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Projects during the six months ended June 30, 2023:</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40" w:type="dxa"/>
            <w:vAlign w:val="bottom"/>
            <w:vMerge w:val="restart"/>
          </w:tcPr>
          <w:p>
            <w:pPr>
              <w:jc w:val="right"/>
              <w:ind w:right="319"/>
              <w:spacing w:after="0"/>
              <w:rPr>
                <w:sz w:val="20"/>
                <w:szCs w:val="20"/>
                <w:color w:val="auto"/>
              </w:rPr>
            </w:pPr>
            <w:r>
              <w:rPr>
                <w:rFonts w:ascii="Arial" w:cs="Arial" w:eastAsia="Arial" w:hAnsi="Arial"/>
                <w:sz w:val="16"/>
                <w:szCs w:val="16"/>
                <w:b w:val="1"/>
                <w:bCs w:val="1"/>
                <w:color w:val="auto"/>
                <w:w w:val="98"/>
              </w:rPr>
              <w:t>Accrued Employee</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80" w:type="dxa"/>
            <w:vAlign w:val="bottom"/>
          </w:tcPr>
          <w:p>
            <w:pPr>
              <w:jc w:val="center"/>
              <w:ind w:right="59"/>
              <w:spacing w:after="0"/>
              <w:rPr>
                <w:sz w:val="20"/>
                <w:szCs w:val="20"/>
                <w:color w:val="auto"/>
              </w:rPr>
            </w:pPr>
            <w:r>
              <w:rPr>
                <w:rFonts w:ascii="Arial" w:cs="Arial" w:eastAsia="Arial" w:hAnsi="Arial"/>
                <w:sz w:val="16"/>
                <w:szCs w:val="16"/>
                <w:b w:val="1"/>
                <w:bCs w:val="1"/>
                <w:color w:val="auto"/>
                <w:w w:val="92"/>
              </w:rPr>
              <w:t>Asset Impairments &amp; Net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62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240" w:type="dxa"/>
            <w:vAlign w:val="bottom"/>
          </w:tcPr>
          <w:p>
            <w:pPr>
              <w:spacing w:after="0"/>
              <w:rPr>
                <w:sz w:val="14"/>
                <w:szCs w:val="14"/>
                <w:color w:val="auto"/>
              </w:rPr>
            </w:pPr>
          </w:p>
        </w:tc>
        <w:tc>
          <w:tcPr>
            <w:tcW w:w="1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tcPr>
          <w:p>
            <w:pPr>
              <w:jc w:val="center"/>
              <w:ind w:right="39"/>
              <w:spacing w:after="0" w:line="162" w:lineRule="exact"/>
              <w:rPr>
                <w:sz w:val="20"/>
                <w:szCs w:val="20"/>
                <w:color w:val="auto"/>
              </w:rPr>
            </w:pPr>
            <w:r>
              <w:rPr>
                <w:rFonts w:ascii="Arial" w:cs="Arial" w:eastAsia="Arial" w:hAnsi="Arial"/>
                <w:sz w:val="16"/>
                <w:szCs w:val="16"/>
                <w:b w:val="1"/>
                <w:bCs w:val="1"/>
                <w:color w:val="auto"/>
                <w:w w:val="90"/>
              </w:rPr>
              <w:t>Loss (Gain) on Sale or</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w w:val="96"/>
              </w:rPr>
              <w:t>Other Accrued Costs</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80" w:type="dxa"/>
            <w:vAlign w:val="bottom"/>
            <w:vMerge w:val="restart"/>
          </w:tcPr>
          <w:p>
            <w:pPr>
              <w:jc w:val="right"/>
              <w:ind w:right="7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262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Severance</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86"/>
              </w:rPr>
              <w:t>Disposal</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balance, January 1, 2023</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39,558</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2,886</w:t>
            </w:r>
          </w:p>
        </w:tc>
        <w:tc>
          <w:tcPr>
            <w:tcW w:w="60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42,444</w:t>
            </w:r>
          </w:p>
        </w:tc>
        <w:tc>
          <w:tcPr>
            <w:tcW w:w="0" w:type="dxa"/>
            <w:vAlign w:val="bottom"/>
          </w:tcPr>
          <w:p>
            <w:pPr>
              <w:spacing w:after="0"/>
              <w:rPr>
                <w:sz w:val="1"/>
                <w:szCs w:val="1"/>
                <w:color w:val="auto"/>
              </w:rPr>
            </w:pPr>
          </w:p>
        </w:tc>
      </w:tr>
      <w:tr>
        <w:trPr>
          <w:trHeight w:val="213"/>
        </w:trPr>
        <w:tc>
          <w:tcPr>
            <w:tcW w:w="2620" w:type="dxa"/>
            <w:vAlign w:val="bottom"/>
          </w:tcPr>
          <w:p>
            <w:pPr>
              <w:ind w:left="180"/>
              <w:spacing w:after="0"/>
              <w:rPr>
                <w:sz w:val="20"/>
                <w:szCs w:val="20"/>
                <w:color w:val="auto"/>
              </w:rPr>
            </w:pPr>
            <w:r>
              <w:rPr>
                <w:rFonts w:ascii="Arial" w:cs="Arial" w:eastAsia="Arial" w:hAnsi="Arial"/>
                <w:sz w:val="16"/>
                <w:szCs w:val="16"/>
                <w:color w:val="auto"/>
              </w:rPr>
              <w:t>Costs charged to expense</w:t>
            </w:r>
          </w:p>
        </w:tc>
        <w:tc>
          <w:tcPr>
            <w:tcW w:w="24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34,837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922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1,724</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37,483</w:t>
            </w:r>
          </w:p>
        </w:tc>
        <w:tc>
          <w:tcPr>
            <w:tcW w:w="0" w:type="dxa"/>
            <w:vAlign w:val="bottom"/>
          </w:tcPr>
          <w:p>
            <w:pPr>
              <w:spacing w:after="0"/>
              <w:rPr>
                <w:sz w:val="1"/>
                <w:szCs w:val="1"/>
                <w:color w:val="auto"/>
              </w:rPr>
            </w:pPr>
          </w:p>
        </w:tc>
      </w:tr>
      <w:tr>
        <w:trPr>
          <w:trHeight w:val="219"/>
        </w:trPr>
        <w:tc>
          <w:tcPr>
            <w:tcW w:w="2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Cash payments</w:t>
            </w:r>
          </w:p>
        </w:tc>
        <w:tc>
          <w:tcPr>
            <w:tcW w:w="2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(4,892)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(1,719)</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(6,626)</w:t>
            </w:r>
          </w:p>
        </w:tc>
        <w:tc>
          <w:tcPr>
            <w:tcW w:w="0" w:type="dxa"/>
            <w:vAlign w:val="bottom"/>
          </w:tcPr>
          <w:p>
            <w:pPr>
              <w:spacing w:after="0"/>
              <w:rPr>
                <w:sz w:val="1"/>
                <w:szCs w:val="1"/>
                <w:color w:val="auto"/>
              </w:rPr>
            </w:pPr>
          </w:p>
        </w:tc>
      </w:tr>
      <w:tr>
        <w:trPr>
          <w:trHeight w:val="213"/>
        </w:trPr>
        <w:tc>
          <w:tcPr>
            <w:tcW w:w="2620" w:type="dxa"/>
            <w:vAlign w:val="bottom"/>
          </w:tcPr>
          <w:p>
            <w:pPr>
              <w:ind w:left="180"/>
              <w:spacing w:after="0"/>
              <w:rPr>
                <w:sz w:val="20"/>
                <w:szCs w:val="20"/>
                <w:color w:val="auto"/>
              </w:rPr>
            </w:pPr>
            <w:r>
              <w:rPr>
                <w:rFonts w:ascii="Arial" w:cs="Arial" w:eastAsia="Arial" w:hAnsi="Arial"/>
                <w:sz w:val="16"/>
                <w:szCs w:val="16"/>
                <w:color w:val="auto"/>
              </w:rPr>
              <w:t>Cash receipts</w:t>
            </w:r>
          </w:p>
        </w:tc>
        <w:tc>
          <w:tcPr>
            <w:tcW w:w="24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9"/>
        </w:trPr>
        <w:tc>
          <w:tcPr>
            <w:tcW w:w="2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assets disposed and impaired</w:t>
            </w:r>
          </w:p>
        </w:tc>
        <w:tc>
          <w:tcPr>
            <w:tcW w:w="2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(919)</w:t>
            </w:r>
          </w:p>
        </w:tc>
        <w:tc>
          <w:tcPr>
            <w:tcW w:w="0" w:type="dxa"/>
            <w:vAlign w:val="bottom"/>
          </w:tcPr>
          <w:p>
            <w:pPr>
              <w:spacing w:after="0"/>
              <w:rPr>
                <w:sz w:val="1"/>
                <w:szCs w:val="1"/>
                <w:color w:val="auto"/>
              </w:rPr>
            </w:pPr>
          </w:p>
        </w:tc>
      </w:tr>
      <w:tr>
        <w:trPr>
          <w:trHeight w:val="216"/>
        </w:trPr>
        <w:tc>
          <w:tcPr>
            <w:tcW w:w="2620" w:type="dxa"/>
            <w:vAlign w:val="bottom"/>
          </w:tcPr>
          <w:p>
            <w:pPr>
              <w:ind w:left="180"/>
              <w:spacing w:after="0"/>
              <w:rPr>
                <w:sz w:val="20"/>
                <w:szCs w:val="20"/>
                <w:color w:val="auto"/>
              </w:rPr>
            </w:pPr>
            <w:r>
              <w:rPr>
                <w:rFonts w:ascii="Arial" w:cs="Arial" w:eastAsia="Arial" w:hAnsi="Arial"/>
                <w:sz w:val="16"/>
                <w:szCs w:val="16"/>
                <w:color w:val="auto"/>
                <w:w w:val="98"/>
              </w:rPr>
              <w:t>Effect of change in exchange rates</w:t>
            </w:r>
          </w:p>
        </w:tc>
        <w:tc>
          <w:tcPr>
            <w:tcW w:w="2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1,265</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1,288</w:t>
            </w:r>
          </w:p>
        </w:tc>
        <w:tc>
          <w:tcPr>
            <w:tcW w:w="0" w:type="dxa"/>
            <w:vAlign w:val="bottom"/>
          </w:tcPr>
          <w:p>
            <w:pPr>
              <w:spacing w:after="0"/>
              <w:rPr>
                <w:sz w:val="1"/>
                <w:szCs w:val="1"/>
                <w:color w:val="auto"/>
              </w:rPr>
            </w:pPr>
          </w:p>
        </w:tc>
      </w:tr>
      <w:tr>
        <w:trPr>
          <w:trHeight w:val="230"/>
        </w:trPr>
        <w:tc>
          <w:tcPr>
            <w:tcW w:w="2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Ending balance, June 30, 2023</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70,768</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2,914</w:t>
            </w:r>
          </w:p>
        </w:tc>
        <w:tc>
          <w:tcPr>
            <w:tcW w:w="60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73,682</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Asset impairments are determined at the asset group level. Revenues and net operating income from the activities we have exited or will exit under the restructuring projects are not material to our operating segments or consolidated results.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Certain of Itron's employees are represented by unions or works councils, which requires consultation, and potential restructuring projects may be subject to regulatory approval, both of which could impact the timing of planned savings in certain jurisdictions.</w:t>
      </w:r>
    </w:p>
    <w:p>
      <w:pPr>
        <w:spacing w:after="0" w:line="19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Other restructuring costs include expenses for employee relocation, professional fees associated with employee severance, costs to exit the facilities once the operations in those facilities have ceased, and other costs associated with the liquidation of any affected legal entities. Costs associated with restructuring activities are generally presented in the Consolidated Statements of Operations as restructuring, except for certain costs associated with inventory write-downs, which are classified within cost of revenues, and accelerated depreciation expense, which is recognized according to the use of the asset. Restructuring expense is part of the Corporate unallocated segment and does not impact the results of our operating segments.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current portions of restructuring liabilities were $16.1 million and $14.5 million as of June 30, 2023 and December 31, 2022 and are classified within other current liabilities on the Consolidated Balance Sheets. The long-term portions of restructuring liabilities were $57.6 million and $27.9 million as of June 30, 2023 and December 31, 2022. The long-term portions of restructuring liabilities are classified within other long-term obligations on the Consolidated Balance Sheets and include severance accruals and facility exit costs.</w:t>
      </w:r>
    </w:p>
    <w:p>
      <w:pPr>
        <w:spacing w:after="0" w:line="21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6"/>
          <w:szCs w:val="16"/>
          <w:b w:val="1"/>
          <w:bCs w:val="1"/>
          <w:color w:val="auto"/>
        </w:rPr>
        <w:t>Shareholders' Equity</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Preferred Stock</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authorized the issuance of 10 million shares of preferred stock with no par value. In the event of a liquidation, dissolution, or winding up of the affairs of the corporation, whether voluntary or involuntary, the holders of any outstanding preferred stock would be entitled to be paid a preferential amount per share to be determined by the Board of Directors prior to any payment to holders of common stock. There was no preferred stock issued or outstanding at June 30, 2023 or December 31, 2022.</w:t>
      </w:r>
    </w:p>
    <w:p>
      <w:pPr>
        <w:spacing w:after="0" w:line="22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Stock Repurchase Authorization</w:t>
      </w:r>
    </w:p>
    <w:p>
      <w:pPr>
        <w:spacing w:after="0" w:line="2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Effective May 11, 2023, Itron's Board of Directors authorized a share repurchase up to $100 million of our common stock over an 18-month period (the 2023 Stock Repurchase Program). Repurchases will be made in the open market pursuant to the terms of any Rule 10b5-1 plans that we may enter into, and in accordance with applicable securities laws. The repurchase program is intended to comply with Rule 10b-18 promulgated under the Securities Exchange Act of 1934, as amended. Depending on market conditions and other factors, these repurchases may be commenced or suspended from time to time without prior notice. During the second quarter of 2023, we repurchased no shares of our common stock under the 2023 Stock Repurchase Program.</w:t>
      </w:r>
    </w:p>
    <w:p>
      <w:pPr>
        <w:spacing w:after="0" w:line="18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Convertible Note Hedge Transactions</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paid an aggregate amount of $84.1 million for the convertible note hedge transactions. The convertible note hedge transactions cover, subject to anti-dilution adjustments substantially similar to those in the convertible notes, approximately 3.7 million shares of our common stock, the same number of shares initially underlying the convertible notes, at a strike price of approximately $126.00, subject to customary adjustments. The convertible note hedge transactions will expire upon the maturity of the convertible notes, subject to earlier exercise or termination. The convertible note hedge transactions are expected generally to reduce the potential dilutive effect of the conversion of our convertible notes and/or offset any cash payments we are required to make in excess of the principal amount of the converted notes, as the case may be, in the event that the market price per share of our common stock, as measured under the terms of the convertible note hedge transactions, is greater than the strike price of the convertible note hedge transactions. The convertible note hedge transactions meet the criteria in Accounting Standards Codification (ASC) 815-40 to be classified within Stockholders' Equity, and therefore the convertible note hedge transactions are not revalued after their issuance.</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made a tax election to integrate the convertible notes and the call options. We are retaining the identification statements in our books and records, together with a schedule providing the accruals on the synthetic debt instruments. The accounting impact of this tax election makes the call options deductible as original issue discount for tax purposes over the term of the convertible notes, and results in a $20.6 million deferred tax asset recognized through equity.</w:t>
      </w:r>
    </w:p>
    <w:p>
      <w:pPr>
        <w:spacing w:after="0" w:line="21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Warrant Transactions</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addition, concurrently with entering into the convertible note hedge transactions, we separately entered into privately-negotiated warrant transactions (the warrant transactions), whereby we sold to the Counterparties warrants to acquire, collectively, subject to anti-dilution adjustments, 3.7 million shares of our common stock at an initial strike price of $180.00 per share, which represents a premium of 100% over the public offering price in the common stock issuance. We received aggregate proceeds of $45.3 million from the warrant transactions with the Counterparties, with such proceeds partially offsetting the costs of entering into the convertible note hedge transactions. The warrants expire in June 2026. If the market value per share of our common stock, as measured under the warrant transactions, exceeds the strike price of the warrants, the warrants will have a dilutive effect on our earnings per share, unless we elect, subject to certain conditions, to settle the warrants in cash. The warrants meet the criteria in ASC 815-40 to be classified within Stockholders' Equity, and therefore the warrants are not revalued after issuance.</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Accumulated Other Comprehensive Income (Loss) (AOCI)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components of AOCI, net of tax, were as follows: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80" w:type="dxa"/>
            <w:vAlign w:val="bottom"/>
          </w:tcPr>
          <w:p>
            <w:pPr>
              <w:spacing w:after="0"/>
              <w:rPr>
                <w:sz w:val="16"/>
                <w:szCs w:val="16"/>
                <w:color w:val="auto"/>
              </w:rPr>
            </w:pPr>
          </w:p>
        </w:tc>
        <w:tc>
          <w:tcPr>
            <w:tcW w:w="142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92"/>
              </w:rPr>
              <w:t>Foreign Currency</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center"/>
              <w:ind w:right="59"/>
              <w:spacing w:after="0"/>
              <w:rPr>
                <w:sz w:val="20"/>
                <w:szCs w:val="20"/>
                <w:color w:val="auto"/>
              </w:rPr>
            </w:pPr>
            <w:r>
              <w:rPr>
                <w:rFonts w:ascii="Arial" w:cs="Arial" w:eastAsia="Arial" w:hAnsi="Arial"/>
                <w:sz w:val="16"/>
                <w:szCs w:val="16"/>
                <w:b w:val="1"/>
                <w:bCs w:val="1"/>
                <w:color w:val="auto"/>
                <w:w w:val="93"/>
              </w:rPr>
              <w:t>Net Unrealized</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center"/>
              <w:ind w:right="59"/>
              <w:spacing w:after="0"/>
              <w:rPr>
                <w:sz w:val="20"/>
                <w:szCs w:val="20"/>
                <w:color w:val="auto"/>
              </w:rPr>
            </w:pPr>
            <w:r>
              <w:rPr>
                <w:rFonts w:ascii="Arial" w:cs="Arial" w:eastAsia="Arial" w:hAnsi="Arial"/>
                <w:sz w:val="16"/>
                <w:szCs w:val="16"/>
                <w:b w:val="1"/>
                <w:bCs w:val="1"/>
                <w:color w:val="auto"/>
                <w:w w:val="93"/>
              </w:rPr>
              <w:t>Net Unrealized</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vMerge w:val="restart"/>
          </w:tcPr>
          <w:p>
            <w:pPr>
              <w:jc w:val="center"/>
              <w:ind w:right="79"/>
              <w:spacing w:after="0"/>
              <w:rPr>
                <w:sz w:val="20"/>
                <w:szCs w:val="20"/>
                <w:color w:val="auto"/>
              </w:rPr>
            </w:pPr>
            <w:r>
              <w:rPr>
                <w:rFonts w:ascii="Arial" w:cs="Arial" w:eastAsia="Arial" w:hAnsi="Arial"/>
                <w:sz w:val="16"/>
                <w:szCs w:val="16"/>
                <w:b w:val="1"/>
                <w:bCs w:val="1"/>
                <w:color w:val="auto"/>
                <w:w w:val="87"/>
              </w:rPr>
              <w:t>Pension Benefit</w:t>
            </w:r>
          </w:p>
        </w:tc>
        <w:tc>
          <w:tcPr>
            <w:tcW w:w="100" w:type="dxa"/>
            <w:vAlign w:val="bottom"/>
          </w:tcPr>
          <w:p>
            <w:pPr>
              <w:spacing w:after="0"/>
              <w:rPr>
                <w:sz w:val="16"/>
                <w:szCs w:val="16"/>
                <w:color w:val="auto"/>
              </w:rPr>
            </w:pPr>
          </w:p>
        </w:tc>
        <w:tc>
          <w:tcPr>
            <w:tcW w:w="146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93"/>
              </w:rPr>
              <w:t>Accumulated Other</w:t>
            </w:r>
          </w:p>
        </w:tc>
        <w:tc>
          <w:tcPr>
            <w:tcW w:w="0" w:type="dxa"/>
            <w:vAlign w:val="bottom"/>
          </w:tcPr>
          <w:p>
            <w:pPr>
              <w:spacing w:after="0"/>
              <w:rPr>
                <w:sz w:val="1"/>
                <w:szCs w:val="1"/>
                <w:color w:val="auto"/>
              </w:rPr>
            </w:pPr>
          </w:p>
        </w:tc>
      </w:tr>
      <w:tr>
        <w:trPr>
          <w:trHeight w:val="162"/>
        </w:trPr>
        <w:tc>
          <w:tcPr>
            <w:tcW w:w="358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auto"/>
                <w:w w:val="91"/>
              </w:rPr>
              <w:t>Gain (Loss) on</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auto"/>
                <w:w w:val="91"/>
              </w:rPr>
              <w:t>Gain (Loss) on</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8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80" w:type="dxa"/>
            <w:vAlign w:val="bottom"/>
          </w:tcPr>
          <w:p>
            <w:pPr>
              <w:spacing w:after="0"/>
              <w:rPr>
                <w:sz w:val="14"/>
                <w:szCs w:val="14"/>
                <w:color w:val="auto"/>
              </w:rPr>
            </w:pPr>
          </w:p>
        </w:tc>
        <w:tc>
          <w:tcPr>
            <w:tcW w:w="1240" w:type="dxa"/>
            <w:vAlign w:val="bottom"/>
          </w:tcPr>
          <w:p>
            <w:pPr>
              <w:jc w:val="center"/>
              <w:ind w:right="119"/>
              <w:spacing w:after="0" w:line="162" w:lineRule="exact"/>
              <w:rPr>
                <w:sz w:val="20"/>
                <w:szCs w:val="20"/>
                <w:color w:val="auto"/>
              </w:rPr>
            </w:pPr>
            <w:r>
              <w:rPr>
                <w:rFonts w:ascii="Arial" w:cs="Arial" w:eastAsia="Arial" w:hAnsi="Arial"/>
                <w:sz w:val="16"/>
                <w:szCs w:val="16"/>
                <w:b w:val="1"/>
                <w:bCs w:val="1"/>
                <w:color w:val="auto"/>
                <w:w w:val="92"/>
              </w:rPr>
              <w:t>Translation</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w w:val="94"/>
              </w:rPr>
              <w:t>Derivative</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auto"/>
                <w:w w:val="92"/>
              </w:rPr>
              <w:t>Nonderivative</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auto"/>
                <w:w w:val="93"/>
              </w:rPr>
              <w:t>Obligation</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w w:val="88"/>
              </w:rPr>
              <w:t>Comprehensive</w:t>
            </w:r>
          </w:p>
        </w:tc>
        <w:tc>
          <w:tcPr>
            <w:tcW w:w="0" w:type="dxa"/>
            <w:vAlign w:val="bottom"/>
          </w:tcPr>
          <w:p>
            <w:pPr>
              <w:spacing w:after="0"/>
              <w:rPr>
                <w:sz w:val="1"/>
                <w:szCs w:val="1"/>
                <w:color w:val="auto"/>
              </w:rPr>
            </w:pPr>
          </w:p>
        </w:tc>
      </w:tr>
      <w:tr>
        <w:trPr>
          <w:trHeight w:val="213"/>
        </w:trPr>
        <w:tc>
          <w:tcPr>
            <w:tcW w:w="358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90"/>
              </w:rPr>
              <w:t>Adjustments</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1"/>
              </w:rPr>
              <w:t>Instruments</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1"/>
              </w:rPr>
              <w:t>Instruments</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0"/>
              </w:rPr>
              <w:t>Adjustments</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0"/>
              </w:rPr>
              <w:t>Income (Loss)</w:t>
            </w:r>
          </w:p>
        </w:tc>
        <w:tc>
          <w:tcPr>
            <w:tcW w:w="0" w:type="dxa"/>
            <w:vAlign w:val="bottom"/>
          </w:tcPr>
          <w:p>
            <w:pPr>
              <w:spacing w:after="0"/>
              <w:rPr>
                <w:sz w:val="1"/>
                <w:szCs w:val="1"/>
                <w:color w:val="auto"/>
              </w:rPr>
            </w:pPr>
          </w:p>
        </w:tc>
      </w:tr>
      <w:tr>
        <w:trPr>
          <w:trHeight w:val="212"/>
        </w:trPr>
        <w:tc>
          <w:tcPr>
            <w:tcW w:w="3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Balances at January 1, 2022</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(111,766)</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ind w:left="920"/>
              <w:spacing w:after="0"/>
              <w:rPr>
                <w:sz w:val="20"/>
                <w:szCs w:val="20"/>
                <w:color w:val="auto"/>
              </w:rPr>
            </w:pPr>
            <w:r>
              <w:rPr>
                <w:rFonts w:ascii="Arial" w:cs="Arial" w:eastAsia="Arial" w:hAnsi="Arial"/>
                <w:sz w:val="16"/>
                <w:szCs w:val="16"/>
                <w:color w:val="auto"/>
                <w:w w:val="96"/>
              </w:rPr>
              <w:t>(210)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ind w:left="720"/>
              <w:spacing w:after="0"/>
              <w:rPr>
                <w:sz w:val="20"/>
                <w:szCs w:val="20"/>
                <w:color w:val="auto"/>
              </w:rPr>
            </w:pPr>
            <w:r>
              <w:rPr>
                <w:rFonts w:ascii="Arial" w:cs="Arial" w:eastAsia="Arial" w:hAnsi="Arial"/>
                <w:sz w:val="16"/>
                <w:szCs w:val="16"/>
                <w:color w:val="auto"/>
                <w:w w:val="93"/>
              </w:rPr>
              <w:t>(14,380)</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(21,742)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(148,098)</w:t>
            </w:r>
          </w:p>
        </w:tc>
        <w:tc>
          <w:tcPr>
            <w:tcW w:w="0" w:type="dxa"/>
            <w:vAlign w:val="bottom"/>
          </w:tcPr>
          <w:p>
            <w:pPr>
              <w:spacing w:after="0"/>
              <w:rPr>
                <w:sz w:val="1"/>
                <w:szCs w:val="1"/>
                <w:color w:val="auto"/>
              </w:rPr>
            </w:pPr>
          </w:p>
        </w:tc>
      </w:tr>
      <w:tr>
        <w:trPr>
          <w:trHeight w:val="207"/>
        </w:trPr>
        <w:tc>
          <w:tcPr>
            <w:tcW w:w="3580" w:type="dxa"/>
            <w:vAlign w:val="bottom"/>
            <w:tcBorders>
              <w:top w:val="single" w:sz="8" w:color="CCEEFF"/>
            </w:tcBorders>
          </w:tcPr>
          <w:p>
            <w:pPr>
              <w:ind w:left="180"/>
              <w:spacing w:after="0"/>
              <w:rPr>
                <w:sz w:val="20"/>
                <w:szCs w:val="20"/>
                <w:color w:val="auto"/>
              </w:rPr>
            </w:pPr>
            <w:r>
              <w:rPr>
                <w:rFonts w:ascii="Arial" w:cs="Arial" w:eastAsia="Arial" w:hAnsi="Arial"/>
                <w:sz w:val="16"/>
                <w:szCs w:val="16"/>
                <w:color w:val="auto"/>
              </w:rPr>
              <w:t>OCI before reclassifications</w:t>
            </w:r>
          </w:p>
        </w:tc>
        <w:tc>
          <w:tcPr>
            <w:tcW w:w="1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(27,519)</w:t>
            </w:r>
          </w:p>
        </w:tc>
        <w:tc>
          <w:tcPr>
            <w:tcW w:w="1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ind w:left="1060"/>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ind w:left="106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4,189</w:t>
            </w: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(23,330)</w:t>
            </w:r>
          </w:p>
        </w:tc>
        <w:tc>
          <w:tcPr>
            <w:tcW w:w="0" w:type="dxa"/>
            <w:vAlign w:val="bottom"/>
          </w:tcPr>
          <w:p>
            <w:pPr>
              <w:spacing w:after="0"/>
              <w:rPr>
                <w:sz w:val="1"/>
                <w:szCs w:val="1"/>
                <w:color w:val="auto"/>
              </w:rPr>
            </w:pPr>
          </w:p>
        </w:tc>
      </w:tr>
      <w:tr>
        <w:trPr>
          <w:trHeight w:val="219"/>
        </w:trPr>
        <w:tc>
          <w:tcPr>
            <w:tcW w:w="3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Amounts reclassified from AOCI</w:t>
            </w: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55,436</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ind w:left="10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ind w:left="10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55,723</w:t>
            </w:r>
          </w:p>
        </w:tc>
        <w:tc>
          <w:tcPr>
            <w:tcW w:w="0" w:type="dxa"/>
            <w:vAlign w:val="bottom"/>
          </w:tcPr>
          <w:p>
            <w:pPr>
              <w:spacing w:after="0"/>
              <w:rPr>
                <w:sz w:val="1"/>
                <w:szCs w:val="1"/>
                <w:color w:val="auto"/>
              </w:rPr>
            </w:pPr>
          </w:p>
        </w:tc>
      </w:tr>
      <w:tr>
        <w:trPr>
          <w:trHeight w:val="209"/>
        </w:trPr>
        <w:tc>
          <w:tcPr>
            <w:tcW w:w="3580" w:type="dxa"/>
            <w:vAlign w:val="bottom"/>
          </w:tcPr>
          <w:p>
            <w:pPr>
              <w:ind w:left="20"/>
              <w:spacing w:after="0"/>
              <w:rPr>
                <w:sz w:val="20"/>
                <w:szCs w:val="20"/>
                <w:color w:val="auto"/>
              </w:rPr>
            </w:pPr>
            <w:r>
              <w:rPr>
                <w:rFonts w:ascii="Arial" w:cs="Arial" w:eastAsia="Arial" w:hAnsi="Arial"/>
                <w:sz w:val="16"/>
                <w:szCs w:val="16"/>
                <w:color w:val="auto"/>
              </w:rPr>
              <w:t>Total other comprehensive income (loss)</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27,917</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ind w:left="10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ind w:left="10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4,476</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32,393</w:t>
            </w: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Balances at June 30, 2022</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(83,849)</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ind w:left="920"/>
              <w:spacing w:after="0"/>
              <w:rPr>
                <w:sz w:val="20"/>
                <w:szCs w:val="20"/>
                <w:color w:val="auto"/>
              </w:rPr>
            </w:pPr>
            <w:r>
              <w:rPr>
                <w:rFonts w:ascii="Arial" w:cs="Arial" w:eastAsia="Arial" w:hAnsi="Arial"/>
                <w:sz w:val="16"/>
                <w:szCs w:val="16"/>
                <w:color w:val="auto"/>
                <w:w w:val="96"/>
              </w:rPr>
              <w:t>(210)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ind w:left="720"/>
              <w:spacing w:after="0"/>
              <w:rPr>
                <w:sz w:val="20"/>
                <w:szCs w:val="20"/>
                <w:color w:val="auto"/>
              </w:rPr>
            </w:pPr>
            <w:r>
              <w:rPr>
                <w:rFonts w:ascii="Arial" w:cs="Arial" w:eastAsia="Arial" w:hAnsi="Arial"/>
                <w:sz w:val="16"/>
                <w:szCs w:val="16"/>
                <w:color w:val="auto"/>
                <w:w w:val="93"/>
              </w:rPr>
              <w:t>(14,380)</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(17,266)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(115,705)</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Balances at January 1, 2023</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(83,193)</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ind w:left="920"/>
              <w:spacing w:after="0"/>
              <w:rPr>
                <w:sz w:val="20"/>
                <w:szCs w:val="20"/>
                <w:color w:val="auto"/>
              </w:rPr>
            </w:pPr>
            <w:r>
              <w:rPr>
                <w:rFonts w:ascii="Arial" w:cs="Arial" w:eastAsia="Arial" w:hAnsi="Arial"/>
                <w:sz w:val="16"/>
                <w:szCs w:val="16"/>
                <w:color w:val="auto"/>
                <w:w w:val="96"/>
              </w:rPr>
              <w:t>(210)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ind w:left="720"/>
              <w:spacing w:after="0"/>
              <w:rPr>
                <w:sz w:val="20"/>
                <w:szCs w:val="20"/>
                <w:color w:val="auto"/>
              </w:rPr>
            </w:pPr>
            <w:r>
              <w:rPr>
                <w:rFonts w:ascii="Arial" w:cs="Arial" w:eastAsia="Arial" w:hAnsi="Arial"/>
                <w:sz w:val="16"/>
                <w:szCs w:val="16"/>
                <w:color w:val="auto"/>
                <w:w w:val="93"/>
              </w:rPr>
              <w:t>(14,380)</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(94,674)</w:t>
            </w:r>
          </w:p>
        </w:tc>
        <w:tc>
          <w:tcPr>
            <w:tcW w:w="0" w:type="dxa"/>
            <w:vAlign w:val="bottom"/>
          </w:tcPr>
          <w:p>
            <w:pPr>
              <w:spacing w:after="0"/>
              <w:rPr>
                <w:sz w:val="1"/>
                <w:szCs w:val="1"/>
                <w:color w:val="auto"/>
              </w:rPr>
            </w:pPr>
          </w:p>
        </w:tc>
      </w:tr>
      <w:tr>
        <w:trPr>
          <w:trHeight w:val="207"/>
        </w:trPr>
        <w:tc>
          <w:tcPr>
            <w:tcW w:w="3580" w:type="dxa"/>
            <w:vAlign w:val="bottom"/>
          </w:tcPr>
          <w:p>
            <w:pPr>
              <w:ind w:left="180"/>
              <w:spacing w:after="0"/>
              <w:rPr>
                <w:sz w:val="20"/>
                <w:szCs w:val="20"/>
                <w:color w:val="auto"/>
              </w:rPr>
            </w:pPr>
            <w:r>
              <w:rPr>
                <w:rFonts w:ascii="Arial" w:cs="Arial" w:eastAsia="Arial" w:hAnsi="Arial"/>
                <w:sz w:val="16"/>
                <w:szCs w:val="16"/>
                <w:color w:val="auto"/>
              </w:rPr>
              <w:t>OCI before reclassifications</w:t>
            </w:r>
          </w:p>
        </w:tc>
        <w:tc>
          <w:tcPr>
            <w:tcW w:w="1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9,165</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ind w:left="10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ind w:left="10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9,165</w:t>
            </w:r>
          </w:p>
        </w:tc>
        <w:tc>
          <w:tcPr>
            <w:tcW w:w="0" w:type="dxa"/>
            <w:vAlign w:val="bottom"/>
          </w:tcPr>
          <w:p>
            <w:pPr>
              <w:spacing w:after="0"/>
              <w:rPr>
                <w:sz w:val="1"/>
                <w:szCs w:val="1"/>
                <w:color w:val="auto"/>
              </w:rPr>
            </w:pPr>
          </w:p>
        </w:tc>
      </w:tr>
      <w:tr>
        <w:trPr>
          <w:trHeight w:val="219"/>
        </w:trPr>
        <w:tc>
          <w:tcPr>
            <w:tcW w:w="35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Amounts reclassified from AOCI</w:t>
            </w: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ind w:left="10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ind w:left="10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w:t>
            </w:r>
          </w:p>
        </w:tc>
        <w:tc>
          <w:tcPr>
            <w:tcW w:w="0" w:type="dxa"/>
            <w:vAlign w:val="bottom"/>
          </w:tcPr>
          <w:p>
            <w:pPr>
              <w:spacing w:after="0"/>
              <w:rPr>
                <w:sz w:val="1"/>
                <w:szCs w:val="1"/>
                <w:color w:val="auto"/>
              </w:rPr>
            </w:pPr>
          </w:p>
        </w:tc>
      </w:tr>
      <w:tr>
        <w:trPr>
          <w:trHeight w:val="207"/>
        </w:trPr>
        <w:tc>
          <w:tcPr>
            <w:tcW w:w="3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other comprehensive income (loss)</w:t>
            </w: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9,165</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ind w:left="10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ind w:left="10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8,952</w:t>
            </w:r>
          </w:p>
        </w:tc>
        <w:tc>
          <w:tcPr>
            <w:tcW w:w="0" w:type="dxa"/>
            <w:vAlign w:val="bottom"/>
          </w:tcPr>
          <w:p>
            <w:pPr>
              <w:spacing w:after="0"/>
              <w:rPr>
                <w:sz w:val="1"/>
                <w:szCs w:val="1"/>
                <w:color w:val="auto"/>
              </w:rPr>
            </w:pPr>
          </w:p>
        </w:tc>
      </w:tr>
      <w:tr>
        <w:trPr>
          <w:trHeight w:val="233"/>
        </w:trPr>
        <w:tc>
          <w:tcPr>
            <w:tcW w:w="3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Balances at June 30, 2023</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(74,028)</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ind w:left="920"/>
              <w:spacing w:after="0"/>
              <w:rPr>
                <w:sz w:val="20"/>
                <w:szCs w:val="20"/>
                <w:color w:val="auto"/>
              </w:rPr>
            </w:pPr>
            <w:r>
              <w:rPr>
                <w:rFonts w:ascii="Arial" w:cs="Arial" w:eastAsia="Arial" w:hAnsi="Arial"/>
                <w:sz w:val="16"/>
                <w:szCs w:val="16"/>
                <w:color w:val="auto"/>
                <w:w w:val="96"/>
              </w:rPr>
              <w:t>(210)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ind w:left="720"/>
              <w:spacing w:after="0"/>
              <w:rPr>
                <w:sz w:val="20"/>
                <w:szCs w:val="20"/>
                <w:color w:val="auto"/>
              </w:rPr>
            </w:pPr>
            <w:r>
              <w:rPr>
                <w:rFonts w:ascii="Arial" w:cs="Arial" w:eastAsia="Arial" w:hAnsi="Arial"/>
                <w:sz w:val="16"/>
                <w:szCs w:val="16"/>
                <w:color w:val="auto"/>
                <w:w w:val="93"/>
              </w:rPr>
              <w:t>(14,380)</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(85,722)</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The before-tax, income tax (provision) benefit, and net-of-tax amounts related to each component of other comprehensive income (OCI) were as follows: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4"/>
          </w:tcPr>
          <w:p>
            <w:pPr>
              <w:jc w:val="right"/>
              <w:ind w:right="559"/>
              <w:spacing w:after="0"/>
              <w:rPr>
                <w:sz w:val="20"/>
                <w:szCs w:val="20"/>
                <w:color w:val="auto"/>
              </w:rPr>
            </w:pPr>
            <w:r>
              <w:rPr>
                <w:rFonts w:ascii="Arial" w:cs="Arial" w:eastAsia="Arial" w:hAnsi="Arial"/>
                <w:sz w:val="16"/>
                <w:szCs w:val="16"/>
                <w:b w:val="1"/>
                <w:bCs w:val="1"/>
                <w:color w:val="auto"/>
              </w:rPr>
              <w:t>Three Months Ended June 30,</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4"/>
          </w:tcPr>
          <w:p>
            <w:pPr>
              <w:jc w:val="right"/>
              <w:ind w:right="659"/>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213"/>
        </w:trPr>
        <w:tc>
          <w:tcPr>
            <w:tcW w:w="43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10"/>
        </w:trPr>
        <w:tc>
          <w:tcPr>
            <w:tcW w:w="4360" w:type="dxa"/>
            <w:vAlign w:val="bottom"/>
          </w:tcPr>
          <w:p>
            <w:pPr>
              <w:ind w:left="20"/>
              <w:spacing w:after="0"/>
              <w:rPr>
                <w:sz w:val="20"/>
                <w:szCs w:val="20"/>
                <w:color w:val="auto"/>
              </w:rPr>
            </w:pPr>
            <w:r>
              <w:rPr>
                <w:rFonts w:ascii="Arial" w:cs="Arial" w:eastAsia="Arial" w:hAnsi="Arial"/>
                <w:sz w:val="16"/>
                <w:szCs w:val="16"/>
                <w:b w:val="1"/>
                <w:bCs w:val="1"/>
                <w:color w:val="auto"/>
              </w:rPr>
              <w:t>Before-tax amount</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Foreign currency translation adjustment</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2,033</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(20,687)</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9,260</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(27,537)</w:t>
            </w:r>
          </w:p>
        </w:tc>
        <w:tc>
          <w:tcPr>
            <w:tcW w:w="0" w:type="dxa"/>
            <w:vAlign w:val="bottom"/>
          </w:tcPr>
          <w:p>
            <w:pPr>
              <w:spacing w:after="0"/>
              <w:rPr>
                <w:sz w:val="1"/>
                <w:szCs w:val="1"/>
                <w:color w:val="auto"/>
              </w:rPr>
            </w:pPr>
          </w:p>
        </w:tc>
      </w:tr>
      <w:tr>
        <w:trPr>
          <w:trHeight w:val="166"/>
        </w:trPr>
        <w:tc>
          <w:tcPr>
            <w:tcW w:w="4360" w:type="dxa"/>
            <w:vAlign w:val="bottom"/>
          </w:tcPr>
          <w:p>
            <w:pPr>
              <w:ind w:left="180"/>
              <w:spacing w:after="0" w:line="166" w:lineRule="exact"/>
              <w:rPr>
                <w:sz w:val="20"/>
                <w:szCs w:val="20"/>
                <w:color w:val="auto"/>
              </w:rPr>
            </w:pPr>
            <w:r>
              <w:rPr>
                <w:rFonts w:ascii="Arial" w:cs="Arial" w:eastAsia="Arial" w:hAnsi="Arial"/>
                <w:sz w:val="16"/>
                <w:szCs w:val="16"/>
                <w:color w:val="auto"/>
              </w:rPr>
              <w:t>Foreign currency translation adjustment reclassified to net</w:t>
            </w:r>
          </w:p>
        </w:tc>
        <w:tc>
          <w:tcPr>
            <w:tcW w:w="38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55,436</w:t>
            </w:r>
          </w:p>
        </w:tc>
        <w:tc>
          <w:tcPr>
            <w:tcW w:w="0" w:type="dxa"/>
            <w:vAlign w:val="bottom"/>
          </w:tcPr>
          <w:p>
            <w:pPr>
              <w:spacing w:after="0"/>
              <w:rPr>
                <w:sz w:val="1"/>
                <w:szCs w:val="1"/>
                <w:color w:val="auto"/>
              </w:rPr>
            </w:pPr>
          </w:p>
        </w:tc>
      </w:tr>
      <w:tr>
        <w:trPr>
          <w:trHeight w:val="209"/>
        </w:trPr>
        <w:tc>
          <w:tcPr>
            <w:tcW w:w="4360" w:type="dxa"/>
            <w:vAlign w:val="bottom"/>
          </w:tcPr>
          <w:p>
            <w:pPr>
              <w:ind w:left="360"/>
              <w:spacing w:after="0"/>
              <w:rPr>
                <w:sz w:val="20"/>
                <w:szCs w:val="20"/>
                <w:color w:val="auto"/>
              </w:rPr>
            </w:pPr>
            <w:r>
              <w:rPr>
                <w:rFonts w:ascii="Arial" w:cs="Arial" w:eastAsia="Arial" w:hAnsi="Arial"/>
                <w:sz w:val="16"/>
                <w:szCs w:val="16"/>
                <w:color w:val="auto"/>
              </w:rPr>
              <w:t>income (loss) on sale of business</w:t>
            </w:r>
          </w:p>
        </w:tc>
        <w:tc>
          <w:tcPr>
            <w:tcW w:w="38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unrealized gain (loss) on defined benefit plans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4,205</w:t>
            </w:r>
          </w:p>
        </w:tc>
        <w:tc>
          <w:tcPr>
            <w:tcW w:w="0" w:type="dxa"/>
            <w:vAlign w:val="bottom"/>
          </w:tcPr>
          <w:p>
            <w:pPr>
              <w:spacing w:after="0"/>
              <w:rPr>
                <w:sz w:val="1"/>
                <w:szCs w:val="1"/>
                <w:color w:val="auto"/>
              </w:rPr>
            </w:pPr>
          </w:p>
        </w:tc>
      </w:tr>
      <w:tr>
        <w:trPr>
          <w:trHeight w:val="166"/>
        </w:trPr>
        <w:tc>
          <w:tcPr>
            <w:tcW w:w="4360" w:type="dxa"/>
            <w:vAlign w:val="bottom"/>
          </w:tcPr>
          <w:p>
            <w:pPr>
              <w:ind w:left="180"/>
              <w:spacing w:after="0" w:line="166" w:lineRule="exact"/>
              <w:rPr>
                <w:sz w:val="20"/>
                <w:szCs w:val="20"/>
                <w:color w:val="auto"/>
              </w:rPr>
            </w:pPr>
            <w:r>
              <w:rPr>
                <w:rFonts w:ascii="Arial" w:cs="Arial" w:eastAsia="Arial" w:hAnsi="Arial"/>
                <w:sz w:val="16"/>
                <w:szCs w:val="16"/>
                <w:color w:val="auto"/>
                <w:w w:val="96"/>
              </w:rPr>
              <w:t>Net defined benefit plan (gain) loss reclassified to net income</w:t>
            </w:r>
          </w:p>
        </w:tc>
        <w:tc>
          <w:tcPr>
            <w:tcW w:w="38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(107)</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214</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(213)</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288</w:t>
            </w:r>
          </w:p>
        </w:tc>
        <w:tc>
          <w:tcPr>
            <w:tcW w:w="0" w:type="dxa"/>
            <w:vAlign w:val="bottom"/>
          </w:tcPr>
          <w:p>
            <w:pPr>
              <w:spacing w:after="0"/>
              <w:rPr>
                <w:sz w:val="1"/>
                <w:szCs w:val="1"/>
                <w:color w:val="auto"/>
              </w:rPr>
            </w:pPr>
          </w:p>
        </w:tc>
      </w:tr>
      <w:tr>
        <w:trPr>
          <w:trHeight w:val="209"/>
        </w:trPr>
        <w:tc>
          <w:tcPr>
            <w:tcW w:w="43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(loss)</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3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other comprehensive income (loss), before tax</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1,926</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(20,473)</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9,047</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32,392</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Tax (provision) benefit</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60" w:type="dxa"/>
            <w:vAlign w:val="bottom"/>
          </w:tcPr>
          <w:p>
            <w:pPr>
              <w:ind w:left="180"/>
              <w:spacing w:after="0"/>
              <w:rPr>
                <w:sz w:val="20"/>
                <w:szCs w:val="20"/>
                <w:color w:val="auto"/>
              </w:rPr>
            </w:pPr>
            <w:r>
              <w:rPr>
                <w:rFonts w:ascii="Arial" w:cs="Arial" w:eastAsia="Arial" w:hAnsi="Arial"/>
                <w:sz w:val="16"/>
                <w:szCs w:val="16"/>
                <w:color w:val="auto"/>
              </w:rPr>
              <w:t>Foreign currency translation adjustment</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(93)</w:t>
            </w:r>
          </w:p>
        </w:tc>
        <w:tc>
          <w:tcPr>
            <w:tcW w:w="4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59</w:t>
            </w:r>
          </w:p>
        </w:tc>
        <w:tc>
          <w:tcPr>
            <w:tcW w:w="5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(95)</w:t>
            </w:r>
          </w:p>
        </w:tc>
        <w:tc>
          <w:tcPr>
            <w:tcW w:w="5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169"/>
        </w:trPr>
        <w:tc>
          <w:tcPr>
            <w:tcW w:w="4360" w:type="dxa"/>
            <w:vAlign w:val="bottom"/>
            <w:shd w:val="clear" w:color="auto" w:fill="CCEEFF"/>
          </w:tcPr>
          <w:p>
            <w:pPr>
              <w:ind w:left="180"/>
              <w:spacing w:after="0" w:line="169" w:lineRule="exact"/>
              <w:rPr>
                <w:sz w:val="20"/>
                <w:szCs w:val="20"/>
                <w:color w:val="auto"/>
              </w:rPr>
            </w:pPr>
            <w:r>
              <w:rPr>
                <w:rFonts w:ascii="Arial" w:cs="Arial" w:eastAsia="Arial" w:hAnsi="Arial"/>
                <w:sz w:val="16"/>
                <w:szCs w:val="16"/>
                <w:color w:val="auto"/>
              </w:rPr>
              <w:t>Foreign currency translation adjustment reclassified to net</w:t>
            </w:r>
          </w:p>
        </w:tc>
        <w:tc>
          <w:tcPr>
            <w:tcW w:w="38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43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income (loss) on sale of business</w:t>
            </w:r>
          </w:p>
        </w:tc>
        <w:tc>
          <w:tcPr>
            <w:tcW w:w="38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60" w:type="dxa"/>
            <w:vAlign w:val="bottom"/>
          </w:tcPr>
          <w:p>
            <w:pPr>
              <w:ind w:left="180"/>
              <w:spacing w:after="0"/>
              <w:rPr>
                <w:sz w:val="20"/>
                <w:szCs w:val="20"/>
                <w:color w:val="auto"/>
              </w:rPr>
            </w:pPr>
            <w:r>
              <w:rPr>
                <w:rFonts w:ascii="Arial" w:cs="Arial" w:eastAsia="Arial" w:hAnsi="Arial"/>
                <w:sz w:val="16"/>
                <w:szCs w:val="16"/>
                <w:color w:val="auto"/>
              </w:rPr>
              <w:t>Net unrealized gain (loss) on defined benefit plans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169"/>
        </w:trPr>
        <w:tc>
          <w:tcPr>
            <w:tcW w:w="4360" w:type="dxa"/>
            <w:vAlign w:val="bottom"/>
            <w:shd w:val="clear" w:color="auto" w:fill="CCEEFF"/>
          </w:tcPr>
          <w:p>
            <w:pPr>
              <w:ind w:left="180"/>
              <w:spacing w:after="0" w:line="169" w:lineRule="exact"/>
              <w:rPr>
                <w:sz w:val="20"/>
                <w:szCs w:val="20"/>
                <w:color w:val="auto"/>
              </w:rPr>
            </w:pPr>
            <w:r>
              <w:rPr>
                <w:rFonts w:ascii="Arial" w:cs="Arial" w:eastAsia="Arial" w:hAnsi="Arial"/>
                <w:sz w:val="16"/>
                <w:szCs w:val="16"/>
                <w:color w:val="auto"/>
                <w:w w:val="96"/>
              </w:rPr>
              <w:t>Net defined benefit plan (gain) loss reclassified to net income</w:t>
            </w:r>
          </w:p>
        </w:tc>
        <w:tc>
          <w:tcPr>
            <w:tcW w:w="38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2"/>
        </w:trPr>
        <w:tc>
          <w:tcPr>
            <w:tcW w:w="43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(loss)</w:t>
            </w: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4360" w:type="dxa"/>
            <w:vAlign w:val="bottom"/>
          </w:tcPr>
          <w:p>
            <w:pPr>
              <w:ind w:left="20"/>
              <w:spacing w:after="0" w:line="142" w:lineRule="exact"/>
              <w:rPr>
                <w:sz w:val="20"/>
                <w:szCs w:val="20"/>
                <w:color w:val="auto"/>
              </w:rPr>
            </w:pPr>
            <w:r>
              <w:rPr>
                <w:rFonts w:ascii="Arial" w:cs="Arial" w:eastAsia="Arial" w:hAnsi="Arial"/>
                <w:sz w:val="16"/>
                <w:szCs w:val="16"/>
                <w:b w:val="1"/>
                <w:bCs w:val="1"/>
                <w:color w:val="auto"/>
              </w:rPr>
              <w:t>Total other comprehensive income (loss) tax (provision)</w:t>
            </w:r>
          </w:p>
        </w:tc>
        <w:tc>
          <w:tcPr>
            <w:tcW w:w="380" w:type="dxa"/>
            <w:vAlign w:val="bottom"/>
            <w:vMerge w:val="restart"/>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(93)</w:t>
            </w:r>
          </w:p>
        </w:tc>
        <w:tc>
          <w:tcPr>
            <w:tcW w:w="480" w:type="dxa"/>
            <w:vAlign w:val="bottom"/>
            <w:gridSpan w:val="2"/>
            <w:vMerge w:val="restart"/>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51</w:t>
            </w:r>
          </w:p>
        </w:tc>
        <w:tc>
          <w:tcPr>
            <w:tcW w:w="500" w:type="dxa"/>
            <w:vAlign w:val="bottom"/>
            <w:gridSpan w:val="2"/>
            <w:vMerge w:val="restart"/>
          </w:tcPr>
          <w:p>
            <w:pPr>
              <w:jc w:val="right"/>
              <w:ind w:right="280"/>
              <w:spacing w:after="0"/>
              <w:rPr>
                <w:sz w:val="20"/>
                <w:szCs w:val="20"/>
                <w:color w:val="auto"/>
              </w:rPr>
            </w:pPr>
            <w:r>
              <w:rPr>
                <w:rFonts w:ascii="Arial" w:cs="Arial" w:eastAsia="Arial" w:hAnsi="Arial"/>
                <w:sz w:val="16"/>
                <w:szCs w:val="16"/>
                <w:color w:val="auto"/>
              </w:rPr>
              <w:t>$</w:t>
            </w: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(95)</w:t>
            </w:r>
          </w:p>
        </w:tc>
        <w:tc>
          <w:tcPr>
            <w:tcW w:w="500" w:type="dxa"/>
            <w:vAlign w:val="bottom"/>
            <w:gridSpan w:val="2"/>
            <w:vMerge w:val="restart"/>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89"/>
        </w:trPr>
        <w:tc>
          <w:tcPr>
            <w:tcW w:w="4360" w:type="dxa"/>
            <w:vAlign w:val="bottom"/>
          </w:tcPr>
          <w:p>
            <w:pPr>
              <w:ind w:left="20"/>
              <w:spacing w:after="0"/>
              <w:rPr>
                <w:sz w:val="20"/>
                <w:szCs w:val="20"/>
                <w:color w:val="auto"/>
              </w:rPr>
            </w:pPr>
            <w:r>
              <w:rPr>
                <w:rFonts w:ascii="Arial" w:cs="Arial" w:eastAsia="Arial" w:hAnsi="Arial"/>
                <w:sz w:val="16"/>
                <w:szCs w:val="16"/>
                <w:b w:val="1"/>
                <w:bCs w:val="1"/>
                <w:color w:val="auto"/>
              </w:rPr>
              <w:t>benefit</w:t>
            </w:r>
          </w:p>
        </w:tc>
        <w:tc>
          <w:tcPr>
            <w:tcW w:w="38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480" w:type="dxa"/>
            <w:vAlign w:val="bottom"/>
            <w:gridSpan w:val="2"/>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500" w:type="dxa"/>
            <w:vAlign w:val="bottom"/>
            <w:gridSpan w:val="2"/>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500" w:type="dxa"/>
            <w:vAlign w:val="bottom"/>
            <w:gridSpan w:val="2"/>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36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3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360" w:type="dxa"/>
            <w:vAlign w:val="bottom"/>
          </w:tcPr>
          <w:p>
            <w:pPr>
              <w:ind w:left="20"/>
              <w:spacing w:after="0"/>
              <w:rPr>
                <w:sz w:val="20"/>
                <w:szCs w:val="20"/>
                <w:color w:val="auto"/>
              </w:rPr>
            </w:pPr>
            <w:r>
              <w:rPr>
                <w:rFonts w:ascii="Arial" w:cs="Arial" w:eastAsia="Arial" w:hAnsi="Arial"/>
                <w:sz w:val="16"/>
                <w:szCs w:val="16"/>
                <w:b w:val="1"/>
                <w:bCs w:val="1"/>
                <w:color w:val="auto"/>
              </w:rPr>
              <w:t>Net-of-tax amount</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Foreign currency translation adjustment</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1,940</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(20,628)</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9,165</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(27,519)</w:t>
            </w:r>
          </w:p>
        </w:tc>
        <w:tc>
          <w:tcPr>
            <w:tcW w:w="0" w:type="dxa"/>
            <w:vAlign w:val="bottom"/>
          </w:tcPr>
          <w:p>
            <w:pPr>
              <w:spacing w:after="0"/>
              <w:rPr>
                <w:sz w:val="1"/>
                <w:szCs w:val="1"/>
                <w:color w:val="auto"/>
              </w:rPr>
            </w:pPr>
          </w:p>
        </w:tc>
      </w:tr>
      <w:tr>
        <w:trPr>
          <w:trHeight w:val="166"/>
        </w:trPr>
        <w:tc>
          <w:tcPr>
            <w:tcW w:w="4360" w:type="dxa"/>
            <w:vAlign w:val="bottom"/>
          </w:tcPr>
          <w:p>
            <w:pPr>
              <w:ind w:left="180"/>
              <w:spacing w:after="0" w:line="166" w:lineRule="exact"/>
              <w:rPr>
                <w:sz w:val="20"/>
                <w:szCs w:val="20"/>
                <w:color w:val="auto"/>
              </w:rPr>
            </w:pPr>
            <w:r>
              <w:rPr>
                <w:rFonts w:ascii="Arial" w:cs="Arial" w:eastAsia="Arial" w:hAnsi="Arial"/>
                <w:sz w:val="16"/>
                <w:szCs w:val="16"/>
                <w:color w:val="auto"/>
              </w:rPr>
              <w:t>Foreign currency translation adjustment reclassified to net</w:t>
            </w:r>
          </w:p>
        </w:tc>
        <w:tc>
          <w:tcPr>
            <w:tcW w:w="38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55,436</w:t>
            </w:r>
          </w:p>
        </w:tc>
        <w:tc>
          <w:tcPr>
            <w:tcW w:w="0" w:type="dxa"/>
            <w:vAlign w:val="bottom"/>
          </w:tcPr>
          <w:p>
            <w:pPr>
              <w:spacing w:after="0"/>
              <w:rPr>
                <w:sz w:val="1"/>
                <w:szCs w:val="1"/>
                <w:color w:val="auto"/>
              </w:rPr>
            </w:pPr>
          </w:p>
        </w:tc>
      </w:tr>
      <w:tr>
        <w:trPr>
          <w:trHeight w:val="209"/>
        </w:trPr>
        <w:tc>
          <w:tcPr>
            <w:tcW w:w="4360" w:type="dxa"/>
            <w:vAlign w:val="bottom"/>
          </w:tcPr>
          <w:p>
            <w:pPr>
              <w:ind w:left="360"/>
              <w:spacing w:after="0"/>
              <w:rPr>
                <w:sz w:val="20"/>
                <w:szCs w:val="20"/>
                <w:color w:val="auto"/>
              </w:rPr>
            </w:pPr>
            <w:r>
              <w:rPr>
                <w:rFonts w:ascii="Arial" w:cs="Arial" w:eastAsia="Arial" w:hAnsi="Arial"/>
                <w:sz w:val="16"/>
                <w:szCs w:val="16"/>
                <w:color w:val="auto"/>
              </w:rPr>
              <w:t>income (loss) on sale of business</w:t>
            </w:r>
          </w:p>
        </w:tc>
        <w:tc>
          <w:tcPr>
            <w:tcW w:w="38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3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unrealized gain (loss) on defined benefit plans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4,189</w:t>
            </w:r>
          </w:p>
        </w:tc>
        <w:tc>
          <w:tcPr>
            <w:tcW w:w="0" w:type="dxa"/>
            <w:vAlign w:val="bottom"/>
          </w:tcPr>
          <w:p>
            <w:pPr>
              <w:spacing w:after="0"/>
              <w:rPr>
                <w:sz w:val="1"/>
                <w:szCs w:val="1"/>
                <w:color w:val="auto"/>
              </w:rPr>
            </w:pPr>
          </w:p>
        </w:tc>
      </w:tr>
      <w:tr>
        <w:trPr>
          <w:trHeight w:val="166"/>
        </w:trPr>
        <w:tc>
          <w:tcPr>
            <w:tcW w:w="4360" w:type="dxa"/>
            <w:vAlign w:val="bottom"/>
          </w:tcPr>
          <w:p>
            <w:pPr>
              <w:ind w:left="180"/>
              <w:spacing w:after="0" w:line="166" w:lineRule="exact"/>
              <w:rPr>
                <w:sz w:val="20"/>
                <w:szCs w:val="20"/>
                <w:color w:val="auto"/>
              </w:rPr>
            </w:pPr>
            <w:r>
              <w:rPr>
                <w:rFonts w:ascii="Arial" w:cs="Arial" w:eastAsia="Arial" w:hAnsi="Arial"/>
                <w:sz w:val="16"/>
                <w:szCs w:val="16"/>
                <w:color w:val="auto"/>
                <w:w w:val="96"/>
              </w:rPr>
              <w:t>Net defined benefit plan (gain) loss reclassified to net income</w:t>
            </w:r>
          </w:p>
        </w:tc>
        <w:tc>
          <w:tcPr>
            <w:tcW w:w="38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(107)</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213</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(213)</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287</w:t>
            </w:r>
          </w:p>
        </w:tc>
        <w:tc>
          <w:tcPr>
            <w:tcW w:w="0" w:type="dxa"/>
            <w:vAlign w:val="bottom"/>
          </w:tcPr>
          <w:p>
            <w:pPr>
              <w:spacing w:after="0"/>
              <w:rPr>
                <w:sz w:val="1"/>
                <w:szCs w:val="1"/>
                <w:color w:val="auto"/>
              </w:rPr>
            </w:pPr>
          </w:p>
        </w:tc>
      </w:tr>
      <w:tr>
        <w:trPr>
          <w:trHeight w:val="209"/>
        </w:trPr>
        <w:tc>
          <w:tcPr>
            <w:tcW w:w="43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(loss)</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43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other comprehensive income (loss), net of tax</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1,833</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(20,422)</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8,952</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32,393</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6"/>
          <w:szCs w:val="16"/>
          <w:b w:val="1"/>
          <w:bCs w:val="1"/>
          <w:color w:val="auto"/>
        </w:rPr>
        <w:t>Fair Value of Financial Instruments</w:t>
      </w:r>
    </w:p>
    <w:p>
      <w:pPr>
        <w:spacing w:after="0" w:line="256"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The fair values at June 30, 2023 and December 31, 2022 do not reflect subsequent changes in the economy, interest rates, tax rates, and other variables that may affect the determination of fair value.</w:t>
      </w:r>
    </w:p>
    <w:tbl>
      <w:tblPr>
        <w:tblLayout w:type="fixed"/>
        <w:tblInd w:w="0" w:type="dxa"/>
        <w:tblCellMar>
          <w:top w:w="0" w:type="dxa"/>
          <w:left w:w="0" w:type="dxa"/>
          <w:bottom w:w="0" w:type="dxa"/>
          <w:right w:w="0" w:type="dxa"/>
        </w:tblCellMar>
      </w:tblPr>
      <w:tr>
        <w:trPr>
          <w:trHeight w:val="213"/>
        </w:trPr>
        <w:tc>
          <w:tcPr>
            <w:tcW w:w="43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June 30, 2023</w:t>
            </w:r>
          </w:p>
        </w:tc>
        <w:tc>
          <w:tcPr>
            <w:tcW w:w="1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ind w:left="740"/>
              <w:spacing w:after="0"/>
              <w:rPr>
                <w:sz w:val="20"/>
                <w:szCs w:val="20"/>
                <w:color w:val="auto"/>
              </w:rPr>
            </w:pPr>
            <w:r>
              <w:rPr>
                <w:rFonts w:ascii="Arial" w:cs="Arial" w:eastAsia="Arial" w:hAnsi="Arial"/>
                <w:sz w:val="16"/>
                <w:szCs w:val="16"/>
                <w:b w:val="1"/>
                <w:bCs w:val="1"/>
                <w:color w:val="auto"/>
                <w:w w:val="90"/>
              </w:rPr>
              <w:t>December 31, 2022</w:t>
            </w: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32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300" w:type="dxa"/>
            <w:vAlign w:val="bottom"/>
          </w:tcPr>
          <w:p>
            <w:pPr>
              <w:spacing w:after="0"/>
              <w:rPr>
                <w:sz w:val="13"/>
                <w:szCs w:val="13"/>
                <w:color w:val="auto"/>
              </w:rPr>
            </w:pPr>
          </w:p>
        </w:tc>
        <w:tc>
          <w:tcPr>
            <w:tcW w:w="1960" w:type="dxa"/>
            <w:vAlign w:val="bottom"/>
          </w:tcPr>
          <w:p>
            <w:pPr>
              <w:jc w:val="center"/>
              <w:ind w:right="839"/>
              <w:spacing w:after="0" w:line="158" w:lineRule="exact"/>
              <w:rPr>
                <w:sz w:val="20"/>
                <w:szCs w:val="20"/>
                <w:color w:val="auto"/>
              </w:rPr>
            </w:pPr>
            <w:r>
              <w:rPr>
                <w:rFonts w:ascii="Arial" w:cs="Arial" w:eastAsia="Arial" w:hAnsi="Arial"/>
                <w:sz w:val="16"/>
                <w:szCs w:val="16"/>
                <w:b w:val="1"/>
                <w:bCs w:val="1"/>
                <w:color w:val="auto"/>
                <w:w w:val="97"/>
              </w:rPr>
              <w:t>Carrying</w:t>
            </w:r>
          </w:p>
        </w:tc>
        <w:tc>
          <w:tcPr>
            <w:tcW w:w="1120" w:type="dxa"/>
            <w:vAlign w:val="bottom"/>
          </w:tcPr>
          <w:p>
            <w:pPr>
              <w:jc w:val="center"/>
              <w:ind w:right="419"/>
              <w:spacing w:after="0" w:line="158" w:lineRule="exact"/>
              <w:rPr>
                <w:sz w:val="20"/>
                <w:szCs w:val="20"/>
                <w:color w:val="auto"/>
              </w:rPr>
            </w:pPr>
            <w:r>
              <w:rPr>
                <w:rFonts w:ascii="Arial" w:cs="Arial" w:eastAsia="Arial" w:hAnsi="Arial"/>
                <w:sz w:val="16"/>
                <w:szCs w:val="16"/>
                <w:b w:val="1"/>
                <w:bCs w:val="1"/>
                <w:color w:val="auto"/>
              </w:rPr>
              <w:t>Fair</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60" w:type="dxa"/>
            <w:vAlign w:val="bottom"/>
          </w:tcPr>
          <w:p>
            <w:pPr>
              <w:jc w:val="center"/>
              <w:ind w:right="939"/>
              <w:spacing w:after="0" w:line="158" w:lineRule="exact"/>
              <w:rPr>
                <w:sz w:val="20"/>
                <w:szCs w:val="20"/>
                <w:color w:val="auto"/>
              </w:rPr>
            </w:pPr>
            <w:r>
              <w:rPr>
                <w:rFonts w:ascii="Arial" w:cs="Arial" w:eastAsia="Arial" w:hAnsi="Arial"/>
                <w:sz w:val="16"/>
                <w:szCs w:val="16"/>
                <w:b w:val="1"/>
                <w:bCs w:val="1"/>
                <w:color w:val="auto"/>
                <w:w w:val="97"/>
              </w:rPr>
              <w:t>Carrying</w:t>
            </w:r>
          </w:p>
        </w:tc>
        <w:tc>
          <w:tcPr>
            <w:tcW w:w="1040" w:type="dxa"/>
            <w:vAlign w:val="bottom"/>
          </w:tcPr>
          <w:p>
            <w:pPr>
              <w:jc w:val="right"/>
              <w:ind w:right="599"/>
              <w:spacing w:after="0" w:line="158" w:lineRule="exact"/>
              <w:rPr>
                <w:sz w:val="20"/>
                <w:szCs w:val="20"/>
                <w:color w:val="auto"/>
              </w:rPr>
            </w:pPr>
            <w:r>
              <w:rPr>
                <w:rFonts w:ascii="Arial" w:cs="Arial" w:eastAsia="Arial" w:hAnsi="Arial"/>
                <w:sz w:val="16"/>
                <w:szCs w:val="16"/>
                <w:b w:val="1"/>
                <w:bCs w:val="1"/>
                <w:color w:val="auto"/>
              </w:rPr>
              <w:t>Fair</w:t>
            </w:r>
          </w:p>
        </w:tc>
        <w:tc>
          <w:tcPr>
            <w:tcW w:w="0" w:type="dxa"/>
            <w:vAlign w:val="bottom"/>
          </w:tcPr>
          <w:p>
            <w:pPr>
              <w:spacing w:after="0"/>
              <w:rPr>
                <w:sz w:val="1"/>
                <w:szCs w:val="1"/>
                <w:color w:val="auto"/>
              </w:rPr>
            </w:pPr>
          </w:p>
        </w:tc>
      </w:tr>
      <w:tr>
        <w:trPr>
          <w:trHeight w:val="213"/>
        </w:trPr>
        <w:tc>
          <w:tcPr>
            <w:tcW w:w="432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960" w:type="dxa"/>
            <w:vAlign w:val="bottom"/>
          </w:tcPr>
          <w:p>
            <w:pPr>
              <w:jc w:val="center"/>
              <w:ind w:right="839"/>
              <w:spacing w:after="0"/>
              <w:rPr>
                <w:sz w:val="20"/>
                <w:szCs w:val="20"/>
                <w:color w:val="auto"/>
              </w:rPr>
            </w:pPr>
            <w:r>
              <w:rPr>
                <w:rFonts w:ascii="Arial" w:cs="Arial" w:eastAsia="Arial" w:hAnsi="Arial"/>
                <w:sz w:val="16"/>
                <w:szCs w:val="16"/>
                <w:b w:val="1"/>
                <w:bCs w:val="1"/>
                <w:color w:val="auto"/>
                <w:w w:val="92"/>
              </w:rPr>
              <w:t>Amount</w:t>
            </w:r>
          </w:p>
        </w:tc>
        <w:tc>
          <w:tcPr>
            <w:tcW w:w="1540" w:type="dxa"/>
            <w:vAlign w:val="bottom"/>
            <w:gridSpan w:val="3"/>
          </w:tcPr>
          <w:p>
            <w:pPr>
              <w:jc w:val="center"/>
              <w:ind w:right="920"/>
              <w:spacing w:after="0"/>
              <w:rPr>
                <w:sz w:val="20"/>
                <w:szCs w:val="20"/>
                <w:color w:val="auto"/>
              </w:rPr>
            </w:pPr>
            <w:r>
              <w:rPr>
                <w:rFonts w:ascii="Arial" w:cs="Arial" w:eastAsia="Arial" w:hAnsi="Arial"/>
                <w:sz w:val="16"/>
                <w:szCs w:val="16"/>
                <w:b w:val="1"/>
                <w:bCs w:val="1"/>
                <w:color w:val="auto"/>
                <w:w w:val="88"/>
              </w:rPr>
              <w:t>Value</w:t>
            </w:r>
          </w:p>
        </w:tc>
        <w:tc>
          <w:tcPr>
            <w:tcW w:w="2060" w:type="dxa"/>
            <w:vAlign w:val="bottom"/>
          </w:tcPr>
          <w:p>
            <w:pPr>
              <w:jc w:val="center"/>
              <w:ind w:right="939"/>
              <w:spacing w:after="0"/>
              <w:rPr>
                <w:sz w:val="20"/>
                <w:szCs w:val="20"/>
                <w:color w:val="auto"/>
              </w:rPr>
            </w:pPr>
            <w:r>
              <w:rPr>
                <w:rFonts w:ascii="Arial" w:cs="Arial" w:eastAsia="Arial" w:hAnsi="Arial"/>
                <w:sz w:val="16"/>
                <w:szCs w:val="16"/>
                <w:b w:val="1"/>
                <w:bCs w:val="1"/>
                <w:color w:val="auto"/>
                <w:w w:val="92"/>
              </w:rPr>
              <w:t>Amount</w:t>
            </w:r>
          </w:p>
        </w:tc>
        <w:tc>
          <w:tcPr>
            <w:tcW w:w="1040" w:type="dxa"/>
            <w:vAlign w:val="bottom"/>
          </w:tcPr>
          <w:p>
            <w:pPr>
              <w:jc w:val="right"/>
              <w:ind w:right="559"/>
              <w:spacing w:after="0"/>
              <w:rPr>
                <w:sz w:val="20"/>
                <w:szCs w:val="20"/>
                <w:color w:val="auto"/>
              </w:rPr>
            </w:pPr>
            <w:r>
              <w:rPr>
                <w:rFonts w:ascii="Arial" w:cs="Arial" w:eastAsia="Arial" w:hAnsi="Arial"/>
                <w:sz w:val="16"/>
                <w:szCs w:val="16"/>
                <w:b w:val="1"/>
                <w:bCs w:val="1"/>
                <w:color w:val="auto"/>
                <w:w w:val="88"/>
              </w:rPr>
              <w:t>Value</w:t>
            </w:r>
          </w:p>
        </w:tc>
        <w:tc>
          <w:tcPr>
            <w:tcW w:w="0" w:type="dxa"/>
            <w:vAlign w:val="bottom"/>
          </w:tcPr>
          <w:p>
            <w:pPr>
              <w:spacing w:after="0"/>
              <w:rPr>
                <w:sz w:val="1"/>
                <w:szCs w:val="1"/>
                <w:color w:val="auto"/>
              </w:rPr>
            </w:pPr>
          </w:p>
        </w:tc>
      </w:tr>
      <w:tr>
        <w:trPr>
          <w:trHeight w:val="209"/>
        </w:trPr>
        <w:tc>
          <w:tcPr>
            <w:tcW w:w="432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Credit facility</w:t>
            </w:r>
          </w:p>
        </w:tc>
        <w:tc>
          <w:tcPr>
            <w:tcW w:w="300" w:type="dxa"/>
            <w:vAlign w:val="bottom"/>
            <w:tcBorders>
              <w:top w:val="single" w:sz="8" w:color="auto"/>
            </w:tcBorders>
          </w:tcPr>
          <w:p>
            <w:pPr>
              <w:spacing w:after="0"/>
              <w:rPr>
                <w:sz w:val="18"/>
                <w:szCs w:val="18"/>
                <w:color w:val="auto"/>
              </w:rPr>
            </w:pPr>
          </w:p>
        </w:tc>
        <w:tc>
          <w:tcPr>
            <w:tcW w:w="19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0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3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Multicurrency revolving line of credit</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96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   $</w:t>
            </w:r>
          </w:p>
        </w:tc>
        <w:tc>
          <w:tcPr>
            <w:tcW w:w="1540" w:type="dxa"/>
            <w:vAlign w:val="bottom"/>
            <w:gridSpan w:val="3"/>
            <w:shd w:val="clear" w:color="auto" w:fill="CCEEFF"/>
          </w:tcPr>
          <w:p>
            <w:pPr>
              <w:ind w:left="900"/>
              <w:spacing w:after="0"/>
              <w:rPr>
                <w:sz w:val="20"/>
                <w:szCs w:val="20"/>
                <w:color w:val="auto"/>
              </w:rPr>
            </w:pPr>
            <w:r>
              <w:rPr>
                <w:rFonts w:ascii="Arial" w:cs="Arial" w:eastAsia="Arial" w:hAnsi="Arial"/>
                <w:sz w:val="16"/>
                <w:szCs w:val="16"/>
                <w:color w:val="auto"/>
              </w:rPr>
              <w:t>—   $</w:t>
            </w:r>
          </w:p>
        </w:tc>
        <w:tc>
          <w:tcPr>
            <w:tcW w:w="2060" w:type="dxa"/>
            <w:vAlign w:val="bottom"/>
            <w:shd w:val="clear" w:color="auto" w:fill="CCEEFF"/>
          </w:tcPr>
          <w:p>
            <w:pPr>
              <w:ind w:left="1100"/>
              <w:spacing w:after="0"/>
              <w:rPr>
                <w:sz w:val="20"/>
                <w:szCs w:val="20"/>
                <w:color w:val="auto"/>
              </w:rPr>
            </w:pPr>
            <w:r>
              <w:rPr>
                <w:rFonts w:ascii="Arial" w:cs="Arial" w:eastAsia="Arial" w:hAnsi="Arial"/>
                <w:sz w:val="16"/>
                <w:szCs w:val="16"/>
                <w:color w:val="auto"/>
              </w:rPr>
              <w:t>—   $</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4320" w:type="dxa"/>
            <w:vAlign w:val="bottom"/>
          </w:tcPr>
          <w:p>
            <w:pPr>
              <w:ind w:left="20"/>
              <w:spacing w:after="0"/>
              <w:rPr>
                <w:sz w:val="20"/>
                <w:szCs w:val="20"/>
                <w:color w:val="auto"/>
              </w:rPr>
            </w:pPr>
            <w:r>
              <w:rPr>
                <w:rFonts w:ascii="Arial" w:cs="Arial" w:eastAsia="Arial" w:hAnsi="Arial"/>
                <w:sz w:val="16"/>
                <w:szCs w:val="16"/>
                <w:color w:val="auto"/>
              </w:rPr>
              <w:t>Convertible notes</w:t>
            </w:r>
          </w:p>
        </w:tc>
        <w:tc>
          <w:tcPr>
            <w:tcW w:w="300" w:type="dxa"/>
            <w:vAlign w:val="bottom"/>
          </w:tcPr>
          <w:p>
            <w:pPr>
              <w:spacing w:after="0"/>
              <w:rPr>
                <w:sz w:val="18"/>
                <w:szCs w:val="18"/>
                <w:color w:val="auto"/>
              </w:rPr>
            </w:pPr>
          </w:p>
        </w:tc>
        <w:tc>
          <w:tcPr>
            <w:tcW w:w="1960" w:type="dxa"/>
            <w:vAlign w:val="bottom"/>
          </w:tcPr>
          <w:p>
            <w:pPr>
              <w:jc w:val="right"/>
              <w:ind w:right="599"/>
              <w:spacing w:after="0"/>
              <w:rPr>
                <w:sz w:val="20"/>
                <w:szCs w:val="20"/>
                <w:color w:val="auto"/>
              </w:rPr>
            </w:pPr>
            <w:r>
              <w:rPr>
                <w:rFonts w:ascii="Arial" w:cs="Arial" w:eastAsia="Arial" w:hAnsi="Arial"/>
                <w:sz w:val="16"/>
                <w:szCs w:val="16"/>
                <w:color w:val="auto"/>
              </w:rPr>
              <w:t>453,667</w:t>
            </w:r>
          </w:p>
        </w:tc>
        <w:tc>
          <w:tcPr>
            <w:tcW w:w="1120" w:type="dxa"/>
            <w:vAlign w:val="bottom"/>
          </w:tcPr>
          <w:p>
            <w:pPr>
              <w:jc w:val="right"/>
              <w:spacing w:after="0"/>
              <w:rPr>
                <w:sz w:val="20"/>
                <w:szCs w:val="20"/>
                <w:color w:val="auto"/>
              </w:rPr>
            </w:pPr>
            <w:r>
              <w:rPr>
                <w:rFonts w:ascii="Arial" w:cs="Arial" w:eastAsia="Arial" w:hAnsi="Arial"/>
                <w:sz w:val="16"/>
                <w:szCs w:val="16"/>
                <w:color w:val="auto"/>
              </w:rPr>
              <w:t>412,211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60" w:type="dxa"/>
            <w:vAlign w:val="bottom"/>
          </w:tcPr>
          <w:p>
            <w:pPr>
              <w:ind w:left="740"/>
              <w:spacing w:after="0"/>
              <w:rPr>
                <w:sz w:val="20"/>
                <w:szCs w:val="20"/>
                <w:color w:val="auto"/>
              </w:rPr>
            </w:pPr>
            <w:r>
              <w:rPr>
                <w:rFonts w:ascii="Arial" w:cs="Arial" w:eastAsia="Arial" w:hAnsi="Arial"/>
                <w:sz w:val="16"/>
                <w:szCs w:val="16"/>
                <w:color w:val="auto"/>
              </w:rPr>
              <w:t>452,526</w:t>
            </w:r>
          </w:p>
        </w:tc>
        <w:tc>
          <w:tcPr>
            <w:tcW w:w="1040" w:type="dxa"/>
            <w:vAlign w:val="bottom"/>
          </w:tcPr>
          <w:p>
            <w:pPr>
              <w:jc w:val="right"/>
              <w:spacing w:after="0"/>
              <w:rPr>
                <w:sz w:val="20"/>
                <w:szCs w:val="20"/>
                <w:color w:val="auto"/>
              </w:rPr>
            </w:pPr>
            <w:r>
              <w:rPr>
                <w:rFonts w:ascii="Arial" w:cs="Arial" w:eastAsia="Arial" w:hAnsi="Arial"/>
                <w:sz w:val="16"/>
                <w:szCs w:val="16"/>
                <w:color w:val="auto"/>
              </w:rPr>
              <w:t>377,200</w:t>
            </w:r>
          </w:p>
        </w:tc>
        <w:tc>
          <w:tcPr>
            <w:tcW w:w="0" w:type="dxa"/>
            <w:vAlign w:val="bottom"/>
          </w:tcPr>
          <w:p>
            <w:pPr>
              <w:spacing w:after="0"/>
              <w:rPr>
                <w:sz w:val="1"/>
                <w:szCs w:val="1"/>
                <w:color w:val="auto"/>
              </w:rPr>
            </w:pPr>
          </w:p>
        </w:tc>
      </w:tr>
    </w:tbl>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methods and assumptions were used in estimating fair values: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Due to the liquid nature of these instruments, the carrying amount approximates fair value (Level 1).</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Credit facility - multicurrency revolving line of credit: </w:t>
      </w:r>
      <w:r>
        <w:rPr>
          <w:rFonts w:ascii="Arial" w:cs="Arial" w:eastAsia="Arial" w:hAnsi="Arial"/>
          <w:sz w:val="18"/>
          <w:szCs w:val="18"/>
          <w:color w:val="auto"/>
        </w:rPr>
        <w:t>The revolver is not traded publicly. The fair values, which are determined based upon a hypothetical</w:t>
      </w:r>
      <w:r>
        <w:rPr>
          <w:rFonts w:ascii="Arial" w:cs="Arial" w:eastAsia="Arial" w:hAnsi="Arial"/>
          <w:sz w:val="18"/>
          <w:szCs w:val="18"/>
          <w:i w:val="1"/>
          <w:iCs w:val="1"/>
          <w:color w:val="auto"/>
        </w:rPr>
        <w:t xml:space="preserve"> </w:t>
      </w:r>
      <w:r>
        <w:rPr>
          <w:rFonts w:ascii="Arial" w:cs="Arial" w:eastAsia="Arial" w:hAnsi="Arial"/>
          <w:sz w:val="18"/>
          <w:szCs w:val="18"/>
          <w:color w:val="auto"/>
        </w:rPr>
        <w:t>market participant, are calculated using a discounted cash flow model with Level 2 inputs, including estimates of incremental borrowing rates for debt with similar terms, maturities, and credit profiles. Refer to Note 6: Debt for a further discussion of our debt.</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Convertible notes: </w:t>
      </w:r>
      <w:r>
        <w:rPr>
          <w:rFonts w:ascii="Arial" w:cs="Arial" w:eastAsia="Arial" w:hAnsi="Arial"/>
          <w:sz w:val="18"/>
          <w:szCs w:val="18"/>
          <w:color w:val="auto"/>
        </w:rPr>
        <w:t>The convertible notes are not listed on any securities exchange but may be actively traded. The fair value is estimated using Level 1</w:t>
      </w:r>
      <w:r>
        <w:rPr>
          <w:rFonts w:ascii="Arial" w:cs="Arial" w:eastAsia="Arial" w:hAnsi="Arial"/>
          <w:sz w:val="18"/>
          <w:szCs w:val="18"/>
          <w:i w:val="1"/>
          <w:iCs w:val="1"/>
          <w:color w:val="auto"/>
        </w:rPr>
        <w:t xml:space="preserve"> </w:t>
      </w:r>
      <w:r>
        <w:rPr>
          <w:rFonts w:ascii="Arial" w:cs="Arial" w:eastAsia="Arial" w:hAnsi="Arial"/>
          <w:sz w:val="18"/>
          <w:szCs w:val="18"/>
          <w:color w:val="auto"/>
        </w:rPr>
        <w:t>inputs, as it is based on quoted prices for these instruments in active markets.</w:t>
      </w:r>
    </w:p>
    <w:p>
      <w:pPr>
        <w:spacing w:after="0" w:line="19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Derivatives: </w:t>
      </w:r>
      <w:r>
        <w:rPr>
          <w:rFonts w:ascii="Arial" w:cs="Arial" w:eastAsia="Arial" w:hAnsi="Arial"/>
          <w:sz w:val="17"/>
          <w:szCs w:val="17"/>
          <w:color w:val="auto"/>
        </w:rPr>
        <w:t>Each derivative asset and liability has a carrying value equal to fair value. The fair values of our derivative instruments are determined using</w:t>
      </w:r>
      <w:r>
        <w:rPr>
          <w:rFonts w:ascii="Arial" w:cs="Arial" w:eastAsia="Arial" w:hAnsi="Arial"/>
          <w:sz w:val="17"/>
          <w:szCs w:val="17"/>
          <w:i w:val="1"/>
          <w:iCs w:val="1"/>
          <w:color w:val="auto"/>
        </w:rPr>
        <w:t xml:space="preserve"> </w:t>
      </w:r>
      <w:r>
        <w:rPr>
          <w:rFonts w:ascii="Arial" w:cs="Arial" w:eastAsia="Arial" w:hAnsi="Arial"/>
          <w:sz w:val="17"/>
          <w:szCs w:val="17"/>
          <w:color w:val="auto"/>
        </w:rPr>
        <w:t>the income approach and significant other observable inputs (and are classified as "Level 2" in the fair value hierarchy). We have used observable market inputs based on the type of derivative and the nature of the underlying instrument. The key inputs include foreign exchange spot and forward rates, all of which are available in an active market. We have utilized the mid-market pricing convention for these inputs.</w:t>
      </w:r>
    </w:p>
    <w:p>
      <w:pPr>
        <w:spacing w:after="0" w:line="19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6"/>
          <w:szCs w:val="16"/>
          <w:b w:val="1"/>
          <w:bCs w:val="1"/>
          <w:color w:val="auto"/>
        </w:rPr>
        <w:t>Segment Information</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operate under the Itron brand worldwide and manage and report under three operating segments: Device Solutions, Networked Solutions, and Outcomes.</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three GAAP measures of segment performance: revenues, gross profit (gross margin), and operating income (operating margin). Intersegment revenues are minimal. Certain operating expenses are allocated to the operating segments based upon internally established allocation methodologies. Corporate operating expenses, interest income, interest expense, other income (expense), and the income tax provision (benefit) are neither allocated to the segments, nor are they included in the measure of segment performance. Goodwill impairment charges are recognized in Corporate unallocated. In addition, we allocate only certain production assets and intangible assets to our operating segments. We do not manage the performance of the segments on a balance sheet basis.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Products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Device Solutions </w:t>
      </w:r>
      <w:r>
        <w:rPr>
          <w:rFonts w:ascii="Arial" w:cs="Arial" w:eastAsia="Arial" w:hAnsi="Arial"/>
          <w:sz w:val="18"/>
          <w:szCs w:val="18"/>
          <w:color w:val="auto"/>
        </w:rPr>
        <w:t>– This segment primarily includes hardware products used for measurement, control, or sensing that do not have communications</w:t>
      </w:r>
      <w:r>
        <w:rPr>
          <w:rFonts w:ascii="Arial" w:cs="Arial" w:eastAsia="Arial" w:hAnsi="Arial"/>
          <w:sz w:val="18"/>
          <w:szCs w:val="18"/>
          <w:i w:val="1"/>
          <w:iCs w:val="1"/>
          <w:color w:val="auto"/>
        </w:rPr>
        <w:t xml:space="preserve"> </w:t>
      </w:r>
      <w:r>
        <w:rPr>
          <w:rFonts w:ascii="Arial" w:cs="Arial" w:eastAsia="Arial" w:hAnsi="Arial"/>
          <w:sz w:val="18"/>
          <w:szCs w:val="18"/>
          <w:color w:val="auto"/>
        </w:rPr>
        <w:t>capability embedded for use with our broader Itron systems, i.e., hardware-based products not part of a complete end-to-end solution. Examples from the Device Solutions portfolio include: standard endpoints that are shipped without Itron communications, such as our standard gas, electricity, and water meters for a variety of global markets and adhering to regulations and standards within those markets, as well as our heat and allocation products; communicating meters that are not a part of an Itron end-to-end solution, such as Smart Spec meters; and the implementation and installation of non-communicating devices.</w:t>
      </w:r>
    </w:p>
    <w:p>
      <w:pPr>
        <w:spacing w:after="0" w:line="2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Networked Solutions </w:t>
      </w:r>
      <w:r>
        <w:rPr>
          <w:rFonts w:ascii="Arial" w:cs="Arial" w:eastAsia="Arial" w:hAnsi="Arial"/>
          <w:sz w:val="18"/>
          <w:szCs w:val="18"/>
          <w:color w:val="auto"/>
        </w:rPr>
        <w:t>– This segment primarily includes a combination of communicating devices (e.g., smart meters, modules, endpoints, and sensors),</w:t>
      </w:r>
      <w:r>
        <w:rPr>
          <w:rFonts w:ascii="Arial" w:cs="Arial" w:eastAsia="Arial" w:hAnsi="Arial"/>
          <w:sz w:val="18"/>
          <w:szCs w:val="18"/>
          <w:i w:val="1"/>
          <w:iCs w:val="1"/>
          <w:color w:val="auto"/>
        </w:rPr>
        <w:t xml:space="preserve"> </w:t>
      </w:r>
      <w:r>
        <w:rPr>
          <w:rFonts w:ascii="Arial" w:cs="Arial" w:eastAsia="Arial" w:hAnsi="Arial"/>
          <w:sz w:val="18"/>
          <w:szCs w:val="18"/>
          <w:color w:val="auto"/>
        </w:rPr>
        <w:t>network infrastructure, and associated application software designed and sold as a complete solution for acquiring and transporting robust application-specific data. Networked Solutions includes products and software for the implementation, installation, and management of communicating devices and data networks. The Industrial Internet of Things (IIoT) solutions supported by this segment include automated meter reading (AMR), advanced metering infrastructure (AMI),</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distributed energy resource management (DERMs), smart grid and distribution automation, smart street lighting, and an ever-growing set of smart city applications such as traffic management, smart parking, air quality monitoring, electric vehicle charging, customer engagement, digital signage, acoustic (e.g., gunshot) detection, and leak detection and mitigation for both gas and water systems. Our IIoT platform allows all these utility and smart city applications to be run and managed on a single, multi-purpose network.</w:t>
      </w:r>
    </w:p>
    <w:p>
      <w:pPr>
        <w:spacing w:after="0" w:line="21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Outcomes </w:t>
      </w:r>
      <w:r>
        <w:rPr>
          <w:rFonts w:ascii="Arial" w:cs="Arial" w:eastAsia="Arial" w:hAnsi="Arial"/>
          <w:sz w:val="16"/>
          <w:szCs w:val="16"/>
          <w:color w:val="auto"/>
        </w:rPr>
        <w:t>– This segment primarily includes our value-added, enhanced software and services in which we manage, organize, analyze, and interpret raw,</w:t>
      </w:r>
      <w:r>
        <w:rPr>
          <w:rFonts w:ascii="Arial" w:cs="Arial" w:eastAsia="Arial" w:hAnsi="Arial"/>
          <w:sz w:val="16"/>
          <w:szCs w:val="16"/>
          <w:i w:val="1"/>
          <w:iCs w:val="1"/>
          <w:color w:val="auto"/>
        </w:rPr>
        <w:t xml:space="preserve"> </w:t>
      </w:r>
      <w:r>
        <w:rPr>
          <w:rFonts w:ascii="Arial" w:cs="Arial" w:eastAsia="Arial" w:hAnsi="Arial"/>
          <w:sz w:val="16"/>
          <w:szCs w:val="16"/>
          <w:color w:val="auto"/>
        </w:rPr>
        <w:t>anonymized and aggregated data to improve decision making, maximize operational profitability, drive resource efficiency, improve grid analytics, and deliver results for consumers, utilities, and smart cities. Outcomes supports high-value use cases such as data management, grid operations, distributed intelligence, operations management, gas distribution and safety, water operations management, revenue assurance, DERMs, energy forecasting, consumer engagement, smart payment, and fleet energy resource management. Utilities leverage these outcomes to capitalize on the power of networks and devices, empower their workforce, maximize their operations, and enhance the customer experience. The revenues from these offerings are primarily recurring in nature and would include any direct management of Device Solutions, Networked Solutions, and other products on behalf of our end customers.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Revenues, gross profit, and operating income (loss) associated with our operating segments were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4"/>
          </w:tcPr>
          <w:p>
            <w:pPr>
              <w:jc w:val="right"/>
              <w:ind w:right="559"/>
              <w:spacing w:after="0"/>
              <w:rPr>
                <w:sz w:val="20"/>
                <w:szCs w:val="20"/>
                <w:color w:val="auto"/>
              </w:rPr>
            </w:pPr>
            <w:r>
              <w:rPr>
                <w:rFonts w:ascii="Arial" w:cs="Arial" w:eastAsia="Arial" w:hAnsi="Arial"/>
                <w:sz w:val="16"/>
                <w:szCs w:val="16"/>
                <w:b w:val="1"/>
                <w:bCs w:val="1"/>
                <w:color w:val="auto"/>
              </w:rPr>
              <w:t>Three Months Ended June 30,</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4"/>
          </w:tcPr>
          <w:p>
            <w:pPr>
              <w:jc w:val="right"/>
              <w:ind w:right="659"/>
              <w:spacing w:after="0"/>
              <w:rPr>
                <w:sz w:val="20"/>
                <w:szCs w:val="20"/>
                <w:color w:val="auto"/>
              </w:rPr>
            </w:pPr>
            <w:r>
              <w:rPr>
                <w:rFonts w:ascii="Arial" w:cs="Arial" w:eastAsia="Arial" w:hAnsi="Arial"/>
                <w:sz w:val="16"/>
                <w:szCs w:val="16"/>
                <w:b w:val="1"/>
                <w:bCs w:val="1"/>
                <w:color w:val="auto"/>
              </w:rPr>
              <w:t>Six Months Ended June 30,</w:t>
            </w:r>
          </w:p>
        </w:tc>
      </w:tr>
      <w:tr>
        <w:trPr>
          <w:trHeight w:val="213"/>
        </w:trPr>
        <w:tc>
          <w:tcPr>
            <w:tcW w:w="43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2022</w:t>
            </w:r>
          </w:p>
        </w:tc>
      </w:tr>
      <w:tr>
        <w:trPr>
          <w:trHeight w:val="210"/>
        </w:trPr>
        <w:tc>
          <w:tcPr>
            <w:tcW w:w="4360" w:type="dxa"/>
            <w:vAlign w:val="bottom"/>
          </w:tcPr>
          <w:p>
            <w:pPr>
              <w:ind w:left="20"/>
              <w:spacing w:after="0"/>
              <w:rPr>
                <w:sz w:val="20"/>
                <w:szCs w:val="20"/>
                <w:color w:val="auto"/>
              </w:rPr>
            </w:pPr>
            <w:r>
              <w:rPr>
                <w:rFonts w:ascii="Arial" w:cs="Arial" w:eastAsia="Arial" w:hAnsi="Arial"/>
                <w:sz w:val="16"/>
                <w:szCs w:val="16"/>
                <w:b w:val="1"/>
                <w:bCs w:val="1"/>
                <w:color w:val="auto"/>
              </w:rPr>
              <w:t>Product revenues</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43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Device Solutions</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112,509</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103,433</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229,960</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241,319</w:t>
            </w:r>
          </w:p>
        </w:tc>
      </w:tr>
      <w:tr>
        <w:trPr>
          <w:trHeight w:val="213"/>
        </w:trPr>
        <w:tc>
          <w:tcPr>
            <w:tcW w:w="4360" w:type="dxa"/>
            <w:vAlign w:val="bottom"/>
          </w:tcPr>
          <w:p>
            <w:pPr>
              <w:ind w:left="360"/>
              <w:spacing w:after="0"/>
              <w:rPr>
                <w:sz w:val="20"/>
                <w:szCs w:val="20"/>
                <w:color w:val="auto"/>
              </w:rPr>
            </w:pPr>
            <w:r>
              <w:rPr>
                <w:rFonts w:ascii="Arial" w:cs="Arial" w:eastAsia="Arial" w:hAnsi="Arial"/>
                <w:sz w:val="16"/>
                <w:szCs w:val="16"/>
                <w:color w:val="auto"/>
              </w:rPr>
              <w:t>Networked Solutions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330,668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241,592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612,138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490,860</w:t>
            </w:r>
          </w:p>
        </w:tc>
      </w:tr>
      <w:tr>
        <w:trPr>
          <w:trHeight w:val="216"/>
        </w:trPr>
        <w:tc>
          <w:tcPr>
            <w:tcW w:w="43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Outcomes</w:t>
            </w: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21,626</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14,873</w:t>
            </w: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39,029</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27,529</w:t>
            </w:r>
          </w:p>
        </w:tc>
      </w:tr>
      <w:tr>
        <w:trPr>
          <w:trHeight w:val="210"/>
        </w:trPr>
        <w:tc>
          <w:tcPr>
            <w:tcW w:w="4360" w:type="dxa"/>
            <w:vAlign w:val="bottom"/>
          </w:tcPr>
          <w:p>
            <w:pPr>
              <w:ind w:left="680"/>
              <w:spacing w:after="0"/>
              <w:rPr>
                <w:sz w:val="20"/>
                <w:szCs w:val="20"/>
                <w:color w:val="auto"/>
              </w:rPr>
            </w:pPr>
            <w:r>
              <w:rPr>
                <w:rFonts w:ascii="Arial" w:cs="Arial" w:eastAsia="Arial" w:hAnsi="Arial"/>
                <w:sz w:val="16"/>
                <w:szCs w:val="16"/>
                <w:color w:val="auto"/>
              </w:rPr>
              <w:t>Total Company</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464,803</w:t>
            </w:r>
          </w:p>
        </w:tc>
        <w:tc>
          <w:tcPr>
            <w:tcW w:w="4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359,898</w:t>
            </w:r>
          </w:p>
        </w:tc>
        <w:tc>
          <w:tcPr>
            <w:tcW w:w="5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881,127</w:t>
            </w:r>
          </w:p>
        </w:tc>
        <w:tc>
          <w:tcPr>
            <w:tcW w:w="4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759,708</w:t>
            </w:r>
          </w:p>
        </w:tc>
      </w:tr>
      <w:tr>
        <w:trPr>
          <w:trHeight w:val="20"/>
        </w:trPr>
        <w:tc>
          <w:tcPr>
            <w:tcW w:w="436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226"/>
        </w:trPr>
        <w:tc>
          <w:tcPr>
            <w:tcW w:w="43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3"/>
        </w:trPr>
        <w:tc>
          <w:tcPr>
            <w:tcW w:w="4360" w:type="dxa"/>
            <w:vAlign w:val="bottom"/>
          </w:tcPr>
          <w:p>
            <w:pPr>
              <w:ind w:left="20"/>
              <w:spacing w:after="0"/>
              <w:rPr>
                <w:sz w:val="20"/>
                <w:szCs w:val="20"/>
                <w:color w:val="auto"/>
              </w:rPr>
            </w:pPr>
            <w:r>
              <w:rPr>
                <w:rFonts w:ascii="Arial" w:cs="Arial" w:eastAsia="Arial" w:hAnsi="Arial"/>
                <w:sz w:val="16"/>
                <w:szCs w:val="16"/>
                <w:b w:val="1"/>
                <w:bCs w:val="1"/>
                <w:color w:val="auto"/>
              </w:rPr>
              <w:t>Service revenues</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43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Device Solutions</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651</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1,377</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1,454</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3,056</w:t>
            </w:r>
          </w:p>
        </w:tc>
      </w:tr>
      <w:tr>
        <w:trPr>
          <w:trHeight w:val="213"/>
        </w:trPr>
        <w:tc>
          <w:tcPr>
            <w:tcW w:w="4360" w:type="dxa"/>
            <w:vAlign w:val="bottom"/>
          </w:tcPr>
          <w:p>
            <w:pPr>
              <w:ind w:left="360"/>
              <w:spacing w:after="0"/>
              <w:rPr>
                <w:sz w:val="20"/>
                <w:szCs w:val="20"/>
                <w:color w:val="auto"/>
              </w:rPr>
            </w:pPr>
            <w:r>
              <w:rPr>
                <w:rFonts w:ascii="Arial" w:cs="Arial" w:eastAsia="Arial" w:hAnsi="Arial"/>
                <w:sz w:val="16"/>
                <w:szCs w:val="16"/>
                <w:color w:val="auto"/>
              </w:rPr>
              <w:t>Networked Solutions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30,262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27,870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62,260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57,422</w:t>
            </w:r>
          </w:p>
        </w:tc>
      </w:tr>
      <w:tr>
        <w:trPr>
          <w:trHeight w:val="219"/>
        </w:trPr>
        <w:tc>
          <w:tcPr>
            <w:tcW w:w="43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Outcomes</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45,354</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42,737</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90,847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87,027</w:t>
            </w:r>
          </w:p>
        </w:tc>
      </w:tr>
      <w:tr>
        <w:trPr>
          <w:trHeight w:val="207"/>
        </w:trPr>
        <w:tc>
          <w:tcPr>
            <w:tcW w:w="4360" w:type="dxa"/>
            <w:vAlign w:val="bottom"/>
          </w:tcPr>
          <w:p>
            <w:pPr>
              <w:ind w:left="680"/>
              <w:spacing w:after="0"/>
              <w:rPr>
                <w:sz w:val="20"/>
                <w:szCs w:val="20"/>
                <w:color w:val="auto"/>
              </w:rPr>
            </w:pPr>
            <w:r>
              <w:rPr>
                <w:rFonts w:ascii="Arial" w:cs="Arial" w:eastAsia="Arial" w:hAnsi="Arial"/>
                <w:sz w:val="16"/>
                <w:szCs w:val="16"/>
                <w:color w:val="auto"/>
              </w:rPr>
              <w:t>Total Company</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76,267</w:t>
            </w:r>
          </w:p>
        </w:tc>
        <w:tc>
          <w:tcPr>
            <w:tcW w:w="4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71,984</w:t>
            </w:r>
          </w:p>
        </w:tc>
        <w:tc>
          <w:tcPr>
            <w:tcW w:w="5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154,561</w:t>
            </w:r>
          </w:p>
        </w:tc>
        <w:tc>
          <w:tcPr>
            <w:tcW w:w="4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147,505</w:t>
            </w:r>
          </w:p>
        </w:tc>
      </w:tr>
      <w:tr>
        <w:trPr>
          <w:trHeight w:val="20"/>
        </w:trPr>
        <w:tc>
          <w:tcPr>
            <w:tcW w:w="436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213"/>
        </w:trPr>
        <w:tc>
          <w:tcPr>
            <w:tcW w:w="4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3"/>
        </w:trPr>
        <w:tc>
          <w:tcPr>
            <w:tcW w:w="4360" w:type="dxa"/>
            <w:vAlign w:val="bottom"/>
          </w:tcPr>
          <w:p>
            <w:pPr>
              <w:ind w:left="20"/>
              <w:spacing w:after="0"/>
              <w:rPr>
                <w:sz w:val="20"/>
                <w:szCs w:val="20"/>
                <w:color w:val="auto"/>
              </w:rPr>
            </w:pPr>
            <w:r>
              <w:rPr>
                <w:rFonts w:ascii="Arial" w:cs="Arial" w:eastAsia="Arial" w:hAnsi="Arial"/>
                <w:sz w:val="16"/>
                <w:szCs w:val="16"/>
                <w:b w:val="1"/>
                <w:bCs w:val="1"/>
                <w:color w:val="auto"/>
              </w:rPr>
              <w:t>Total revenues</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43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Device Solutions</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113,160</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104,810</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231,414</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244,375</w:t>
            </w:r>
          </w:p>
        </w:tc>
      </w:tr>
      <w:tr>
        <w:trPr>
          <w:trHeight w:val="213"/>
        </w:trPr>
        <w:tc>
          <w:tcPr>
            <w:tcW w:w="4360" w:type="dxa"/>
            <w:vAlign w:val="bottom"/>
          </w:tcPr>
          <w:p>
            <w:pPr>
              <w:ind w:left="360"/>
              <w:spacing w:after="0"/>
              <w:rPr>
                <w:sz w:val="20"/>
                <w:szCs w:val="20"/>
                <w:color w:val="auto"/>
              </w:rPr>
            </w:pPr>
            <w:r>
              <w:rPr>
                <w:rFonts w:ascii="Arial" w:cs="Arial" w:eastAsia="Arial" w:hAnsi="Arial"/>
                <w:sz w:val="16"/>
                <w:szCs w:val="16"/>
                <w:color w:val="auto"/>
              </w:rPr>
              <w:t>Networked Solutions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360,930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269,462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674,398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548,282</w:t>
            </w:r>
          </w:p>
        </w:tc>
      </w:tr>
      <w:tr>
        <w:trPr>
          <w:trHeight w:val="216"/>
        </w:trPr>
        <w:tc>
          <w:tcPr>
            <w:tcW w:w="43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Outcomes</w:t>
            </w: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66,980</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57,610</w:t>
            </w: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129,876</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114,556</w:t>
            </w:r>
          </w:p>
        </w:tc>
      </w:tr>
      <w:tr>
        <w:trPr>
          <w:trHeight w:val="210"/>
        </w:trPr>
        <w:tc>
          <w:tcPr>
            <w:tcW w:w="4360" w:type="dxa"/>
            <w:vAlign w:val="bottom"/>
          </w:tcPr>
          <w:p>
            <w:pPr>
              <w:ind w:left="680"/>
              <w:spacing w:after="0"/>
              <w:rPr>
                <w:sz w:val="20"/>
                <w:szCs w:val="20"/>
                <w:color w:val="auto"/>
              </w:rPr>
            </w:pPr>
            <w:r>
              <w:rPr>
                <w:rFonts w:ascii="Arial" w:cs="Arial" w:eastAsia="Arial" w:hAnsi="Arial"/>
                <w:sz w:val="16"/>
                <w:szCs w:val="16"/>
                <w:color w:val="auto"/>
              </w:rPr>
              <w:t>Total Company</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541,070</w:t>
            </w:r>
          </w:p>
        </w:tc>
        <w:tc>
          <w:tcPr>
            <w:tcW w:w="4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431,882</w:t>
            </w:r>
          </w:p>
        </w:tc>
        <w:tc>
          <w:tcPr>
            <w:tcW w:w="5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1,035,688</w:t>
            </w:r>
          </w:p>
        </w:tc>
        <w:tc>
          <w:tcPr>
            <w:tcW w:w="4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907,213</w:t>
            </w:r>
          </w:p>
        </w:tc>
      </w:tr>
      <w:tr>
        <w:trPr>
          <w:trHeight w:val="20"/>
        </w:trPr>
        <w:tc>
          <w:tcPr>
            <w:tcW w:w="436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226"/>
        </w:trPr>
        <w:tc>
          <w:tcPr>
            <w:tcW w:w="43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3"/>
        </w:trPr>
        <w:tc>
          <w:tcPr>
            <w:tcW w:w="4360" w:type="dxa"/>
            <w:vAlign w:val="bottom"/>
          </w:tcPr>
          <w:p>
            <w:pPr>
              <w:ind w:left="20"/>
              <w:spacing w:after="0"/>
              <w:rPr>
                <w:sz w:val="20"/>
                <w:szCs w:val="20"/>
                <w:color w:val="auto"/>
              </w:rPr>
            </w:pPr>
            <w:r>
              <w:rPr>
                <w:rFonts w:ascii="Arial" w:cs="Arial" w:eastAsia="Arial" w:hAnsi="Arial"/>
                <w:sz w:val="16"/>
                <w:szCs w:val="16"/>
                <w:b w:val="1"/>
                <w:bCs w:val="1"/>
                <w:color w:val="auto"/>
              </w:rPr>
              <w:t>Gross profit</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43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Device Solutions</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24,719</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13,878</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48,432</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35,684</w:t>
            </w:r>
          </w:p>
        </w:tc>
      </w:tr>
      <w:tr>
        <w:trPr>
          <w:trHeight w:val="213"/>
        </w:trPr>
        <w:tc>
          <w:tcPr>
            <w:tcW w:w="4360" w:type="dxa"/>
            <w:vAlign w:val="bottom"/>
          </w:tcPr>
          <w:p>
            <w:pPr>
              <w:ind w:left="360"/>
              <w:spacing w:after="0"/>
              <w:rPr>
                <w:sz w:val="20"/>
                <w:szCs w:val="20"/>
                <w:color w:val="auto"/>
              </w:rPr>
            </w:pPr>
            <w:r>
              <w:rPr>
                <w:rFonts w:ascii="Arial" w:cs="Arial" w:eastAsia="Arial" w:hAnsi="Arial"/>
                <w:sz w:val="16"/>
                <w:szCs w:val="16"/>
                <w:color w:val="auto"/>
              </w:rPr>
              <w:t>Networked Solutions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121,873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89,909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227,649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181,260</w:t>
            </w:r>
          </w:p>
        </w:tc>
      </w:tr>
      <w:tr>
        <w:trPr>
          <w:trHeight w:val="219"/>
        </w:trPr>
        <w:tc>
          <w:tcPr>
            <w:tcW w:w="43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Outcomes</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27,355</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22,318</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54,234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44,385</w:t>
            </w:r>
          </w:p>
        </w:tc>
      </w:tr>
      <w:tr>
        <w:trPr>
          <w:trHeight w:val="207"/>
        </w:trPr>
        <w:tc>
          <w:tcPr>
            <w:tcW w:w="4360" w:type="dxa"/>
            <w:vAlign w:val="bottom"/>
          </w:tcPr>
          <w:p>
            <w:pPr>
              <w:ind w:left="680"/>
              <w:spacing w:after="0"/>
              <w:rPr>
                <w:sz w:val="20"/>
                <w:szCs w:val="20"/>
                <w:color w:val="auto"/>
              </w:rPr>
            </w:pPr>
            <w:r>
              <w:rPr>
                <w:rFonts w:ascii="Arial" w:cs="Arial" w:eastAsia="Arial" w:hAnsi="Arial"/>
                <w:sz w:val="16"/>
                <w:szCs w:val="16"/>
                <w:color w:val="auto"/>
              </w:rPr>
              <w:t>Total Company</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173,947</w:t>
            </w:r>
          </w:p>
        </w:tc>
        <w:tc>
          <w:tcPr>
            <w:tcW w:w="4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126,105</w:t>
            </w:r>
          </w:p>
        </w:tc>
        <w:tc>
          <w:tcPr>
            <w:tcW w:w="5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330,315</w:t>
            </w:r>
          </w:p>
        </w:tc>
        <w:tc>
          <w:tcPr>
            <w:tcW w:w="4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261,329</w:t>
            </w:r>
          </w:p>
        </w:tc>
      </w:tr>
      <w:tr>
        <w:trPr>
          <w:trHeight w:val="20"/>
        </w:trPr>
        <w:tc>
          <w:tcPr>
            <w:tcW w:w="436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227"/>
        </w:trPr>
        <w:tc>
          <w:tcPr>
            <w:tcW w:w="43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3"/>
        </w:trPr>
        <w:tc>
          <w:tcPr>
            <w:tcW w:w="4360" w:type="dxa"/>
            <w:vAlign w:val="bottom"/>
          </w:tcPr>
          <w:p>
            <w:pPr>
              <w:ind w:left="20"/>
              <w:spacing w:after="0"/>
              <w:rPr>
                <w:sz w:val="20"/>
                <w:szCs w:val="20"/>
                <w:color w:val="auto"/>
              </w:rPr>
            </w:pPr>
            <w:r>
              <w:rPr>
                <w:rFonts w:ascii="Arial" w:cs="Arial" w:eastAsia="Arial" w:hAnsi="Arial"/>
                <w:sz w:val="16"/>
                <w:szCs w:val="16"/>
                <w:b w:val="1"/>
                <w:bCs w:val="1"/>
                <w:color w:val="auto"/>
              </w:rPr>
              <w:t>Operating income (loss)</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43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Device Solutions</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14,084</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5,459</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28,162</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17,037</w:t>
            </w:r>
          </w:p>
        </w:tc>
      </w:tr>
      <w:tr>
        <w:trPr>
          <w:trHeight w:val="213"/>
        </w:trPr>
        <w:tc>
          <w:tcPr>
            <w:tcW w:w="4360" w:type="dxa"/>
            <w:vAlign w:val="bottom"/>
          </w:tcPr>
          <w:p>
            <w:pPr>
              <w:ind w:left="360"/>
              <w:spacing w:after="0"/>
              <w:rPr>
                <w:sz w:val="20"/>
                <w:szCs w:val="20"/>
                <w:color w:val="auto"/>
              </w:rPr>
            </w:pPr>
            <w:r>
              <w:rPr>
                <w:rFonts w:ascii="Arial" w:cs="Arial" w:eastAsia="Arial" w:hAnsi="Arial"/>
                <w:sz w:val="16"/>
                <w:szCs w:val="16"/>
                <w:color w:val="auto"/>
              </w:rPr>
              <w:t>Networked Solutions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88,593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62,282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163,549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123,289</w:t>
            </w:r>
          </w:p>
        </w:tc>
      </w:tr>
      <w:tr>
        <w:trPr>
          <w:trHeight w:val="219"/>
        </w:trPr>
        <w:tc>
          <w:tcPr>
            <w:tcW w:w="43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Outcomes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12,676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9,109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25,587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17,450</w:t>
            </w:r>
          </w:p>
        </w:tc>
      </w:tr>
      <w:tr>
        <w:trPr>
          <w:trHeight w:val="213"/>
        </w:trPr>
        <w:tc>
          <w:tcPr>
            <w:tcW w:w="43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Corporate unallocated</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(80,253)</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(110,377)</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(192,591)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(184,484)</w:t>
            </w:r>
          </w:p>
        </w:tc>
      </w:tr>
      <w:tr>
        <w:trPr>
          <w:trHeight w:val="213"/>
        </w:trPr>
        <w:tc>
          <w:tcPr>
            <w:tcW w:w="43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Company</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35,100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(33,527)</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24,707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(26,708)</w:t>
            </w:r>
          </w:p>
        </w:tc>
      </w:tr>
      <w:tr>
        <w:trPr>
          <w:trHeight w:val="213"/>
        </w:trPr>
        <w:tc>
          <w:tcPr>
            <w:tcW w:w="4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other income (expense)</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(802)</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(2,697)</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(2,516)</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(4,761)</w:t>
            </w:r>
          </w:p>
        </w:tc>
      </w:tr>
      <w:tr>
        <w:trPr>
          <w:trHeight w:val="229"/>
        </w:trPr>
        <w:tc>
          <w:tcPr>
            <w:tcW w:w="4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(loss) before income taxes</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34,298</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(36,224)</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22,191</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(31,469)</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For the three and six months ended June 30, 2023 and 2022, no single customer represented more than 10% of total company revenue.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Revenues by region were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60" w:type="dxa"/>
            <w:vAlign w:val="bottom"/>
          </w:tcPr>
          <w:p>
            <w:pPr>
              <w:spacing w:after="0"/>
              <w:rPr>
                <w:sz w:val="18"/>
                <w:szCs w:val="18"/>
                <w:color w:val="auto"/>
              </w:rPr>
            </w:pPr>
          </w:p>
        </w:tc>
        <w:tc>
          <w:tcPr>
            <w:tcW w:w="276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June 30,</w:t>
            </w:r>
          </w:p>
        </w:tc>
        <w:tc>
          <w:tcPr>
            <w:tcW w:w="6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4"/>
          </w:tcPr>
          <w:p>
            <w:pPr>
              <w:jc w:val="right"/>
              <w:ind w:right="659"/>
              <w:spacing w:after="0"/>
              <w:rPr>
                <w:sz w:val="20"/>
                <w:szCs w:val="20"/>
                <w:color w:val="auto"/>
              </w:rPr>
            </w:pPr>
            <w:r>
              <w:rPr>
                <w:rFonts w:ascii="Arial" w:cs="Arial" w:eastAsia="Arial" w:hAnsi="Arial"/>
                <w:sz w:val="16"/>
                <w:szCs w:val="16"/>
                <w:b w:val="1"/>
                <w:bCs w:val="1"/>
                <w:color w:val="auto"/>
              </w:rPr>
              <w:t>Six Months Ended June 30,</w:t>
            </w:r>
          </w:p>
        </w:tc>
      </w:tr>
      <w:tr>
        <w:trPr>
          <w:trHeight w:val="213"/>
        </w:trPr>
        <w:tc>
          <w:tcPr>
            <w:tcW w:w="43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6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6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2022</w:t>
            </w:r>
          </w:p>
        </w:tc>
      </w:tr>
      <w:tr>
        <w:trPr>
          <w:trHeight w:val="212"/>
        </w:trPr>
        <w:tc>
          <w:tcPr>
            <w:tcW w:w="4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United States and Canada</w:t>
            </w:r>
          </w:p>
        </w:tc>
        <w:tc>
          <w:tcPr>
            <w:tcW w:w="100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430,617</w:t>
            </w:r>
          </w:p>
        </w:tc>
        <w:tc>
          <w:tcPr>
            <w:tcW w:w="1140" w:type="dxa"/>
            <w:vAlign w:val="bottom"/>
            <w:gridSpan w:val="2"/>
            <w:shd w:val="clear" w:color="auto" w:fill="CCEEFF"/>
          </w:tcPr>
          <w:p>
            <w:pPr>
              <w:jc w:val="right"/>
              <w:ind w:right="839"/>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311,831</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803,459</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629,724</w:t>
            </w:r>
          </w:p>
        </w:tc>
      </w:tr>
      <w:tr>
        <w:trPr>
          <w:trHeight w:val="213"/>
        </w:trPr>
        <w:tc>
          <w:tcPr>
            <w:tcW w:w="4360" w:type="dxa"/>
            <w:vAlign w:val="bottom"/>
          </w:tcPr>
          <w:p>
            <w:pPr>
              <w:ind w:left="20"/>
              <w:spacing w:after="0"/>
              <w:rPr>
                <w:sz w:val="20"/>
                <w:szCs w:val="20"/>
                <w:color w:val="auto"/>
              </w:rPr>
            </w:pPr>
            <w:r>
              <w:rPr>
                <w:rFonts w:ascii="Arial" w:cs="Arial" w:eastAsia="Arial" w:hAnsi="Arial"/>
                <w:sz w:val="16"/>
                <w:szCs w:val="16"/>
                <w:color w:val="auto"/>
              </w:rPr>
              <w:t>Europe, Middle East, and Africa</w:t>
            </w: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85,676</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96,921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184,420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226,227</w:t>
            </w:r>
          </w:p>
        </w:tc>
      </w:tr>
      <w:tr>
        <w:trPr>
          <w:trHeight w:val="216"/>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Asia Pacific</w:t>
            </w:r>
          </w:p>
        </w:tc>
        <w:tc>
          <w:tcPr>
            <w:tcW w:w="10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24,777</w:t>
            </w:r>
          </w:p>
        </w:tc>
        <w:tc>
          <w:tcPr>
            <w:tcW w:w="1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23,130</w:t>
            </w: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47,809</w:t>
            </w: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51,262</w:t>
            </w:r>
          </w:p>
        </w:tc>
      </w:tr>
      <w:tr>
        <w:trPr>
          <w:trHeight w:val="209"/>
        </w:trPr>
        <w:tc>
          <w:tcPr>
            <w:tcW w:w="4360" w:type="dxa"/>
            <w:vAlign w:val="bottom"/>
          </w:tcPr>
          <w:p>
            <w:pPr>
              <w:ind w:left="360"/>
              <w:spacing w:after="0"/>
              <w:rPr>
                <w:sz w:val="20"/>
                <w:szCs w:val="20"/>
                <w:color w:val="auto"/>
              </w:rPr>
            </w:pPr>
            <w:r>
              <w:rPr>
                <w:rFonts w:ascii="Arial" w:cs="Arial" w:eastAsia="Arial" w:hAnsi="Arial"/>
                <w:sz w:val="16"/>
                <w:szCs w:val="16"/>
                <w:color w:val="auto"/>
              </w:rPr>
              <w:t>Total Company</w:t>
            </w:r>
          </w:p>
        </w:tc>
        <w:tc>
          <w:tcPr>
            <w:tcW w:w="1000" w:type="dxa"/>
            <w:vAlign w:val="bottom"/>
          </w:tcPr>
          <w:p>
            <w:pPr>
              <w:jc w:val="right"/>
              <w:ind w:right="819"/>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w w:val="93"/>
              </w:rPr>
              <w:t>541,070</w:t>
            </w:r>
          </w:p>
        </w:tc>
        <w:tc>
          <w:tcPr>
            <w:tcW w:w="1140" w:type="dxa"/>
            <w:vAlign w:val="bottom"/>
            <w:gridSpan w:val="2"/>
          </w:tcPr>
          <w:p>
            <w:pPr>
              <w:jc w:val="right"/>
              <w:ind w:right="839"/>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w w:val="93"/>
              </w:rPr>
              <w:t>431,882</w:t>
            </w:r>
          </w:p>
        </w:tc>
        <w:tc>
          <w:tcPr>
            <w:tcW w:w="5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1,035,688</w:t>
            </w:r>
          </w:p>
        </w:tc>
        <w:tc>
          <w:tcPr>
            <w:tcW w:w="5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907,213</w:t>
            </w:r>
          </w:p>
        </w:tc>
      </w:tr>
      <w:tr>
        <w:trPr>
          <w:trHeight w:val="24"/>
        </w:trPr>
        <w:tc>
          <w:tcPr>
            <w:tcW w:w="4360" w:type="dxa"/>
            <w:vAlign w:val="bottom"/>
          </w:tcPr>
          <w:p>
            <w:pPr>
              <w:spacing w:after="0"/>
              <w:rPr>
                <w:sz w:val="2"/>
                <w:szCs w:val="2"/>
                <w:color w:val="auto"/>
              </w:rPr>
            </w:pPr>
          </w:p>
        </w:tc>
        <w:tc>
          <w:tcPr>
            <w:tcW w:w="1000" w:type="dxa"/>
            <w:vAlign w:val="bottom"/>
            <w:tcBorders>
              <w:top w:val="single" w:sz="8" w:color="auto"/>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Borders>
              <w:top w:val="single" w:sz="8" w:color="auto"/>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top w:val="single" w:sz="8" w:color="auto"/>
              <w:bottom w:val="single" w:sz="8" w:color="auto"/>
            </w:tcBorders>
          </w:tcPr>
          <w:p>
            <w:pPr>
              <w:spacing w:after="0"/>
              <w:rPr>
                <w:sz w:val="2"/>
                <w:szCs w:val="2"/>
                <w:color w:val="auto"/>
              </w:rPr>
            </w:pPr>
          </w:p>
        </w:tc>
        <w:tc>
          <w:tcPr>
            <w:tcW w:w="124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top w:val="single" w:sz="8" w:color="auto"/>
              <w:bottom w:val="single" w:sz="8" w:color="auto"/>
            </w:tcBorders>
          </w:tcPr>
          <w:p>
            <w:pPr>
              <w:spacing w:after="0"/>
              <w:rPr>
                <w:sz w:val="2"/>
                <w:szCs w:val="2"/>
                <w:color w:val="auto"/>
              </w:rPr>
            </w:pPr>
          </w:p>
        </w:tc>
        <w:tc>
          <w:tcPr>
            <w:tcW w:w="1260" w:type="dxa"/>
            <w:vAlign w:val="bottom"/>
            <w:tcBorders>
              <w:top w:val="single" w:sz="8" w:color="auto"/>
              <w:bottom w:val="single" w:sz="8" w:color="auto"/>
            </w:tcBorders>
          </w:tcPr>
          <w:p>
            <w:pPr>
              <w:spacing w:after="0"/>
              <w:rPr>
                <w:sz w:val="2"/>
                <w:szCs w:val="2"/>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auto"/>
        </w:rPr>
        <w:t>Depreciation expense is allocated to the operating segments based upon each segment's use of the assets. All amortization expense is recognized within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Corporate unallocated. Depreciation and amortization of intangible assets expense associated with our operating segments was as follows: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60" w:type="dxa"/>
            <w:vAlign w:val="bottom"/>
          </w:tcPr>
          <w:p>
            <w:pPr>
              <w:spacing w:after="0"/>
              <w:rPr>
                <w:sz w:val="18"/>
                <w:szCs w:val="18"/>
                <w:color w:val="auto"/>
              </w:rPr>
            </w:pPr>
          </w:p>
        </w:tc>
        <w:tc>
          <w:tcPr>
            <w:tcW w:w="280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June 30,</w:t>
            </w:r>
          </w:p>
        </w:tc>
        <w:tc>
          <w:tcPr>
            <w:tcW w:w="5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tcBorders>
              <w:bottom w:val="single" w:sz="8" w:color="auto"/>
            </w:tcBorders>
            <w:gridSpan w:val="4"/>
          </w:tcPr>
          <w:p>
            <w:pPr>
              <w:jc w:val="right"/>
              <w:ind w:right="79"/>
              <w:spacing w:after="0"/>
              <w:rPr>
                <w:sz w:val="20"/>
                <w:szCs w:val="20"/>
                <w:color w:val="auto"/>
              </w:rPr>
            </w:pPr>
            <w:r>
              <w:rPr>
                <w:rFonts w:ascii="Arial" w:cs="Arial" w:eastAsia="Arial" w:hAnsi="Arial"/>
                <w:sz w:val="16"/>
                <w:szCs w:val="16"/>
                <w:b w:val="1"/>
                <w:bCs w:val="1"/>
                <w:color w:val="auto"/>
              </w:rPr>
              <w:t>Six Months Ended June 30,</w:t>
            </w:r>
          </w:p>
        </w:tc>
        <w:tc>
          <w:tcPr>
            <w:tcW w:w="580" w:type="dxa"/>
            <w:vAlign w:val="bottom"/>
            <w:tcBorders>
              <w:bottom w:val="single" w:sz="8" w:color="auto"/>
            </w:tcBorders>
          </w:tcPr>
          <w:p>
            <w:pPr>
              <w:spacing w:after="0"/>
              <w:rPr>
                <w:sz w:val="18"/>
                <w:szCs w:val="18"/>
                <w:color w:val="auto"/>
              </w:rPr>
            </w:pPr>
          </w:p>
        </w:tc>
      </w:tr>
      <w:tr>
        <w:trPr>
          <w:trHeight w:val="213"/>
        </w:trPr>
        <w:tc>
          <w:tcPr>
            <w:tcW w:w="43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5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5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80" w:type="dxa"/>
            <w:vAlign w:val="bottom"/>
            <w:tcBorders>
              <w:bottom w:val="single" w:sz="8" w:color="auto"/>
            </w:tcBorders>
          </w:tcPr>
          <w:p>
            <w:pPr>
              <w:spacing w:after="0"/>
              <w:rPr>
                <w:sz w:val="18"/>
                <w:szCs w:val="18"/>
                <w:color w:val="auto"/>
              </w:rPr>
            </w:pPr>
          </w:p>
        </w:tc>
      </w:tr>
      <w:tr>
        <w:trPr>
          <w:trHeight w:val="212"/>
        </w:trPr>
        <w:tc>
          <w:tcPr>
            <w:tcW w:w="4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Device Solutions</w:t>
            </w:r>
          </w:p>
        </w:tc>
        <w:tc>
          <w:tcPr>
            <w:tcW w:w="1060" w:type="dxa"/>
            <w:vAlign w:val="bottom"/>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3,229</w:t>
            </w:r>
          </w:p>
        </w:tc>
        <w:tc>
          <w:tcPr>
            <w:tcW w:w="1160" w:type="dxa"/>
            <w:vAlign w:val="bottom"/>
            <w:gridSpan w:val="2"/>
            <w:shd w:val="clear" w:color="auto" w:fill="CCEEFF"/>
          </w:tcPr>
          <w:p>
            <w:pPr>
              <w:jc w:val="right"/>
              <w:ind w:right="859"/>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3,549</w:t>
            </w:r>
          </w:p>
        </w:tc>
        <w:tc>
          <w:tcPr>
            <w:tcW w:w="1160" w:type="dxa"/>
            <w:vAlign w:val="bottom"/>
            <w:gridSpan w:val="2"/>
            <w:shd w:val="clear" w:color="auto" w:fill="CCEEFF"/>
          </w:tcPr>
          <w:p>
            <w:pPr>
              <w:jc w:val="right"/>
              <w:ind w:right="859"/>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6,491</w:t>
            </w:r>
          </w:p>
        </w:tc>
        <w:tc>
          <w:tcPr>
            <w:tcW w:w="1180" w:type="dxa"/>
            <w:vAlign w:val="bottom"/>
            <w:gridSpan w:val="2"/>
            <w:shd w:val="clear" w:color="auto" w:fill="CCEEFF"/>
          </w:tcPr>
          <w:p>
            <w:pPr>
              <w:jc w:val="right"/>
              <w:ind w:right="879"/>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7,483</w:t>
            </w:r>
          </w:p>
        </w:tc>
      </w:tr>
      <w:tr>
        <w:trPr>
          <w:trHeight w:val="213"/>
        </w:trPr>
        <w:tc>
          <w:tcPr>
            <w:tcW w:w="4360" w:type="dxa"/>
            <w:vAlign w:val="bottom"/>
          </w:tcPr>
          <w:p>
            <w:pPr>
              <w:ind w:left="20"/>
              <w:spacing w:after="0"/>
              <w:rPr>
                <w:sz w:val="20"/>
                <w:szCs w:val="20"/>
                <w:color w:val="auto"/>
              </w:rPr>
            </w:pPr>
            <w:r>
              <w:rPr>
                <w:rFonts w:ascii="Arial" w:cs="Arial" w:eastAsia="Arial" w:hAnsi="Arial"/>
                <w:sz w:val="16"/>
                <w:szCs w:val="16"/>
                <w:color w:val="auto"/>
              </w:rPr>
              <w:t>Networked Solutions</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4,068</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4,285</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8,199</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8,725</w:t>
            </w:r>
          </w:p>
        </w:tc>
      </w:tr>
      <w:tr>
        <w:trPr>
          <w:trHeight w:val="219"/>
        </w:trPr>
        <w:tc>
          <w:tcPr>
            <w:tcW w:w="4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Outcomes</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1,224</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1,218</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2,478</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2,127</w:t>
            </w:r>
          </w:p>
        </w:tc>
      </w:tr>
      <w:tr>
        <w:trPr>
          <w:trHeight w:val="213"/>
        </w:trPr>
        <w:tc>
          <w:tcPr>
            <w:tcW w:w="4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Corporate unallocated</w:t>
            </w:r>
          </w:p>
        </w:tc>
        <w:tc>
          <w:tcPr>
            <w:tcW w:w="10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5,384</w:t>
            </w:r>
          </w:p>
        </w:tc>
        <w:tc>
          <w:tcPr>
            <w:tcW w:w="12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7,362</w:t>
            </w:r>
          </w:p>
        </w:tc>
        <w:tc>
          <w:tcPr>
            <w:tcW w:w="12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11,200</w:t>
            </w:r>
          </w:p>
        </w:tc>
        <w:tc>
          <w:tcPr>
            <w:tcW w:w="12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14,916</w:t>
            </w:r>
          </w:p>
        </w:tc>
      </w:tr>
      <w:tr>
        <w:trPr>
          <w:trHeight w:val="229"/>
        </w:trPr>
        <w:tc>
          <w:tcPr>
            <w:tcW w:w="43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Company</w:t>
            </w:r>
          </w:p>
        </w:tc>
        <w:tc>
          <w:tcPr>
            <w:tcW w:w="1060" w:type="dxa"/>
            <w:vAlign w:val="bottom"/>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13,905</w:t>
            </w:r>
          </w:p>
        </w:tc>
        <w:tc>
          <w:tcPr>
            <w:tcW w:w="1160" w:type="dxa"/>
            <w:vAlign w:val="bottom"/>
            <w:gridSpan w:val="2"/>
            <w:shd w:val="clear" w:color="auto" w:fill="CCEEFF"/>
          </w:tcPr>
          <w:p>
            <w:pPr>
              <w:jc w:val="right"/>
              <w:ind w:right="859"/>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16,414</w:t>
            </w:r>
          </w:p>
        </w:tc>
        <w:tc>
          <w:tcPr>
            <w:tcW w:w="1160" w:type="dxa"/>
            <w:vAlign w:val="bottom"/>
            <w:gridSpan w:val="2"/>
            <w:shd w:val="clear" w:color="auto" w:fill="CCEEFF"/>
          </w:tcPr>
          <w:p>
            <w:pPr>
              <w:jc w:val="right"/>
              <w:ind w:right="859"/>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28,368</w:t>
            </w:r>
          </w:p>
        </w:tc>
        <w:tc>
          <w:tcPr>
            <w:tcW w:w="1180" w:type="dxa"/>
            <w:vAlign w:val="bottom"/>
            <w:gridSpan w:val="2"/>
            <w:shd w:val="clear" w:color="auto" w:fill="CCEEFF"/>
          </w:tcPr>
          <w:p>
            <w:pPr>
              <w:jc w:val="right"/>
              <w:ind w:right="879"/>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33,251</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Revenues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 summary of significant net changes in the contract assets and the contract liabilities balances during the period is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04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60" w:type="dxa"/>
            <w:vAlign w:val="bottom"/>
          </w:tcPr>
          <w:p>
            <w:pPr>
              <w:spacing w:after="0"/>
              <w:rPr>
                <w:sz w:val="16"/>
                <w:szCs w:val="16"/>
                <w:color w:val="auto"/>
              </w:rPr>
            </w:pPr>
          </w:p>
        </w:tc>
        <w:tc>
          <w:tcPr>
            <w:tcW w:w="2040" w:type="dxa"/>
            <w:vAlign w:val="bottom"/>
          </w:tcPr>
          <w:p>
            <w:pPr>
              <w:jc w:val="right"/>
              <w:ind w:right="139"/>
              <w:spacing w:after="0"/>
              <w:rPr>
                <w:sz w:val="20"/>
                <w:szCs w:val="20"/>
                <w:color w:val="auto"/>
              </w:rPr>
            </w:pPr>
            <w:r>
              <w:rPr>
                <w:rFonts w:ascii="Arial" w:cs="Arial" w:eastAsia="Arial" w:hAnsi="Arial"/>
                <w:sz w:val="16"/>
                <w:szCs w:val="16"/>
                <w:b w:val="1"/>
                <w:bCs w:val="1"/>
                <w:color w:val="auto"/>
                <w:w w:val="95"/>
              </w:rPr>
              <w:t>Contract Liabilities, Less</w:t>
            </w:r>
          </w:p>
        </w:tc>
        <w:tc>
          <w:tcPr>
            <w:tcW w:w="0" w:type="dxa"/>
            <w:vAlign w:val="bottom"/>
          </w:tcPr>
          <w:p>
            <w:pPr>
              <w:spacing w:after="0"/>
              <w:rPr>
                <w:sz w:val="1"/>
                <w:szCs w:val="1"/>
                <w:color w:val="auto"/>
              </w:rPr>
            </w:pPr>
          </w:p>
        </w:tc>
      </w:tr>
      <w:tr>
        <w:trPr>
          <w:trHeight w:val="213"/>
        </w:trPr>
        <w:tc>
          <w:tcPr>
            <w:tcW w:w="904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Contract Assets</w:t>
            </w:r>
          </w:p>
        </w:tc>
        <w:tc>
          <w:tcPr>
            <w:tcW w:w="0" w:type="dxa"/>
            <w:vAlign w:val="bottom"/>
          </w:tcPr>
          <w:p>
            <w:pPr>
              <w:spacing w:after="0"/>
              <w:rPr>
                <w:sz w:val="1"/>
                <w:szCs w:val="1"/>
                <w:color w:val="auto"/>
              </w:rPr>
            </w:pPr>
          </w:p>
        </w:tc>
      </w:tr>
      <w:tr>
        <w:trPr>
          <w:trHeight w:val="212"/>
        </w:trPr>
        <w:tc>
          <w:tcPr>
            <w:tcW w:w="9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balance, January 1, 2023</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75,958</w:t>
            </w:r>
          </w:p>
        </w:tc>
        <w:tc>
          <w:tcPr>
            <w:tcW w:w="0" w:type="dxa"/>
            <w:vAlign w:val="bottom"/>
          </w:tcPr>
          <w:p>
            <w:pPr>
              <w:spacing w:after="0"/>
              <w:rPr>
                <w:sz w:val="1"/>
                <w:szCs w:val="1"/>
                <w:color w:val="auto"/>
              </w:rPr>
            </w:pPr>
          </w:p>
        </w:tc>
      </w:tr>
      <w:tr>
        <w:trPr>
          <w:trHeight w:val="213"/>
        </w:trPr>
        <w:tc>
          <w:tcPr>
            <w:tcW w:w="9040" w:type="dxa"/>
            <w:vAlign w:val="bottom"/>
          </w:tcPr>
          <w:p>
            <w:pPr>
              <w:ind w:left="20"/>
              <w:spacing w:after="0"/>
              <w:rPr>
                <w:sz w:val="20"/>
                <w:szCs w:val="20"/>
                <w:color w:val="auto"/>
              </w:rPr>
            </w:pPr>
            <w:r>
              <w:rPr>
                <w:rFonts w:ascii="Arial" w:cs="Arial" w:eastAsia="Arial" w:hAnsi="Arial"/>
                <w:sz w:val="16"/>
                <w:szCs w:val="16"/>
                <w:color w:val="auto"/>
              </w:rPr>
              <w:t>Revenues recognized from beginning contract liability</w:t>
            </w:r>
          </w:p>
        </w:tc>
        <w:tc>
          <w:tcPr>
            <w:tcW w:w="16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(60,131)</w:t>
            </w:r>
          </w:p>
        </w:tc>
        <w:tc>
          <w:tcPr>
            <w:tcW w:w="0" w:type="dxa"/>
            <w:vAlign w:val="bottom"/>
          </w:tcPr>
          <w:p>
            <w:pPr>
              <w:spacing w:after="0"/>
              <w:rPr>
                <w:sz w:val="1"/>
                <w:szCs w:val="1"/>
                <w:color w:val="auto"/>
              </w:rPr>
            </w:pPr>
          </w:p>
        </w:tc>
      </w:tr>
      <w:tr>
        <w:trPr>
          <w:trHeight w:val="219"/>
        </w:trPr>
        <w:tc>
          <w:tcPr>
            <w:tcW w:w="9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Cumulative catch-up adjustments</w:t>
            </w:r>
          </w:p>
        </w:tc>
        <w:tc>
          <w:tcPr>
            <w:tcW w:w="16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5,048</w:t>
            </w:r>
          </w:p>
        </w:tc>
        <w:tc>
          <w:tcPr>
            <w:tcW w:w="0" w:type="dxa"/>
            <w:vAlign w:val="bottom"/>
          </w:tcPr>
          <w:p>
            <w:pPr>
              <w:spacing w:after="0"/>
              <w:rPr>
                <w:sz w:val="1"/>
                <w:szCs w:val="1"/>
                <w:color w:val="auto"/>
              </w:rPr>
            </w:pPr>
          </w:p>
        </w:tc>
      </w:tr>
      <w:tr>
        <w:trPr>
          <w:trHeight w:val="213"/>
        </w:trPr>
        <w:tc>
          <w:tcPr>
            <w:tcW w:w="9040" w:type="dxa"/>
            <w:vAlign w:val="bottom"/>
          </w:tcPr>
          <w:p>
            <w:pPr>
              <w:ind w:left="20"/>
              <w:spacing w:after="0"/>
              <w:rPr>
                <w:sz w:val="20"/>
                <w:szCs w:val="20"/>
                <w:color w:val="auto"/>
              </w:rPr>
            </w:pPr>
            <w:r>
              <w:rPr>
                <w:rFonts w:ascii="Arial" w:cs="Arial" w:eastAsia="Arial" w:hAnsi="Arial"/>
                <w:sz w:val="16"/>
                <w:szCs w:val="16"/>
                <w:color w:val="auto"/>
              </w:rPr>
              <w:t>Increases due to amounts collected or due</w:t>
            </w:r>
          </w:p>
        </w:tc>
        <w:tc>
          <w:tcPr>
            <w:tcW w:w="16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194,430</w:t>
            </w:r>
          </w:p>
        </w:tc>
        <w:tc>
          <w:tcPr>
            <w:tcW w:w="0" w:type="dxa"/>
            <w:vAlign w:val="bottom"/>
          </w:tcPr>
          <w:p>
            <w:pPr>
              <w:spacing w:after="0"/>
              <w:rPr>
                <w:sz w:val="1"/>
                <w:szCs w:val="1"/>
                <w:color w:val="auto"/>
              </w:rPr>
            </w:pPr>
          </w:p>
        </w:tc>
      </w:tr>
      <w:tr>
        <w:trPr>
          <w:trHeight w:val="219"/>
        </w:trPr>
        <w:tc>
          <w:tcPr>
            <w:tcW w:w="9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 recognized from current period increases</w:t>
            </w:r>
          </w:p>
        </w:tc>
        <w:tc>
          <w:tcPr>
            <w:tcW w:w="16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(106,705)</w:t>
            </w:r>
          </w:p>
        </w:tc>
        <w:tc>
          <w:tcPr>
            <w:tcW w:w="0" w:type="dxa"/>
            <w:vAlign w:val="bottom"/>
          </w:tcPr>
          <w:p>
            <w:pPr>
              <w:spacing w:after="0"/>
              <w:rPr>
                <w:sz w:val="1"/>
                <w:szCs w:val="1"/>
                <w:color w:val="auto"/>
              </w:rPr>
            </w:pPr>
          </w:p>
        </w:tc>
      </w:tr>
      <w:tr>
        <w:trPr>
          <w:trHeight w:val="216"/>
        </w:trPr>
        <w:tc>
          <w:tcPr>
            <w:tcW w:w="9040" w:type="dxa"/>
            <w:vAlign w:val="bottom"/>
          </w:tcPr>
          <w:p>
            <w:pPr>
              <w:ind w:left="20"/>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1,214</w:t>
            </w:r>
          </w:p>
        </w:tc>
        <w:tc>
          <w:tcPr>
            <w:tcW w:w="0" w:type="dxa"/>
            <w:vAlign w:val="bottom"/>
          </w:tcPr>
          <w:p>
            <w:pPr>
              <w:spacing w:after="0"/>
              <w:rPr>
                <w:sz w:val="1"/>
                <w:szCs w:val="1"/>
                <w:color w:val="auto"/>
              </w:rPr>
            </w:pPr>
          </w:p>
        </w:tc>
      </w:tr>
      <w:tr>
        <w:trPr>
          <w:trHeight w:val="235"/>
        </w:trPr>
        <w:tc>
          <w:tcPr>
            <w:tcW w:w="9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Ending balance, June 30, 2023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109,814</w:t>
            </w:r>
          </w:p>
        </w:tc>
        <w:tc>
          <w:tcPr>
            <w:tcW w:w="0" w:type="dxa"/>
            <w:vAlign w:val="bottom"/>
          </w:tcPr>
          <w:p>
            <w:pPr>
              <w:spacing w:after="0"/>
              <w:rPr>
                <w:sz w:val="1"/>
                <w:szCs w:val="1"/>
                <w:color w:val="auto"/>
              </w:rPr>
            </w:pPr>
          </w:p>
        </w:tc>
      </w:tr>
      <w:tr>
        <w:trPr>
          <w:trHeight w:val="20"/>
        </w:trPr>
        <w:tc>
          <w:tcPr>
            <w:tcW w:w="90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January 1, 2023, total contract assets were $57.0 million and total contract liabilities were $133.0 million. On June 30, 2023, total contract assets were $67.5 million and total contract liabilities were $177.3 million. The contract assets primarily relate to contracts that include a retention clause and allocations related to contracts with multiple performance obligations. The contract liabilities primarily relate to deferred revenue, such as extended warranty and maintenance cost. The cumulative catch-up adjustments relate to contract modifications, measure-of-progress changes, and changes in the estimate of the transaction price.</w:t>
      </w:r>
    </w:p>
    <w:p>
      <w:pPr>
        <w:spacing w:after="0" w:line="21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Transaction price allocated to the remaining performance obligations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Total transaction price allocated to remaining performance obligations represents committed but undelivered products and services for contracts and purchase orders at period end. Twelve-month remaining performance obligations represent the portion of total transaction price allocated to remaining performance obligations that we estimate will be recognized as revenue over the next 12 months. Total transaction price allocated to remaining performance obligations is not a complete measure of our future revenues as we also receive orders where the customer may have legal termination rights but are not likely to terminate.</w:t>
      </w: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Total transaction price allocated to remaining performance obligations related to contracts is approximately $1.8 billion for the next 12 months and approximately $1.6 billion for periods longer than 12 months. The total remaining performance obligations consist of product and service components. The service component relates primarily to maintenance agreements for which customers pay a full year's maintenance in advance, and service revenues are generally recognized over the service period.</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Total transaction price allocated to remaining performance obligations also includes our extended warranty contracts, for which revenue is recognized over the warranty period, and hardware, which is recognized as units are delivered. The estimate of when remaining performance obligations will be recognized requires significant judgment.</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Cost to obtain a contract and cost to fulfill a contract with a customer</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Cost to obtain a contract and costs to fulfill a contract were capitalized and amortized using a systematic rational approach to align with the transfer of control of underlying contracts with customers. While amounts were capitalized, they are not material.</w:t>
      </w:r>
    </w:p>
    <w:p>
      <w:pPr>
        <w:spacing w:after="0" w:line="21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Disaggregation of revenue</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Refer to Note 15: Segment Information and the Consolidated Statements of Operations for disclosure regarding the disaggregation of revenue into categories, which depict how revenue and cash flows are affected by economic factors. Specifically, our operating segments and geographical regions as disclosed, and categories for products, which include hardware and software and services, are presented.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discussion and analysis should be read in conjunction with the unaudited consolidated financial statements and notes included in this report and with the consolidated financial statements and the notes thereto for the fiscal year ended December 31, 2022 filed with the Securities and Exchange Commission (SEC) in our Annual Report on Form 10-K on February 27, 2023 (2022 Annual Report).</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objective of Management's Discussion and Analysis is to provide our assessment of the financial condition and results of operations, including an evaluation of our liquidity and capital resources along with material events occurring during the year. The discussion and analysis focuses on material events and uncertainties known to management that are reasonably likely to cause reported financial information not to be necessarily indicative of future operating results or of future financial condition. In addition, we address matters that are reasonably likely, based on management's assessment, to have a material impact on future operations. We expect the analysis will enhance a reader's understanding of our financial condition, cash flows, and other changes in financial condition and results of operations.</w:t>
      </w:r>
    </w:p>
    <w:p>
      <w:pPr>
        <w:spacing w:after="0" w:line="21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 xml:space="preserve">Documents we provide to the SEC are available free of charge under the Investors section of our website at </w:t>
      </w:r>
      <w:r>
        <w:rPr>
          <w:rFonts w:ascii="Arial" w:cs="Arial" w:eastAsia="Arial" w:hAnsi="Arial"/>
          <w:sz w:val="17"/>
          <w:szCs w:val="17"/>
          <w:i w:val="1"/>
          <w:iCs w:val="1"/>
          <w:color w:val="auto"/>
        </w:rPr>
        <w:t>www.itron.com</w:t>
      </w:r>
      <w:r>
        <w:rPr>
          <w:rFonts w:ascii="Arial" w:cs="Arial" w:eastAsia="Arial" w:hAnsi="Arial"/>
          <w:sz w:val="17"/>
          <w:szCs w:val="17"/>
          <w:color w:val="auto"/>
        </w:rPr>
        <w:t xml:space="preserve"> as soon as practicable after they are filed with or furnished to the SEC. In addition, these documents are available at the SEC's website (http://</w:t>
      </w:r>
      <w:r>
        <w:rPr>
          <w:rFonts w:ascii="Arial" w:cs="Arial" w:eastAsia="Arial" w:hAnsi="Arial"/>
          <w:sz w:val="17"/>
          <w:szCs w:val="17"/>
          <w:i w:val="1"/>
          <w:iCs w:val="1"/>
          <w:color w:val="auto"/>
        </w:rPr>
        <w:t>www.sec.gov</w:t>
      </w:r>
      <w:r>
        <w:rPr>
          <w:rFonts w:ascii="Arial" w:cs="Arial" w:eastAsia="Arial" w:hAnsi="Arial"/>
          <w:sz w:val="17"/>
          <w:szCs w:val="17"/>
          <w:color w:val="auto"/>
        </w:rPr>
        <w: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Forward-Looking Statements</w:t>
      </w:r>
    </w:p>
    <w:p>
      <w:pPr>
        <w:spacing w:after="0" w:line="25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i w:val="1"/>
          <w:iCs w:val="1"/>
          <w:color w:val="222222"/>
        </w:rPr>
        <w:t>This report contains, and our officers and representatives may from time to time make, "forward-looking statements" within the meaning of the safe harbor provisions of the U.S. Private Securities Litigation Reform Act of 1995. Forward-looking statements are neither historical factors nor assurances of future performance. These statements are based on our expectations about, among others, revenues, operations, financial performance, earnings, liquidity, earnings per share, cash flows and restructuring activities including headcount reductions and other cost savings initiatives. This document reflects our current strategy, plans and expectations and is based on information currently available as of the date of this Quarterly Report on Form 10-Q. When we use words such as "expect", "intend", "anticipate", "believe", "plan", "goal", "seek", "project", "estimate", "future", "strategy", "objective", "may", "likely", "should", "will", "will continue", and similar expressions, including related to future periods, they are intended to identify forward-looking statements. Forward-looking statements rely on a number of assumptions and estimates. Although we believe the estimates and assumptions upon which these forward-looking statements are based are reasonable, any of these estimates or assumptions could prove to be inaccurate and the forward-looking statements based on these estimates and assumptions could be incorrect. Our operations involve risks and uncertainties, many of which are outside our control, and any one of which, or a combination of which, could materially affect our results of operations and whether the forward-looking statements ultimately prove to be correct. Actual results and trends in the future may differ materially from those suggested or implied by the forward-looking statements depending on a variety of factors. Therefore, you should not rely on any of these forward-looking statements. Some of the factors that we believe could affect our results include our ability to execute on our restructuring plans, our ability to achieve estimated cost savings, the rate and timing of customer demand for our products, rescheduling of current customer orders, changes in estimated liabilities for product warranties, adverse impacts of litigation, changes in laws and regulations, our dependence on new product development and intellectual property, future acquisitions, changes in estimates for stock-based and bonus compensation, increasing volatility in foreign exchange rates, international business risks, uncertainties caused by adverse economic conditions, including without limitation those resulting from extraordinary events or circumstances and other factors that are more fully described in Part I, Item 1A: Risk Factors included in our 2022 Annual Report and other reports on file with the SEC. We undertake no obligation to update or revise any forward-looking statement, whether written or oral.</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 technology and service company, and we are a leader in the Industrial Internet of Things (IIoT). We offer solutions that enable utilities and municipalities to safely, securely, and reliably operate their critical infrastructure. Our solutions include the deployment of smart networks, software, services, devices, sensors, and data analytics that allow our customers to manage assets, secure revenue, lower operational costs, improve customer service, improve safety, and enable efficient management of valuable resources. Our comprehensive solutions and data analytics address the unique challenges facing the energy, water, and municipality sectors, including increasing demand on resources, non-technical loss, leak detection, environmental and regulatory compliance, and improved operational reliability.</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We operate under the Itron brand worldwide and manage and report under three operating segments: Device Solutions, Networked Solutions,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Outcomes. The product and operating definitions of the three segments are as follows:</w:t>
      </w:r>
    </w:p>
    <w:p>
      <w:pPr>
        <w:spacing w:after="0" w:line="2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Device Solutions </w:t>
      </w:r>
      <w:r>
        <w:rPr>
          <w:rFonts w:ascii="Arial" w:cs="Arial" w:eastAsia="Arial" w:hAnsi="Arial"/>
          <w:sz w:val="18"/>
          <w:szCs w:val="18"/>
          <w:color w:val="auto"/>
        </w:rPr>
        <w:t>– This segment primarily includes hardware products used for measurement, control, or sensing that do not have communications</w:t>
      </w:r>
      <w:r>
        <w:rPr>
          <w:rFonts w:ascii="Arial" w:cs="Arial" w:eastAsia="Arial" w:hAnsi="Arial"/>
          <w:sz w:val="18"/>
          <w:szCs w:val="18"/>
          <w:i w:val="1"/>
          <w:iCs w:val="1"/>
          <w:color w:val="auto"/>
        </w:rPr>
        <w:t xml:space="preserve"> </w:t>
      </w:r>
      <w:r>
        <w:rPr>
          <w:rFonts w:ascii="Arial" w:cs="Arial" w:eastAsia="Arial" w:hAnsi="Arial"/>
          <w:sz w:val="18"/>
          <w:szCs w:val="18"/>
          <w:color w:val="auto"/>
        </w:rPr>
        <w:t>capability embedded for use with our broader Itron systems, i.e., hardware-based products not part of a complete end-to-end solution. Examples from the Device Solutions portfolio include: standard endpoints that are shipped without Itron communications, such as our standard gas, electricity, and water meters for a variety of global markets and adhering to regulations and standards within those markets, as well as our heat and allocation products; communicating meters that are not a part of an Itron end-to-end solution, such as Smart Spec meters; and the implementation and installation of non-communicating devices.</w:t>
      </w:r>
    </w:p>
    <w:p>
      <w:pPr>
        <w:spacing w:after="0" w:line="21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Networked Solutions </w:t>
      </w:r>
      <w:r>
        <w:rPr>
          <w:rFonts w:ascii="Arial" w:cs="Arial" w:eastAsia="Arial" w:hAnsi="Arial"/>
          <w:sz w:val="17"/>
          <w:szCs w:val="17"/>
          <w:color w:val="auto"/>
        </w:rPr>
        <w:t>– This segment primarily includes a combination of communicating devices (e.g., smart meters, modules, endpoints, and sensors),</w:t>
      </w:r>
      <w:r>
        <w:rPr>
          <w:rFonts w:ascii="Arial" w:cs="Arial" w:eastAsia="Arial" w:hAnsi="Arial"/>
          <w:sz w:val="17"/>
          <w:szCs w:val="17"/>
          <w:i w:val="1"/>
          <w:iCs w:val="1"/>
          <w:color w:val="auto"/>
        </w:rPr>
        <w:t xml:space="preserve"> </w:t>
      </w:r>
      <w:r>
        <w:rPr>
          <w:rFonts w:ascii="Arial" w:cs="Arial" w:eastAsia="Arial" w:hAnsi="Arial"/>
          <w:sz w:val="17"/>
          <w:szCs w:val="17"/>
          <w:color w:val="auto"/>
        </w:rPr>
        <w:t>network infrastructure, and associated application software designed and sold as a complete solution for acquiring and transporting robust application-specific data. Networked Solutions includes products and software for the implementation, installation, and management of communicating devices and data networks. The Industrial Internet of Things (IIoT) solutions supported by this segment include automated meter reading (AMR), advanced metering infrastructure (AMI), distributed energy resource management (DERMs), smart grid and distribution automation, smart street lighting, and an ever-growing set of smart city applications such as traffic management, smart parking, air quality monitoring, electric vehicle charging, customer engagement, digital signage, acoustic (e.g., gunshot) detection, and leak detection and mitigation for both gas and water systems. Our IIoT platform allows all these utility and smart city applications to be run and managed on a single, multi-purpose network.</w:t>
      </w:r>
    </w:p>
    <w:p>
      <w:pPr>
        <w:spacing w:after="0" w:line="20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Outcomes </w:t>
      </w:r>
      <w:r>
        <w:rPr>
          <w:rFonts w:ascii="Arial" w:cs="Arial" w:eastAsia="Arial" w:hAnsi="Arial"/>
          <w:sz w:val="16"/>
          <w:szCs w:val="16"/>
          <w:color w:val="auto"/>
        </w:rPr>
        <w:t>– This segment primarily includes our value-added, enhanced software and services in which we manage, organize, analyze, and interpret raw,</w:t>
      </w:r>
      <w:r>
        <w:rPr>
          <w:rFonts w:ascii="Arial" w:cs="Arial" w:eastAsia="Arial" w:hAnsi="Arial"/>
          <w:sz w:val="16"/>
          <w:szCs w:val="16"/>
          <w:i w:val="1"/>
          <w:iCs w:val="1"/>
          <w:color w:val="auto"/>
        </w:rPr>
        <w:t xml:space="preserve"> </w:t>
      </w:r>
      <w:r>
        <w:rPr>
          <w:rFonts w:ascii="Arial" w:cs="Arial" w:eastAsia="Arial" w:hAnsi="Arial"/>
          <w:sz w:val="16"/>
          <w:szCs w:val="16"/>
          <w:color w:val="auto"/>
        </w:rPr>
        <w:t>anonymized and aggregated data to improve decision making, maximize operational profitability, drive resource efficiency, improve grid analytics, and deliver results for consumers, utilities, and smart cities. Outcomes supports high-value use cases such as data management, grid operations, distributed intelligence, operations management, gas distribution and safety, water operations management, revenue assurance, DERMs, energy forecasting, consumer engagement, smart payment, and fleet energy resource management. Utilities leverage these outcomes to capitalize on the power of networks and devices, empower their workforce, maximize their operations, and enhance the customer experience. The revenues from these offerings are primarily recurring in nature and would include any direct management of Device Solutions, Networked Solutions, and other products on behalf of our end customers.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three measures of segment performance: revenues, gross profit (margin), and operating income (margin). Intersegment revenues are minimal. Certain operating expenses are allocated to the operating segments based upon internally established allocation methodologies. Interest income, interest expense, other income (expense), the income tax provision (benefit), and certain corporate operating expenses are neither allocated to the segments nor included in the measures of segment performance.</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Non-GAAP Measures</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To supplement our consolidated financial statements, which are prepared in accordance with accounting principles generally accepted in the United States (GAAP), we use certain adjusted or non-GAAP financial measures, including non-GAAP operating expense, non-GAAP operating income, non-GAAP net income, non-GAAP diluted earnings per share (EPS), adjusted EBITDA, free cash flow, and constant currency. We provide these non-GAAP financial measures because we believe they provide greater transparency and represent supplemental information used by management in its financial and operational decision making. We exclude certain costs in our non-GAAP financial measures as we believe the net result is a measure of our core business. We believe these measures facilitate operating performance comparisons from period to period by eliminating potential differences caused by the existence and timing of certain expense items that would not otherwise be apparent on a GAAP basis. Non-GAAP performance measures should be considered in addition to, and not as a substitute for, results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prepared in accordance with GAAP. We strongly encourage investors and shareholders to review our financial statements and publicly-filed reports in their entirety and not to rely on any single financial measure. Our non-GAAP financial measures may be different from those reported by other companies.</w:t>
      </w:r>
    </w:p>
    <w:p>
      <w:pPr>
        <w:spacing w:after="0" w:line="15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our discussions of the operating results below, we may refer to the impact of foreign currency exchange rate fluctuations, which are references to the differences between the foreign currency exchange rates we use to convert operating results from local currencies into U.S. dollars for reporting purposes. We also use the term </w:t>
      </w:r>
      <w:r>
        <w:rPr>
          <w:rFonts w:ascii="Arial" w:cs="Arial" w:eastAsia="Arial" w:hAnsi="Arial"/>
          <w:sz w:val="17"/>
          <w:szCs w:val="17"/>
          <w:color w:val="222222"/>
        </w:rPr>
        <w:t>"</w:t>
      </w:r>
      <w:r>
        <w:rPr>
          <w:rFonts w:ascii="Arial" w:cs="Arial" w:eastAsia="Arial" w:hAnsi="Arial"/>
          <w:sz w:val="17"/>
          <w:szCs w:val="17"/>
          <w:color w:val="auto"/>
        </w:rPr>
        <w:t>constant currency</w:t>
      </w:r>
      <w:r>
        <w:rPr>
          <w:rFonts w:ascii="Arial" w:cs="Arial" w:eastAsia="Arial" w:hAnsi="Arial"/>
          <w:sz w:val="17"/>
          <w:szCs w:val="17"/>
          <w:color w:val="222222"/>
        </w:rPr>
        <w:t>",</w:t>
      </w:r>
      <w:r>
        <w:rPr>
          <w:rFonts w:ascii="Arial" w:cs="Arial" w:eastAsia="Arial" w:hAnsi="Arial"/>
          <w:sz w:val="17"/>
          <w:szCs w:val="17"/>
          <w:color w:val="auto"/>
        </w:rPr>
        <w:t xml:space="preserve"> which represents results adjusted to exclude foreign currency exchange rate impacts. We calculate the constant currency change as the difference between the current period results translated using the current period currency exchange rates and the comparable prior period's results restated using current period currency exchange rates. We believe the reconciliations of changes in constant currency provide useful supplementary information to investors in light of fluctuations in foreign currency exchange rates.</w:t>
      </w:r>
    </w:p>
    <w:p>
      <w:pPr>
        <w:spacing w:after="0" w:line="20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Refer to the </w:t>
      </w:r>
      <w:r>
        <w:rPr>
          <w:rFonts w:ascii="Arial" w:cs="Arial" w:eastAsia="Arial" w:hAnsi="Arial"/>
          <w:sz w:val="18"/>
          <w:szCs w:val="18"/>
          <w:i w:val="1"/>
          <w:iCs w:val="1"/>
          <w:color w:val="auto"/>
        </w:rPr>
        <w:t>Non-GAAP Measures</w:t>
      </w:r>
      <w:r>
        <w:rPr>
          <w:rFonts w:ascii="Arial" w:cs="Arial" w:eastAsia="Arial" w:hAnsi="Arial"/>
          <w:sz w:val="18"/>
          <w:szCs w:val="18"/>
          <w:color w:val="auto"/>
        </w:rPr>
        <w:t xml:space="preserve"> section below on pages 41-44 for information about these non-GAAP measures and the detailed reconciliation of items that impacted non-GAAP operating expenses, non-GAAP operating income, non-GAAP net income, non-GAAP diluted EPS, adjusted EBITDA, and free cash flow in the periods presented.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Company Highlights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222222"/>
        </w:rPr>
        <w:t xml:space="preserve">Highlights and significant developments for the </w:t>
      </w:r>
      <w:r>
        <w:rPr>
          <w:rFonts w:ascii="Arial" w:cs="Arial" w:eastAsia="Arial" w:hAnsi="Arial"/>
          <w:sz w:val="18"/>
          <w:szCs w:val="18"/>
          <w:i w:val="1"/>
          <w:iCs w:val="1"/>
          <w:color w:val="000000"/>
        </w:rPr>
        <w:t>three months ended June 30, 2023 compared with the three months ended June 30, 2022</w:t>
      </w:r>
    </w:p>
    <w:p>
      <w:pPr>
        <w:spacing w:after="0" w:line="63" w:lineRule="exact"/>
        <w:rPr>
          <w:sz w:val="20"/>
          <w:szCs w:val="20"/>
          <w:color w:val="auto"/>
        </w:rPr>
      </w:pPr>
    </w:p>
    <w:p>
      <w:pPr>
        <w:ind w:left="260" w:hanging="171"/>
        <w:spacing w:after="0"/>
        <w:tabs>
          <w:tab w:leader="none" w:pos="260" w:val="left"/>
        </w:tabs>
        <w:numPr>
          <w:ilvl w:val="0"/>
          <w:numId w:val="5"/>
        </w:numPr>
        <w:rPr>
          <w:rFonts w:ascii="Arial" w:cs="Arial" w:eastAsia="Arial" w:hAnsi="Arial"/>
          <w:sz w:val="18"/>
          <w:szCs w:val="18"/>
          <w:color w:val="222222"/>
        </w:rPr>
      </w:pPr>
      <w:r>
        <w:rPr>
          <w:rFonts w:ascii="Arial" w:cs="Arial" w:eastAsia="Arial" w:hAnsi="Arial"/>
          <w:sz w:val="18"/>
          <w:szCs w:val="18"/>
          <w:color w:val="222222"/>
        </w:rPr>
        <w:t>Revenues were $541.1 million compared with $431.9 million in 2022, an increase of 25%</w:t>
      </w:r>
    </w:p>
    <w:p>
      <w:pPr>
        <w:spacing w:after="0" w:line="63" w:lineRule="exact"/>
        <w:rPr>
          <w:rFonts w:ascii="Arial" w:cs="Arial" w:eastAsia="Arial" w:hAnsi="Arial"/>
          <w:sz w:val="18"/>
          <w:szCs w:val="18"/>
          <w:color w:val="222222"/>
        </w:rPr>
      </w:pPr>
    </w:p>
    <w:p>
      <w:pPr>
        <w:ind w:left="260" w:hanging="171"/>
        <w:spacing w:after="0"/>
        <w:tabs>
          <w:tab w:leader="none" w:pos="260" w:val="left"/>
        </w:tabs>
        <w:numPr>
          <w:ilvl w:val="0"/>
          <w:numId w:val="5"/>
        </w:numPr>
        <w:rPr>
          <w:rFonts w:ascii="Arial" w:cs="Arial" w:eastAsia="Arial" w:hAnsi="Arial"/>
          <w:sz w:val="18"/>
          <w:szCs w:val="18"/>
          <w:color w:val="222222"/>
        </w:rPr>
      </w:pPr>
      <w:r>
        <w:rPr>
          <w:rFonts w:ascii="Arial" w:cs="Arial" w:eastAsia="Arial" w:hAnsi="Arial"/>
          <w:sz w:val="18"/>
          <w:szCs w:val="18"/>
          <w:color w:val="222222"/>
        </w:rPr>
        <w:t xml:space="preserve">Gross margin was </w:t>
      </w:r>
      <w:r>
        <w:rPr>
          <w:rFonts w:ascii="Arial" w:cs="Arial" w:eastAsia="Arial" w:hAnsi="Arial"/>
          <w:sz w:val="18"/>
          <w:szCs w:val="18"/>
          <w:color w:val="000000"/>
        </w:rPr>
        <w:t>32.1%</w:t>
      </w:r>
      <w:r>
        <w:rPr>
          <w:rFonts w:ascii="Arial" w:cs="Arial" w:eastAsia="Arial" w:hAnsi="Arial"/>
          <w:sz w:val="18"/>
          <w:szCs w:val="18"/>
          <w:color w:val="222222"/>
        </w:rPr>
        <w:t>, compared with 29.2% in 2022</w:t>
      </w:r>
    </w:p>
    <w:p>
      <w:pPr>
        <w:spacing w:after="0" w:line="63" w:lineRule="exact"/>
        <w:rPr>
          <w:rFonts w:ascii="Arial" w:cs="Arial" w:eastAsia="Arial" w:hAnsi="Arial"/>
          <w:sz w:val="18"/>
          <w:szCs w:val="18"/>
          <w:color w:val="222222"/>
        </w:rPr>
      </w:pPr>
    </w:p>
    <w:p>
      <w:pPr>
        <w:ind w:left="260" w:hanging="171"/>
        <w:spacing w:after="0"/>
        <w:tabs>
          <w:tab w:leader="none" w:pos="260" w:val="left"/>
        </w:tabs>
        <w:numPr>
          <w:ilvl w:val="0"/>
          <w:numId w:val="5"/>
        </w:numPr>
        <w:rPr>
          <w:rFonts w:ascii="Arial" w:cs="Arial" w:eastAsia="Arial" w:hAnsi="Arial"/>
          <w:sz w:val="18"/>
          <w:szCs w:val="18"/>
          <w:color w:val="222222"/>
        </w:rPr>
      </w:pPr>
      <w:r>
        <w:rPr>
          <w:rFonts w:ascii="Arial" w:cs="Arial" w:eastAsia="Arial" w:hAnsi="Arial"/>
          <w:sz w:val="18"/>
          <w:szCs w:val="18"/>
          <w:color w:val="222222"/>
        </w:rPr>
        <w:t>Operating expenses decreased $20.8 million, or 13%, compared with 2022</w:t>
      </w:r>
    </w:p>
    <w:p>
      <w:pPr>
        <w:spacing w:after="0" w:line="63" w:lineRule="exact"/>
        <w:rPr>
          <w:rFonts w:ascii="Arial" w:cs="Arial" w:eastAsia="Arial" w:hAnsi="Arial"/>
          <w:sz w:val="18"/>
          <w:szCs w:val="18"/>
          <w:color w:val="222222"/>
        </w:rPr>
      </w:pPr>
    </w:p>
    <w:p>
      <w:pPr>
        <w:ind w:left="260" w:hanging="171"/>
        <w:spacing w:after="0"/>
        <w:tabs>
          <w:tab w:leader="none" w:pos="260" w:val="left"/>
        </w:tabs>
        <w:numPr>
          <w:ilvl w:val="0"/>
          <w:numId w:val="5"/>
        </w:numPr>
        <w:rPr>
          <w:rFonts w:ascii="Arial" w:cs="Arial" w:eastAsia="Arial" w:hAnsi="Arial"/>
          <w:sz w:val="18"/>
          <w:szCs w:val="18"/>
          <w:color w:val="222222"/>
        </w:rPr>
      </w:pPr>
      <w:r>
        <w:rPr>
          <w:rFonts w:ascii="Arial" w:cs="Arial" w:eastAsia="Arial" w:hAnsi="Arial"/>
          <w:sz w:val="18"/>
          <w:szCs w:val="18"/>
          <w:color w:val="222222"/>
        </w:rPr>
        <w:t>Net income attributable to Itron, Inc. was $24.2 million compared with net loss of $37.0 million in 2022</w:t>
      </w:r>
    </w:p>
    <w:p>
      <w:pPr>
        <w:spacing w:after="0" w:line="63" w:lineRule="exact"/>
        <w:rPr>
          <w:rFonts w:ascii="Arial" w:cs="Arial" w:eastAsia="Arial" w:hAnsi="Arial"/>
          <w:sz w:val="18"/>
          <w:szCs w:val="18"/>
          <w:color w:val="222222"/>
        </w:rPr>
      </w:pPr>
    </w:p>
    <w:p>
      <w:pPr>
        <w:ind w:left="260" w:hanging="171"/>
        <w:spacing w:after="0"/>
        <w:tabs>
          <w:tab w:leader="none" w:pos="260" w:val="left"/>
        </w:tabs>
        <w:numPr>
          <w:ilvl w:val="0"/>
          <w:numId w:val="5"/>
        </w:numPr>
        <w:rPr>
          <w:rFonts w:ascii="Arial" w:cs="Arial" w:eastAsia="Arial" w:hAnsi="Arial"/>
          <w:sz w:val="18"/>
          <w:szCs w:val="18"/>
          <w:color w:val="222222"/>
        </w:rPr>
      </w:pPr>
      <w:r>
        <w:rPr>
          <w:rFonts w:ascii="Arial" w:cs="Arial" w:eastAsia="Arial" w:hAnsi="Arial"/>
          <w:sz w:val="18"/>
          <w:szCs w:val="18"/>
          <w:color w:val="222222"/>
        </w:rPr>
        <w:t xml:space="preserve">GAAP diluted EPS increased by </w:t>
      </w:r>
      <w:r>
        <w:rPr>
          <w:rFonts w:ascii="Arial" w:cs="Arial" w:eastAsia="Arial" w:hAnsi="Arial"/>
          <w:sz w:val="18"/>
          <w:szCs w:val="18"/>
          <w:color w:val="000000"/>
        </w:rPr>
        <w:t>$1.35</w:t>
      </w:r>
      <w:r>
        <w:rPr>
          <w:rFonts w:ascii="Arial" w:cs="Arial" w:eastAsia="Arial" w:hAnsi="Arial"/>
          <w:sz w:val="18"/>
          <w:szCs w:val="18"/>
          <w:color w:val="222222"/>
        </w:rPr>
        <w:t xml:space="preserve"> to a diluted income per share of $0.53 in 2023</w:t>
      </w:r>
    </w:p>
    <w:p>
      <w:pPr>
        <w:spacing w:after="0" w:line="63" w:lineRule="exact"/>
        <w:rPr>
          <w:rFonts w:ascii="Arial" w:cs="Arial" w:eastAsia="Arial" w:hAnsi="Arial"/>
          <w:sz w:val="18"/>
          <w:szCs w:val="18"/>
          <w:color w:val="222222"/>
        </w:rPr>
      </w:pPr>
    </w:p>
    <w:p>
      <w:pPr>
        <w:ind w:left="260" w:hanging="171"/>
        <w:spacing w:after="0"/>
        <w:tabs>
          <w:tab w:leader="none" w:pos="260" w:val="left"/>
        </w:tabs>
        <w:numPr>
          <w:ilvl w:val="0"/>
          <w:numId w:val="5"/>
        </w:numPr>
        <w:rPr>
          <w:rFonts w:ascii="Arial" w:cs="Arial" w:eastAsia="Arial" w:hAnsi="Arial"/>
          <w:sz w:val="18"/>
          <w:szCs w:val="18"/>
          <w:color w:val="222222"/>
        </w:rPr>
      </w:pPr>
      <w:r>
        <w:rPr>
          <w:rFonts w:ascii="Arial" w:cs="Arial" w:eastAsia="Arial" w:hAnsi="Arial"/>
          <w:sz w:val="18"/>
          <w:szCs w:val="18"/>
          <w:color w:val="222222"/>
        </w:rPr>
        <w:t>Non-GAAP net income attributable to Itron, Inc. was $29.8 million compared with $3.1 million in 2022</w:t>
      </w:r>
    </w:p>
    <w:p>
      <w:pPr>
        <w:spacing w:after="0" w:line="63" w:lineRule="exact"/>
        <w:rPr>
          <w:rFonts w:ascii="Arial" w:cs="Arial" w:eastAsia="Arial" w:hAnsi="Arial"/>
          <w:sz w:val="18"/>
          <w:szCs w:val="18"/>
          <w:color w:val="222222"/>
        </w:rPr>
      </w:pPr>
    </w:p>
    <w:p>
      <w:pPr>
        <w:ind w:left="260" w:hanging="171"/>
        <w:spacing w:after="0"/>
        <w:tabs>
          <w:tab w:leader="none" w:pos="260" w:val="left"/>
        </w:tabs>
        <w:numPr>
          <w:ilvl w:val="0"/>
          <w:numId w:val="5"/>
        </w:numPr>
        <w:rPr>
          <w:rFonts w:ascii="Arial" w:cs="Arial" w:eastAsia="Arial" w:hAnsi="Arial"/>
          <w:sz w:val="18"/>
          <w:szCs w:val="18"/>
          <w:color w:val="222222"/>
        </w:rPr>
      </w:pPr>
      <w:r>
        <w:rPr>
          <w:rFonts w:ascii="Arial" w:cs="Arial" w:eastAsia="Arial" w:hAnsi="Arial"/>
          <w:sz w:val="18"/>
          <w:szCs w:val="18"/>
          <w:color w:val="222222"/>
        </w:rPr>
        <w:t>Non-GAAP diluted EPS was $0.65, an increase of $0.58 compared with 2022</w:t>
      </w:r>
    </w:p>
    <w:p>
      <w:pPr>
        <w:spacing w:after="0" w:line="63" w:lineRule="exact"/>
        <w:rPr>
          <w:rFonts w:ascii="Arial" w:cs="Arial" w:eastAsia="Arial" w:hAnsi="Arial"/>
          <w:sz w:val="18"/>
          <w:szCs w:val="18"/>
          <w:color w:val="222222"/>
        </w:rPr>
      </w:pPr>
    </w:p>
    <w:p>
      <w:pPr>
        <w:ind w:left="260" w:hanging="171"/>
        <w:spacing w:after="0"/>
        <w:tabs>
          <w:tab w:leader="none" w:pos="260" w:val="left"/>
        </w:tabs>
        <w:numPr>
          <w:ilvl w:val="0"/>
          <w:numId w:val="5"/>
        </w:numPr>
        <w:rPr>
          <w:rFonts w:ascii="Arial" w:cs="Arial" w:eastAsia="Arial" w:hAnsi="Arial"/>
          <w:sz w:val="18"/>
          <w:szCs w:val="18"/>
          <w:color w:val="222222"/>
        </w:rPr>
      </w:pPr>
      <w:r>
        <w:rPr>
          <w:rFonts w:ascii="Arial" w:cs="Arial" w:eastAsia="Arial" w:hAnsi="Arial"/>
          <w:sz w:val="18"/>
          <w:szCs w:val="18"/>
          <w:color w:val="222222"/>
        </w:rPr>
        <w:t>Adjusted EBITDA was $49.3 million compared with $17.5 million in 2022</w:t>
      </w:r>
    </w:p>
    <w:p>
      <w:pPr>
        <w:spacing w:after="0" w:line="63" w:lineRule="exact"/>
        <w:rPr>
          <w:rFonts w:ascii="Arial" w:cs="Arial" w:eastAsia="Arial" w:hAnsi="Arial"/>
          <w:sz w:val="18"/>
          <w:szCs w:val="18"/>
          <w:color w:val="222222"/>
        </w:rPr>
      </w:pPr>
    </w:p>
    <w:p>
      <w:pPr>
        <w:ind w:left="260" w:hanging="171"/>
        <w:spacing w:after="0" w:line="277" w:lineRule="auto"/>
        <w:tabs>
          <w:tab w:leader="none" w:pos="260" w:val="left"/>
        </w:tabs>
        <w:numPr>
          <w:ilvl w:val="0"/>
          <w:numId w:val="5"/>
        </w:numPr>
        <w:rPr>
          <w:rFonts w:ascii="Arial" w:cs="Arial" w:eastAsia="Arial" w:hAnsi="Arial"/>
          <w:sz w:val="18"/>
          <w:szCs w:val="18"/>
          <w:i w:val="1"/>
          <w:iCs w:val="1"/>
          <w:color w:val="222222"/>
        </w:rPr>
      </w:pPr>
      <w:r>
        <w:rPr>
          <w:rFonts w:ascii="Arial" w:cs="Arial" w:eastAsia="Arial" w:hAnsi="Arial"/>
          <w:sz w:val="18"/>
          <w:szCs w:val="18"/>
          <w:color w:val="222222"/>
        </w:rPr>
        <w:t xml:space="preserve">Total backlog was $4.5 billion and twelve-month backlog was $2.0 billion at </w:t>
      </w:r>
      <w:r>
        <w:rPr>
          <w:rFonts w:ascii="Arial" w:cs="Arial" w:eastAsia="Arial" w:hAnsi="Arial"/>
          <w:sz w:val="18"/>
          <w:szCs w:val="18"/>
          <w:color w:val="000000"/>
        </w:rPr>
        <w:t>June 30, 2023, compared with</w:t>
      </w:r>
      <w:r>
        <w:rPr>
          <w:rFonts w:ascii="Arial" w:cs="Arial" w:eastAsia="Arial" w:hAnsi="Arial"/>
          <w:sz w:val="18"/>
          <w:szCs w:val="18"/>
          <w:color w:val="222222"/>
        </w:rPr>
        <w:t xml:space="preserve"> $4.1 billion </w:t>
      </w:r>
      <w:r>
        <w:rPr>
          <w:rFonts w:ascii="Arial" w:cs="Arial" w:eastAsia="Arial" w:hAnsi="Arial"/>
          <w:sz w:val="18"/>
          <w:szCs w:val="18"/>
          <w:color w:val="000000"/>
        </w:rPr>
        <w:t>and</w:t>
      </w:r>
      <w:r>
        <w:rPr>
          <w:rFonts w:ascii="Arial" w:cs="Arial" w:eastAsia="Arial" w:hAnsi="Arial"/>
          <w:sz w:val="18"/>
          <w:szCs w:val="18"/>
          <w:color w:val="222222"/>
        </w:rPr>
        <w:t xml:space="preserve"> $1.7 billion </w:t>
      </w:r>
      <w:r>
        <w:rPr>
          <w:rFonts w:ascii="Arial" w:cs="Arial" w:eastAsia="Arial" w:hAnsi="Arial"/>
          <w:sz w:val="18"/>
          <w:szCs w:val="18"/>
          <w:color w:val="000000"/>
        </w:rPr>
        <w:t>at June 30,</w:t>
      </w:r>
      <w:r>
        <w:rPr>
          <w:rFonts w:ascii="Arial" w:cs="Arial" w:eastAsia="Arial" w:hAnsi="Arial"/>
          <w:sz w:val="18"/>
          <w:szCs w:val="18"/>
          <w:color w:val="222222"/>
        </w:rPr>
        <w:t xml:space="preserve"> </w:t>
      </w:r>
      <w:r>
        <w:rPr>
          <w:rFonts w:ascii="Arial" w:cs="Arial" w:eastAsia="Arial" w:hAnsi="Arial"/>
          <w:sz w:val="18"/>
          <w:szCs w:val="18"/>
          <w:color w:val="000000"/>
        </w:rPr>
        <w:t>2022</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222222"/>
        </w:rPr>
        <w:t xml:space="preserve">Highlights and significant developments for the </w:t>
      </w:r>
      <w:r>
        <w:rPr>
          <w:rFonts w:ascii="Arial" w:cs="Arial" w:eastAsia="Arial" w:hAnsi="Arial"/>
          <w:sz w:val="18"/>
          <w:szCs w:val="18"/>
          <w:i w:val="1"/>
          <w:iCs w:val="1"/>
          <w:color w:val="000000"/>
        </w:rPr>
        <w:t>six</w:t>
      </w:r>
      <w:r>
        <w:rPr>
          <w:rFonts w:ascii="Arial" w:cs="Arial" w:eastAsia="Arial" w:hAnsi="Arial"/>
          <w:sz w:val="18"/>
          <w:szCs w:val="18"/>
          <w:i w:val="1"/>
          <w:iCs w:val="1"/>
          <w:color w:val="222222"/>
        </w:rPr>
        <w:t xml:space="preserve"> months ended </w:t>
      </w:r>
      <w:r>
        <w:rPr>
          <w:rFonts w:ascii="Arial" w:cs="Arial" w:eastAsia="Arial" w:hAnsi="Arial"/>
          <w:sz w:val="18"/>
          <w:szCs w:val="18"/>
          <w:i w:val="1"/>
          <w:iCs w:val="1"/>
          <w:color w:val="000000"/>
        </w:rPr>
        <w:t>June 30, 2023 compared with the six months ended June 30, 2022</w:t>
      </w:r>
    </w:p>
    <w:p>
      <w:pPr>
        <w:spacing w:after="0" w:line="63" w:lineRule="exact"/>
        <w:rPr>
          <w:sz w:val="20"/>
          <w:szCs w:val="20"/>
          <w:color w:val="auto"/>
        </w:rPr>
      </w:pPr>
    </w:p>
    <w:p>
      <w:pPr>
        <w:ind w:left="260" w:hanging="171"/>
        <w:spacing w:after="0"/>
        <w:tabs>
          <w:tab w:leader="none" w:pos="260" w:val="left"/>
        </w:tabs>
        <w:numPr>
          <w:ilvl w:val="0"/>
          <w:numId w:val="6"/>
        </w:numPr>
        <w:rPr>
          <w:rFonts w:ascii="Arial" w:cs="Arial" w:eastAsia="Arial" w:hAnsi="Arial"/>
          <w:sz w:val="18"/>
          <w:szCs w:val="18"/>
          <w:color w:val="222222"/>
        </w:rPr>
      </w:pPr>
      <w:r>
        <w:rPr>
          <w:rFonts w:ascii="Arial" w:cs="Arial" w:eastAsia="Arial" w:hAnsi="Arial"/>
          <w:sz w:val="18"/>
          <w:szCs w:val="18"/>
          <w:color w:val="222222"/>
        </w:rPr>
        <w:t>Revenues were $1.0 billion compared with $0.9 billion in 2022, an increase of $0.1 billion, or 14%</w:t>
      </w:r>
    </w:p>
    <w:p>
      <w:pPr>
        <w:spacing w:after="0" w:line="63" w:lineRule="exact"/>
        <w:rPr>
          <w:rFonts w:ascii="Arial" w:cs="Arial" w:eastAsia="Arial" w:hAnsi="Arial"/>
          <w:sz w:val="18"/>
          <w:szCs w:val="18"/>
          <w:color w:val="222222"/>
        </w:rPr>
      </w:pPr>
    </w:p>
    <w:p>
      <w:pPr>
        <w:ind w:left="260" w:hanging="171"/>
        <w:spacing w:after="0"/>
        <w:tabs>
          <w:tab w:leader="none" w:pos="260" w:val="left"/>
        </w:tabs>
        <w:numPr>
          <w:ilvl w:val="0"/>
          <w:numId w:val="6"/>
        </w:numPr>
        <w:rPr>
          <w:rFonts w:ascii="Arial" w:cs="Arial" w:eastAsia="Arial" w:hAnsi="Arial"/>
          <w:sz w:val="18"/>
          <w:szCs w:val="18"/>
          <w:color w:val="222222"/>
        </w:rPr>
      </w:pPr>
      <w:r>
        <w:rPr>
          <w:rFonts w:ascii="Arial" w:cs="Arial" w:eastAsia="Arial" w:hAnsi="Arial"/>
          <w:sz w:val="18"/>
          <w:szCs w:val="18"/>
          <w:color w:val="222222"/>
        </w:rPr>
        <w:t>Gross margin was 31.9% compared with 28.8% in 2022</w:t>
      </w:r>
    </w:p>
    <w:p>
      <w:pPr>
        <w:spacing w:after="0" w:line="63" w:lineRule="exact"/>
        <w:rPr>
          <w:rFonts w:ascii="Arial" w:cs="Arial" w:eastAsia="Arial" w:hAnsi="Arial"/>
          <w:sz w:val="18"/>
          <w:szCs w:val="18"/>
          <w:color w:val="222222"/>
        </w:rPr>
      </w:pPr>
    </w:p>
    <w:p>
      <w:pPr>
        <w:ind w:left="260" w:hanging="171"/>
        <w:spacing w:after="0"/>
        <w:tabs>
          <w:tab w:leader="none" w:pos="260" w:val="left"/>
        </w:tabs>
        <w:numPr>
          <w:ilvl w:val="0"/>
          <w:numId w:val="6"/>
        </w:numPr>
        <w:rPr>
          <w:rFonts w:ascii="Arial" w:cs="Arial" w:eastAsia="Arial" w:hAnsi="Arial"/>
          <w:sz w:val="18"/>
          <w:szCs w:val="18"/>
          <w:color w:val="222222"/>
        </w:rPr>
      </w:pPr>
      <w:r>
        <w:rPr>
          <w:rFonts w:ascii="Arial" w:cs="Arial" w:eastAsia="Arial" w:hAnsi="Arial"/>
          <w:sz w:val="18"/>
          <w:szCs w:val="18"/>
          <w:color w:val="222222"/>
        </w:rPr>
        <w:t>Operating expenses increased $17.6 million, or 6%, compared with 2022</w:t>
      </w:r>
    </w:p>
    <w:p>
      <w:pPr>
        <w:spacing w:after="0" w:line="63" w:lineRule="exact"/>
        <w:rPr>
          <w:rFonts w:ascii="Arial" w:cs="Arial" w:eastAsia="Arial" w:hAnsi="Arial"/>
          <w:sz w:val="18"/>
          <w:szCs w:val="18"/>
          <w:color w:val="222222"/>
        </w:rPr>
      </w:pPr>
    </w:p>
    <w:p>
      <w:pPr>
        <w:ind w:left="260" w:hanging="171"/>
        <w:spacing w:after="0"/>
        <w:tabs>
          <w:tab w:leader="none" w:pos="260" w:val="left"/>
        </w:tabs>
        <w:numPr>
          <w:ilvl w:val="0"/>
          <w:numId w:val="6"/>
        </w:numPr>
        <w:rPr>
          <w:rFonts w:ascii="Arial" w:cs="Arial" w:eastAsia="Arial" w:hAnsi="Arial"/>
          <w:sz w:val="18"/>
          <w:szCs w:val="18"/>
          <w:color w:val="222222"/>
        </w:rPr>
      </w:pPr>
      <w:r>
        <w:rPr>
          <w:rFonts w:ascii="Arial" w:cs="Arial" w:eastAsia="Arial" w:hAnsi="Arial"/>
          <w:sz w:val="18"/>
          <w:szCs w:val="18"/>
          <w:color w:val="auto"/>
        </w:rPr>
        <w:t xml:space="preserve">Net income attributable to Itron, Inc. was $12.4 million compared with net loss of $36.1 million in </w:t>
      </w:r>
      <w:r>
        <w:rPr>
          <w:rFonts w:ascii="Arial" w:cs="Arial" w:eastAsia="Arial" w:hAnsi="Arial"/>
          <w:sz w:val="18"/>
          <w:szCs w:val="18"/>
          <w:color w:val="222222"/>
        </w:rPr>
        <w:t>2022</w:t>
      </w:r>
    </w:p>
    <w:p>
      <w:pPr>
        <w:spacing w:after="0" w:line="63" w:lineRule="exact"/>
        <w:rPr>
          <w:rFonts w:ascii="Arial" w:cs="Arial" w:eastAsia="Arial" w:hAnsi="Arial"/>
          <w:sz w:val="18"/>
          <w:szCs w:val="18"/>
          <w:color w:val="222222"/>
        </w:rPr>
      </w:pPr>
    </w:p>
    <w:p>
      <w:pPr>
        <w:ind w:left="260" w:hanging="171"/>
        <w:spacing w:after="0"/>
        <w:tabs>
          <w:tab w:leader="none" w:pos="260" w:val="left"/>
        </w:tabs>
        <w:numPr>
          <w:ilvl w:val="0"/>
          <w:numId w:val="6"/>
        </w:numPr>
        <w:rPr>
          <w:rFonts w:ascii="Arial" w:cs="Arial" w:eastAsia="Arial" w:hAnsi="Arial"/>
          <w:sz w:val="18"/>
          <w:szCs w:val="18"/>
          <w:color w:val="222222"/>
        </w:rPr>
      </w:pPr>
      <w:r>
        <w:rPr>
          <w:rFonts w:ascii="Arial" w:cs="Arial" w:eastAsia="Arial" w:hAnsi="Arial"/>
          <w:sz w:val="18"/>
          <w:szCs w:val="18"/>
          <w:color w:val="222222"/>
        </w:rPr>
        <w:t>GAAP diluted EPS increased by $1.07 to a diluted income per share of $0.27 in 2023</w:t>
      </w:r>
    </w:p>
    <w:p>
      <w:pPr>
        <w:spacing w:after="0" w:line="63" w:lineRule="exact"/>
        <w:rPr>
          <w:rFonts w:ascii="Arial" w:cs="Arial" w:eastAsia="Arial" w:hAnsi="Arial"/>
          <w:sz w:val="18"/>
          <w:szCs w:val="18"/>
          <w:color w:val="222222"/>
        </w:rPr>
      </w:pPr>
    </w:p>
    <w:p>
      <w:pPr>
        <w:ind w:left="260" w:hanging="171"/>
        <w:spacing w:after="0"/>
        <w:tabs>
          <w:tab w:leader="none" w:pos="260" w:val="left"/>
        </w:tabs>
        <w:numPr>
          <w:ilvl w:val="0"/>
          <w:numId w:val="6"/>
        </w:numPr>
        <w:rPr>
          <w:rFonts w:ascii="Arial" w:cs="Arial" w:eastAsia="Arial" w:hAnsi="Arial"/>
          <w:sz w:val="18"/>
          <w:szCs w:val="18"/>
          <w:color w:val="222222"/>
        </w:rPr>
      </w:pPr>
      <w:r>
        <w:rPr>
          <w:rFonts w:ascii="Arial" w:cs="Arial" w:eastAsia="Arial" w:hAnsi="Arial"/>
          <w:sz w:val="18"/>
          <w:szCs w:val="18"/>
          <w:color w:val="222222"/>
        </w:rPr>
        <w:t xml:space="preserve">Non-GAAP net income attributable to Itron, Inc. was </w:t>
      </w:r>
      <w:r>
        <w:rPr>
          <w:rFonts w:ascii="Arial" w:cs="Arial" w:eastAsia="Arial" w:hAnsi="Arial"/>
          <w:sz w:val="18"/>
          <w:szCs w:val="18"/>
          <w:color w:val="000000"/>
        </w:rPr>
        <w:t>$52.2 million</w:t>
      </w:r>
      <w:r>
        <w:rPr>
          <w:rFonts w:ascii="Arial" w:cs="Arial" w:eastAsia="Arial" w:hAnsi="Arial"/>
          <w:sz w:val="18"/>
          <w:szCs w:val="18"/>
          <w:color w:val="222222"/>
        </w:rPr>
        <w:t xml:space="preserve"> compared with </w:t>
      </w:r>
      <w:r>
        <w:rPr>
          <w:rFonts w:ascii="Arial" w:cs="Arial" w:eastAsia="Arial" w:hAnsi="Arial"/>
          <w:sz w:val="18"/>
          <w:szCs w:val="18"/>
          <w:color w:val="000000"/>
        </w:rPr>
        <w:t>$8.3 million</w:t>
      </w:r>
      <w:r>
        <w:rPr>
          <w:rFonts w:ascii="Arial" w:cs="Arial" w:eastAsia="Arial" w:hAnsi="Arial"/>
          <w:sz w:val="18"/>
          <w:szCs w:val="18"/>
          <w:color w:val="222222"/>
        </w:rPr>
        <w:t xml:space="preserve"> in 2022</w:t>
      </w:r>
    </w:p>
    <w:p>
      <w:pPr>
        <w:spacing w:after="0" w:line="63" w:lineRule="exact"/>
        <w:rPr>
          <w:rFonts w:ascii="Arial" w:cs="Arial" w:eastAsia="Arial" w:hAnsi="Arial"/>
          <w:sz w:val="18"/>
          <w:szCs w:val="18"/>
          <w:color w:val="222222"/>
        </w:rPr>
      </w:pPr>
    </w:p>
    <w:p>
      <w:pPr>
        <w:ind w:left="260" w:hanging="171"/>
        <w:spacing w:after="0"/>
        <w:tabs>
          <w:tab w:leader="none" w:pos="260" w:val="left"/>
        </w:tabs>
        <w:numPr>
          <w:ilvl w:val="0"/>
          <w:numId w:val="6"/>
        </w:numPr>
        <w:rPr>
          <w:rFonts w:ascii="Arial" w:cs="Arial" w:eastAsia="Arial" w:hAnsi="Arial"/>
          <w:sz w:val="18"/>
          <w:szCs w:val="18"/>
          <w:color w:val="222222"/>
        </w:rPr>
      </w:pPr>
      <w:r>
        <w:rPr>
          <w:rFonts w:ascii="Arial" w:cs="Arial" w:eastAsia="Arial" w:hAnsi="Arial"/>
          <w:sz w:val="18"/>
          <w:szCs w:val="18"/>
          <w:color w:val="222222"/>
        </w:rPr>
        <w:t>Non-GAAP diluted EPS was $1.14, an increase of $0.96 compared with 2022</w:t>
      </w:r>
    </w:p>
    <w:p>
      <w:pPr>
        <w:spacing w:after="0" w:line="63" w:lineRule="exact"/>
        <w:rPr>
          <w:rFonts w:ascii="Arial" w:cs="Arial" w:eastAsia="Arial" w:hAnsi="Arial"/>
          <w:sz w:val="18"/>
          <w:szCs w:val="18"/>
          <w:color w:val="222222"/>
        </w:rPr>
      </w:pPr>
    </w:p>
    <w:p>
      <w:pPr>
        <w:ind w:left="260" w:hanging="171"/>
        <w:spacing w:after="0"/>
        <w:tabs>
          <w:tab w:leader="none" w:pos="260" w:val="left"/>
        </w:tabs>
        <w:numPr>
          <w:ilvl w:val="0"/>
          <w:numId w:val="6"/>
        </w:numPr>
        <w:rPr>
          <w:rFonts w:ascii="Arial" w:cs="Arial" w:eastAsia="Arial" w:hAnsi="Arial"/>
          <w:sz w:val="18"/>
          <w:szCs w:val="18"/>
          <w:color w:val="222222"/>
        </w:rPr>
      </w:pPr>
      <w:r>
        <w:rPr>
          <w:rFonts w:ascii="Arial" w:cs="Arial" w:eastAsia="Arial" w:hAnsi="Arial"/>
          <w:sz w:val="18"/>
          <w:szCs w:val="18"/>
          <w:color w:val="auto"/>
        </w:rPr>
        <w:t xml:space="preserve">Adjusted EBITDA was $88.8 million compared with $36.4 million in </w:t>
      </w:r>
      <w:r>
        <w:rPr>
          <w:rFonts w:ascii="Arial" w:cs="Arial" w:eastAsia="Arial" w:hAnsi="Arial"/>
          <w:sz w:val="18"/>
          <w:szCs w:val="18"/>
          <w:color w:val="222222"/>
        </w:rPr>
        <w:t>2022</w:t>
      </w:r>
    </w:p>
    <w:p>
      <w:pPr>
        <w:spacing w:after="0" w:line="29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Stock Repurchase Authorization</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Effective May 11, 2023, the Board of Directors of Itron, Inc. (Itron) authorized a new share repurchase program of up to $100 million of Itron's common stock over an 18-month period. Repurchases will be made in the open market and pursuant to the terms of any Rule 10b5-1 plans that Itron may enter into, and in accordance with applicable securities laws. The repurchase program is intended to comply with Rule 10b-18 promulgated under the Securities Exchange Act of 1934, as amended. Depending on market conditions and other factors, these repurchases may be commenced or suspended from time to time without prior notice.</w:t>
      </w:r>
    </w:p>
    <w:p>
      <w:pPr>
        <w:spacing w:after="0" w:line="20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2023 Restructuring Projects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February 23, 2023, the Board of Directors of Itron approved a restructuring plan (the 2023 Projects). The 2023 Projects include activities that continue the Company's efforts to optimize its global supply chain and manufacturing operations, sales and marketing organizations, and other overhead. These projects are to be substantially complete by early 2025. Itron estimates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pre-tax restructuring charges of $44.7 million. Of the total estimated charge, approximately 95% will result in cash expenditures, and the remainder to non-cash impairment charges. The majority of the expense were recognized during the first quarter of 2023. Once the 2023 Projects are substantially completed, Itron estimates $14-17 million in annualized savings. Certain of Itron's employees are represented by unions or works councils, which requires consultation, and potential restructuring projects may be subject to regulatory approval, both of which could impact the timing of planned savings in certain jurisdictions.</w:t>
      </w:r>
    </w:p>
    <w:p>
      <w:pPr>
        <w:spacing w:after="0" w:line="21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Global Geopolitical and Economic Supply Chain Risk</w:t>
      </w:r>
    </w:p>
    <w:p>
      <w:pPr>
        <w:spacing w:after="0" w:line="2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Global economic impacts, such as the COVID-19 pandemic and the Ukraine conflict, may create disruption in customer demand and global supply chains, resulting in market volatility, which our management continues to monitor. In the aftermath of these types of events global supply chains struggle to keep pace with rapidly changing demand. While recently improving from 2022 levels, our ability to obtain adequate supply of semiconductor components has impacted our ability to service customer demand. Temporal imbalance in supply and demand creates business uncertainties that include costs and availability. Efforts continue with suppliers to increase supply, including the approval of alternate sources. Recently, inflation in our raw materials and component costs, freight charges, and labor costs have increased above historical levels, due to, among other things, the continuing impacts of the uncertain economic environment. We may or may not be able to fully recover these increased costs through pricing actions with our customers. Currently, we have not identified any significant decrease in long-term customer demand for our products and services. Certain of our customer projects have experienced delays in deliveries, with revenues originally forecasted in prior periods shifting to future periods. For more information on risks associated with the pandemic and supply chain challenges, please see our risk in Part I, Item 1A, Risk Factors in our 2022 Annual Report.</w:t>
      </w:r>
    </w:p>
    <w:p>
      <w:pPr>
        <w:spacing w:after="0" w:line="19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While we have limited direct business exposure in areas with current conflict, such as Russia, Belarus, and Ukraine, military actions globally and any resulting sanctions could adversely affect the global economy, as well as further disrupt the supply chain. A major disruption in the global economy and supply chain could have a material adverse effect on our business, prospects, financial condition, results of operations, and cash flows. The extent and duration of the military action, sanctions, and resulting market and/or supply disruptions are impossible to predict, but could be substantial, and our management continues to monitor these events closely.</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Company GAAP and Non-GAAP Highlights and Endpoints Under Management:</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380" w:type="dxa"/>
            <w:vAlign w:val="bottom"/>
            <w:tcBorders>
              <w:bottom w:val="single" w:sz="8" w:color="auto"/>
            </w:tcBorders>
            <w:gridSpan w:val="6"/>
          </w:tcPr>
          <w:p>
            <w:pPr>
              <w:ind w:left="520"/>
              <w:spacing w:after="0"/>
              <w:rPr>
                <w:sz w:val="20"/>
                <w:szCs w:val="20"/>
                <w:color w:val="auto"/>
              </w:rPr>
            </w:pPr>
            <w:r>
              <w:rPr>
                <w:rFonts w:ascii="Arial" w:cs="Arial" w:eastAsia="Arial" w:hAnsi="Arial"/>
                <w:sz w:val="16"/>
                <w:szCs w:val="16"/>
                <w:b w:val="1"/>
                <w:bCs w:val="1"/>
                <w:color w:val="auto"/>
              </w:rPr>
              <w:t>Three Months Ended June 30,</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440" w:type="dxa"/>
            <w:vAlign w:val="bottom"/>
            <w:tcBorders>
              <w:bottom w:val="single" w:sz="8" w:color="auto"/>
            </w:tcBorders>
            <w:gridSpan w:val="6"/>
          </w:tcPr>
          <w:p>
            <w:pPr>
              <w:ind w:left="660"/>
              <w:spacing w:after="0"/>
              <w:rPr>
                <w:sz w:val="20"/>
                <w:szCs w:val="20"/>
                <w:color w:val="auto"/>
              </w:rPr>
            </w:pPr>
            <w:r>
              <w:rPr>
                <w:rFonts w:ascii="Arial" w:cs="Arial" w:eastAsia="Arial" w:hAnsi="Arial"/>
                <w:sz w:val="16"/>
                <w:szCs w:val="16"/>
                <w:b w:val="1"/>
                <w:bCs w:val="1"/>
                <w:color w:val="auto"/>
              </w:rPr>
              <w:t>Six Months Ended June 30,</w:t>
            </w:r>
          </w:p>
        </w:tc>
      </w:tr>
      <w:tr>
        <w:trPr>
          <w:trHeight w:val="213"/>
        </w:trPr>
        <w:tc>
          <w:tcPr>
            <w:tcW w:w="20" w:type="dxa"/>
            <w:vAlign w:val="bottom"/>
            <w:tcBorders>
              <w:bottom w:val="single" w:sz="8" w:color="auto"/>
            </w:tcBorders>
          </w:tcPr>
          <w:p>
            <w:pPr>
              <w:spacing w:after="0"/>
              <w:rPr>
                <w:sz w:val="18"/>
                <w:szCs w:val="18"/>
                <w:color w:val="auto"/>
              </w:rPr>
            </w:pPr>
          </w:p>
        </w:tc>
        <w:tc>
          <w:tcPr>
            <w:tcW w:w="3780" w:type="dxa"/>
            <w:vAlign w:val="bottom"/>
            <w:tcBorders>
              <w:bottom w:val="single" w:sz="8" w:color="auto"/>
            </w:tcBorders>
            <w:gridSpan w:val="5"/>
          </w:tcPr>
          <w:p>
            <w:pPr>
              <w:spacing w:after="0"/>
              <w:rPr>
                <w:sz w:val="20"/>
                <w:szCs w:val="20"/>
                <w:color w:val="auto"/>
              </w:rPr>
            </w:pPr>
            <w:r>
              <w:rPr>
                <w:rFonts w:ascii="Arial" w:cs="Arial" w:eastAsia="Arial" w:hAnsi="Arial"/>
                <w:sz w:val="16"/>
                <w:szCs w:val="16"/>
                <w:i w:val="1"/>
                <w:iCs w:val="1"/>
                <w:color w:val="auto"/>
              </w:rPr>
              <w:t>In thousands, except margin and per share data</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 Change</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 Change</w:t>
            </w:r>
          </w:p>
        </w:tc>
      </w:tr>
      <w:tr>
        <w:trPr>
          <w:trHeight w:val="172"/>
        </w:trPr>
        <w:tc>
          <w:tcPr>
            <w:tcW w:w="20" w:type="dxa"/>
            <w:vAlign w:val="bottom"/>
          </w:tcPr>
          <w:p>
            <w:pPr>
              <w:spacing w:after="0"/>
              <w:rPr>
                <w:sz w:val="14"/>
                <w:szCs w:val="14"/>
                <w:color w:val="auto"/>
              </w:rPr>
            </w:pPr>
          </w:p>
        </w:tc>
        <w:tc>
          <w:tcPr>
            <w:tcW w:w="3780" w:type="dxa"/>
            <w:vAlign w:val="bottom"/>
            <w:gridSpan w:val="5"/>
          </w:tcPr>
          <w:p>
            <w:pPr>
              <w:spacing w:after="0" w:line="172" w:lineRule="exact"/>
              <w:rPr>
                <w:sz w:val="20"/>
                <w:szCs w:val="20"/>
                <w:color w:val="auto"/>
              </w:rPr>
            </w:pPr>
            <w:r>
              <w:rPr>
                <w:rFonts w:ascii="Arial" w:cs="Arial" w:eastAsia="Arial" w:hAnsi="Arial"/>
                <w:sz w:val="16"/>
                <w:szCs w:val="16"/>
                <w:b w:val="1"/>
                <w:bCs w:val="1"/>
                <w:color w:val="auto"/>
              </w:rPr>
              <w:t>GAAP</w:t>
            </w: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33"/>
        </w:trPr>
        <w:tc>
          <w:tcPr>
            <w:tcW w:w="20" w:type="dxa"/>
            <w:vAlign w:val="bottom"/>
          </w:tcPr>
          <w:p>
            <w:pPr>
              <w:spacing w:after="0"/>
              <w:rPr>
                <w:sz w:val="20"/>
                <w:szCs w:val="20"/>
                <w:color w:val="auto"/>
              </w:rPr>
            </w:pPr>
          </w:p>
        </w:tc>
        <w:tc>
          <w:tcPr>
            <w:tcW w:w="3780" w:type="dxa"/>
            <w:vAlign w:val="bottom"/>
            <w:gridSpan w:val="5"/>
          </w:tcPr>
          <w:p>
            <w:pPr>
              <w:spacing w:after="0"/>
              <w:rPr>
                <w:sz w:val="20"/>
                <w:szCs w:val="20"/>
                <w:color w:val="auto"/>
              </w:rPr>
            </w:pPr>
            <w:r>
              <w:rPr>
                <w:rFonts w:ascii="Arial" w:cs="Arial" w:eastAsia="Arial" w:hAnsi="Arial"/>
                <w:sz w:val="16"/>
                <w:szCs w:val="16"/>
                <w:color w:val="auto"/>
              </w:rPr>
              <w:t>Revenues</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19"/>
        </w:trPr>
        <w:tc>
          <w:tcPr>
            <w:tcW w:w="20" w:type="dxa"/>
            <w:vAlign w:val="bottom"/>
            <w:shd w:val="clear" w:color="auto" w:fill="CCEEFF"/>
          </w:tcPr>
          <w:p>
            <w:pPr>
              <w:spacing w:after="0"/>
              <w:rPr>
                <w:sz w:val="19"/>
                <w:szCs w:val="19"/>
                <w:color w:val="auto"/>
              </w:rPr>
            </w:pPr>
          </w:p>
        </w:tc>
        <w:tc>
          <w:tcPr>
            <w:tcW w:w="3780" w:type="dxa"/>
            <w:vAlign w:val="bottom"/>
            <w:gridSpan w:val="5"/>
            <w:shd w:val="clear" w:color="auto" w:fill="CCEEFF"/>
          </w:tcPr>
          <w:p>
            <w:pPr>
              <w:ind w:left="200"/>
              <w:spacing w:after="0"/>
              <w:rPr>
                <w:sz w:val="20"/>
                <w:szCs w:val="20"/>
                <w:color w:val="auto"/>
              </w:rPr>
            </w:pPr>
            <w:r>
              <w:rPr>
                <w:rFonts w:ascii="Arial" w:cs="Arial" w:eastAsia="Arial" w:hAnsi="Arial"/>
                <w:sz w:val="16"/>
                <w:szCs w:val="16"/>
                <w:color w:val="auto"/>
              </w:rPr>
              <w:t>Product revenues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464,803</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359,898</w:t>
            </w:r>
          </w:p>
        </w:tc>
        <w:tc>
          <w:tcPr>
            <w:tcW w:w="118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3"/>
              </w:rPr>
              <w:t>29%</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881,127</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759,708</w:t>
            </w:r>
          </w:p>
        </w:tc>
        <w:tc>
          <w:tcPr>
            <w:tcW w:w="118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3"/>
              </w:rPr>
              <w:t>16%</w:t>
            </w:r>
          </w:p>
        </w:tc>
      </w:tr>
      <w:tr>
        <w:trPr>
          <w:trHeight w:val="213"/>
        </w:trPr>
        <w:tc>
          <w:tcPr>
            <w:tcW w:w="20" w:type="dxa"/>
            <w:vAlign w:val="bottom"/>
            <w:tcBorders>
              <w:bottom w:val="single" w:sz="8" w:color="CCEEFF"/>
            </w:tcBorders>
          </w:tcPr>
          <w:p>
            <w:pPr>
              <w:spacing w:after="0"/>
              <w:rPr>
                <w:sz w:val="18"/>
                <w:szCs w:val="18"/>
                <w:color w:val="auto"/>
              </w:rPr>
            </w:pPr>
          </w:p>
        </w:tc>
        <w:tc>
          <w:tcPr>
            <w:tcW w:w="3780" w:type="dxa"/>
            <w:vAlign w:val="bottom"/>
            <w:tcBorders>
              <w:bottom w:val="single" w:sz="8" w:color="CCEEFF"/>
            </w:tcBorders>
            <w:gridSpan w:val="5"/>
          </w:tcPr>
          <w:p>
            <w:pPr>
              <w:ind w:left="200"/>
              <w:spacing w:after="0"/>
              <w:rPr>
                <w:sz w:val="20"/>
                <w:szCs w:val="20"/>
                <w:color w:val="auto"/>
              </w:rPr>
            </w:pPr>
            <w:r>
              <w:rPr>
                <w:rFonts w:ascii="Arial" w:cs="Arial" w:eastAsia="Arial" w:hAnsi="Arial"/>
                <w:sz w:val="16"/>
                <w:szCs w:val="16"/>
                <w:color w:val="auto"/>
              </w:rPr>
              <w:t>Service revenues</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76,267</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71,984</w:t>
            </w:r>
          </w:p>
        </w:tc>
        <w:tc>
          <w:tcPr>
            <w:tcW w:w="1180" w:type="dxa"/>
            <w:vAlign w:val="bottom"/>
            <w:tcBorders>
              <w:bottom w:val="single" w:sz="8" w:color="CCEEFF"/>
            </w:tcBorders>
            <w:gridSpan w:val="2"/>
          </w:tcPr>
          <w:p>
            <w:pPr>
              <w:jc w:val="center"/>
              <w:ind w:left="39"/>
              <w:spacing w:after="0"/>
              <w:rPr>
                <w:sz w:val="20"/>
                <w:szCs w:val="20"/>
                <w:color w:val="auto"/>
              </w:rPr>
            </w:pPr>
            <w:r>
              <w:rPr>
                <w:rFonts w:ascii="Arial" w:cs="Arial" w:eastAsia="Arial" w:hAnsi="Arial"/>
                <w:sz w:val="16"/>
                <w:szCs w:val="16"/>
                <w:color w:val="auto"/>
                <w:w w:val="94"/>
              </w:rPr>
              <w:t>6%</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154,561</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147,505</w:t>
            </w:r>
          </w:p>
        </w:tc>
        <w:tc>
          <w:tcPr>
            <w:tcW w:w="1180" w:type="dxa"/>
            <w:vAlign w:val="bottom"/>
            <w:tcBorders>
              <w:bottom w:val="single" w:sz="8" w:color="CCEEFF"/>
            </w:tcBorders>
            <w:gridSpan w:val="2"/>
          </w:tcPr>
          <w:p>
            <w:pPr>
              <w:jc w:val="center"/>
              <w:ind w:left="19"/>
              <w:spacing w:after="0"/>
              <w:rPr>
                <w:sz w:val="20"/>
                <w:szCs w:val="20"/>
                <w:color w:val="auto"/>
              </w:rPr>
            </w:pPr>
            <w:r>
              <w:rPr>
                <w:rFonts w:ascii="Arial" w:cs="Arial" w:eastAsia="Arial" w:hAnsi="Arial"/>
                <w:sz w:val="16"/>
                <w:szCs w:val="16"/>
                <w:color w:val="auto"/>
                <w:w w:val="86"/>
              </w:rPr>
              <w:t>5%</w:t>
            </w:r>
          </w:p>
        </w:tc>
      </w:tr>
      <w:tr>
        <w:trPr>
          <w:trHeight w:val="213"/>
        </w:trPr>
        <w:tc>
          <w:tcPr>
            <w:tcW w:w="20" w:type="dxa"/>
            <w:vAlign w:val="bottom"/>
            <w:shd w:val="clear" w:color="auto" w:fill="CCEEFF"/>
          </w:tcPr>
          <w:p>
            <w:pPr>
              <w:spacing w:after="0"/>
              <w:rPr>
                <w:sz w:val="18"/>
                <w:szCs w:val="18"/>
                <w:color w:val="auto"/>
              </w:rPr>
            </w:pPr>
          </w:p>
        </w:tc>
        <w:tc>
          <w:tcPr>
            <w:tcW w:w="3780" w:type="dxa"/>
            <w:vAlign w:val="bottom"/>
            <w:gridSpan w:val="5"/>
            <w:shd w:val="clear" w:color="auto" w:fill="CCEEFF"/>
          </w:tcPr>
          <w:p>
            <w:pPr>
              <w:ind w:left="460"/>
              <w:spacing w:after="0"/>
              <w:rPr>
                <w:sz w:val="20"/>
                <w:szCs w:val="20"/>
                <w:color w:val="auto"/>
              </w:rPr>
            </w:pPr>
            <w:r>
              <w:rPr>
                <w:rFonts w:ascii="Arial" w:cs="Arial" w:eastAsia="Arial" w:hAnsi="Arial"/>
                <w:sz w:val="16"/>
                <w:szCs w:val="16"/>
                <w:color w:val="auto"/>
              </w:rPr>
              <w:t>Total revenues</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541,070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431,882</w:t>
            </w:r>
          </w:p>
        </w:tc>
        <w:tc>
          <w:tcPr>
            <w:tcW w:w="118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3"/>
              </w:rPr>
              <w:t>25%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1,035,688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907,213</w:t>
            </w:r>
          </w:p>
        </w:tc>
        <w:tc>
          <w:tcPr>
            <w:tcW w:w="118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3"/>
              </w:rPr>
              <w:t>14%</w:t>
            </w:r>
          </w:p>
        </w:tc>
      </w:tr>
      <w:tr>
        <w:trPr>
          <w:trHeight w:val="243"/>
        </w:trPr>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16"/>
        </w:trPr>
        <w:tc>
          <w:tcPr>
            <w:tcW w:w="20" w:type="dxa"/>
            <w:vAlign w:val="bottom"/>
            <w:shd w:val="clear" w:color="auto" w:fill="CCEEFF"/>
          </w:tcPr>
          <w:p>
            <w:pPr>
              <w:spacing w:after="0"/>
              <w:rPr>
                <w:sz w:val="18"/>
                <w:szCs w:val="18"/>
                <w:color w:val="auto"/>
              </w:rPr>
            </w:pPr>
          </w:p>
        </w:tc>
        <w:tc>
          <w:tcPr>
            <w:tcW w:w="378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Gross profit</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173,947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126,105</w:t>
            </w:r>
          </w:p>
        </w:tc>
        <w:tc>
          <w:tcPr>
            <w:tcW w:w="118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3"/>
              </w:rPr>
              <w:t>38%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330,315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261,329</w:t>
            </w:r>
          </w:p>
        </w:tc>
        <w:tc>
          <w:tcPr>
            <w:tcW w:w="118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3"/>
              </w:rPr>
              <w:t>26%</w:t>
            </w:r>
          </w:p>
        </w:tc>
      </w:tr>
      <w:tr>
        <w:trPr>
          <w:trHeight w:val="213"/>
        </w:trPr>
        <w:tc>
          <w:tcPr>
            <w:tcW w:w="20" w:type="dxa"/>
            <w:vAlign w:val="bottom"/>
          </w:tcPr>
          <w:p>
            <w:pPr>
              <w:spacing w:after="0"/>
              <w:rPr>
                <w:sz w:val="18"/>
                <w:szCs w:val="18"/>
                <w:color w:val="auto"/>
              </w:rPr>
            </w:pPr>
          </w:p>
        </w:tc>
        <w:tc>
          <w:tcPr>
            <w:tcW w:w="3780" w:type="dxa"/>
            <w:vAlign w:val="bottom"/>
            <w:gridSpan w:val="5"/>
          </w:tcPr>
          <w:p>
            <w:pPr>
              <w:spacing w:after="0"/>
              <w:rPr>
                <w:sz w:val="20"/>
                <w:szCs w:val="20"/>
                <w:color w:val="auto"/>
              </w:rPr>
            </w:pPr>
            <w:r>
              <w:rPr>
                <w:rFonts w:ascii="Arial" w:cs="Arial" w:eastAsia="Arial" w:hAnsi="Arial"/>
                <w:sz w:val="16"/>
                <w:szCs w:val="16"/>
                <w:color w:val="auto"/>
              </w:rPr>
              <w:t>Operating expenses</w:t>
            </w:r>
          </w:p>
        </w:tc>
        <w:tc>
          <w:tcPr>
            <w:tcW w:w="280" w:type="dxa"/>
            <w:vAlign w:val="bottom"/>
          </w:tcPr>
          <w:p>
            <w:pPr>
              <w:spacing w:after="0"/>
              <w:rPr>
                <w:sz w:val="18"/>
                <w:szCs w:val="18"/>
                <w:color w:val="auto"/>
              </w:rPr>
            </w:pP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138,847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159,632</w:t>
            </w:r>
          </w:p>
        </w:tc>
        <w:tc>
          <w:tcPr>
            <w:tcW w:w="1180" w:type="dxa"/>
            <w:vAlign w:val="bottom"/>
            <w:gridSpan w:val="2"/>
          </w:tcPr>
          <w:p>
            <w:pPr>
              <w:jc w:val="center"/>
              <w:ind w:left="39"/>
              <w:spacing w:after="0"/>
              <w:rPr>
                <w:sz w:val="20"/>
                <w:szCs w:val="20"/>
                <w:color w:val="auto"/>
              </w:rPr>
            </w:pPr>
            <w:r>
              <w:rPr>
                <w:rFonts w:ascii="Arial" w:cs="Arial" w:eastAsia="Arial" w:hAnsi="Arial"/>
                <w:sz w:val="16"/>
                <w:szCs w:val="16"/>
                <w:color w:val="auto"/>
                <w:w w:val="98"/>
              </w:rPr>
              <w:t>(13)%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305,608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288,037</w:t>
            </w:r>
          </w:p>
        </w:tc>
        <w:tc>
          <w:tcPr>
            <w:tcW w:w="1180" w:type="dxa"/>
            <w:vAlign w:val="bottom"/>
            <w:gridSpan w:val="2"/>
          </w:tcPr>
          <w:p>
            <w:pPr>
              <w:jc w:val="center"/>
              <w:ind w:left="19"/>
              <w:spacing w:after="0"/>
              <w:rPr>
                <w:sz w:val="20"/>
                <w:szCs w:val="20"/>
                <w:color w:val="auto"/>
              </w:rPr>
            </w:pPr>
            <w:r>
              <w:rPr>
                <w:rFonts w:ascii="Arial" w:cs="Arial" w:eastAsia="Arial" w:hAnsi="Arial"/>
                <w:sz w:val="16"/>
                <w:szCs w:val="16"/>
                <w:color w:val="auto"/>
                <w:w w:val="86"/>
              </w:rPr>
              <w:t>6%</w:t>
            </w:r>
          </w:p>
        </w:tc>
      </w:tr>
      <w:tr>
        <w:trPr>
          <w:trHeight w:val="219"/>
        </w:trPr>
        <w:tc>
          <w:tcPr>
            <w:tcW w:w="20" w:type="dxa"/>
            <w:vAlign w:val="bottom"/>
            <w:shd w:val="clear" w:color="auto" w:fill="CCEEFF"/>
          </w:tcPr>
          <w:p>
            <w:pPr>
              <w:spacing w:after="0"/>
              <w:rPr>
                <w:sz w:val="19"/>
                <w:szCs w:val="19"/>
                <w:color w:val="auto"/>
              </w:rPr>
            </w:pPr>
          </w:p>
        </w:tc>
        <w:tc>
          <w:tcPr>
            <w:tcW w:w="378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Operating income (loss)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35,100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(33,527)</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NM</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24,707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(26,708)</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NM</w:t>
            </w:r>
          </w:p>
        </w:tc>
      </w:tr>
      <w:tr>
        <w:trPr>
          <w:trHeight w:val="213"/>
        </w:trPr>
        <w:tc>
          <w:tcPr>
            <w:tcW w:w="20" w:type="dxa"/>
            <w:vAlign w:val="bottom"/>
          </w:tcPr>
          <w:p>
            <w:pPr>
              <w:spacing w:after="0"/>
              <w:rPr>
                <w:sz w:val="18"/>
                <w:szCs w:val="18"/>
                <w:color w:val="auto"/>
              </w:rPr>
            </w:pPr>
          </w:p>
        </w:tc>
        <w:tc>
          <w:tcPr>
            <w:tcW w:w="3780" w:type="dxa"/>
            <w:vAlign w:val="bottom"/>
            <w:gridSpan w:val="5"/>
          </w:tcPr>
          <w:p>
            <w:pPr>
              <w:spacing w:after="0"/>
              <w:rPr>
                <w:sz w:val="20"/>
                <w:szCs w:val="20"/>
                <w:color w:val="auto"/>
              </w:rPr>
            </w:pPr>
            <w:r>
              <w:rPr>
                <w:rFonts w:ascii="Arial" w:cs="Arial" w:eastAsia="Arial" w:hAnsi="Arial"/>
                <w:sz w:val="16"/>
                <w:szCs w:val="16"/>
                <w:color w:val="auto"/>
              </w:rPr>
              <w:t>Other income (expense)</w:t>
            </w:r>
          </w:p>
        </w:tc>
        <w:tc>
          <w:tcPr>
            <w:tcW w:w="280" w:type="dxa"/>
            <w:vAlign w:val="bottom"/>
          </w:tcPr>
          <w:p>
            <w:pPr>
              <w:spacing w:after="0"/>
              <w:rPr>
                <w:sz w:val="18"/>
                <w:szCs w:val="18"/>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(802)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(2,697)</w:t>
            </w:r>
          </w:p>
        </w:tc>
        <w:tc>
          <w:tcPr>
            <w:tcW w:w="1180" w:type="dxa"/>
            <w:vAlign w:val="bottom"/>
            <w:gridSpan w:val="2"/>
          </w:tcPr>
          <w:p>
            <w:pPr>
              <w:jc w:val="center"/>
              <w:ind w:left="39"/>
              <w:spacing w:after="0"/>
              <w:rPr>
                <w:sz w:val="20"/>
                <w:szCs w:val="20"/>
                <w:color w:val="auto"/>
              </w:rPr>
            </w:pPr>
            <w:r>
              <w:rPr>
                <w:rFonts w:ascii="Arial" w:cs="Arial" w:eastAsia="Arial" w:hAnsi="Arial"/>
                <w:sz w:val="16"/>
                <w:szCs w:val="16"/>
                <w:color w:val="auto"/>
                <w:w w:val="98"/>
              </w:rPr>
              <w:t>(70)%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(2,516)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(4,761)</w:t>
            </w:r>
          </w:p>
        </w:tc>
        <w:tc>
          <w:tcPr>
            <w:tcW w:w="1180" w:type="dxa"/>
            <w:vAlign w:val="bottom"/>
            <w:gridSpan w:val="2"/>
          </w:tcPr>
          <w:p>
            <w:pPr>
              <w:jc w:val="center"/>
              <w:ind w:left="19"/>
              <w:spacing w:after="0"/>
              <w:rPr>
                <w:sz w:val="20"/>
                <w:szCs w:val="20"/>
                <w:color w:val="auto"/>
              </w:rPr>
            </w:pPr>
            <w:r>
              <w:rPr>
                <w:rFonts w:ascii="Arial" w:cs="Arial" w:eastAsia="Arial" w:hAnsi="Arial"/>
                <w:sz w:val="16"/>
                <w:szCs w:val="16"/>
                <w:color w:val="auto"/>
                <w:w w:val="93"/>
              </w:rPr>
              <w:t>(47)%</w:t>
            </w:r>
          </w:p>
        </w:tc>
      </w:tr>
      <w:tr>
        <w:trPr>
          <w:trHeight w:val="219"/>
        </w:trPr>
        <w:tc>
          <w:tcPr>
            <w:tcW w:w="20" w:type="dxa"/>
            <w:vAlign w:val="bottom"/>
            <w:shd w:val="clear" w:color="auto" w:fill="CCEEFF"/>
          </w:tcPr>
          <w:p>
            <w:pPr>
              <w:spacing w:after="0"/>
              <w:rPr>
                <w:sz w:val="19"/>
                <w:szCs w:val="19"/>
                <w:color w:val="auto"/>
              </w:rPr>
            </w:pPr>
          </w:p>
        </w:tc>
        <w:tc>
          <w:tcPr>
            <w:tcW w:w="378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Income tax provision</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(9,195)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(641)</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NM</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(9,125)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(4,500)</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NM</w:t>
            </w:r>
          </w:p>
        </w:tc>
      </w:tr>
      <w:tr>
        <w:trPr>
          <w:trHeight w:val="213"/>
        </w:trPr>
        <w:tc>
          <w:tcPr>
            <w:tcW w:w="20" w:type="dxa"/>
            <w:vAlign w:val="bottom"/>
          </w:tcPr>
          <w:p>
            <w:pPr>
              <w:spacing w:after="0"/>
              <w:rPr>
                <w:sz w:val="18"/>
                <w:szCs w:val="18"/>
                <w:color w:val="auto"/>
              </w:rPr>
            </w:pPr>
          </w:p>
        </w:tc>
        <w:tc>
          <w:tcPr>
            <w:tcW w:w="3780" w:type="dxa"/>
            <w:vAlign w:val="bottom"/>
            <w:gridSpan w:val="5"/>
          </w:tcPr>
          <w:p>
            <w:pPr>
              <w:spacing w:after="0"/>
              <w:rPr>
                <w:sz w:val="20"/>
                <w:szCs w:val="20"/>
                <w:color w:val="auto"/>
              </w:rPr>
            </w:pPr>
            <w:r>
              <w:rPr>
                <w:rFonts w:ascii="Arial" w:cs="Arial" w:eastAsia="Arial" w:hAnsi="Arial"/>
                <w:sz w:val="16"/>
                <w:szCs w:val="16"/>
                <w:color w:val="auto"/>
              </w:rPr>
              <w:t>Net income (loss) attributable to Itron, Inc.</w:t>
            </w:r>
          </w:p>
        </w:tc>
        <w:tc>
          <w:tcPr>
            <w:tcW w:w="280" w:type="dxa"/>
            <w:vAlign w:val="bottom"/>
          </w:tcPr>
          <w:p>
            <w:pPr>
              <w:spacing w:after="0"/>
              <w:rPr>
                <w:sz w:val="18"/>
                <w:szCs w:val="18"/>
                <w:color w:val="auto"/>
              </w:rPr>
            </w:pP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24,201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(36,967)</w:t>
            </w:r>
          </w:p>
        </w:tc>
        <w:tc>
          <w:tcPr>
            <w:tcW w:w="12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rPr>
              <w:t>NM</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12,365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(36,061)</w:t>
            </w:r>
          </w:p>
        </w:tc>
        <w:tc>
          <w:tcPr>
            <w:tcW w:w="1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rPr>
              <w:t>NM</w:t>
            </w:r>
          </w:p>
        </w:tc>
      </w:tr>
      <w:tr>
        <w:trPr>
          <w:trHeight w:val="259"/>
        </w:trPr>
        <w:tc>
          <w:tcPr>
            <w:tcW w:w="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r>
      <w:tr>
        <w:trPr>
          <w:trHeight w:val="176"/>
        </w:trPr>
        <w:tc>
          <w:tcPr>
            <w:tcW w:w="20" w:type="dxa"/>
            <w:vAlign w:val="bottom"/>
          </w:tcPr>
          <w:p>
            <w:pPr>
              <w:spacing w:after="0"/>
              <w:rPr>
                <w:sz w:val="15"/>
                <w:szCs w:val="15"/>
                <w:color w:val="auto"/>
              </w:rPr>
            </w:pPr>
          </w:p>
        </w:tc>
        <w:tc>
          <w:tcPr>
            <w:tcW w:w="3780" w:type="dxa"/>
            <w:vAlign w:val="bottom"/>
            <w:gridSpan w:val="5"/>
          </w:tcPr>
          <w:p>
            <w:pPr>
              <w:spacing w:after="0" w:line="176" w:lineRule="exact"/>
              <w:rPr>
                <w:sz w:val="20"/>
                <w:szCs w:val="20"/>
                <w:color w:val="auto"/>
              </w:rPr>
            </w:pPr>
            <w:r>
              <w:rPr>
                <w:rFonts w:ascii="Arial" w:cs="Arial" w:eastAsia="Arial" w:hAnsi="Arial"/>
                <w:sz w:val="15"/>
                <w:szCs w:val="15"/>
                <w:b w:val="1"/>
                <w:bCs w:val="1"/>
                <w:color w:val="auto"/>
              </w:rPr>
              <w:t>Non-GAAP</w:t>
            </w:r>
            <w:r>
              <w:rPr>
                <w:rFonts w:ascii="Arial" w:cs="Arial" w:eastAsia="Arial" w:hAnsi="Arial"/>
                <w:sz w:val="20"/>
                <w:szCs w:val="20"/>
                <w:b w:val="1"/>
                <w:bCs w:val="1"/>
                <w:color w:val="auto"/>
                <w:vertAlign w:val="superscript"/>
              </w:rPr>
              <w:t>(1)</w:t>
            </w: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78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Non-GAAP operating expenses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132,595</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117,068</w:t>
            </w:r>
          </w:p>
        </w:tc>
        <w:tc>
          <w:tcPr>
            <w:tcW w:w="118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3"/>
              </w:rPr>
              <w:t>13%</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257,636</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243,003</w:t>
            </w:r>
          </w:p>
        </w:tc>
        <w:tc>
          <w:tcPr>
            <w:tcW w:w="118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86"/>
              </w:rPr>
              <w:t>6%</w:t>
            </w:r>
          </w:p>
        </w:tc>
      </w:tr>
      <w:tr>
        <w:trPr>
          <w:trHeight w:val="213"/>
        </w:trPr>
        <w:tc>
          <w:tcPr>
            <w:tcW w:w="20" w:type="dxa"/>
            <w:vAlign w:val="bottom"/>
          </w:tcPr>
          <w:p>
            <w:pPr>
              <w:spacing w:after="0"/>
              <w:rPr>
                <w:sz w:val="18"/>
                <w:szCs w:val="18"/>
                <w:color w:val="auto"/>
              </w:rPr>
            </w:pPr>
          </w:p>
        </w:tc>
        <w:tc>
          <w:tcPr>
            <w:tcW w:w="3780" w:type="dxa"/>
            <w:vAlign w:val="bottom"/>
            <w:gridSpan w:val="5"/>
          </w:tcPr>
          <w:p>
            <w:pPr>
              <w:spacing w:after="0"/>
              <w:rPr>
                <w:sz w:val="20"/>
                <w:szCs w:val="20"/>
                <w:color w:val="auto"/>
              </w:rPr>
            </w:pPr>
            <w:r>
              <w:rPr>
                <w:rFonts w:ascii="Arial" w:cs="Arial" w:eastAsia="Arial" w:hAnsi="Arial"/>
                <w:sz w:val="16"/>
                <w:szCs w:val="16"/>
                <w:color w:val="auto"/>
              </w:rPr>
              <w:t>Non-GAAP operating income</w:t>
            </w:r>
          </w:p>
        </w:tc>
        <w:tc>
          <w:tcPr>
            <w:tcW w:w="280" w:type="dxa"/>
            <w:vAlign w:val="bottom"/>
          </w:tcPr>
          <w:p>
            <w:pPr>
              <w:spacing w:after="0"/>
              <w:rPr>
                <w:sz w:val="18"/>
                <w:szCs w:val="18"/>
                <w:color w:val="auto"/>
              </w:rPr>
            </w:pP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41,352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9,037</w:t>
            </w:r>
          </w:p>
        </w:tc>
        <w:tc>
          <w:tcPr>
            <w:tcW w:w="1180" w:type="dxa"/>
            <w:vAlign w:val="bottom"/>
            <w:gridSpan w:val="2"/>
          </w:tcPr>
          <w:p>
            <w:pPr>
              <w:jc w:val="center"/>
              <w:ind w:left="39"/>
              <w:spacing w:after="0"/>
              <w:rPr>
                <w:sz w:val="20"/>
                <w:szCs w:val="20"/>
                <w:color w:val="auto"/>
              </w:rPr>
            </w:pPr>
            <w:r>
              <w:rPr>
                <w:rFonts w:ascii="Arial" w:cs="Arial" w:eastAsia="Arial" w:hAnsi="Arial"/>
                <w:sz w:val="16"/>
                <w:szCs w:val="16"/>
                <w:color w:val="auto"/>
                <w:w w:val="92"/>
              </w:rPr>
              <w:t>358%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72,679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18,326</w:t>
            </w:r>
          </w:p>
        </w:tc>
        <w:tc>
          <w:tcPr>
            <w:tcW w:w="1180" w:type="dxa"/>
            <w:vAlign w:val="bottom"/>
            <w:gridSpan w:val="2"/>
          </w:tcPr>
          <w:p>
            <w:pPr>
              <w:jc w:val="center"/>
              <w:ind w:left="39"/>
              <w:spacing w:after="0"/>
              <w:rPr>
                <w:sz w:val="20"/>
                <w:szCs w:val="20"/>
                <w:color w:val="auto"/>
              </w:rPr>
            </w:pPr>
            <w:r>
              <w:rPr>
                <w:rFonts w:ascii="Arial" w:cs="Arial" w:eastAsia="Arial" w:hAnsi="Arial"/>
                <w:sz w:val="16"/>
                <w:szCs w:val="16"/>
                <w:color w:val="auto"/>
                <w:w w:val="92"/>
              </w:rPr>
              <w:t>297%</w:t>
            </w:r>
          </w:p>
        </w:tc>
      </w:tr>
      <w:tr>
        <w:trPr>
          <w:trHeight w:val="219"/>
        </w:trPr>
        <w:tc>
          <w:tcPr>
            <w:tcW w:w="20" w:type="dxa"/>
            <w:vAlign w:val="bottom"/>
            <w:shd w:val="clear" w:color="auto" w:fill="CCEEFF"/>
          </w:tcPr>
          <w:p>
            <w:pPr>
              <w:spacing w:after="0"/>
              <w:rPr>
                <w:sz w:val="19"/>
                <w:szCs w:val="19"/>
                <w:color w:val="auto"/>
              </w:rPr>
            </w:pPr>
          </w:p>
        </w:tc>
        <w:tc>
          <w:tcPr>
            <w:tcW w:w="378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Non-GAAP net income attributable to Itron, Inc.</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29,824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3,133</w:t>
            </w:r>
          </w:p>
        </w:tc>
        <w:tc>
          <w:tcPr>
            <w:tcW w:w="118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2"/>
              </w:rPr>
              <w:t>852%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52,206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8,304</w:t>
            </w:r>
          </w:p>
        </w:tc>
        <w:tc>
          <w:tcPr>
            <w:tcW w:w="118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2"/>
              </w:rPr>
              <w:t>529%</w:t>
            </w:r>
          </w:p>
        </w:tc>
      </w:tr>
      <w:tr>
        <w:trPr>
          <w:trHeight w:val="213"/>
        </w:trPr>
        <w:tc>
          <w:tcPr>
            <w:tcW w:w="20" w:type="dxa"/>
            <w:vAlign w:val="bottom"/>
          </w:tcPr>
          <w:p>
            <w:pPr>
              <w:spacing w:after="0"/>
              <w:rPr>
                <w:sz w:val="18"/>
                <w:szCs w:val="18"/>
                <w:color w:val="auto"/>
              </w:rPr>
            </w:pPr>
          </w:p>
        </w:tc>
        <w:tc>
          <w:tcPr>
            <w:tcW w:w="3780" w:type="dxa"/>
            <w:vAlign w:val="bottom"/>
            <w:gridSpan w:val="5"/>
          </w:tcPr>
          <w:p>
            <w:pPr>
              <w:spacing w:after="0"/>
              <w:rPr>
                <w:sz w:val="20"/>
                <w:szCs w:val="20"/>
                <w:color w:val="auto"/>
              </w:rPr>
            </w:pPr>
            <w:r>
              <w:rPr>
                <w:rFonts w:ascii="Arial" w:cs="Arial" w:eastAsia="Arial" w:hAnsi="Arial"/>
                <w:sz w:val="16"/>
                <w:szCs w:val="16"/>
                <w:color w:val="auto"/>
              </w:rPr>
              <w:t>Adjusted EBITDA</w:t>
            </w:r>
          </w:p>
        </w:tc>
        <w:tc>
          <w:tcPr>
            <w:tcW w:w="280" w:type="dxa"/>
            <w:vAlign w:val="bottom"/>
          </w:tcPr>
          <w:p>
            <w:pPr>
              <w:spacing w:after="0"/>
              <w:rPr>
                <w:sz w:val="18"/>
                <w:szCs w:val="18"/>
                <w:color w:val="auto"/>
              </w:rPr>
            </w:pP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49,300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17,478</w:t>
            </w:r>
          </w:p>
        </w:tc>
        <w:tc>
          <w:tcPr>
            <w:tcW w:w="1180" w:type="dxa"/>
            <w:vAlign w:val="bottom"/>
            <w:gridSpan w:val="2"/>
          </w:tcPr>
          <w:p>
            <w:pPr>
              <w:jc w:val="center"/>
              <w:ind w:left="39"/>
              <w:spacing w:after="0"/>
              <w:rPr>
                <w:sz w:val="20"/>
                <w:szCs w:val="20"/>
                <w:color w:val="auto"/>
              </w:rPr>
            </w:pPr>
            <w:r>
              <w:rPr>
                <w:rFonts w:ascii="Arial" w:cs="Arial" w:eastAsia="Arial" w:hAnsi="Arial"/>
                <w:sz w:val="16"/>
                <w:szCs w:val="16"/>
                <w:color w:val="auto"/>
                <w:w w:val="92"/>
              </w:rPr>
              <w:t>182%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88,768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36,372</w:t>
            </w:r>
          </w:p>
        </w:tc>
        <w:tc>
          <w:tcPr>
            <w:tcW w:w="1180" w:type="dxa"/>
            <w:vAlign w:val="bottom"/>
            <w:gridSpan w:val="2"/>
          </w:tcPr>
          <w:p>
            <w:pPr>
              <w:jc w:val="center"/>
              <w:ind w:left="39"/>
              <w:spacing w:after="0"/>
              <w:rPr>
                <w:sz w:val="20"/>
                <w:szCs w:val="20"/>
                <w:color w:val="auto"/>
              </w:rPr>
            </w:pPr>
            <w:r>
              <w:rPr>
                <w:rFonts w:ascii="Arial" w:cs="Arial" w:eastAsia="Arial" w:hAnsi="Arial"/>
                <w:sz w:val="16"/>
                <w:szCs w:val="16"/>
                <w:color w:val="auto"/>
                <w:w w:val="92"/>
              </w:rPr>
              <w:t>144%</w:t>
            </w:r>
          </w:p>
        </w:tc>
      </w:tr>
      <w:tr>
        <w:trPr>
          <w:trHeight w:val="246"/>
        </w:trPr>
        <w:tc>
          <w:tcPr>
            <w:tcW w:w="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r>
      <w:tr>
        <w:trPr>
          <w:trHeight w:val="175"/>
        </w:trPr>
        <w:tc>
          <w:tcPr>
            <w:tcW w:w="20" w:type="dxa"/>
            <w:vAlign w:val="bottom"/>
          </w:tcPr>
          <w:p>
            <w:pPr>
              <w:spacing w:after="0"/>
              <w:rPr>
                <w:sz w:val="15"/>
                <w:szCs w:val="15"/>
                <w:color w:val="auto"/>
              </w:rPr>
            </w:pPr>
          </w:p>
        </w:tc>
        <w:tc>
          <w:tcPr>
            <w:tcW w:w="3780" w:type="dxa"/>
            <w:vAlign w:val="bottom"/>
            <w:gridSpan w:val="5"/>
          </w:tcPr>
          <w:p>
            <w:pPr>
              <w:spacing w:after="0" w:line="175" w:lineRule="exact"/>
              <w:rPr>
                <w:sz w:val="20"/>
                <w:szCs w:val="20"/>
                <w:color w:val="auto"/>
              </w:rPr>
            </w:pPr>
            <w:r>
              <w:rPr>
                <w:rFonts w:ascii="Arial" w:cs="Arial" w:eastAsia="Arial" w:hAnsi="Arial"/>
                <w:sz w:val="16"/>
                <w:szCs w:val="16"/>
                <w:b w:val="1"/>
                <w:bCs w:val="1"/>
                <w:color w:val="auto"/>
              </w:rPr>
              <w:t>GAAP Margins and Earnings Per Share</w:t>
            </w: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140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78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Gross margin</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3780" w:type="dxa"/>
            <w:vAlign w:val="bottom"/>
            <w:gridSpan w:val="5"/>
          </w:tcPr>
          <w:p>
            <w:pPr>
              <w:ind w:left="200"/>
              <w:spacing w:after="0"/>
              <w:rPr>
                <w:sz w:val="20"/>
                <w:szCs w:val="20"/>
                <w:color w:val="auto"/>
              </w:rPr>
            </w:pPr>
            <w:r>
              <w:rPr>
                <w:rFonts w:ascii="Arial" w:cs="Arial" w:eastAsia="Arial" w:hAnsi="Arial"/>
                <w:sz w:val="16"/>
                <w:szCs w:val="16"/>
                <w:color w:val="auto"/>
              </w:rPr>
              <w:t>Product gross margin</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30.7 %</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26.3 %</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29.7 %</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26.3 %</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3780" w:type="dxa"/>
            <w:vAlign w:val="bottom"/>
            <w:gridSpan w:val="5"/>
            <w:shd w:val="clear" w:color="auto" w:fill="CCEEFF"/>
          </w:tcPr>
          <w:p>
            <w:pPr>
              <w:ind w:left="200"/>
              <w:spacing w:after="0"/>
              <w:rPr>
                <w:sz w:val="20"/>
                <w:szCs w:val="20"/>
                <w:color w:val="auto"/>
              </w:rPr>
            </w:pPr>
            <w:r>
              <w:rPr>
                <w:rFonts w:ascii="Arial" w:cs="Arial" w:eastAsia="Arial" w:hAnsi="Arial"/>
                <w:sz w:val="16"/>
                <w:szCs w:val="16"/>
                <w:color w:val="auto"/>
              </w:rPr>
              <w:t>Service gross margin</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43.7 %</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44.5 %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41.8 %</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3780" w:type="dxa"/>
            <w:vAlign w:val="bottom"/>
            <w:gridSpan w:val="5"/>
          </w:tcPr>
          <w:p>
            <w:pPr>
              <w:ind w:left="460"/>
              <w:spacing w:after="0"/>
              <w:rPr>
                <w:sz w:val="20"/>
                <w:szCs w:val="20"/>
                <w:color w:val="auto"/>
              </w:rPr>
            </w:pPr>
            <w:r>
              <w:rPr>
                <w:rFonts w:ascii="Arial" w:cs="Arial" w:eastAsia="Arial" w:hAnsi="Arial"/>
                <w:sz w:val="16"/>
                <w:szCs w:val="16"/>
                <w:color w:val="auto"/>
              </w:rPr>
              <w:t>Total gross margin</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32.1 %</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29.2 %</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31.9 %</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28.8 %</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60"/>
        </w:trPr>
        <w:tc>
          <w:tcPr>
            <w:tcW w:w="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r>
      <w:tr>
        <w:trPr>
          <w:trHeight w:val="213"/>
        </w:trPr>
        <w:tc>
          <w:tcPr>
            <w:tcW w:w="20" w:type="dxa"/>
            <w:vAlign w:val="bottom"/>
          </w:tcPr>
          <w:p>
            <w:pPr>
              <w:spacing w:after="0"/>
              <w:rPr>
                <w:sz w:val="18"/>
                <w:szCs w:val="18"/>
                <w:color w:val="auto"/>
              </w:rPr>
            </w:pPr>
          </w:p>
        </w:tc>
        <w:tc>
          <w:tcPr>
            <w:tcW w:w="3780" w:type="dxa"/>
            <w:vAlign w:val="bottom"/>
            <w:gridSpan w:val="5"/>
          </w:tcPr>
          <w:p>
            <w:pPr>
              <w:spacing w:after="0"/>
              <w:rPr>
                <w:sz w:val="20"/>
                <w:szCs w:val="20"/>
                <w:color w:val="auto"/>
              </w:rPr>
            </w:pPr>
            <w:r>
              <w:rPr>
                <w:rFonts w:ascii="Arial" w:cs="Arial" w:eastAsia="Arial" w:hAnsi="Arial"/>
                <w:sz w:val="16"/>
                <w:szCs w:val="16"/>
                <w:color w:val="auto"/>
              </w:rPr>
              <w:t>Operating margin</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6.5 %</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(7.8)%</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2.4 %</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378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Net income (loss) per common share - Basic</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0.53</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(0.82)</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0.27</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(0.80)</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3780" w:type="dxa"/>
            <w:vAlign w:val="bottom"/>
            <w:gridSpan w:val="5"/>
          </w:tcPr>
          <w:p>
            <w:pPr>
              <w:spacing w:after="0"/>
              <w:rPr>
                <w:sz w:val="20"/>
                <w:szCs w:val="20"/>
                <w:color w:val="auto"/>
              </w:rPr>
            </w:pPr>
            <w:r>
              <w:rPr>
                <w:rFonts w:ascii="Arial" w:cs="Arial" w:eastAsia="Arial" w:hAnsi="Arial"/>
                <w:sz w:val="16"/>
                <w:szCs w:val="16"/>
                <w:color w:val="auto"/>
              </w:rPr>
              <w:t>Net income (loss) per common share - Diluted</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0.53</w:t>
            </w: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(0.82)</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0.27</w:t>
            </w: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(0.80)</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73"/>
        </w:trPr>
        <w:tc>
          <w:tcPr>
            <w:tcW w:w="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r>
        <w:trPr>
          <w:trHeight w:val="175"/>
        </w:trPr>
        <w:tc>
          <w:tcPr>
            <w:tcW w:w="20" w:type="dxa"/>
            <w:vAlign w:val="bottom"/>
          </w:tcPr>
          <w:p>
            <w:pPr>
              <w:spacing w:after="0"/>
              <w:rPr>
                <w:sz w:val="15"/>
                <w:szCs w:val="15"/>
                <w:color w:val="auto"/>
              </w:rPr>
            </w:pPr>
          </w:p>
        </w:tc>
        <w:tc>
          <w:tcPr>
            <w:tcW w:w="3780" w:type="dxa"/>
            <w:vAlign w:val="bottom"/>
            <w:gridSpan w:val="5"/>
          </w:tcPr>
          <w:p>
            <w:pPr>
              <w:spacing w:after="0" w:line="176" w:lineRule="exact"/>
              <w:rPr>
                <w:sz w:val="20"/>
                <w:szCs w:val="20"/>
                <w:color w:val="auto"/>
              </w:rPr>
            </w:pPr>
            <w:r>
              <w:rPr>
                <w:rFonts w:ascii="Arial" w:cs="Arial" w:eastAsia="Arial" w:hAnsi="Arial"/>
                <w:sz w:val="15"/>
                <w:szCs w:val="15"/>
                <w:b w:val="1"/>
                <w:bCs w:val="1"/>
                <w:color w:val="auto"/>
              </w:rPr>
              <w:t>Non-GAAP Earnings Per Share</w:t>
            </w:r>
            <w:r>
              <w:rPr>
                <w:rFonts w:ascii="Arial" w:cs="Arial" w:eastAsia="Arial" w:hAnsi="Arial"/>
                <w:sz w:val="20"/>
                <w:szCs w:val="20"/>
                <w:b w:val="1"/>
                <w:bCs w:val="1"/>
                <w:color w:val="auto"/>
                <w:vertAlign w:val="superscript"/>
              </w:rPr>
              <w:t>(1)</w:t>
            </w: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1400" w:type="dxa"/>
            <w:vAlign w:val="bottom"/>
            <w:tcBorders>
              <w:top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78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Non-GAAP diluted EPS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0.65</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0.07</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1.14</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0.18</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bl>
    <w:p>
      <w:pPr>
        <w:spacing w:after="0" w:line="85" w:lineRule="exact"/>
        <w:rPr>
          <w:sz w:val="20"/>
          <w:szCs w:val="20"/>
          <w:color w:val="auto"/>
        </w:rPr>
      </w:pPr>
    </w:p>
    <w:p>
      <w:pPr>
        <w:ind w:left="340" w:hanging="332"/>
        <w:spacing w:after="0" w:line="223" w:lineRule="auto"/>
        <w:tabs>
          <w:tab w:leader="none" w:pos="340" w:val="left"/>
        </w:tabs>
        <w:numPr>
          <w:ilvl w:val="0"/>
          <w:numId w:val="7"/>
        </w:numPr>
        <w:rPr>
          <w:rFonts w:ascii="Arial" w:cs="Arial" w:eastAsia="Arial" w:hAnsi="Arial"/>
          <w:sz w:val="21"/>
          <w:szCs w:val="21"/>
          <w:color w:val="auto"/>
          <w:vertAlign w:val="superscript"/>
        </w:rPr>
      </w:pPr>
      <w:r>
        <w:rPr>
          <w:rFonts w:ascii="Arial" w:cs="Arial" w:eastAsia="Arial" w:hAnsi="Arial"/>
          <w:sz w:val="16"/>
          <w:szCs w:val="16"/>
          <w:color w:val="auto"/>
        </w:rPr>
        <w:t>These measures exclude certain expenses that we do not believe are indicative of our core operating results. See pages 41-44 for information about these non-GAAP measures and reconciliations to the most comparable GAAP measures.</w:t>
      </w:r>
    </w:p>
    <w:p>
      <w:pPr>
        <w:spacing w:after="0" w:line="23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Definition of an Endpoint Under Management</w:t>
      </w:r>
    </w:p>
    <w:p>
      <w:pPr>
        <w:spacing w:after="0" w:line="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An "endpoint under management" is a unique endpoint, or data from that endpoint, which Itron manages via our networked platform or a third party's platform that is connected to one or multiple types of endpoints. Itron's management of an endpoint occurs when on behalf of our client, we manage one or more of the physical endpoints, operating system, data, application, data analytics, and/or outcome deriving from this unique endpoint. Itron has the ability to monitor and/or manage endpoints or the data from the endpoints via Network-as-a-Service (NaaS), Software-as-a-Service (SaaS), and/or a licensed offering at a remote location designated by our client. Our offerings typically, but not exclusively, provide an Itron product or Itron certified partner product to our clients that has the capability of one-way communication or two-way communication of data that may include remote product configuration and upgradability. Examples of these offerings include our Temetra, OpenWay®, OpenWay® Riva and Gen X.</w:t>
      </w:r>
    </w:p>
    <w:p>
      <w:pPr>
        <w:spacing w:after="0" w:line="20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metric primarily includes Itron or third-party endpoints deployed within the electricity, water, and gas utility industries, as well as within cities and municipalities around the globe. Endpoints under management also include smart communication modules and network interface cards (NICs) within Itron's platforms. At times, these NICs are communicating modules that</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were sold separately from an Itron product directly to our customers or to third party manufacturers for use in endpoints such as electric, water, and gas meters; streetlights and other types of IIoT sensors and actuators; sensors and other capabilities that the end customer would like Itron to connect and manage on their behalf.</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"endpoint under management" metric only accounts for the specific, unique endpoint itself, though that endpoint may have multiple applications, services, outcomes, and higher margin recurring offerings associated with it. This metric does not reflect the multi-application value that can be derived from the individual endpoint itself. Additionally, this metric excludes those endpoints that are non-communicating, non-Itron system hardware component sales or licensed applications that Itron does not manage the unit or the data from that unit directly.</w:t>
      </w:r>
    </w:p>
    <w:p>
      <w:pPr>
        <w:spacing w:after="0" w:line="21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While the one-time sale of the platform and endpoints are primarily delivered via our Networked Solutions segment, our enhanced solutions, on-going monitoring, maintenance, software, analytics, and distributed intelligent applications are predominantly recognized in our Outcomes segment. We anticipate the opportunity to increase our penetration of Outcomes applications, software, and managed applications will increase as our endpoints under management increases. Management believes using the endpoints under management metric enhances insight to the strategic and operational direction of our Networked Solutions and Outcomes segments to serve clients for years after their one-time installation of an endpoint.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endpoints under management is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60" w:type="dxa"/>
            <w:vAlign w:val="bottom"/>
          </w:tcPr>
          <w:p>
            <w:pPr>
              <w:spacing w:after="0"/>
              <w:rPr>
                <w:sz w:val="18"/>
                <w:szCs w:val="18"/>
                <w:color w:val="auto"/>
              </w:rPr>
            </w:pPr>
          </w:p>
        </w:tc>
        <w:tc>
          <w:tcPr>
            <w:tcW w:w="2980" w:type="dxa"/>
            <w:vAlign w:val="bottom"/>
            <w:tcBorders>
              <w:bottom w:val="single" w:sz="8" w:color="auto"/>
            </w:tcBorders>
            <w:gridSpan w:val="3"/>
          </w:tcPr>
          <w:p>
            <w:pPr>
              <w:ind w:left="1760"/>
              <w:spacing w:after="0"/>
              <w:rPr>
                <w:sz w:val="20"/>
                <w:szCs w:val="20"/>
                <w:color w:val="auto"/>
              </w:rPr>
            </w:pPr>
            <w:r>
              <w:rPr>
                <w:rFonts w:ascii="Arial" w:cs="Arial" w:eastAsia="Arial" w:hAnsi="Arial"/>
                <w:sz w:val="16"/>
                <w:szCs w:val="16"/>
                <w:b w:val="1"/>
                <w:bCs w:val="1"/>
                <w:color w:val="auto"/>
              </w:rPr>
              <w:t>As of June 30,</w:t>
            </w:r>
          </w:p>
        </w:tc>
        <w:tc>
          <w:tcPr>
            <w:tcW w:w="1500" w:type="dxa"/>
            <w:vAlign w:val="bottom"/>
            <w:tcBorders>
              <w:bottom w:val="single" w:sz="8" w:color="auto"/>
            </w:tcBorders>
          </w:tcPr>
          <w:p>
            <w:pPr>
              <w:spacing w:after="0"/>
              <w:rPr>
                <w:sz w:val="18"/>
                <w:szCs w:val="18"/>
                <w:color w:val="auto"/>
              </w:rPr>
            </w:pPr>
          </w:p>
        </w:tc>
      </w:tr>
      <w:tr>
        <w:trPr>
          <w:trHeight w:val="213"/>
        </w:trPr>
        <w:tc>
          <w:tcPr>
            <w:tcW w:w="67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Units in thousands</w:t>
            </w:r>
          </w:p>
        </w:tc>
        <w:tc>
          <w:tcPr>
            <w:tcW w:w="218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859"/>
              <w:spacing w:after="0"/>
              <w:rPr>
                <w:sz w:val="20"/>
                <w:szCs w:val="20"/>
                <w:color w:val="auto"/>
              </w:rPr>
            </w:pPr>
            <w:r>
              <w:rPr>
                <w:rFonts w:ascii="Arial" w:cs="Arial" w:eastAsia="Arial" w:hAnsi="Arial"/>
                <w:sz w:val="16"/>
                <w:szCs w:val="16"/>
                <w:b w:val="1"/>
                <w:bCs w:val="1"/>
                <w:color w:val="auto"/>
              </w:rPr>
              <w:t>2022</w:t>
            </w:r>
          </w:p>
        </w:tc>
      </w:tr>
      <w:tr>
        <w:trPr>
          <w:trHeight w:val="212"/>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Endpoints under management</w:t>
            </w:r>
          </w:p>
        </w:tc>
        <w:tc>
          <w:tcPr>
            <w:tcW w:w="2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94,458</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85,390</w:t>
            </w: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 and Gross Margin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actual results of and effects of changes in foreign currency exchange rates on revenues and gross profit were as follows: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380" w:type="dxa"/>
            <w:vAlign w:val="bottom"/>
            <w:gridSpan w:val="3"/>
            <w:vMerge w:val="restart"/>
          </w:tcPr>
          <w:p>
            <w:pPr>
              <w:jc w:val="right"/>
              <w:ind w:right="20"/>
              <w:spacing w:after="0"/>
              <w:rPr>
                <w:sz w:val="20"/>
                <w:szCs w:val="20"/>
                <w:color w:val="auto"/>
              </w:rPr>
            </w:pPr>
            <w:r>
              <w:rPr>
                <w:rFonts w:ascii="Arial" w:cs="Arial" w:eastAsia="Arial" w:hAnsi="Arial"/>
                <w:sz w:val="16"/>
                <w:szCs w:val="16"/>
                <w:b w:val="1"/>
                <w:bCs w:val="1"/>
                <w:color w:val="auto"/>
              </w:rPr>
              <w:t>Three Months Ended June 30,</w:t>
            </w: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Effect of Changes in</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300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380" w:type="dxa"/>
            <w:vAlign w:val="bottom"/>
            <w:tcBorders>
              <w:bottom w:val="single" w:sz="8" w:color="auto"/>
            </w:tcBorders>
            <w:gridSpan w:val="3"/>
            <w:vMerge w:val="continue"/>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tcPr>
          <w:p>
            <w:pPr>
              <w:jc w:val="center"/>
              <w:ind w:right="61"/>
              <w:spacing w:after="0" w:line="129" w:lineRule="exact"/>
              <w:rPr>
                <w:sz w:val="20"/>
                <w:szCs w:val="20"/>
                <w:color w:val="auto"/>
              </w:rPr>
            </w:pPr>
            <w:r>
              <w:rPr>
                <w:rFonts w:ascii="Arial" w:cs="Arial" w:eastAsia="Arial" w:hAnsi="Arial"/>
                <w:sz w:val="14"/>
                <w:szCs w:val="14"/>
                <w:b w:val="1"/>
                <w:bCs w:val="1"/>
                <w:color w:val="auto"/>
              </w:rPr>
              <w:t>Foreign Currency</w:t>
            </w:r>
          </w:p>
        </w:tc>
        <w:tc>
          <w:tcPr>
            <w:tcW w:w="100" w:type="dxa"/>
            <w:vAlign w:val="bottom"/>
          </w:tcPr>
          <w:p>
            <w:pPr>
              <w:spacing w:after="0"/>
              <w:rPr>
                <w:sz w:val="11"/>
                <w:szCs w:val="11"/>
                <w:color w:val="auto"/>
              </w:rPr>
            </w:pPr>
          </w:p>
        </w:tc>
        <w:tc>
          <w:tcPr>
            <w:tcW w:w="150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rPr>
              <w:t>Constant Currency</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6"/>
        </w:trPr>
        <w:tc>
          <w:tcPr>
            <w:tcW w:w="300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380" w:type="dxa"/>
            <w:vAlign w:val="bottom"/>
          </w:tcPr>
          <w:p>
            <w:pPr>
              <w:spacing w:after="0"/>
              <w:rPr>
                <w:sz w:val="19"/>
                <w:szCs w:val="19"/>
                <w:color w:val="auto"/>
              </w:rPr>
            </w:pPr>
          </w:p>
        </w:tc>
        <w:tc>
          <w:tcPr>
            <w:tcW w:w="1260" w:type="dxa"/>
            <w:vAlign w:val="bottom"/>
          </w:tcPr>
          <w:p>
            <w:pPr>
              <w:jc w:val="right"/>
              <w:ind w:right="579"/>
              <w:spacing w:after="0"/>
              <w:rPr>
                <w:sz w:val="20"/>
                <w:szCs w:val="20"/>
                <w:color w:val="auto"/>
              </w:rPr>
            </w:pPr>
            <w:r>
              <w:rPr>
                <w:rFonts w:ascii="Arial" w:cs="Arial" w:eastAsia="Arial" w:hAnsi="Arial"/>
                <w:sz w:val="16"/>
                <w:szCs w:val="16"/>
                <w:b w:val="1"/>
                <w:bCs w:val="1"/>
                <w:color w:val="auto"/>
              </w:rPr>
              <w:t>2023</w:t>
            </w:r>
          </w:p>
        </w:tc>
        <w:tc>
          <w:tcPr>
            <w:tcW w:w="112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2022</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center"/>
              <w:ind w:right="41"/>
              <w:spacing w:after="0"/>
              <w:rPr>
                <w:sz w:val="20"/>
                <w:szCs w:val="20"/>
                <w:color w:val="auto"/>
              </w:rPr>
            </w:pPr>
            <w:r>
              <w:rPr>
                <w:rFonts w:ascii="Arial" w:cs="Arial" w:eastAsia="Arial" w:hAnsi="Arial"/>
                <w:sz w:val="16"/>
                <w:szCs w:val="16"/>
                <w:b w:val="1"/>
                <w:bCs w:val="1"/>
                <w:color w:val="auto"/>
                <w:w w:val="88"/>
              </w:rPr>
              <w:t>Exchange Rates</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center"/>
              <w:ind w:right="219"/>
              <w:spacing w:after="0"/>
              <w:rPr>
                <w:sz w:val="20"/>
                <w:szCs w:val="20"/>
                <w:color w:val="auto"/>
              </w:rPr>
            </w:pPr>
            <w:r>
              <w:rPr>
                <w:rFonts w:ascii="Arial" w:cs="Arial" w:eastAsia="Arial" w:hAnsi="Arial"/>
                <w:sz w:val="16"/>
                <w:szCs w:val="16"/>
                <w:b w:val="1"/>
                <w:bCs w:val="1"/>
                <w:color w:val="auto"/>
                <w:w w:val="91"/>
              </w:rPr>
              <w:t>Change</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ind w:right="199"/>
              <w:spacing w:after="0"/>
              <w:rPr>
                <w:sz w:val="20"/>
                <w:szCs w:val="20"/>
                <w:color w:val="auto"/>
              </w:rPr>
            </w:pPr>
            <w:r>
              <w:rPr>
                <w:rFonts w:ascii="Arial" w:cs="Arial" w:eastAsia="Arial" w:hAnsi="Arial"/>
                <w:sz w:val="16"/>
                <w:szCs w:val="16"/>
                <w:b w:val="1"/>
                <w:bCs w:val="1"/>
                <w:color w:val="auto"/>
                <w:w w:val="98"/>
              </w:rPr>
              <w:t>Total Change</w:t>
            </w:r>
          </w:p>
        </w:tc>
        <w:tc>
          <w:tcPr>
            <w:tcW w:w="0" w:type="dxa"/>
            <w:vAlign w:val="bottom"/>
          </w:tcPr>
          <w:p>
            <w:pPr>
              <w:spacing w:after="0"/>
              <w:rPr>
                <w:sz w:val="1"/>
                <w:szCs w:val="1"/>
                <w:color w:val="auto"/>
              </w:rPr>
            </w:pPr>
          </w:p>
        </w:tc>
      </w:tr>
      <w:tr>
        <w:trPr>
          <w:trHeight w:val="209"/>
        </w:trPr>
        <w:tc>
          <w:tcPr>
            <w:tcW w:w="30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i w:val="1"/>
                <w:iCs w:val="1"/>
                <w:color w:val="auto"/>
              </w:rPr>
              <w:t>Total Company</w:t>
            </w:r>
          </w:p>
        </w:tc>
        <w:tc>
          <w:tcPr>
            <w:tcW w:w="3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Revenues</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541,070</w:t>
            </w:r>
          </w:p>
        </w:tc>
        <w:tc>
          <w:tcPr>
            <w:tcW w:w="1120" w:type="dxa"/>
            <w:vAlign w:val="bottom"/>
            <w:gridSpan w:val="2"/>
            <w:shd w:val="clear" w:color="auto" w:fill="CCEEFF"/>
          </w:tcPr>
          <w:p>
            <w:pPr>
              <w:jc w:val="right"/>
              <w:ind w:right="92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431,882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256</w:t>
            </w:r>
          </w:p>
        </w:tc>
        <w:tc>
          <w:tcPr>
            <w:tcW w:w="400" w:type="dxa"/>
            <w:vAlign w:val="bottom"/>
            <w:gridSpan w:val="2"/>
            <w:shd w:val="clear" w:color="auto" w:fill="CCEEFF"/>
          </w:tcPr>
          <w:p>
            <w:pPr>
              <w:jc w:val="right"/>
              <w:ind w:right="127"/>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108,932</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109,188</w:t>
            </w:r>
          </w:p>
        </w:tc>
        <w:tc>
          <w:tcPr>
            <w:tcW w:w="0" w:type="dxa"/>
            <w:vAlign w:val="bottom"/>
          </w:tcPr>
          <w:p>
            <w:pPr>
              <w:spacing w:after="0"/>
              <w:rPr>
                <w:sz w:val="1"/>
                <w:szCs w:val="1"/>
                <w:color w:val="auto"/>
              </w:rPr>
            </w:pPr>
          </w:p>
        </w:tc>
      </w:tr>
      <w:tr>
        <w:trPr>
          <w:trHeight w:val="210"/>
        </w:trPr>
        <w:tc>
          <w:tcPr>
            <w:tcW w:w="3000" w:type="dxa"/>
            <w:vAlign w:val="bottom"/>
          </w:tcPr>
          <w:p>
            <w:pPr>
              <w:ind w:left="140"/>
              <w:spacing w:after="0"/>
              <w:rPr>
                <w:sz w:val="20"/>
                <w:szCs w:val="20"/>
                <w:color w:val="auto"/>
              </w:rPr>
            </w:pPr>
            <w:r>
              <w:rPr>
                <w:rFonts w:ascii="Arial" w:cs="Arial" w:eastAsia="Arial" w:hAnsi="Arial"/>
                <w:sz w:val="16"/>
                <w:szCs w:val="16"/>
                <w:color w:val="auto"/>
              </w:rPr>
              <w:t>Gross profit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173,947</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89"/>
              </w:rPr>
              <w:t>126,105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ind w:right="1"/>
              <w:spacing w:after="0"/>
              <w:rPr>
                <w:sz w:val="20"/>
                <w:szCs w:val="20"/>
                <w:color w:val="auto"/>
              </w:rPr>
            </w:pPr>
            <w:r>
              <w:rPr>
                <w:rFonts w:ascii="Arial" w:cs="Arial" w:eastAsia="Arial" w:hAnsi="Arial"/>
                <w:sz w:val="16"/>
                <w:szCs w:val="16"/>
                <w:color w:val="auto"/>
              </w:rPr>
              <w:t>318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47,524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47,842</w:t>
            </w:r>
          </w:p>
        </w:tc>
        <w:tc>
          <w:tcPr>
            <w:tcW w:w="0" w:type="dxa"/>
            <w:vAlign w:val="bottom"/>
          </w:tcPr>
          <w:p>
            <w:pPr>
              <w:spacing w:after="0"/>
              <w:rPr>
                <w:sz w:val="1"/>
                <w:szCs w:val="1"/>
                <w:color w:val="auto"/>
              </w:rPr>
            </w:pPr>
          </w:p>
        </w:tc>
      </w:tr>
      <w:tr>
        <w:trPr>
          <w:trHeight w:val="775"/>
        </w:trPr>
        <w:tc>
          <w:tcPr>
            <w:tcW w:w="3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380" w:type="dxa"/>
            <w:vAlign w:val="bottom"/>
            <w:gridSpan w:val="3"/>
            <w:vMerge w:val="restart"/>
          </w:tcPr>
          <w:p>
            <w:pPr>
              <w:jc w:val="right"/>
              <w:ind w:right="120"/>
              <w:spacing w:after="0"/>
              <w:rPr>
                <w:sz w:val="20"/>
                <w:szCs w:val="20"/>
                <w:color w:val="auto"/>
              </w:rPr>
            </w:pPr>
            <w:r>
              <w:rPr>
                <w:rFonts w:ascii="Arial" w:cs="Arial" w:eastAsia="Arial" w:hAnsi="Arial"/>
                <w:sz w:val="16"/>
                <w:szCs w:val="16"/>
                <w:b w:val="1"/>
                <w:bCs w:val="1"/>
                <w:color w:val="auto"/>
              </w:rPr>
              <w:t>Six Months Ended June 30,</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Effect of Changes in</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00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380" w:type="dxa"/>
            <w:vAlign w:val="bottom"/>
            <w:tcBorders>
              <w:bottom w:val="single" w:sz="8" w:color="auto"/>
            </w:tcBorders>
            <w:gridSpan w:val="3"/>
            <w:vMerge w:val="continue"/>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tcPr>
          <w:p>
            <w:pPr>
              <w:jc w:val="center"/>
              <w:ind w:right="61"/>
              <w:spacing w:after="0" w:line="132" w:lineRule="exact"/>
              <w:rPr>
                <w:sz w:val="20"/>
                <w:szCs w:val="20"/>
                <w:color w:val="auto"/>
              </w:rPr>
            </w:pPr>
            <w:r>
              <w:rPr>
                <w:rFonts w:ascii="Arial" w:cs="Arial" w:eastAsia="Arial" w:hAnsi="Arial"/>
                <w:sz w:val="15"/>
                <w:szCs w:val="15"/>
                <w:b w:val="1"/>
                <w:bCs w:val="1"/>
                <w:color w:val="auto"/>
                <w:w w:val="99"/>
              </w:rPr>
              <w:t>Foreign Currency</w:t>
            </w:r>
          </w:p>
        </w:tc>
        <w:tc>
          <w:tcPr>
            <w:tcW w:w="100" w:type="dxa"/>
            <w:vAlign w:val="bottom"/>
          </w:tcPr>
          <w:p>
            <w:pPr>
              <w:spacing w:after="0"/>
              <w:rPr>
                <w:sz w:val="11"/>
                <w:szCs w:val="11"/>
                <w:color w:val="auto"/>
              </w:rPr>
            </w:pPr>
          </w:p>
        </w:tc>
        <w:tc>
          <w:tcPr>
            <w:tcW w:w="1500" w:type="dxa"/>
            <w:vAlign w:val="bottom"/>
            <w:gridSpan w:val="2"/>
          </w:tcPr>
          <w:p>
            <w:pPr>
              <w:jc w:val="center"/>
              <w:spacing w:after="0" w:line="132" w:lineRule="exact"/>
              <w:rPr>
                <w:sz w:val="20"/>
                <w:szCs w:val="20"/>
                <w:color w:val="auto"/>
              </w:rPr>
            </w:pPr>
            <w:r>
              <w:rPr>
                <w:rFonts w:ascii="Arial" w:cs="Arial" w:eastAsia="Arial" w:hAnsi="Arial"/>
                <w:sz w:val="15"/>
                <w:szCs w:val="15"/>
                <w:b w:val="1"/>
                <w:bCs w:val="1"/>
                <w:color w:val="auto"/>
                <w:w w:val="99"/>
              </w:rPr>
              <w:t>Constant Currency</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300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380" w:type="dxa"/>
            <w:vAlign w:val="bottom"/>
          </w:tcPr>
          <w:p>
            <w:pPr>
              <w:spacing w:after="0"/>
              <w:rPr>
                <w:sz w:val="19"/>
                <w:szCs w:val="19"/>
                <w:color w:val="auto"/>
              </w:rPr>
            </w:pPr>
          </w:p>
        </w:tc>
        <w:tc>
          <w:tcPr>
            <w:tcW w:w="1260" w:type="dxa"/>
            <w:vAlign w:val="bottom"/>
          </w:tcPr>
          <w:p>
            <w:pPr>
              <w:jc w:val="right"/>
              <w:ind w:right="579"/>
              <w:spacing w:after="0"/>
              <w:rPr>
                <w:sz w:val="20"/>
                <w:szCs w:val="20"/>
                <w:color w:val="auto"/>
              </w:rPr>
            </w:pPr>
            <w:r>
              <w:rPr>
                <w:rFonts w:ascii="Arial" w:cs="Arial" w:eastAsia="Arial" w:hAnsi="Arial"/>
                <w:sz w:val="16"/>
                <w:szCs w:val="16"/>
                <w:b w:val="1"/>
                <w:bCs w:val="1"/>
                <w:color w:val="auto"/>
              </w:rPr>
              <w:t>2023</w:t>
            </w:r>
          </w:p>
        </w:tc>
        <w:tc>
          <w:tcPr>
            <w:tcW w:w="112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2022</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center"/>
              <w:ind w:right="41"/>
              <w:spacing w:after="0"/>
              <w:rPr>
                <w:sz w:val="20"/>
                <w:szCs w:val="20"/>
                <w:color w:val="auto"/>
              </w:rPr>
            </w:pPr>
            <w:r>
              <w:rPr>
                <w:rFonts w:ascii="Arial" w:cs="Arial" w:eastAsia="Arial" w:hAnsi="Arial"/>
                <w:sz w:val="16"/>
                <w:szCs w:val="16"/>
                <w:b w:val="1"/>
                <w:bCs w:val="1"/>
                <w:color w:val="auto"/>
                <w:w w:val="88"/>
              </w:rPr>
              <w:t>Exchange Rates</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center"/>
              <w:ind w:right="219"/>
              <w:spacing w:after="0"/>
              <w:rPr>
                <w:sz w:val="20"/>
                <w:szCs w:val="20"/>
                <w:color w:val="auto"/>
              </w:rPr>
            </w:pPr>
            <w:r>
              <w:rPr>
                <w:rFonts w:ascii="Arial" w:cs="Arial" w:eastAsia="Arial" w:hAnsi="Arial"/>
                <w:sz w:val="16"/>
                <w:szCs w:val="16"/>
                <w:b w:val="1"/>
                <w:bCs w:val="1"/>
                <w:color w:val="auto"/>
                <w:w w:val="91"/>
              </w:rPr>
              <w:t>Change</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ind w:right="199"/>
              <w:spacing w:after="0"/>
              <w:rPr>
                <w:sz w:val="20"/>
                <w:szCs w:val="20"/>
                <w:color w:val="auto"/>
              </w:rPr>
            </w:pPr>
            <w:r>
              <w:rPr>
                <w:rFonts w:ascii="Arial" w:cs="Arial" w:eastAsia="Arial" w:hAnsi="Arial"/>
                <w:sz w:val="16"/>
                <w:szCs w:val="16"/>
                <w:b w:val="1"/>
                <w:bCs w:val="1"/>
                <w:color w:val="auto"/>
                <w:w w:val="98"/>
              </w:rPr>
              <w:t>Total Change</w:t>
            </w:r>
          </w:p>
        </w:tc>
        <w:tc>
          <w:tcPr>
            <w:tcW w:w="0" w:type="dxa"/>
            <w:vAlign w:val="bottom"/>
          </w:tcPr>
          <w:p>
            <w:pPr>
              <w:spacing w:after="0"/>
              <w:rPr>
                <w:sz w:val="1"/>
                <w:szCs w:val="1"/>
                <w:color w:val="auto"/>
              </w:rPr>
            </w:pPr>
          </w:p>
        </w:tc>
      </w:tr>
      <w:tr>
        <w:trPr>
          <w:trHeight w:val="209"/>
        </w:trPr>
        <w:tc>
          <w:tcPr>
            <w:tcW w:w="30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i w:val="1"/>
                <w:iCs w:val="1"/>
                <w:color w:val="auto"/>
              </w:rPr>
              <w:t>Total Company</w:t>
            </w:r>
          </w:p>
        </w:tc>
        <w:tc>
          <w:tcPr>
            <w:tcW w:w="3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Revenues</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1,035,688</w:t>
            </w:r>
          </w:p>
        </w:tc>
        <w:tc>
          <w:tcPr>
            <w:tcW w:w="1120" w:type="dxa"/>
            <w:vAlign w:val="bottom"/>
            <w:gridSpan w:val="2"/>
            <w:shd w:val="clear" w:color="auto" w:fill="CCEEFF"/>
          </w:tcPr>
          <w:p>
            <w:pPr>
              <w:jc w:val="right"/>
              <w:ind w:right="92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907,213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(8,475)</w:t>
            </w:r>
          </w:p>
        </w:tc>
        <w:tc>
          <w:tcPr>
            <w:tcW w:w="400" w:type="dxa"/>
            <w:vAlign w:val="bottom"/>
            <w:gridSpan w:val="2"/>
            <w:shd w:val="clear" w:color="auto" w:fill="CCEEFF"/>
          </w:tcPr>
          <w:p>
            <w:pPr>
              <w:jc w:val="right"/>
              <w:ind w:right="127"/>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136,950</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128,475</w:t>
            </w:r>
          </w:p>
        </w:tc>
        <w:tc>
          <w:tcPr>
            <w:tcW w:w="0" w:type="dxa"/>
            <w:vAlign w:val="bottom"/>
          </w:tcPr>
          <w:p>
            <w:pPr>
              <w:spacing w:after="0"/>
              <w:rPr>
                <w:sz w:val="1"/>
                <w:szCs w:val="1"/>
                <w:color w:val="auto"/>
              </w:rPr>
            </w:pPr>
          </w:p>
        </w:tc>
      </w:tr>
      <w:tr>
        <w:trPr>
          <w:trHeight w:val="210"/>
        </w:trPr>
        <w:tc>
          <w:tcPr>
            <w:tcW w:w="3000" w:type="dxa"/>
            <w:vAlign w:val="bottom"/>
          </w:tcPr>
          <w:p>
            <w:pPr>
              <w:ind w:left="140"/>
              <w:spacing w:after="0"/>
              <w:rPr>
                <w:sz w:val="20"/>
                <w:szCs w:val="20"/>
                <w:color w:val="auto"/>
              </w:rPr>
            </w:pPr>
            <w:r>
              <w:rPr>
                <w:rFonts w:ascii="Arial" w:cs="Arial" w:eastAsia="Arial" w:hAnsi="Arial"/>
                <w:sz w:val="16"/>
                <w:szCs w:val="16"/>
                <w:color w:val="auto"/>
              </w:rPr>
              <w:t>Gross profit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330,315</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89"/>
              </w:rPr>
              <w:t>261,329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(1,827)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70,813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68,986</w:t>
            </w:r>
          </w:p>
        </w:tc>
        <w:tc>
          <w:tcPr>
            <w:tcW w:w="0" w:type="dxa"/>
            <w:vAlign w:val="bottom"/>
          </w:tcPr>
          <w:p>
            <w:pPr>
              <w:spacing w:after="0"/>
              <w:rPr>
                <w:sz w:val="1"/>
                <w:szCs w:val="1"/>
                <w:color w:val="auto"/>
              </w:rPr>
            </w:pPr>
          </w:p>
        </w:tc>
      </w:tr>
    </w:tbl>
    <w:p>
      <w:pPr>
        <w:spacing w:after="0" w:line="32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 - Three months ended June 30, 2023 vs. Three months ended June 30, 2022</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Total revenues increased $109.2 million, or 25%, in the current 2023 quarter, compared with the same period in 2022. Product revenues increased by $104.9 million, and service revenues increased $4.3 million. Device Solutions increased by $8.4 million; Networked Solutions increased by $91.5 million; and Outcomes increased by $9.4 million when compared with the same period last year. Changes in exchange rates had minimal impact on total company and operating segment revenues.</w:t>
      </w:r>
    </w:p>
    <w:p>
      <w:pPr>
        <w:spacing w:after="0" w:line="22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 - Six months ended June 30, 2023 vs. Six Months Ended June 30, 2022</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222222"/>
        </w:rPr>
        <w:t xml:space="preserve">Total revenues increased $128.5 million, or 14%, compared with the same period in </w:t>
      </w:r>
      <w:r>
        <w:rPr>
          <w:rFonts w:ascii="Arial" w:cs="Arial" w:eastAsia="Arial" w:hAnsi="Arial"/>
          <w:sz w:val="18"/>
          <w:szCs w:val="18"/>
          <w:color w:val="000000"/>
        </w:rPr>
        <w:t>2022. Product revenues increased by $121.4 million, and service</w:t>
      </w:r>
      <w:r>
        <w:rPr>
          <w:rFonts w:ascii="Arial" w:cs="Arial" w:eastAsia="Arial" w:hAnsi="Arial"/>
          <w:sz w:val="18"/>
          <w:szCs w:val="18"/>
          <w:color w:val="222222"/>
        </w:rPr>
        <w:t xml:space="preserve"> </w:t>
      </w:r>
      <w:r>
        <w:rPr>
          <w:rFonts w:ascii="Arial" w:cs="Arial" w:eastAsia="Arial" w:hAnsi="Arial"/>
          <w:sz w:val="18"/>
          <w:szCs w:val="18"/>
          <w:color w:val="000000"/>
        </w:rPr>
        <w:t xml:space="preserve">revenues increased by $7.1 million. </w:t>
      </w:r>
      <w:r>
        <w:rPr>
          <w:rFonts w:ascii="Arial" w:cs="Arial" w:eastAsia="Arial" w:hAnsi="Arial"/>
          <w:sz w:val="18"/>
          <w:szCs w:val="18"/>
          <w:color w:val="222222"/>
        </w:rPr>
        <w:t>Device Solutions decreased by $13.0 million; Networked Solutions increased by</w:t>
      </w:r>
      <w:r>
        <w:rPr>
          <w:rFonts w:ascii="Arial" w:cs="Arial" w:eastAsia="Arial" w:hAnsi="Arial"/>
          <w:sz w:val="18"/>
          <w:szCs w:val="18"/>
          <w:color w:val="000000"/>
        </w:rPr>
        <w:t xml:space="preserve"> $126.1 million</w:t>
      </w:r>
      <w:r>
        <w:rPr>
          <w:rFonts w:ascii="Arial" w:cs="Arial" w:eastAsia="Arial" w:hAnsi="Arial"/>
          <w:sz w:val="18"/>
          <w:szCs w:val="18"/>
          <w:color w:val="222222"/>
        </w:rPr>
        <w:t>; and Outcomes</w:t>
      </w:r>
      <w:r>
        <w:rPr>
          <w:rFonts w:ascii="Arial" w:cs="Arial" w:eastAsia="Arial" w:hAnsi="Arial"/>
          <w:sz w:val="18"/>
          <w:szCs w:val="18"/>
          <w:color w:val="000000"/>
        </w:rPr>
        <w:t xml:space="preserve"> </w:t>
      </w:r>
      <w:r>
        <w:rPr>
          <w:rFonts w:ascii="Arial" w:cs="Arial" w:eastAsia="Arial" w:hAnsi="Arial"/>
          <w:sz w:val="18"/>
          <w:szCs w:val="18"/>
          <w:color w:val="222222"/>
        </w:rPr>
        <w:t>increased by $15.3 million when compared with the same period last</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7"/>
          <w:szCs w:val="17"/>
          <w:color w:val="222222"/>
        </w:rPr>
        <w:t>year. C</w:t>
      </w:r>
      <w:r>
        <w:rPr>
          <w:rFonts w:ascii="Arial" w:cs="Arial" w:eastAsia="Arial" w:hAnsi="Arial"/>
          <w:sz w:val="17"/>
          <w:szCs w:val="17"/>
          <w:color w:val="000000"/>
        </w:rPr>
        <w:t>hanges in exchange rates unfavorably impacted total revenues by</w:t>
      </w:r>
      <w:r>
        <w:rPr>
          <w:rFonts w:ascii="Arial" w:cs="Arial" w:eastAsia="Arial" w:hAnsi="Arial"/>
          <w:sz w:val="17"/>
          <w:szCs w:val="17"/>
          <w:color w:val="222222"/>
        </w:rPr>
        <w:t xml:space="preserve"> $8.5 million</w:t>
      </w:r>
      <w:r>
        <w:rPr>
          <w:rFonts w:ascii="Arial" w:cs="Arial" w:eastAsia="Arial" w:hAnsi="Arial"/>
          <w:sz w:val="17"/>
          <w:szCs w:val="17"/>
          <w:color w:val="000000"/>
        </w:rPr>
        <w:t>, of which</w:t>
      </w:r>
      <w:r>
        <w:rPr>
          <w:rFonts w:ascii="Arial" w:cs="Arial" w:eastAsia="Arial" w:hAnsi="Arial"/>
          <w:sz w:val="17"/>
          <w:szCs w:val="17"/>
          <w:color w:val="222222"/>
        </w:rPr>
        <w:t xml:space="preserve"> $4.9 million </w:t>
      </w:r>
      <w:r>
        <w:rPr>
          <w:rFonts w:ascii="Arial" w:cs="Arial" w:eastAsia="Arial" w:hAnsi="Arial"/>
          <w:sz w:val="17"/>
          <w:szCs w:val="17"/>
          <w:color w:val="000000"/>
        </w:rPr>
        <w:t>unfavorably impacted Device Solutions.</w:t>
      </w:r>
    </w:p>
    <w:p>
      <w:pPr>
        <w:spacing w:after="0" w:line="26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Gross Margin - Three months ended June 30, 2023 vs. Three months ended June 30, 2022</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222222"/>
        </w:rPr>
        <w:t xml:space="preserve">Gross margin in the </w:t>
      </w:r>
      <w:r>
        <w:rPr>
          <w:rFonts w:ascii="Arial" w:cs="Arial" w:eastAsia="Arial" w:hAnsi="Arial"/>
          <w:sz w:val="18"/>
          <w:szCs w:val="18"/>
          <w:color w:val="000000"/>
        </w:rPr>
        <w:t>2023</w:t>
      </w:r>
      <w:r>
        <w:rPr>
          <w:rFonts w:ascii="Arial" w:cs="Arial" w:eastAsia="Arial" w:hAnsi="Arial"/>
          <w:sz w:val="18"/>
          <w:szCs w:val="18"/>
          <w:color w:val="222222"/>
        </w:rPr>
        <w:t xml:space="preserve"> period was 32.1%, compared with 29.2% in </w:t>
      </w:r>
      <w:r>
        <w:rPr>
          <w:rFonts w:ascii="Arial" w:cs="Arial" w:eastAsia="Arial" w:hAnsi="Arial"/>
          <w:sz w:val="18"/>
          <w:szCs w:val="18"/>
          <w:color w:val="000000"/>
        </w:rPr>
        <w:t>2022</w:t>
      </w:r>
      <w:r>
        <w:rPr>
          <w:rFonts w:ascii="Arial" w:cs="Arial" w:eastAsia="Arial" w:hAnsi="Arial"/>
          <w:sz w:val="18"/>
          <w:szCs w:val="18"/>
          <w:color w:val="222222"/>
        </w:rPr>
        <w:t xml:space="preserve">. Product sales gross margin increased to 30.7% for the quarter in </w:t>
      </w:r>
      <w:r>
        <w:rPr>
          <w:rFonts w:ascii="Arial" w:cs="Arial" w:eastAsia="Arial" w:hAnsi="Arial"/>
          <w:sz w:val="18"/>
          <w:szCs w:val="18"/>
          <w:color w:val="000000"/>
        </w:rPr>
        <w:t>2023</w:t>
      </w:r>
      <w:r>
        <w:rPr>
          <w:rFonts w:ascii="Arial" w:cs="Arial" w:eastAsia="Arial" w:hAnsi="Arial"/>
          <w:sz w:val="18"/>
          <w:szCs w:val="18"/>
          <w:color w:val="222222"/>
        </w:rPr>
        <w:t xml:space="preserve">, compared with 26.3% in </w:t>
      </w:r>
      <w:r>
        <w:rPr>
          <w:rFonts w:ascii="Arial" w:cs="Arial" w:eastAsia="Arial" w:hAnsi="Arial"/>
          <w:sz w:val="18"/>
          <w:szCs w:val="18"/>
          <w:color w:val="000000"/>
        </w:rPr>
        <w:t>2022</w:t>
      </w:r>
      <w:r>
        <w:rPr>
          <w:rFonts w:ascii="Arial" w:cs="Arial" w:eastAsia="Arial" w:hAnsi="Arial"/>
          <w:sz w:val="18"/>
          <w:szCs w:val="18"/>
          <w:color w:val="222222"/>
        </w:rPr>
        <w:t xml:space="preserve">. Gross margin on service revenues decreased to 41.2% in </w:t>
      </w:r>
      <w:r>
        <w:rPr>
          <w:rFonts w:ascii="Arial" w:cs="Arial" w:eastAsia="Arial" w:hAnsi="Arial"/>
          <w:sz w:val="18"/>
          <w:szCs w:val="18"/>
          <w:color w:val="000000"/>
        </w:rPr>
        <w:t>2023</w:t>
      </w:r>
      <w:r>
        <w:rPr>
          <w:rFonts w:ascii="Arial" w:cs="Arial" w:eastAsia="Arial" w:hAnsi="Arial"/>
          <w:sz w:val="18"/>
          <w:szCs w:val="18"/>
          <w:color w:val="222222"/>
        </w:rPr>
        <w:t xml:space="preserve">, compared with 43.7% in </w:t>
      </w:r>
      <w:r>
        <w:rPr>
          <w:rFonts w:ascii="Arial" w:cs="Arial" w:eastAsia="Arial" w:hAnsi="Arial"/>
          <w:sz w:val="18"/>
          <w:szCs w:val="18"/>
          <w:color w:val="000000"/>
        </w:rPr>
        <w:t>2022</w:t>
      </w:r>
      <w:r>
        <w:rPr>
          <w:rFonts w:ascii="Arial" w:cs="Arial" w:eastAsia="Arial" w:hAnsi="Arial"/>
          <w:sz w:val="18"/>
          <w:szCs w:val="18"/>
          <w:color w:val="222222"/>
        </w:rPr>
        <w:t>.</w:t>
      </w:r>
    </w:p>
    <w:p>
      <w:pPr>
        <w:spacing w:after="0" w:line="21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Gross Margin - Six months ended June 30, 2023 vs. Six Months Ended June 30, 2022</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222222"/>
        </w:rPr>
        <w:t xml:space="preserve">Gross margin was 31.9%, compared with 28.8% in </w:t>
      </w:r>
      <w:r>
        <w:rPr>
          <w:rFonts w:ascii="Arial" w:cs="Arial" w:eastAsia="Arial" w:hAnsi="Arial"/>
          <w:sz w:val="18"/>
          <w:szCs w:val="18"/>
          <w:color w:val="000000"/>
        </w:rPr>
        <w:t>2022</w:t>
      </w:r>
      <w:r>
        <w:rPr>
          <w:rFonts w:ascii="Arial" w:cs="Arial" w:eastAsia="Arial" w:hAnsi="Arial"/>
          <w:sz w:val="18"/>
          <w:szCs w:val="18"/>
          <w:color w:val="222222"/>
        </w:rPr>
        <w:t xml:space="preserve">. Product sales gross margin increased to 29.7%, compared with 26.3% in </w:t>
      </w:r>
      <w:r>
        <w:rPr>
          <w:rFonts w:ascii="Arial" w:cs="Arial" w:eastAsia="Arial" w:hAnsi="Arial"/>
          <w:sz w:val="18"/>
          <w:szCs w:val="18"/>
          <w:color w:val="000000"/>
        </w:rPr>
        <w:t>2022,</w:t>
      </w:r>
      <w:r>
        <w:rPr>
          <w:rFonts w:ascii="Arial" w:cs="Arial" w:eastAsia="Arial" w:hAnsi="Arial"/>
          <w:sz w:val="18"/>
          <w:szCs w:val="18"/>
          <w:color w:val="222222"/>
        </w:rPr>
        <w:t xml:space="preserve"> and gross margin on service revenues increased to 44.5%, compared with 41.8% in </w:t>
      </w:r>
      <w:r>
        <w:rPr>
          <w:rFonts w:ascii="Arial" w:cs="Arial" w:eastAsia="Arial" w:hAnsi="Arial"/>
          <w:sz w:val="18"/>
          <w:szCs w:val="18"/>
          <w:color w:val="000000"/>
        </w:rPr>
        <w:t>2022</w:t>
      </w:r>
      <w:r>
        <w:rPr>
          <w:rFonts w:ascii="Arial" w:cs="Arial" w:eastAsia="Arial" w:hAnsi="Arial"/>
          <w:sz w:val="18"/>
          <w:szCs w:val="18"/>
          <w:color w:val="222222"/>
        </w:rPr>
        <w: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Refer to Operating Segment Results section below for further detail on total company revenues and gross margin.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actual results of and effects of changes in foreign currency exchange rates on operating expenses were as follows:</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60" w:type="dxa"/>
            <w:vAlign w:val="bottom"/>
          </w:tcPr>
          <w:p>
            <w:pPr>
              <w:spacing w:after="0"/>
              <w:rPr>
                <w:sz w:val="16"/>
                <w:szCs w:val="16"/>
                <w:color w:val="auto"/>
              </w:rPr>
            </w:pPr>
          </w:p>
        </w:tc>
        <w:tc>
          <w:tcPr>
            <w:tcW w:w="2740" w:type="dxa"/>
            <w:vAlign w:val="bottom"/>
            <w:gridSpan w:val="4"/>
            <w:vMerge w:val="restart"/>
          </w:tcPr>
          <w:p>
            <w:pPr>
              <w:jc w:val="right"/>
              <w:ind w:right="20"/>
              <w:spacing w:after="0"/>
              <w:rPr>
                <w:sz w:val="20"/>
                <w:szCs w:val="20"/>
                <w:color w:val="auto"/>
              </w:rPr>
            </w:pPr>
            <w:r>
              <w:rPr>
                <w:rFonts w:ascii="Arial" w:cs="Arial" w:eastAsia="Arial" w:hAnsi="Arial"/>
                <w:sz w:val="16"/>
                <w:szCs w:val="16"/>
                <w:b w:val="1"/>
                <w:bCs w:val="1"/>
                <w:color w:val="auto"/>
              </w:rPr>
              <w:t>Three Months Ended June 30,</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Effect of Changes in</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3060" w:type="dxa"/>
            <w:vAlign w:val="bottom"/>
          </w:tcPr>
          <w:p>
            <w:pPr>
              <w:spacing w:after="0"/>
              <w:rPr>
                <w:sz w:val="10"/>
                <w:szCs w:val="10"/>
                <w:color w:val="auto"/>
              </w:rPr>
            </w:pPr>
          </w:p>
        </w:tc>
        <w:tc>
          <w:tcPr>
            <w:tcW w:w="2740" w:type="dxa"/>
            <w:vAlign w:val="bottom"/>
            <w:tcBorders>
              <w:bottom w:val="single" w:sz="8" w:color="auto"/>
            </w:tcBorders>
            <w:gridSpan w:val="4"/>
            <w:vMerge w:val="continue"/>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vMerge w:val="restart"/>
          </w:tcPr>
          <w:p>
            <w:pPr>
              <w:jc w:val="center"/>
              <w:ind w:right="19"/>
              <w:spacing w:after="0" w:line="162" w:lineRule="exact"/>
              <w:rPr>
                <w:sz w:val="20"/>
                <w:szCs w:val="20"/>
                <w:color w:val="auto"/>
              </w:rPr>
            </w:pPr>
            <w:r>
              <w:rPr>
                <w:rFonts w:ascii="Arial" w:cs="Arial" w:eastAsia="Arial" w:hAnsi="Arial"/>
                <w:sz w:val="16"/>
                <w:szCs w:val="16"/>
                <w:b w:val="1"/>
                <w:bCs w:val="1"/>
                <w:color w:val="auto"/>
                <w:w w:val="92"/>
              </w:rPr>
              <w:t>Foreign Currency</w:t>
            </w:r>
          </w:p>
        </w:tc>
        <w:tc>
          <w:tcPr>
            <w:tcW w:w="120" w:type="dxa"/>
            <w:vAlign w:val="bottom"/>
          </w:tcPr>
          <w:p>
            <w:pPr>
              <w:spacing w:after="0"/>
              <w:rPr>
                <w:sz w:val="10"/>
                <w:szCs w:val="10"/>
                <w:color w:val="auto"/>
              </w:rPr>
            </w:pPr>
          </w:p>
        </w:tc>
        <w:tc>
          <w:tcPr>
            <w:tcW w:w="1500" w:type="dxa"/>
            <w:vAlign w:val="bottom"/>
            <w:gridSpan w:val="2"/>
            <w:vMerge w:val="restart"/>
          </w:tcPr>
          <w:p>
            <w:pPr>
              <w:jc w:val="center"/>
              <w:spacing w:after="0" w:line="162" w:lineRule="exact"/>
              <w:rPr>
                <w:sz w:val="20"/>
                <w:szCs w:val="20"/>
                <w:color w:val="auto"/>
              </w:rPr>
            </w:pPr>
            <w:r>
              <w:rPr>
                <w:rFonts w:ascii="Arial" w:cs="Arial" w:eastAsia="Arial" w:hAnsi="Arial"/>
                <w:sz w:val="16"/>
                <w:szCs w:val="16"/>
                <w:b w:val="1"/>
                <w:bCs w:val="1"/>
                <w:color w:val="auto"/>
                <w:w w:val="93"/>
              </w:rPr>
              <w:t>Constant Currency</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306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0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2023</w:t>
            </w:r>
          </w:p>
        </w:tc>
        <w:tc>
          <w:tcPr>
            <w:tcW w:w="620" w:type="dxa"/>
            <w:vAlign w:val="bottom"/>
          </w:tcPr>
          <w:p>
            <w:pPr>
              <w:spacing w:after="0"/>
              <w:rPr>
                <w:sz w:val="2"/>
                <w:szCs w:val="2"/>
                <w:color w:val="auto"/>
              </w:rPr>
            </w:pPr>
          </w:p>
        </w:tc>
        <w:tc>
          <w:tcPr>
            <w:tcW w:w="1120" w:type="dxa"/>
            <w:vAlign w:val="bottom"/>
            <w:gridSpan w:val="2"/>
            <w:vMerge w:val="restart"/>
          </w:tcPr>
          <w:p>
            <w:pPr>
              <w:jc w:val="right"/>
              <w:ind w:right="40"/>
              <w:spacing w:after="0"/>
              <w:rPr>
                <w:sz w:val="20"/>
                <w:szCs w:val="20"/>
                <w:color w:val="auto"/>
              </w:rPr>
            </w:pPr>
            <w:r>
              <w:rPr>
                <w:rFonts w:ascii="Arial" w:cs="Arial" w:eastAsia="Arial" w:hAnsi="Arial"/>
                <w:sz w:val="16"/>
                <w:szCs w:val="16"/>
                <w:b w:val="1"/>
                <w:bCs w:val="1"/>
                <w:color w:val="auto"/>
              </w:rPr>
              <w:t>2022</w:t>
            </w: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vMerge w:val="restart"/>
          </w:tcPr>
          <w:p>
            <w:pPr>
              <w:jc w:val="right"/>
              <w:ind w:right="199"/>
              <w:spacing w:after="0"/>
              <w:rPr>
                <w:sz w:val="20"/>
                <w:szCs w:val="20"/>
                <w:color w:val="auto"/>
              </w:rPr>
            </w:pPr>
            <w:r>
              <w:rPr>
                <w:rFonts w:ascii="Arial" w:cs="Arial" w:eastAsia="Arial" w:hAnsi="Arial"/>
                <w:sz w:val="16"/>
                <w:szCs w:val="16"/>
                <w:b w:val="1"/>
                <w:bCs w:val="1"/>
                <w:color w:val="auto"/>
                <w:w w:val="98"/>
              </w:rPr>
              <w:t>Total Change</w:t>
            </w:r>
          </w:p>
        </w:tc>
        <w:tc>
          <w:tcPr>
            <w:tcW w:w="0" w:type="dxa"/>
            <w:vAlign w:val="bottom"/>
          </w:tcPr>
          <w:p>
            <w:pPr>
              <w:spacing w:after="0" w:line="20" w:lineRule="exact"/>
              <w:rPr>
                <w:sz w:val="1"/>
                <w:szCs w:val="1"/>
                <w:color w:val="auto"/>
              </w:rPr>
            </w:pPr>
          </w:p>
        </w:tc>
      </w:tr>
      <w:tr>
        <w:trPr>
          <w:trHeight w:val="213"/>
        </w:trPr>
        <w:tc>
          <w:tcPr>
            <w:tcW w:w="306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center"/>
              <w:ind w:right="39"/>
              <w:spacing w:after="0"/>
              <w:rPr>
                <w:sz w:val="20"/>
                <w:szCs w:val="20"/>
                <w:color w:val="auto"/>
              </w:rPr>
            </w:pPr>
            <w:r>
              <w:rPr>
                <w:rFonts w:ascii="Arial" w:cs="Arial" w:eastAsia="Arial" w:hAnsi="Arial"/>
                <w:sz w:val="16"/>
                <w:szCs w:val="16"/>
                <w:b w:val="1"/>
                <w:bCs w:val="1"/>
                <w:color w:val="auto"/>
                <w:w w:val="88"/>
              </w:rPr>
              <w:t>Exchange Rates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center"/>
              <w:ind w:right="199"/>
              <w:spacing w:after="0"/>
              <w:rPr>
                <w:sz w:val="20"/>
                <w:szCs w:val="20"/>
                <w:color w:val="auto"/>
              </w:rPr>
            </w:pPr>
            <w:r>
              <w:rPr>
                <w:rFonts w:ascii="Arial" w:cs="Arial" w:eastAsia="Arial" w:hAnsi="Arial"/>
                <w:sz w:val="16"/>
                <w:szCs w:val="16"/>
                <w:b w:val="1"/>
                <w:bCs w:val="1"/>
                <w:color w:val="auto"/>
                <w:w w:val="91"/>
              </w:rPr>
              <w:t>Change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i w:val="1"/>
                <w:iCs w:val="1"/>
                <w:color w:val="auto"/>
              </w:rPr>
              <w:t>Total Company</w:t>
            </w:r>
          </w:p>
        </w:tc>
        <w:tc>
          <w:tcPr>
            <w:tcW w:w="1000" w:type="dxa"/>
            <w:vAlign w:val="bottom"/>
            <w:tcBorders>
              <w:top w:val="single" w:sz="8" w:color="auto"/>
              <w:bottom w:val="single" w:sz="8" w:color="CCEEFF"/>
            </w:tcBorders>
          </w:tcPr>
          <w:p>
            <w:pPr>
              <w:spacing w:after="0"/>
              <w:rPr>
                <w:sz w:val="18"/>
                <w:szCs w:val="18"/>
                <w:color w:val="auto"/>
              </w:rPr>
            </w:pPr>
          </w:p>
        </w:tc>
        <w:tc>
          <w:tcPr>
            <w:tcW w:w="62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0" w:type="dxa"/>
            <w:vAlign w:val="bottom"/>
            <w:tcBorders>
              <w:top w:val="single" w:sz="8" w:color="auto"/>
              <w:bottom w:val="single" w:sz="8" w:color="CCEEFF"/>
            </w:tcBorders>
          </w:tcPr>
          <w:p>
            <w:pPr>
              <w:spacing w:after="0"/>
              <w:rPr>
                <w:sz w:val="18"/>
                <w:szCs w:val="18"/>
                <w:color w:val="auto"/>
              </w:rPr>
            </w:pPr>
          </w:p>
        </w:tc>
        <w:tc>
          <w:tcPr>
            <w:tcW w:w="62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38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CCEEFF"/>
            </w:tcBorders>
          </w:tcPr>
          <w:p>
            <w:pPr>
              <w:spacing w:after="0"/>
              <w:rPr>
                <w:sz w:val="18"/>
                <w:szCs w:val="18"/>
                <w:color w:val="auto"/>
              </w:rPr>
            </w:pPr>
          </w:p>
        </w:tc>
        <w:tc>
          <w:tcPr>
            <w:tcW w:w="122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CCEEFF"/>
            </w:tcBorders>
          </w:tcPr>
          <w:p>
            <w:pPr>
              <w:spacing w:after="0"/>
              <w:rPr>
                <w:sz w:val="18"/>
                <w:szCs w:val="18"/>
                <w:color w:val="auto"/>
              </w:rPr>
            </w:pPr>
          </w:p>
        </w:tc>
        <w:tc>
          <w:tcPr>
            <w:tcW w:w="130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Sales, general and administrative</w:t>
            </w:r>
          </w:p>
        </w:tc>
        <w:tc>
          <w:tcPr>
            <w:tcW w:w="100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79,079</w:t>
            </w:r>
          </w:p>
        </w:tc>
        <w:tc>
          <w:tcPr>
            <w:tcW w:w="1120" w:type="dxa"/>
            <w:vAlign w:val="bottom"/>
            <w:gridSpan w:val="2"/>
            <w:shd w:val="clear" w:color="auto" w:fill="CCEEFF"/>
          </w:tcPr>
          <w:p>
            <w:pPr>
              <w:jc w:val="right"/>
              <w:ind w:right="90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72,877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w:t>
            </w:r>
          </w:p>
        </w:tc>
        <w:tc>
          <w:tcPr>
            <w:tcW w:w="400" w:type="dxa"/>
            <w:vAlign w:val="bottom"/>
            <w:gridSpan w:val="2"/>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5,918</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6,202</w:t>
            </w:r>
          </w:p>
        </w:tc>
        <w:tc>
          <w:tcPr>
            <w:tcW w:w="0" w:type="dxa"/>
            <w:vAlign w:val="bottom"/>
          </w:tcPr>
          <w:p>
            <w:pPr>
              <w:spacing w:after="0"/>
              <w:rPr>
                <w:sz w:val="1"/>
                <w:szCs w:val="1"/>
                <w:color w:val="auto"/>
              </w:rPr>
            </w:pPr>
          </w:p>
        </w:tc>
      </w:tr>
      <w:tr>
        <w:trPr>
          <w:trHeight w:val="213"/>
        </w:trPr>
        <w:tc>
          <w:tcPr>
            <w:tcW w:w="3060" w:type="dxa"/>
            <w:vAlign w:val="bottom"/>
          </w:tcPr>
          <w:p>
            <w:pPr>
              <w:ind w:left="140"/>
              <w:spacing w:after="0"/>
              <w:rPr>
                <w:sz w:val="20"/>
                <w:szCs w:val="20"/>
                <w:color w:val="auto"/>
              </w:rPr>
            </w:pPr>
            <w:r>
              <w:rPr>
                <w:rFonts w:ascii="Arial" w:cs="Arial" w:eastAsia="Arial" w:hAnsi="Arial"/>
                <w:sz w:val="16"/>
                <w:szCs w:val="16"/>
                <w:color w:val="auto"/>
              </w:rPr>
              <w:t>Research and development</w:t>
            </w: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53,560</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45,055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8,432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8,505</w:t>
            </w:r>
          </w:p>
        </w:tc>
        <w:tc>
          <w:tcPr>
            <w:tcW w:w="0" w:type="dxa"/>
            <w:vAlign w:val="bottom"/>
          </w:tcPr>
          <w:p>
            <w:pPr>
              <w:spacing w:after="0"/>
              <w:rPr>
                <w:sz w:val="1"/>
                <w:szCs w:val="1"/>
                <w:color w:val="auto"/>
              </w:rPr>
            </w:pPr>
          </w:p>
        </w:tc>
      </w:tr>
      <w:tr>
        <w:trPr>
          <w:trHeight w:val="219"/>
        </w:trPr>
        <w:tc>
          <w:tcPr>
            <w:tcW w:w="3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Amortization of intangible assets</w:t>
            </w: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4,722</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6,485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(1,763)</w:t>
            </w:r>
          </w:p>
        </w:tc>
        <w:tc>
          <w:tcPr>
            <w:tcW w:w="0" w:type="dxa"/>
            <w:vAlign w:val="bottom"/>
          </w:tcPr>
          <w:p>
            <w:pPr>
              <w:spacing w:after="0"/>
              <w:rPr>
                <w:sz w:val="1"/>
                <w:szCs w:val="1"/>
                <w:color w:val="auto"/>
              </w:rPr>
            </w:pPr>
          </w:p>
        </w:tc>
      </w:tr>
      <w:tr>
        <w:trPr>
          <w:trHeight w:val="213"/>
        </w:trPr>
        <w:tc>
          <w:tcPr>
            <w:tcW w:w="3060" w:type="dxa"/>
            <w:vAlign w:val="bottom"/>
          </w:tcPr>
          <w:p>
            <w:pPr>
              <w:ind w:left="140"/>
              <w:spacing w:after="0"/>
              <w:rPr>
                <w:sz w:val="20"/>
                <w:szCs w:val="20"/>
                <w:color w:val="auto"/>
              </w:rPr>
            </w:pPr>
            <w:r>
              <w:rPr>
                <w:rFonts w:ascii="Arial" w:cs="Arial" w:eastAsia="Arial" w:hAnsi="Arial"/>
                <w:sz w:val="16"/>
                <w:szCs w:val="16"/>
                <w:color w:val="auto"/>
              </w:rPr>
              <w:t>Restructuring</w:t>
            </w: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874</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(3,459)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4,396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4,333</w:t>
            </w:r>
          </w:p>
        </w:tc>
        <w:tc>
          <w:tcPr>
            <w:tcW w:w="0" w:type="dxa"/>
            <w:vAlign w:val="bottom"/>
          </w:tcPr>
          <w:p>
            <w:pPr>
              <w:spacing w:after="0"/>
              <w:rPr>
                <w:sz w:val="1"/>
                <w:szCs w:val="1"/>
                <w:color w:val="auto"/>
              </w:rPr>
            </w:pPr>
          </w:p>
        </w:tc>
      </w:tr>
      <w:tr>
        <w:trPr>
          <w:trHeight w:val="219"/>
        </w:trPr>
        <w:tc>
          <w:tcPr>
            <w:tcW w:w="3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Loss on sale of business</w:t>
            </w: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612</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418</w:t>
            </w:r>
          </w:p>
        </w:tc>
        <w:tc>
          <w:tcPr>
            <w:tcW w:w="0" w:type="dxa"/>
            <w:vAlign w:val="bottom"/>
          </w:tcPr>
          <w:p>
            <w:pPr>
              <w:spacing w:after="0"/>
              <w:rPr>
                <w:sz w:val="1"/>
                <w:szCs w:val="1"/>
                <w:color w:val="auto"/>
              </w:rPr>
            </w:pPr>
          </w:p>
        </w:tc>
      </w:tr>
      <w:tr>
        <w:trPr>
          <w:trHeight w:val="213"/>
        </w:trPr>
        <w:tc>
          <w:tcPr>
            <w:tcW w:w="30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Goodwill impairment</w:t>
            </w:r>
          </w:p>
        </w:tc>
        <w:tc>
          <w:tcPr>
            <w:tcW w:w="10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38,480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281</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(38,761)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(38,480)</w:t>
            </w:r>
          </w:p>
        </w:tc>
        <w:tc>
          <w:tcPr>
            <w:tcW w:w="0" w:type="dxa"/>
            <w:vAlign w:val="bottom"/>
          </w:tcPr>
          <w:p>
            <w:pPr>
              <w:spacing w:after="0"/>
              <w:rPr>
                <w:sz w:val="1"/>
                <w:szCs w:val="1"/>
                <w:color w:val="auto"/>
              </w:rPr>
            </w:pPr>
          </w:p>
        </w:tc>
      </w:tr>
      <w:tr>
        <w:trPr>
          <w:trHeight w:val="230"/>
        </w:trPr>
        <w:tc>
          <w:tcPr>
            <w:tcW w:w="30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operating expenses</w:t>
            </w:r>
          </w:p>
        </w:tc>
        <w:tc>
          <w:tcPr>
            <w:tcW w:w="100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138,847</w:t>
            </w:r>
          </w:p>
        </w:tc>
        <w:tc>
          <w:tcPr>
            <w:tcW w:w="1120" w:type="dxa"/>
            <w:vAlign w:val="bottom"/>
            <w:gridSpan w:val="2"/>
            <w:shd w:val="clear" w:color="auto" w:fill="CCEEFF"/>
          </w:tcPr>
          <w:p>
            <w:pPr>
              <w:jc w:val="right"/>
              <w:ind w:right="90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159,632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580</w:t>
            </w:r>
          </w:p>
        </w:tc>
        <w:tc>
          <w:tcPr>
            <w:tcW w:w="400" w:type="dxa"/>
            <w:vAlign w:val="bottom"/>
            <w:gridSpan w:val="2"/>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(21,365)</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(20,785)</w:t>
            </w: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7"/>
        </w:trPr>
        <w:tc>
          <w:tcPr>
            <w:tcW w:w="3060" w:type="dxa"/>
            <w:vAlign w:val="bottom"/>
          </w:tcPr>
          <w:p>
            <w:pPr>
              <w:spacing w:after="0"/>
              <w:rPr>
                <w:sz w:val="24"/>
                <w:szCs w:val="24"/>
                <w:color w:val="auto"/>
              </w:rPr>
            </w:pPr>
          </w:p>
        </w:tc>
        <w:tc>
          <w:tcPr>
            <w:tcW w:w="2740" w:type="dxa"/>
            <w:vAlign w:val="bottom"/>
            <w:gridSpan w:val="4"/>
            <w:vMerge w:val="restart"/>
          </w:tcPr>
          <w:p>
            <w:pPr>
              <w:jc w:val="right"/>
              <w:ind w:right="120"/>
              <w:spacing w:after="0"/>
              <w:rPr>
                <w:sz w:val="20"/>
                <w:szCs w:val="20"/>
                <w:color w:val="auto"/>
              </w:rPr>
            </w:pPr>
            <w:r>
              <w:rPr>
                <w:rFonts w:ascii="Arial" w:cs="Arial" w:eastAsia="Arial" w:hAnsi="Arial"/>
                <w:sz w:val="16"/>
                <w:szCs w:val="16"/>
                <w:b w:val="1"/>
                <w:bCs w:val="1"/>
                <w:color w:val="auto"/>
              </w:rPr>
              <w:t>Six Months Ended June 30,</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Effect of Changes in</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060" w:type="dxa"/>
            <w:vAlign w:val="bottom"/>
          </w:tcPr>
          <w:p>
            <w:pPr>
              <w:spacing w:after="0"/>
              <w:rPr>
                <w:sz w:val="11"/>
                <w:szCs w:val="11"/>
                <w:color w:val="auto"/>
              </w:rPr>
            </w:pPr>
          </w:p>
        </w:tc>
        <w:tc>
          <w:tcPr>
            <w:tcW w:w="2740" w:type="dxa"/>
            <w:vAlign w:val="bottom"/>
            <w:tcBorders>
              <w:bottom w:val="single" w:sz="8" w:color="auto"/>
            </w:tcBorders>
            <w:gridSpan w:val="4"/>
            <w:vMerge w:val="continue"/>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tcPr>
          <w:p>
            <w:pPr>
              <w:jc w:val="center"/>
              <w:ind w:right="19"/>
              <w:spacing w:after="0" w:line="132" w:lineRule="exact"/>
              <w:rPr>
                <w:sz w:val="20"/>
                <w:szCs w:val="20"/>
                <w:color w:val="auto"/>
              </w:rPr>
            </w:pPr>
            <w:r>
              <w:rPr>
                <w:rFonts w:ascii="Arial" w:cs="Arial" w:eastAsia="Arial" w:hAnsi="Arial"/>
                <w:sz w:val="15"/>
                <w:szCs w:val="15"/>
                <w:b w:val="1"/>
                <w:bCs w:val="1"/>
                <w:color w:val="auto"/>
                <w:w w:val="99"/>
              </w:rPr>
              <w:t>Foreign Currency</w:t>
            </w:r>
          </w:p>
        </w:tc>
        <w:tc>
          <w:tcPr>
            <w:tcW w:w="120" w:type="dxa"/>
            <w:vAlign w:val="bottom"/>
          </w:tcPr>
          <w:p>
            <w:pPr>
              <w:spacing w:after="0"/>
              <w:rPr>
                <w:sz w:val="11"/>
                <w:szCs w:val="11"/>
                <w:color w:val="auto"/>
              </w:rPr>
            </w:pPr>
          </w:p>
        </w:tc>
        <w:tc>
          <w:tcPr>
            <w:tcW w:w="1500" w:type="dxa"/>
            <w:vAlign w:val="bottom"/>
            <w:gridSpan w:val="2"/>
          </w:tcPr>
          <w:p>
            <w:pPr>
              <w:jc w:val="center"/>
              <w:spacing w:after="0" w:line="132" w:lineRule="exact"/>
              <w:rPr>
                <w:sz w:val="20"/>
                <w:szCs w:val="20"/>
                <w:color w:val="auto"/>
              </w:rPr>
            </w:pPr>
            <w:r>
              <w:rPr>
                <w:rFonts w:ascii="Arial" w:cs="Arial" w:eastAsia="Arial" w:hAnsi="Arial"/>
                <w:sz w:val="15"/>
                <w:szCs w:val="15"/>
                <w:b w:val="1"/>
                <w:bCs w:val="1"/>
                <w:color w:val="auto"/>
                <w:w w:val="99"/>
              </w:rPr>
              <w:t>Constant Currency</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306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2023</w:t>
            </w:r>
          </w:p>
        </w:tc>
        <w:tc>
          <w:tcPr>
            <w:tcW w:w="6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2022</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center"/>
              <w:ind w:right="39"/>
              <w:spacing w:after="0"/>
              <w:rPr>
                <w:sz w:val="20"/>
                <w:szCs w:val="20"/>
                <w:color w:val="auto"/>
              </w:rPr>
            </w:pPr>
            <w:r>
              <w:rPr>
                <w:rFonts w:ascii="Arial" w:cs="Arial" w:eastAsia="Arial" w:hAnsi="Arial"/>
                <w:sz w:val="16"/>
                <w:szCs w:val="16"/>
                <w:b w:val="1"/>
                <w:bCs w:val="1"/>
                <w:color w:val="auto"/>
                <w:w w:val="88"/>
              </w:rPr>
              <w:t>Exchange Rates</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center"/>
              <w:ind w:right="199"/>
              <w:spacing w:after="0"/>
              <w:rPr>
                <w:sz w:val="20"/>
                <w:szCs w:val="20"/>
                <w:color w:val="auto"/>
              </w:rPr>
            </w:pPr>
            <w:r>
              <w:rPr>
                <w:rFonts w:ascii="Arial" w:cs="Arial" w:eastAsia="Arial" w:hAnsi="Arial"/>
                <w:sz w:val="16"/>
                <w:szCs w:val="16"/>
                <w:b w:val="1"/>
                <w:bCs w:val="1"/>
                <w:color w:val="auto"/>
                <w:w w:val="91"/>
              </w:rPr>
              <w:t>Change</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ind w:right="199"/>
              <w:spacing w:after="0"/>
              <w:rPr>
                <w:sz w:val="20"/>
                <w:szCs w:val="20"/>
                <w:color w:val="auto"/>
              </w:rPr>
            </w:pPr>
            <w:r>
              <w:rPr>
                <w:rFonts w:ascii="Arial" w:cs="Arial" w:eastAsia="Arial" w:hAnsi="Arial"/>
                <w:sz w:val="16"/>
                <w:szCs w:val="16"/>
                <w:b w:val="1"/>
                <w:bCs w:val="1"/>
                <w:color w:val="auto"/>
                <w:w w:val="98"/>
              </w:rPr>
              <w:t>Total Change</w:t>
            </w:r>
          </w:p>
        </w:tc>
        <w:tc>
          <w:tcPr>
            <w:tcW w:w="0" w:type="dxa"/>
            <w:vAlign w:val="bottom"/>
          </w:tcPr>
          <w:p>
            <w:pPr>
              <w:spacing w:after="0"/>
              <w:rPr>
                <w:sz w:val="1"/>
                <w:szCs w:val="1"/>
                <w:color w:val="auto"/>
              </w:rPr>
            </w:pPr>
          </w:p>
        </w:tc>
      </w:tr>
      <w:tr>
        <w:trPr>
          <w:trHeight w:val="209"/>
        </w:trPr>
        <w:tc>
          <w:tcPr>
            <w:tcW w:w="30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i w:val="1"/>
                <w:iCs w:val="1"/>
                <w:color w:val="auto"/>
              </w:rPr>
              <w:t>Total Company</w:t>
            </w:r>
          </w:p>
        </w:tc>
        <w:tc>
          <w:tcPr>
            <w:tcW w:w="10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Sales, general and administrative</w:t>
            </w:r>
          </w:p>
        </w:tc>
        <w:tc>
          <w:tcPr>
            <w:tcW w:w="100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154,600</w:t>
            </w:r>
          </w:p>
        </w:tc>
        <w:tc>
          <w:tcPr>
            <w:tcW w:w="1120" w:type="dxa"/>
            <w:vAlign w:val="bottom"/>
            <w:gridSpan w:val="2"/>
            <w:shd w:val="clear" w:color="auto" w:fill="CCEEFF"/>
          </w:tcPr>
          <w:p>
            <w:pPr>
              <w:jc w:val="right"/>
              <w:ind w:right="90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149,278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(696)</w:t>
            </w:r>
          </w:p>
        </w:tc>
        <w:tc>
          <w:tcPr>
            <w:tcW w:w="400" w:type="dxa"/>
            <w:vAlign w:val="bottom"/>
            <w:gridSpan w:val="2"/>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6,018</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5,322</w:t>
            </w:r>
          </w:p>
        </w:tc>
        <w:tc>
          <w:tcPr>
            <w:tcW w:w="0" w:type="dxa"/>
            <w:vAlign w:val="bottom"/>
          </w:tcPr>
          <w:p>
            <w:pPr>
              <w:spacing w:after="0"/>
              <w:rPr>
                <w:sz w:val="1"/>
                <w:szCs w:val="1"/>
                <w:color w:val="auto"/>
              </w:rPr>
            </w:pPr>
          </w:p>
        </w:tc>
      </w:tr>
      <w:tr>
        <w:trPr>
          <w:trHeight w:val="213"/>
        </w:trPr>
        <w:tc>
          <w:tcPr>
            <w:tcW w:w="3060" w:type="dxa"/>
            <w:vAlign w:val="bottom"/>
          </w:tcPr>
          <w:p>
            <w:pPr>
              <w:ind w:left="140"/>
              <w:spacing w:after="0"/>
              <w:rPr>
                <w:sz w:val="20"/>
                <w:szCs w:val="20"/>
                <w:color w:val="auto"/>
              </w:rPr>
            </w:pPr>
            <w:r>
              <w:rPr>
                <w:rFonts w:ascii="Arial" w:cs="Arial" w:eastAsia="Arial" w:hAnsi="Arial"/>
                <w:sz w:val="16"/>
                <w:szCs w:val="16"/>
                <w:color w:val="auto"/>
              </w:rPr>
              <w:t>Research and development</w:t>
            </w: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w w:val="93"/>
              </w:rPr>
              <w:t>103,125</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94,651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(431)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8,905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8,474</w:t>
            </w:r>
          </w:p>
        </w:tc>
        <w:tc>
          <w:tcPr>
            <w:tcW w:w="0" w:type="dxa"/>
            <w:vAlign w:val="bottom"/>
          </w:tcPr>
          <w:p>
            <w:pPr>
              <w:spacing w:after="0"/>
              <w:rPr>
                <w:sz w:val="1"/>
                <w:szCs w:val="1"/>
                <w:color w:val="auto"/>
              </w:rPr>
            </w:pPr>
          </w:p>
        </w:tc>
      </w:tr>
      <w:tr>
        <w:trPr>
          <w:trHeight w:val="219"/>
        </w:trPr>
        <w:tc>
          <w:tcPr>
            <w:tcW w:w="3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Amortization of intangible assets</w:t>
            </w: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9,770</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13,038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(3,268)</w:t>
            </w:r>
          </w:p>
        </w:tc>
        <w:tc>
          <w:tcPr>
            <w:tcW w:w="0" w:type="dxa"/>
            <w:vAlign w:val="bottom"/>
          </w:tcPr>
          <w:p>
            <w:pPr>
              <w:spacing w:after="0"/>
              <w:rPr>
                <w:sz w:val="1"/>
                <w:szCs w:val="1"/>
                <w:color w:val="auto"/>
              </w:rPr>
            </w:pPr>
          </w:p>
        </w:tc>
      </w:tr>
      <w:tr>
        <w:trPr>
          <w:trHeight w:val="213"/>
        </w:trPr>
        <w:tc>
          <w:tcPr>
            <w:tcW w:w="3060" w:type="dxa"/>
            <w:vAlign w:val="bottom"/>
          </w:tcPr>
          <w:p>
            <w:pPr>
              <w:ind w:left="140"/>
              <w:spacing w:after="0"/>
              <w:rPr>
                <w:sz w:val="20"/>
                <w:szCs w:val="20"/>
                <w:color w:val="auto"/>
              </w:rPr>
            </w:pPr>
            <w:r>
              <w:rPr>
                <w:rFonts w:ascii="Arial" w:cs="Arial" w:eastAsia="Arial" w:hAnsi="Arial"/>
                <w:sz w:val="16"/>
                <w:szCs w:val="16"/>
                <w:color w:val="auto"/>
              </w:rPr>
              <w:t>Restructuring</w:t>
            </w: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37,483</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(9,825)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47,365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47,308</w:t>
            </w:r>
          </w:p>
        </w:tc>
        <w:tc>
          <w:tcPr>
            <w:tcW w:w="0" w:type="dxa"/>
            <w:vAlign w:val="bottom"/>
          </w:tcPr>
          <w:p>
            <w:pPr>
              <w:spacing w:after="0"/>
              <w:rPr>
                <w:sz w:val="1"/>
                <w:szCs w:val="1"/>
                <w:color w:val="auto"/>
              </w:rPr>
            </w:pPr>
          </w:p>
        </w:tc>
      </w:tr>
      <w:tr>
        <w:trPr>
          <w:trHeight w:val="219"/>
        </w:trPr>
        <w:tc>
          <w:tcPr>
            <w:tcW w:w="3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Loss on sale of business</w:t>
            </w: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630</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(1,785)</w:t>
            </w:r>
          </w:p>
        </w:tc>
        <w:tc>
          <w:tcPr>
            <w:tcW w:w="0" w:type="dxa"/>
            <w:vAlign w:val="bottom"/>
          </w:tcPr>
          <w:p>
            <w:pPr>
              <w:spacing w:after="0"/>
              <w:rPr>
                <w:sz w:val="1"/>
                <w:szCs w:val="1"/>
                <w:color w:val="auto"/>
              </w:rPr>
            </w:pPr>
          </w:p>
        </w:tc>
      </w:tr>
      <w:tr>
        <w:trPr>
          <w:trHeight w:val="213"/>
        </w:trPr>
        <w:tc>
          <w:tcPr>
            <w:tcW w:w="3060" w:type="dxa"/>
            <w:vAlign w:val="bottom"/>
          </w:tcPr>
          <w:p>
            <w:pPr>
              <w:ind w:left="140"/>
              <w:spacing w:after="0"/>
              <w:rPr>
                <w:sz w:val="20"/>
                <w:szCs w:val="20"/>
                <w:color w:val="auto"/>
              </w:rPr>
            </w:pPr>
            <w:r>
              <w:rPr>
                <w:rFonts w:ascii="Arial" w:cs="Arial" w:eastAsia="Arial" w:hAnsi="Arial"/>
                <w:sz w:val="16"/>
                <w:szCs w:val="16"/>
                <w:color w:val="auto"/>
              </w:rPr>
              <w:t>Goodwill impairment</w:t>
            </w:r>
          </w:p>
        </w:tc>
        <w:tc>
          <w:tcPr>
            <w:tcW w:w="10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38,480</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281</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(38,761)</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(38,480)</w:t>
            </w:r>
          </w:p>
        </w:tc>
        <w:tc>
          <w:tcPr>
            <w:tcW w:w="0" w:type="dxa"/>
            <w:vAlign w:val="bottom"/>
          </w:tcPr>
          <w:p>
            <w:pPr>
              <w:spacing w:after="0"/>
              <w:rPr>
                <w:sz w:val="1"/>
                <w:szCs w:val="1"/>
                <w:color w:val="auto"/>
              </w:rPr>
            </w:pPr>
          </w:p>
        </w:tc>
      </w:tr>
      <w:tr>
        <w:trPr>
          <w:trHeight w:val="229"/>
        </w:trPr>
        <w:tc>
          <w:tcPr>
            <w:tcW w:w="30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operating expenses</w:t>
            </w:r>
          </w:p>
        </w:tc>
        <w:tc>
          <w:tcPr>
            <w:tcW w:w="100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305,608</w:t>
            </w:r>
          </w:p>
        </w:tc>
        <w:tc>
          <w:tcPr>
            <w:tcW w:w="1120" w:type="dxa"/>
            <w:vAlign w:val="bottom"/>
            <w:gridSpan w:val="2"/>
            <w:shd w:val="clear" w:color="auto" w:fill="CCEEFF"/>
          </w:tcPr>
          <w:p>
            <w:pPr>
              <w:jc w:val="right"/>
              <w:ind w:right="90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288,037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1,538</w:t>
            </w:r>
          </w:p>
        </w:tc>
        <w:tc>
          <w:tcPr>
            <w:tcW w:w="400" w:type="dxa"/>
            <w:vAlign w:val="bottom"/>
            <w:gridSpan w:val="2"/>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16,033</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17,571</w:t>
            </w: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expenses decreased $20.8 million for the second quarter of 2023 as compared with the same period in 2022. This was primarily the result of $38.5 million in goodwill impairment recognized in 2022, partially offset by an increase of $8.5 million in research and development expenses and $6.2 million in sales, general and administrative expenses. The increase in research and development and sales, general and administrative expenses were primarily driven by increased labor costs, including variable compensation.</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Operating expenses increased $17.6 million for the six months ended as compared with the same period in 2022. This was primarily the result of a $47.3 million increase in restructuring costs, of which $39.4 million was related to the 2023 Projects, as well an increase of $8.5 million in research and development expenses and a $5.3 million increase in sales, general and administrative expenses. The increase in research and development and sales, general and administrative expenses were primarily driven by increased labor costs, including variable compensation. The increase was partially offset by $38.5 million in</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7"/>
          <w:szCs w:val="17"/>
          <w:color w:val="auto"/>
        </w:rPr>
        <w:t>goodwill impairment recognized in 2022 and a $3.3 million decrease in amortization. For additional details, refer to Item 1: Financial Statements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(Unaudited), Note 12: Restructuring included in this Quarterly Report on Form 10-Q.</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components of other income (expense):</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880" w:type="dxa"/>
            <w:vAlign w:val="bottom"/>
          </w:tcPr>
          <w:p>
            <w:pPr>
              <w:spacing w:after="0"/>
              <w:rPr>
                <w:sz w:val="18"/>
                <w:szCs w:val="18"/>
                <w:color w:val="auto"/>
              </w:rPr>
            </w:pPr>
          </w:p>
        </w:tc>
        <w:tc>
          <w:tcPr>
            <w:tcW w:w="266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June 30,</w:t>
            </w:r>
          </w:p>
        </w:tc>
        <w:tc>
          <w:tcPr>
            <w:tcW w:w="5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3"/>
          </w:tcPr>
          <w:p>
            <w:pPr>
              <w:ind w:left="260"/>
              <w:spacing w:after="0"/>
              <w:rPr>
                <w:sz w:val="20"/>
                <w:szCs w:val="20"/>
                <w:color w:val="auto"/>
              </w:rPr>
            </w:pPr>
            <w:r>
              <w:rPr>
                <w:rFonts w:ascii="Arial" w:cs="Arial" w:eastAsia="Arial" w:hAnsi="Arial"/>
                <w:sz w:val="16"/>
                <w:szCs w:val="16"/>
                <w:b w:val="1"/>
                <w:bCs w:val="1"/>
                <w:color w:val="auto"/>
                <w:w w:val="92"/>
              </w:rPr>
              <w:t>Six Months Ended June 30,</w:t>
            </w:r>
          </w:p>
        </w:tc>
        <w:tc>
          <w:tcPr>
            <w:tcW w:w="5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6"/>
        </w:trPr>
        <w:tc>
          <w:tcPr>
            <w:tcW w:w="288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54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2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 Change</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4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 Change</w:t>
            </w:r>
          </w:p>
        </w:tc>
      </w:tr>
      <w:tr>
        <w:trPr>
          <w:trHeight w:val="213"/>
        </w:trPr>
        <w:tc>
          <w:tcPr>
            <w:tcW w:w="2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980" w:type="dxa"/>
            <w:vAlign w:val="bottom"/>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1,508</w:t>
            </w:r>
          </w:p>
        </w:tc>
        <w:tc>
          <w:tcPr>
            <w:tcW w:w="1140" w:type="dxa"/>
            <w:vAlign w:val="bottom"/>
            <w:gridSpan w:val="2"/>
            <w:shd w:val="clear" w:color="auto" w:fill="CCEEFF"/>
          </w:tcPr>
          <w:p>
            <w:pPr>
              <w:jc w:val="right"/>
              <w:ind w:right="839"/>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NM</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center"/>
              <w:ind w:left="579"/>
              <w:spacing w:after="0"/>
              <w:rPr>
                <w:sz w:val="20"/>
                <w:szCs w:val="20"/>
                <w:color w:val="auto"/>
              </w:rPr>
            </w:pPr>
            <w:r>
              <w:rPr>
                <w:rFonts w:ascii="Arial" w:cs="Arial" w:eastAsia="Arial" w:hAnsi="Arial"/>
                <w:sz w:val="16"/>
                <w:szCs w:val="16"/>
                <w:color w:val="auto"/>
                <w:w w:val="89"/>
              </w:rPr>
              <w:t>3,326</w:t>
            </w:r>
          </w:p>
        </w:tc>
        <w:tc>
          <w:tcPr>
            <w:tcW w:w="1060" w:type="dxa"/>
            <w:vAlign w:val="bottom"/>
            <w:gridSpan w:val="2"/>
            <w:shd w:val="clear" w:color="auto" w:fill="CCEEFF"/>
          </w:tcPr>
          <w:p>
            <w:pPr>
              <w:jc w:val="right"/>
              <w:ind w:right="759"/>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566</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NM</w:t>
            </w:r>
          </w:p>
        </w:tc>
      </w:tr>
      <w:tr>
        <w:trPr>
          <w:trHeight w:val="207"/>
        </w:trPr>
        <w:tc>
          <w:tcPr>
            <w:tcW w:w="2880" w:type="dxa"/>
            <w:vAlign w:val="bottom"/>
          </w:tcPr>
          <w:p>
            <w:pPr>
              <w:ind w:left="140"/>
              <w:spacing w:after="0"/>
              <w:rPr>
                <w:sz w:val="20"/>
                <w:szCs w:val="20"/>
                <w:color w:val="auto"/>
              </w:rPr>
            </w:pPr>
            <w:r>
              <w:rPr>
                <w:rFonts w:ascii="Arial" w:cs="Arial" w:eastAsia="Arial" w:hAnsi="Arial"/>
                <w:sz w:val="16"/>
                <w:szCs w:val="16"/>
                <w:color w:val="auto"/>
              </w:rPr>
              <w:t>Amortization of prepaid debt fees</w:t>
            </w:r>
          </w:p>
        </w:tc>
        <w:tc>
          <w:tcPr>
            <w:tcW w:w="98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(931)</w:t>
            </w:r>
          </w:p>
        </w:tc>
        <w:tc>
          <w:tcPr>
            <w:tcW w:w="14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(880)</w:t>
            </w:r>
          </w:p>
        </w:tc>
        <w:tc>
          <w:tcPr>
            <w:tcW w:w="100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6%</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center"/>
              <w:ind w:left="539"/>
              <w:spacing w:after="0"/>
              <w:rPr>
                <w:sz w:val="20"/>
                <w:szCs w:val="20"/>
                <w:color w:val="auto"/>
              </w:rPr>
            </w:pPr>
            <w:r>
              <w:rPr>
                <w:rFonts w:ascii="Arial" w:cs="Arial" w:eastAsia="Arial" w:hAnsi="Arial"/>
                <w:sz w:val="16"/>
                <w:szCs w:val="16"/>
                <w:color w:val="auto"/>
                <w:w w:val="94"/>
              </w:rPr>
              <w:t>(1,820)</w:t>
            </w:r>
          </w:p>
        </w:tc>
        <w:tc>
          <w:tcPr>
            <w:tcW w:w="12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8"/>
              </w:rPr>
              <w:t>(1,720)</w:t>
            </w:r>
          </w:p>
        </w:tc>
        <w:tc>
          <w:tcPr>
            <w:tcW w:w="1000" w:type="dxa"/>
            <w:vAlign w:val="bottom"/>
            <w:gridSpan w:val="2"/>
          </w:tcPr>
          <w:p>
            <w:pPr>
              <w:jc w:val="center"/>
              <w:ind w:left="39"/>
              <w:spacing w:after="0"/>
              <w:rPr>
                <w:sz w:val="20"/>
                <w:szCs w:val="20"/>
                <w:color w:val="auto"/>
              </w:rPr>
            </w:pPr>
            <w:r>
              <w:rPr>
                <w:rFonts w:ascii="Arial" w:cs="Arial" w:eastAsia="Arial" w:hAnsi="Arial"/>
                <w:sz w:val="16"/>
                <w:szCs w:val="16"/>
                <w:color w:val="auto"/>
                <w:w w:val="86"/>
              </w:rPr>
              <w:t>6%</w:t>
            </w:r>
          </w:p>
        </w:tc>
      </w:tr>
      <w:tr>
        <w:trPr>
          <w:trHeight w:val="219"/>
        </w:trPr>
        <w:tc>
          <w:tcPr>
            <w:tcW w:w="28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interest expense</w:t>
            </w:r>
          </w:p>
        </w:tc>
        <w:tc>
          <w:tcPr>
            <w:tcW w:w="9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(1,046)</w:t>
            </w:r>
          </w:p>
        </w:tc>
        <w:tc>
          <w:tcPr>
            <w:tcW w:w="14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(780)</w:t>
            </w:r>
          </w:p>
        </w:tc>
        <w:tc>
          <w:tcPr>
            <w:tcW w:w="100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3"/>
              </w:rPr>
              <w:t>34%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center"/>
              <w:ind w:left="539"/>
              <w:spacing w:after="0"/>
              <w:rPr>
                <w:sz w:val="20"/>
                <w:szCs w:val="20"/>
                <w:color w:val="auto"/>
              </w:rPr>
            </w:pPr>
            <w:r>
              <w:rPr>
                <w:rFonts w:ascii="Arial" w:cs="Arial" w:eastAsia="Arial" w:hAnsi="Arial"/>
                <w:sz w:val="16"/>
                <w:szCs w:val="16"/>
                <w:color w:val="auto"/>
                <w:w w:val="94"/>
              </w:rPr>
              <w:t>(2,214)</w:t>
            </w:r>
          </w:p>
        </w:tc>
        <w:tc>
          <w:tcPr>
            <w:tcW w:w="12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(1,532)</w:t>
            </w:r>
          </w:p>
        </w:tc>
        <w:tc>
          <w:tcPr>
            <w:tcW w:w="100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87"/>
              </w:rPr>
              <w:t>45%</w:t>
            </w:r>
          </w:p>
        </w:tc>
      </w:tr>
      <w:tr>
        <w:trPr>
          <w:trHeight w:val="206"/>
        </w:trPr>
        <w:tc>
          <w:tcPr>
            <w:tcW w:w="288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9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98"/>
              </w:rPr>
              <w:t>(1,977)</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94"/>
              </w:rPr>
              <w:t>(1,660)</w:t>
            </w:r>
          </w:p>
        </w:tc>
        <w:tc>
          <w:tcPr>
            <w:tcW w:w="1000" w:type="dxa"/>
            <w:vAlign w:val="bottom"/>
            <w:gridSpan w:val="2"/>
          </w:tcPr>
          <w:p>
            <w:pPr>
              <w:jc w:val="center"/>
              <w:ind w:left="19"/>
              <w:spacing w:after="0"/>
              <w:rPr>
                <w:sz w:val="20"/>
                <w:szCs w:val="20"/>
                <w:color w:val="auto"/>
              </w:rPr>
            </w:pPr>
            <w:r>
              <w:rPr>
                <w:rFonts w:ascii="Arial" w:cs="Arial" w:eastAsia="Arial" w:hAnsi="Arial"/>
                <w:sz w:val="16"/>
                <w:szCs w:val="16"/>
                <w:color w:val="auto"/>
                <w:w w:val="93"/>
              </w:rPr>
              <w:t>19%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center"/>
              <w:ind w:left="539"/>
              <w:spacing w:after="0"/>
              <w:rPr>
                <w:sz w:val="20"/>
                <w:szCs w:val="20"/>
                <w:color w:val="auto"/>
              </w:rPr>
            </w:pPr>
            <w:r>
              <w:rPr>
                <w:rFonts w:ascii="Arial" w:cs="Arial" w:eastAsia="Arial" w:hAnsi="Arial"/>
                <w:sz w:val="16"/>
                <w:szCs w:val="16"/>
                <w:color w:val="auto"/>
                <w:w w:val="94"/>
              </w:rPr>
              <w:t>(4,034)</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98"/>
              </w:rPr>
              <w:t>(3,252)</w:t>
            </w:r>
          </w:p>
        </w:tc>
        <w:tc>
          <w:tcPr>
            <w:tcW w:w="1000" w:type="dxa"/>
            <w:vAlign w:val="bottom"/>
            <w:gridSpan w:val="2"/>
          </w:tcPr>
          <w:p>
            <w:pPr>
              <w:jc w:val="center"/>
              <w:ind w:left="39"/>
              <w:spacing w:after="0"/>
              <w:rPr>
                <w:sz w:val="20"/>
                <w:szCs w:val="20"/>
                <w:color w:val="auto"/>
              </w:rPr>
            </w:pPr>
            <w:r>
              <w:rPr>
                <w:rFonts w:ascii="Arial" w:cs="Arial" w:eastAsia="Arial" w:hAnsi="Arial"/>
                <w:sz w:val="16"/>
                <w:szCs w:val="16"/>
                <w:color w:val="auto"/>
                <w:w w:val="87"/>
              </w:rPr>
              <w:t>24%</w:t>
            </w:r>
          </w:p>
        </w:tc>
      </w:tr>
      <w:tr>
        <w:trPr>
          <w:trHeight w:val="219"/>
        </w:trPr>
        <w:tc>
          <w:tcPr>
            <w:tcW w:w="2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 net</w:t>
            </w:r>
          </w:p>
        </w:tc>
        <w:tc>
          <w:tcPr>
            <w:tcW w:w="9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(333)</w:t>
            </w:r>
          </w:p>
        </w:tc>
        <w:tc>
          <w:tcPr>
            <w:tcW w:w="14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(1,386)</w:t>
            </w:r>
          </w:p>
        </w:tc>
        <w:tc>
          <w:tcPr>
            <w:tcW w:w="100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8"/>
              </w:rPr>
              <w:t>(76)%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center"/>
              <w:ind w:left="539"/>
              <w:spacing w:after="0"/>
              <w:rPr>
                <w:sz w:val="20"/>
                <w:szCs w:val="20"/>
                <w:color w:val="auto"/>
              </w:rPr>
            </w:pPr>
            <w:r>
              <w:rPr>
                <w:rFonts w:ascii="Arial" w:cs="Arial" w:eastAsia="Arial" w:hAnsi="Arial"/>
                <w:sz w:val="16"/>
                <w:szCs w:val="16"/>
                <w:color w:val="auto"/>
                <w:w w:val="94"/>
              </w:rPr>
              <w:t>(1,808)</w:t>
            </w:r>
          </w:p>
        </w:tc>
        <w:tc>
          <w:tcPr>
            <w:tcW w:w="12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(2,075)</w:t>
            </w: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(13)%</w:t>
            </w:r>
          </w:p>
        </w:tc>
      </w:tr>
      <w:tr>
        <w:trPr>
          <w:trHeight w:val="210"/>
        </w:trPr>
        <w:tc>
          <w:tcPr>
            <w:tcW w:w="2880" w:type="dxa"/>
            <w:vAlign w:val="bottom"/>
          </w:tcPr>
          <w:p>
            <w:pPr>
              <w:ind w:left="360"/>
              <w:spacing w:after="0"/>
              <w:rPr>
                <w:sz w:val="20"/>
                <w:szCs w:val="20"/>
                <w:color w:val="auto"/>
              </w:rPr>
            </w:pPr>
            <w:r>
              <w:rPr>
                <w:rFonts w:ascii="Arial" w:cs="Arial" w:eastAsia="Arial" w:hAnsi="Arial"/>
                <w:sz w:val="16"/>
                <w:szCs w:val="16"/>
                <w:color w:val="auto"/>
              </w:rPr>
              <w:t>Total other income (expense)</w:t>
            </w:r>
          </w:p>
        </w:tc>
        <w:tc>
          <w:tcPr>
            <w:tcW w:w="980" w:type="dxa"/>
            <w:vAlign w:val="bottom"/>
          </w:tcPr>
          <w:p>
            <w:pPr>
              <w:jc w:val="right"/>
              <w:ind w:right="799"/>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(802)</w:t>
            </w:r>
          </w:p>
        </w:tc>
        <w:tc>
          <w:tcPr>
            <w:tcW w:w="1140" w:type="dxa"/>
            <w:vAlign w:val="bottom"/>
            <w:gridSpan w:val="2"/>
          </w:tcPr>
          <w:p>
            <w:pPr>
              <w:jc w:val="right"/>
              <w:ind w:right="839"/>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w w:val="94"/>
              </w:rPr>
              <w:t>(2,697)</w:t>
            </w:r>
          </w:p>
        </w:tc>
        <w:tc>
          <w:tcPr>
            <w:tcW w:w="1000" w:type="dxa"/>
            <w:vAlign w:val="bottom"/>
            <w:gridSpan w:val="2"/>
          </w:tcPr>
          <w:p>
            <w:pPr>
              <w:jc w:val="center"/>
              <w:ind w:left="19"/>
              <w:spacing w:after="0"/>
              <w:rPr>
                <w:sz w:val="20"/>
                <w:szCs w:val="20"/>
                <w:color w:val="auto"/>
              </w:rPr>
            </w:pPr>
            <w:r>
              <w:rPr>
                <w:rFonts w:ascii="Arial" w:cs="Arial" w:eastAsia="Arial" w:hAnsi="Arial"/>
                <w:sz w:val="16"/>
                <w:szCs w:val="16"/>
                <w:color w:val="auto"/>
                <w:w w:val="98"/>
              </w:rPr>
              <w:t>(70)%</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center"/>
              <w:ind w:left="539"/>
              <w:spacing w:after="0"/>
              <w:rPr>
                <w:sz w:val="20"/>
                <w:szCs w:val="20"/>
                <w:color w:val="auto"/>
              </w:rPr>
            </w:pPr>
            <w:r>
              <w:rPr>
                <w:rFonts w:ascii="Arial" w:cs="Arial" w:eastAsia="Arial" w:hAnsi="Arial"/>
                <w:sz w:val="16"/>
                <w:szCs w:val="16"/>
                <w:color w:val="auto"/>
                <w:w w:val="94"/>
              </w:rPr>
              <w:t>(2,516)</w:t>
            </w:r>
          </w:p>
        </w:tc>
        <w:tc>
          <w:tcPr>
            <w:tcW w:w="1060" w:type="dxa"/>
            <w:vAlign w:val="bottom"/>
            <w:gridSpan w:val="2"/>
          </w:tcPr>
          <w:p>
            <w:pPr>
              <w:jc w:val="right"/>
              <w:ind w:right="759"/>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w w:val="98"/>
              </w:rPr>
              <w:t>(4,761)</w:t>
            </w:r>
          </w:p>
        </w:tc>
        <w:tc>
          <w:tcPr>
            <w:tcW w:w="1000" w:type="dxa"/>
            <w:vAlign w:val="bottom"/>
            <w:gridSpan w:val="2"/>
          </w:tcPr>
          <w:p>
            <w:pPr>
              <w:jc w:val="center"/>
              <w:ind w:left="39"/>
              <w:spacing w:after="0"/>
              <w:rPr>
                <w:sz w:val="20"/>
                <w:szCs w:val="20"/>
                <w:color w:val="auto"/>
              </w:rPr>
            </w:pPr>
            <w:r>
              <w:rPr>
                <w:rFonts w:ascii="Arial" w:cs="Arial" w:eastAsia="Arial" w:hAnsi="Arial"/>
                <w:sz w:val="16"/>
                <w:szCs w:val="16"/>
                <w:color w:val="auto"/>
                <w:w w:val="93"/>
              </w:rPr>
              <w:t>(47)%</w:t>
            </w:r>
          </w:p>
        </w:tc>
      </w:tr>
      <w:tr>
        <w:trPr>
          <w:trHeight w:val="20"/>
        </w:trPr>
        <w:tc>
          <w:tcPr>
            <w:tcW w:w="28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other income (expense) for the three and six months ended June 30, 2023 was a net expense of $0.8 million and $2.5 million, compared with net expense of $2.7 million and $4.8 million in the same period in 2022.</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lower net expense for the three months ended June 30, 2023, as compared with the same period in 2022, was primarily driven by the $1.2 million increase in interest income.</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lower net expense for the six months ended June 30, 2023, as compared with the same period in 2022, was primarily driven by the $2.8 million increase in interest income.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Provision</w:t>
      </w:r>
    </w:p>
    <w:p>
      <w:pPr>
        <w:spacing w:after="0" w:line="25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For the three and six months ended June 30, 2023, our income tax benefit was $9.2 million and $9.1 million, compared with income tax expense of $0.6 million and $4.5 million for the same period in 2022. Our tax rate for the three and six months ended June 30, 2023 of 27% and 41%, differed from the federal statutory rate of 21% due to the impact of valuation allowances on deferred tax assets, the forecasted mix of earnings in domestic and international jurisdictions, U.S. taxation of foreign earnings including GILTI (Global Intangible Low Taxed Income), net of Section 250 deduction, Subpart F income, an expense related to stock-based compensation, tax credits, and uncertain tax positions. Our tax rate for the three and six months ended June 30, 2022 of (2)% and (14)% differed from the federal statutory rate of 21% primarily due to the impact of valuation allowances on deferred tax assets, the forecasted mix of earnings in domestic and international jurisdictions, GILTI (Global Intangible Low-Taxed Income) and Subpart F tax, net of Section 250 deduction (largely driven by research and development capitalization), discrete tax expense related to the Dresser divestiture, a discrete tax benefit due to goodwill impairment, an expense related to stock-based compensation, tax credits, and uncertain tax positions.</w:t>
      </w:r>
    </w:p>
    <w:p>
      <w:pPr>
        <w:spacing w:after="0" w:line="19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Beginning January 1, 2022, the Tax Cuts and Jobs Act of 2017 eliminated the option to deduct research and development expenditures currently and requires taxpayers to capitalize and amortize them over five or fifteen years, dependent upon the geography in which the expenditures are incurred. Although Congress has considered legislation that would defer, modify, or repeal the capitalization and amortization requirement, as of quarter end no such deferral has been passed. The income tax provision has been prepared according to currently enacted tax legislation.</w:t>
      </w:r>
    </w:p>
    <w:p>
      <w:pPr>
        <w:spacing w:after="0" w:line="19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August 2022, the Inflation Reduction Act was signed into law, which made a number of changes to the Internal Revenue Code, including adding a 1% excise tax on stock buybacks by publicly traded corporations and a 15% minimum tax on adjusted financial statement income of certain large companies. We are subject to the new 1% excise tax beginning January 1, 2023, but the amount will vary depending upon various factors. The 15% minimum tax only applies to corporations with average book income in excess of $1 billion, therefore it is not currently applicable.</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Organization for Economic Cooperation and Development (OECD) Pillar 2 global minimum tax rules are intended to apply for tax years beginning in 2024. On February 1, 2023, the Financial Accounting Standards Board (FASB) staff noted that they believe that the Pillar 2 tax would be an alternative minimum tax and therefore deferred tax assets would not need to be recognized related to this parallel taxing system. On February 2, 2023, the OECD issued administrative guidance providing transition and safe harbor rules around the implementation of the Pillar 2 global minimum tax. Under a transitional safe harbor released July 17, 2023, the undertaxed profits rule (UTPR) top-up tax in the jurisdiction of a company's ultimate parent entity will be zero for each fiscal year of the transition period, if that jurisdiction has a corporate tax rate of at least 20%. The safe harbor transition period will apply to fiscal years beginning on or before Dec. 31, 2025 and ending before Dec. 31, 2026. The Company is closely monitoring developments and evaluating the impacts these new rules will have on our tax rate, including eligibility to qualify for these safe harbor rules.</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additional discussion related to income taxes, see Item 1: Financial Statements (Unaudited), Note 10: Income Taxes included in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Segment Results</w:t>
      </w:r>
    </w:p>
    <w:p>
      <w:pPr>
        <w:spacing w:after="0" w:line="256" w:lineRule="exact"/>
        <w:rPr>
          <w:sz w:val="20"/>
          <w:szCs w:val="20"/>
          <w:color w:val="auto"/>
        </w:rPr>
      </w:pPr>
    </w:p>
    <w:p>
      <w:pPr>
        <w:spacing w:after="0" w:line="308" w:lineRule="auto"/>
        <w:rPr>
          <w:sz w:val="20"/>
          <w:szCs w:val="20"/>
          <w:color w:val="auto"/>
        </w:rPr>
      </w:pPr>
      <w:r>
        <w:rPr>
          <w:rFonts w:ascii="Arial" w:cs="Arial" w:eastAsia="Arial" w:hAnsi="Arial"/>
          <w:sz w:val="16"/>
          <w:szCs w:val="16"/>
          <w:color w:val="auto"/>
        </w:rPr>
        <w:t>For a description of our operating segments, refer to Item 1: Financial Statements (Unaudited), Note 15: Segment Information included in this Quarterly Report on Form 10-Q. The following tables and discussion highlight significant changes in trends or components of each operating segment:</w:t>
      </w:r>
    </w:p>
    <w:tbl>
      <w:tblPr>
        <w:tblLayout w:type="fixed"/>
        <w:tblInd w:w="0" w:type="dxa"/>
        <w:tblCellMar>
          <w:top w:w="0" w:type="dxa"/>
          <w:left w:w="0" w:type="dxa"/>
          <w:bottom w:w="0" w:type="dxa"/>
          <w:right w:w="0" w:type="dxa"/>
        </w:tblCellMar>
      </w:tblPr>
      <w:tr>
        <w:trPr>
          <w:trHeight w:val="163"/>
        </w:trPr>
        <w:tc>
          <w:tcPr>
            <w:tcW w:w="2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5"/>
          </w:tcPr>
          <w:p>
            <w:pPr>
              <w:jc w:val="right"/>
              <w:ind w:right="19"/>
              <w:spacing w:after="0" w:line="163" w:lineRule="exact"/>
              <w:rPr>
                <w:sz w:val="20"/>
                <w:szCs w:val="20"/>
                <w:color w:val="auto"/>
              </w:rPr>
            </w:pPr>
            <w:r>
              <w:rPr>
                <w:rFonts w:ascii="Arial" w:cs="Arial" w:eastAsia="Arial" w:hAnsi="Arial"/>
                <w:sz w:val="16"/>
                <w:szCs w:val="16"/>
                <w:b w:val="1"/>
                <w:bCs w:val="1"/>
                <w:color w:val="auto"/>
                <w:w w:val="90"/>
              </w:rPr>
              <w:t>Three Months Ended June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80" w:type="dxa"/>
            <w:vAlign w:val="bottom"/>
            <w:gridSpan w:val="4"/>
          </w:tcPr>
          <w:p>
            <w:pPr>
              <w:jc w:val="center"/>
              <w:ind w:right="79"/>
              <w:spacing w:after="0" w:line="163" w:lineRule="exact"/>
              <w:rPr>
                <w:sz w:val="20"/>
                <w:szCs w:val="20"/>
                <w:color w:val="auto"/>
              </w:rPr>
            </w:pPr>
            <w:r>
              <w:rPr>
                <w:rFonts w:ascii="Arial" w:cs="Arial" w:eastAsia="Arial" w:hAnsi="Arial"/>
                <w:sz w:val="16"/>
                <w:szCs w:val="16"/>
                <w:b w:val="1"/>
                <w:bCs w:val="1"/>
                <w:color w:val="auto"/>
                <w:w w:val="92"/>
              </w:rPr>
              <w:t>Six Months Ended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5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89"/>
              </w:rPr>
              <w:t>30,</w:t>
            </w:r>
          </w:p>
        </w:tc>
        <w:tc>
          <w:tcPr>
            <w:tcW w:w="8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4"/>
          </w:tcPr>
          <w:p>
            <w:pPr>
              <w:jc w:val="center"/>
              <w:ind w:right="59"/>
              <w:spacing w:after="0"/>
              <w:rPr>
                <w:sz w:val="20"/>
                <w:szCs w:val="20"/>
                <w:color w:val="auto"/>
              </w:rPr>
            </w:pPr>
            <w:r>
              <w:rPr>
                <w:rFonts w:ascii="Arial" w:cs="Arial" w:eastAsia="Arial" w:hAnsi="Arial"/>
                <w:sz w:val="16"/>
                <w:szCs w:val="16"/>
                <w:b w:val="1"/>
                <w:bCs w:val="1"/>
                <w:color w:val="auto"/>
                <w:w w:val="90"/>
              </w:rPr>
              <w:t>June 30,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50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10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6"/>
                <w:szCs w:val="16"/>
                <w:b w:val="1"/>
                <w:bCs w:val="1"/>
                <w:color w:val="auto"/>
                <w:w w:val="89"/>
              </w:rPr>
              <w:t>2023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center"/>
              <w:ind w:right="39"/>
              <w:spacing w:after="0"/>
              <w:rPr>
                <w:sz w:val="20"/>
                <w:szCs w:val="20"/>
                <w:color w:val="auto"/>
              </w:rPr>
            </w:pPr>
            <w:r>
              <w:rPr>
                <w:rFonts w:ascii="Arial" w:cs="Arial" w:eastAsia="Arial" w:hAnsi="Arial"/>
                <w:sz w:val="16"/>
                <w:szCs w:val="16"/>
                <w:b w:val="1"/>
                <w:bCs w:val="1"/>
                <w:color w:val="auto"/>
                <w:w w:val="89"/>
              </w:rPr>
              <w:t>2022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center"/>
              <w:ind w:right="320"/>
              <w:spacing w:after="0"/>
              <w:rPr>
                <w:sz w:val="20"/>
                <w:szCs w:val="20"/>
                <w:color w:val="auto"/>
              </w:rPr>
            </w:pPr>
            <w:r>
              <w:rPr>
                <w:rFonts w:ascii="Arial" w:cs="Arial" w:eastAsia="Arial" w:hAnsi="Arial"/>
                <w:sz w:val="16"/>
                <w:szCs w:val="16"/>
                <w:b w:val="1"/>
                <w:bCs w:val="1"/>
                <w:color w:val="auto"/>
                <w:w w:val="95"/>
              </w:rPr>
              <w:t>% Change</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center"/>
              <w:ind w:right="59"/>
              <w:spacing w:after="0"/>
              <w:rPr>
                <w:sz w:val="20"/>
                <w:szCs w:val="20"/>
                <w:color w:val="auto"/>
              </w:rPr>
            </w:pPr>
            <w:r>
              <w:rPr>
                <w:rFonts w:ascii="Arial" w:cs="Arial" w:eastAsia="Arial" w:hAnsi="Arial"/>
                <w:sz w:val="16"/>
                <w:szCs w:val="16"/>
                <w:b w:val="1"/>
                <w:bCs w:val="1"/>
                <w:color w:val="auto"/>
                <w:w w:val="89"/>
              </w:rPr>
              <w:t>2023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ind w:right="39"/>
              <w:spacing w:after="0"/>
              <w:rPr>
                <w:sz w:val="20"/>
                <w:szCs w:val="20"/>
                <w:color w:val="auto"/>
              </w:rPr>
            </w:pPr>
            <w:r>
              <w:rPr>
                <w:rFonts w:ascii="Arial" w:cs="Arial" w:eastAsia="Arial" w:hAnsi="Arial"/>
                <w:sz w:val="16"/>
                <w:szCs w:val="16"/>
                <w:b w:val="1"/>
                <w:bCs w:val="1"/>
                <w:color w:val="auto"/>
                <w:w w:val="89"/>
              </w:rPr>
              <w:t>2022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center"/>
              <w:ind w:right="320"/>
              <w:spacing w:after="0"/>
              <w:rPr>
                <w:sz w:val="20"/>
                <w:szCs w:val="20"/>
                <w:color w:val="auto"/>
              </w:rPr>
            </w:pPr>
            <w:r>
              <w:rPr>
                <w:rFonts w:ascii="Arial" w:cs="Arial" w:eastAsia="Arial" w:hAnsi="Arial"/>
                <w:sz w:val="16"/>
                <w:szCs w:val="16"/>
                <w:b w:val="1"/>
                <w:bCs w:val="1"/>
                <w:color w:val="auto"/>
                <w:w w:val="93"/>
              </w:rPr>
              <w:t>% Change</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5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i w:val="1"/>
                <w:iCs w:val="1"/>
                <w:color w:val="auto"/>
              </w:rPr>
              <w:t>Segment revenues</w:t>
            </w: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Device Solutions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113,160</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104,810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right="39"/>
              <w:spacing w:after="0"/>
              <w:rPr>
                <w:sz w:val="20"/>
                <w:szCs w:val="20"/>
                <w:color w:val="auto"/>
              </w:rPr>
            </w:pPr>
            <w:r>
              <w:rPr>
                <w:rFonts w:ascii="Arial" w:cs="Arial" w:eastAsia="Arial" w:hAnsi="Arial"/>
                <w:sz w:val="16"/>
                <w:szCs w:val="16"/>
                <w:color w:val="auto"/>
                <w:w w:val="94"/>
              </w:rPr>
              <w:t>8%</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231,414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244,375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right="19"/>
              <w:spacing w:after="0"/>
              <w:rPr>
                <w:sz w:val="20"/>
                <w:szCs w:val="20"/>
                <w:color w:val="auto"/>
              </w:rPr>
            </w:pPr>
            <w:r>
              <w:rPr>
                <w:rFonts w:ascii="Arial" w:cs="Arial" w:eastAsia="Arial" w:hAnsi="Arial"/>
                <w:sz w:val="16"/>
                <w:szCs w:val="16"/>
                <w:color w:val="auto"/>
                <w:w w:val="94"/>
              </w:rPr>
              <w:t>(5)%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500" w:type="dxa"/>
            <w:vAlign w:val="bottom"/>
          </w:tcPr>
          <w:p>
            <w:pPr>
              <w:ind w:left="140"/>
              <w:spacing w:after="0"/>
              <w:rPr>
                <w:sz w:val="20"/>
                <w:szCs w:val="20"/>
                <w:color w:val="auto"/>
              </w:rPr>
            </w:pPr>
            <w:r>
              <w:rPr>
                <w:rFonts w:ascii="Arial" w:cs="Arial" w:eastAsia="Arial" w:hAnsi="Arial"/>
                <w:sz w:val="16"/>
                <w:szCs w:val="16"/>
                <w:color w:val="auto"/>
              </w:rPr>
              <w:t>Networked Solutions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360,930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269,462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ind w:right="39"/>
              <w:spacing w:after="0"/>
              <w:rPr>
                <w:sz w:val="20"/>
                <w:szCs w:val="20"/>
                <w:color w:val="auto"/>
              </w:rPr>
            </w:pPr>
            <w:r>
              <w:rPr>
                <w:rFonts w:ascii="Arial" w:cs="Arial" w:eastAsia="Arial" w:hAnsi="Arial"/>
                <w:sz w:val="16"/>
                <w:szCs w:val="16"/>
                <w:color w:val="auto"/>
                <w:w w:val="93"/>
              </w:rPr>
              <w:t>34%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674,398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548,282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ind w:right="39"/>
              <w:spacing w:after="0"/>
              <w:rPr>
                <w:sz w:val="20"/>
                <w:szCs w:val="20"/>
                <w:color w:val="auto"/>
              </w:rPr>
            </w:pPr>
            <w:r>
              <w:rPr>
                <w:rFonts w:ascii="Arial" w:cs="Arial" w:eastAsia="Arial" w:hAnsi="Arial"/>
                <w:sz w:val="16"/>
                <w:szCs w:val="16"/>
                <w:color w:val="auto"/>
                <w:w w:val="93"/>
              </w:rPr>
              <w:t>23%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Outcomes</w:t>
            </w: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66,980</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57,610</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center"/>
              <w:ind w:right="39"/>
              <w:spacing w:after="0"/>
              <w:rPr>
                <w:sz w:val="20"/>
                <w:szCs w:val="20"/>
                <w:color w:val="auto"/>
              </w:rPr>
            </w:pPr>
            <w:r>
              <w:rPr>
                <w:rFonts w:ascii="Arial" w:cs="Arial" w:eastAsia="Arial" w:hAnsi="Arial"/>
                <w:sz w:val="16"/>
                <w:szCs w:val="16"/>
                <w:color w:val="auto"/>
                <w:w w:val="93"/>
              </w:rPr>
              <w:t>16%</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129,876</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114,556</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center"/>
              <w:ind w:right="39"/>
              <w:spacing w:after="0"/>
              <w:rPr>
                <w:sz w:val="20"/>
                <w:szCs w:val="20"/>
                <w:color w:val="auto"/>
              </w:rPr>
            </w:pPr>
            <w:r>
              <w:rPr>
                <w:rFonts w:ascii="Arial" w:cs="Arial" w:eastAsia="Arial" w:hAnsi="Arial"/>
                <w:sz w:val="16"/>
                <w:szCs w:val="16"/>
                <w:color w:val="auto"/>
                <w:w w:val="93"/>
              </w:rPr>
              <w:t>13%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500" w:type="dxa"/>
            <w:vAlign w:val="bottom"/>
          </w:tcPr>
          <w:p>
            <w:pPr>
              <w:ind w:left="300"/>
              <w:spacing w:after="0"/>
              <w:rPr>
                <w:sz w:val="20"/>
                <w:szCs w:val="20"/>
                <w:color w:val="auto"/>
              </w:rPr>
            </w:pPr>
            <w:r>
              <w:rPr>
                <w:rFonts w:ascii="Arial" w:cs="Arial" w:eastAsia="Arial" w:hAnsi="Arial"/>
                <w:sz w:val="16"/>
                <w:szCs w:val="16"/>
                <w:color w:val="auto"/>
              </w:rPr>
              <w:t>Total revenues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541,070</w:t>
            </w:r>
          </w:p>
        </w:tc>
        <w:tc>
          <w:tcPr>
            <w:tcW w:w="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431,882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ind w:right="39"/>
              <w:spacing w:after="0"/>
              <w:rPr>
                <w:sz w:val="20"/>
                <w:szCs w:val="20"/>
                <w:color w:val="auto"/>
              </w:rPr>
            </w:pPr>
            <w:r>
              <w:rPr>
                <w:rFonts w:ascii="Arial" w:cs="Arial" w:eastAsia="Arial" w:hAnsi="Arial"/>
                <w:sz w:val="16"/>
                <w:szCs w:val="16"/>
                <w:color w:val="auto"/>
                <w:w w:val="93"/>
              </w:rPr>
              <w:t>25%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1,035,688</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907,213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ind w:right="39"/>
              <w:spacing w:after="0"/>
              <w:rPr>
                <w:sz w:val="20"/>
                <w:szCs w:val="20"/>
                <w:color w:val="auto"/>
              </w:rPr>
            </w:pPr>
            <w:r>
              <w:rPr>
                <w:rFonts w:ascii="Arial" w:cs="Arial" w:eastAsia="Arial" w:hAnsi="Arial"/>
                <w:sz w:val="16"/>
                <w:szCs w:val="16"/>
                <w:color w:val="auto"/>
                <w:w w:val="93"/>
              </w:rPr>
              <w:t>14%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0"/>
        </w:trPr>
        <w:tc>
          <w:tcPr>
            <w:tcW w:w="25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8"/>
          </w:tcPr>
          <w:p>
            <w:pPr>
              <w:jc w:val="right"/>
              <w:ind w:right="220"/>
              <w:spacing w:after="0"/>
              <w:rPr>
                <w:sz w:val="20"/>
                <w:szCs w:val="20"/>
                <w:color w:val="auto"/>
              </w:rPr>
            </w:pPr>
            <w:r>
              <w:rPr>
                <w:rFonts w:ascii="Arial" w:cs="Arial" w:eastAsia="Arial" w:hAnsi="Arial"/>
                <w:sz w:val="16"/>
                <w:szCs w:val="16"/>
                <w:b w:val="1"/>
                <w:bCs w:val="1"/>
                <w:color w:val="auto"/>
                <w:w w:val="96"/>
              </w:rPr>
              <w:t>Three Months Ended June 30,</w:t>
            </w: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6"/>
          </w:tcPr>
          <w:p>
            <w:pPr>
              <w:jc w:val="right"/>
              <w:ind w:right="420"/>
              <w:spacing w:after="0"/>
              <w:rPr>
                <w:sz w:val="20"/>
                <w:szCs w:val="20"/>
                <w:color w:val="auto"/>
              </w:rPr>
            </w:pPr>
            <w:r>
              <w:rPr>
                <w:rFonts w:ascii="Arial" w:cs="Arial" w:eastAsia="Arial" w:hAnsi="Arial"/>
                <w:sz w:val="16"/>
                <w:szCs w:val="16"/>
                <w:b w:val="1"/>
                <w:bCs w:val="1"/>
                <w:color w:val="auto"/>
                <w:w w:val="89"/>
              </w:rPr>
              <w:t>Six Months Ended June 30,</w:t>
            </w: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5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4"/>
          </w:tcPr>
          <w:p>
            <w:pPr>
              <w:jc w:val="center"/>
              <w:ind w:left="659"/>
              <w:spacing w:after="0"/>
              <w:rPr>
                <w:sz w:val="20"/>
                <w:szCs w:val="20"/>
                <w:color w:val="auto"/>
              </w:rPr>
            </w:pPr>
            <w:r>
              <w:rPr>
                <w:rFonts w:ascii="Arial" w:cs="Arial" w:eastAsia="Arial" w:hAnsi="Arial"/>
                <w:sz w:val="16"/>
                <w:szCs w:val="16"/>
                <w:b w:val="1"/>
                <w:bCs w:val="1"/>
                <w:color w:val="auto"/>
                <w:w w:val="89"/>
              </w:rPr>
              <w:t>2023</w:t>
            </w:r>
          </w:p>
        </w:tc>
        <w:tc>
          <w:tcPr>
            <w:tcW w:w="8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b w:val="1"/>
                <w:bCs w:val="1"/>
                <w:color w:val="auto"/>
              </w:rPr>
              <w:t>2022</w:t>
            </w: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4"/>
          </w:tcPr>
          <w:p>
            <w:pPr>
              <w:jc w:val="right"/>
              <w:ind w:right="87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6"/>
                <w:szCs w:val="16"/>
                <w:b w:val="1"/>
                <w:bCs w:val="1"/>
                <w:color w:val="auto"/>
              </w:rPr>
              <w:t>2022</w:t>
            </w: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50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00" w:type="dxa"/>
            <w:vAlign w:val="bottom"/>
          </w:tcPr>
          <w:p>
            <w:pPr>
              <w:spacing w:after="0"/>
              <w:rPr>
                <w:sz w:val="14"/>
                <w:szCs w:val="14"/>
                <w:color w:val="auto"/>
              </w:rPr>
            </w:pPr>
          </w:p>
        </w:tc>
        <w:tc>
          <w:tcPr>
            <w:tcW w:w="800" w:type="dxa"/>
            <w:vAlign w:val="bottom"/>
          </w:tcPr>
          <w:p>
            <w:pPr>
              <w:jc w:val="center"/>
              <w:spacing w:after="0" w:line="162" w:lineRule="exact"/>
              <w:rPr>
                <w:sz w:val="20"/>
                <w:szCs w:val="20"/>
                <w:color w:val="auto"/>
              </w:rPr>
            </w:pPr>
            <w:r>
              <w:rPr>
                <w:rFonts w:ascii="Arial" w:cs="Arial" w:eastAsia="Arial" w:hAnsi="Arial"/>
                <w:sz w:val="16"/>
                <w:szCs w:val="16"/>
                <w:b w:val="1"/>
                <w:bCs w:val="1"/>
                <w:i w:val="1"/>
                <w:iCs w:val="1"/>
                <w:color w:val="auto"/>
                <w:w w:val="86"/>
              </w:rPr>
              <w:t>Gross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center"/>
              <w:ind w:right="39"/>
              <w:spacing w:after="0" w:line="162" w:lineRule="exact"/>
              <w:rPr>
                <w:sz w:val="20"/>
                <w:szCs w:val="20"/>
                <w:color w:val="auto"/>
              </w:rPr>
            </w:pPr>
            <w:r>
              <w:rPr>
                <w:rFonts w:ascii="Arial" w:cs="Arial" w:eastAsia="Arial" w:hAnsi="Arial"/>
                <w:sz w:val="16"/>
                <w:szCs w:val="16"/>
                <w:b w:val="1"/>
                <w:bCs w:val="1"/>
                <w:i w:val="1"/>
                <w:iCs w:val="1"/>
                <w:color w:val="auto"/>
                <w:w w:val="86"/>
              </w:rPr>
              <w:t>Gross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3"/>
          </w:tcPr>
          <w:p>
            <w:pPr>
              <w:jc w:val="center"/>
              <w:ind w:right="320"/>
              <w:spacing w:after="0" w:line="162" w:lineRule="exact"/>
              <w:rPr>
                <w:sz w:val="20"/>
                <w:szCs w:val="20"/>
                <w:color w:val="auto"/>
              </w:rPr>
            </w:pPr>
            <w:r>
              <w:rPr>
                <w:rFonts w:ascii="Arial" w:cs="Arial" w:eastAsia="Arial" w:hAnsi="Arial"/>
                <w:sz w:val="16"/>
                <w:szCs w:val="16"/>
                <w:b w:val="1"/>
                <w:bCs w:val="1"/>
                <w:i w:val="1"/>
                <w:iCs w:val="1"/>
                <w:color w:val="auto"/>
                <w:w w:val="82"/>
              </w:rPr>
              <w:t>Gross</w:t>
            </w:r>
          </w:p>
        </w:tc>
        <w:tc>
          <w:tcPr>
            <w:tcW w:w="960" w:type="dxa"/>
            <w:vAlign w:val="bottom"/>
            <w:gridSpan w:val="2"/>
          </w:tcPr>
          <w:p>
            <w:pPr>
              <w:jc w:val="center"/>
              <w:ind w:right="200"/>
              <w:spacing w:after="0" w:line="162" w:lineRule="exact"/>
              <w:rPr>
                <w:sz w:val="20"/>
                <w:szCs w:val="20"/>
                <w:color w:val="auto"/>
              </w:rPr>
            </w:pPr>
            <w:r>
              <w:rPr>
                <w:rFonts w:ascii="Arial" w:cs="Arial" w:eastAsia="Arial" w:hAnsi="Arial"/>
                <w:sz w:val="16"/>
                <w:szCs w:val="16"/>
                <w:b w:val="1"/>
                <w:bCs w:val="1"/>
                <w:i w:val="1"/>
                <w:iCs w:val="1"/>
                <w:color w:val="auto"/>
                <w:w w:val="86"/>
              </w:rPr>
              <w:t>Gross</w:t>
            </w:r>
          </w:p>
        </w:tc>
        <w:tc>
          <w:tcPr>
            <w:tcW w:w="140" w:type="dxa"/>
            <w:vAlign w:val="bottom"/>
          </w:tcPr>
          <w:p>
            <w:pPr>
              <w:spacing w:after="0"/>
              <w:rPr>
                <w:sz w:val="14"/>
                <w:szCs w:val="14"/>
                <w:color w:val="auto"/>
              </w:rPr>
            </w:pPr>
          </w:p>
        </w:tc>
        <w:tc>
          <w:tcPr>
            <w:tcW w:w="900" w:type="dxa"/>
            <w:vAlign w:val="bottom"/>
          </w:tcPr>
          <w:p>
            <w:pPr>
              <w:jc w:val="center"/>
              <w:ind w:right="59"/>
              <w:spacing w:after="0" w:line="162" w:lineRule="exact"/>
              <w:rPr>
                <w:sz w:val="20"/>
                <w:szCs w:val="20"/>
                <w:color w:val="auto"/>
              </w:rPr>
            </w:pPr>
            <w:r>
              <w:rPr>
                <w:rFonts w:ascii="Arial" w:cs="Arial" w:eastAsia="Arial" w:hAnsi="Arial"/>
                <w:sz w:val="16"/>
                <w:szCs w:val="16"/>
                <w:b w:val="1"/>
                <w:bCs w:val="1"/>
                <w:i w:val="1"/>
                <w:iCs w:val="1"/>
                <w:color w:val="auto"/>
                <w:w w:val="86"/>
              </w:rPr>
              <w:t>Gross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center"/>
              <w:ind w:right="19"/>
              <w:spacing w:after="0" w:line="162" w:lineRule="exact"/>
              <w:rPr>
                <w:sz w:val="20"/>
                <w:szCs w:val="20"/>
                <w:color w:val="auto"/>
              </w:rPr>
            </w:pPr>
            <w:r>
              <w:rPr>
                <w:rFonts w:ascii="Arial" w:cs="Arial" w:eastAsia="Arial" w:hAnsi="Arial"/>
                <w:sz w:val="16"/>
                <w:szCs w:val="16"/>
                <w:b w:val="1"/>
                <w:bCs w:val="1"/>
                <w:i w:val="1"/>
                <w:iCs w:val="1"/>
                <w:color w:val="auto"/>
                <w:w w:val="82"/>
              </w:rPr>
              <w:t>Gross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3"/>
          </w:tcPr>
          <w:p>
            <w:pPr>
              <w:jc w:val="center"/>
              <w:ind w:right="320"/>
              <w:spacing w:after="0" w:line="162" w:lineRule="exact"/>
              <w:rPr>
                <w:sz w:val="20"/>
                <w:szCs w:val="20"/>
                <w:color w:val="auto"/>
              </w:rPr>
            </w:pPr>
            <w:r>
              <w:rPr>
                <w:rFonts w:ascii="Arial" w:cs="Arial" w:eastAsia="Arial" w:hAnsi="Arial"/>
                <w:sz w:val="16"/>
                <w:szCs w:val="16"/>
                <w:b w:val="1"/>
                <w:bCs w:val="1"/>
                <w:i w:val="1"/>
                <w:iCs w:val="1"/>
                <w:color w:val="auto"/>
                <w:w w:val="86"/>
              </w:rPr>
              <w:t>Gross</w:t>
            </w:r>
          </w:p>
        </w:tc>
        <w:tc>
          <w:tcPr>
            <w:tcW w:w="840" w:type="dxa"/>
            <w:vAlign w:val="bottom"/>
          </w:tcPr>
          <w:p>
            <w:pPr>
              <w:jc w:val="center"/>
              <w:ind w:right="19"/>
              <w:spacing w:after="0" w:line="162" w:lineRule="exact"/>
              <w:rPr>
                <w:sz w:val="20"/>
                <w:szCs w:val="20"/>
                <w:color w:val="auto"/>
              </w:rPr>
            </w:pPr>
            <w:r>
              <w:rPr>
                <w:rFonts w:ascii="Arial" w:cs="Arial" w:eastAsia="Arial" w:hAnsi="Arial"/>
                <w:sz w:val="16"/>
                <w:szCs w:val="16"/>
                <w:b w:val="1"/>
                <w:bCs w:val="1"/>
                <w:i w:val="1"/>
                <w:iCs w:val="1"/>
                <w:color w:val="auto"/>
                <w:w w:val="82"/>
              </w:rPr>
              <w:t>Gross</w:t>
            </w:r>
          </w:p>
        </w:tc>
        <w:tc>
          <w:tcPr>
            <w:tcW w:w="0" w:type="dxa"/>
            <w:vAlign w:val="bottom"/>
          </w:tcPr>
          <w:p>
            <w:pPr>
              <w:spacing w:after="0"/>
              <w:rPr>
                <w:sz w:val="1"/>
                <w:szCs w:val="1"/>
                <w:color w:val="auto"/>
              </w:rPr>
            </w:pPr>
          </w:p>
        </w:tc>
      </w:tr>
      <w:tr>
        <w:trPr>
          <w:trHeight w:val="209"/>
        </w:trPr>
        <w:tc>
          <w:tcPr>
            <w:tcW w:w="25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6"/>
                <w:szCs w:val="16"/>
                <w:b w:val="1"/>
                <w:bCs w:val="1"/>
                <w:i w:val="1"/>
                <w:iCs w:val="1"/>
                <w:color w:val="auto"/>
                <w:w w:val="95"/>
              </w:rPr>
              <w:t>Profit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center"/>
              <w:ind w:right="39"/>
              <w:spacing w:after="0"/>
              <w:rPr>
                <w:sz w:val="20"/>
                <w:szCs w:val="20"/>
                <w:color w:val="auto"/>
              </w:rPr>
            </w:pPr>
            <w:r>
              <w:rPr>
                <w:rFonts w:ascii="Arial" w:cs="Arial" w:eastAsia="Arial" w:hAnsi="Arial"/>
                <w:sz w:val="16"/>
                <w:szCs w:val="16"/>
                <w:b w:val="1"/>
                <w:bCs w:val="1"/>
                <w:i w:val="1"/>
                <w:iCs w:val="1"/>
                <w:color w:val="auto"/>
                <w:w w:val="99"/>
              </w:rPr>
              <w:t>Margin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center"/>
              <w:ind w:right="320"/>
              <w:spacing w:after="0"/>
              <w:rPr>
                <w:sz w:val="20"/>
                <w:szCs w:val="20"/>
                <w:color w:val="auto"/>
              </w:rPr>
            </w:pPr>
            <w:r>
              <w:rPr>
                <w:rFonts w:ascii="Arial" w:cs="Arial" w:eastAsia="Arial" w:hAnsi="Arial"/>
                <w:sz w:val="16"/>
                <w:szCs w:val="16"/>
                <w:b w:val="1"/>
                <w:bCs w:val="1"/>
                <w:i w:val="1"/>
                <w:iCs w:val="1"/>
                <w:color w:val="auto"/>
                <w:w w:val="90"/>
              </w:rPr>
              <w:t>Profit</w:t>
            </w:r>
          </w:p>
        </w:tc>
        <w:tc>
          <w:tcPr>
            <w:tcW w:w="960" w:type="dxa"/>
            <w:vAlign w:val="bottom"/>
            <w:gridSpan w:val="2"/>
          </w:tcPr>
          <w:p>
            <w:pPr>
              <w:jc w:val="center"/>
              <w:ind w:right="200"/>
              <w:spacing w:after="0"/>
              <w:rPr>
                <w:sz w:val="20"/>
                <w:szCs w:val="20"/>
                <w:color w:val="auto"/>
              </w:rPr>
            </w:pPr>
            <w:r>
              <w:rPr>
                <w:rFonts w:ascii="Arial" w:cs="Arial" w:eastAsia="Arial" w:hAnsi="Arial"/>
                <w:sz w:val="16"/>
                <w:szCs w:val="16"/>
                <w:b w:val="1"/>
                <w:bCs w:val="1"/>
                <w:i w:val="1"/>
                <w:iCs w:val="1"/>
                <w:color w:val="auto"/>
                <w:w w:val="99"/>
              </w:rPr>
              <w:t>Margin</w:t>
            </w:r>
          </w:p>
        </w:tc>
        <w:tc>
          <w:tcPr>
            <w:tcW w:w="140" w:type="dxa"/>
            <w:vAlign w:val="bottom"/>
          </w:tcPr>
          <w:p>
            <w:pPr>
              <w:spacing w:after="0"/>
              <w:rPr>
                <w:sz w:val="18"/>
                <w:szCs w:val="18"/>
                <w:color w:val="auto"/>
              </w:rPr>
            </w:pPr>
          </w:p>
        </w:tc>
        <w:tc>
          <w:tcPr>
            <w:tcW w:w="900" w:type="dxa"/>
            <w:vAlign w:val="bottom"/>
          </w:tcPr>
          <w:p>
            <w:pPr>
              <w:jc w:val="center"/>
              <w:ind w:right="59"/>
              <w:spacing w:after="0"/>
              <w:rPr>
                <w:sz w:val="20"/>
                <w:szCs w:val="20"/>
                <w:color w:val="auto"/>
              </w:rPr>
            </w:pPr>
            <w:r>
              <w:rPr>
                <w:rFonts w:ascii="Arial" w:cs="Arial" w:eastAsia="Arial" w:hAnsi="Arial"/>
                <w:sz w:val="16"/>
                <w:szCs w:val="16"/>
                <w:b w:val="1"/>
                <w:bCs w:val="1"/>
                <w:i w:val="1"/>
                <w:iCs w:val="1"/>
                <w:color w:val="auto"/>
                <w:w w:val="95"/>
              </w:rPr>
              <w:t>Profit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ind w:right="19"/>
              <w:spacing w:after="0"/>
              <w:rPr>
                <w:sz w:val="20"/>
                <w:szCs w:val="20"/>
                <w:color w:val="auto"/>
              </w:rPr>
            </w:pPr>
            <w:r>
              <w:rPr>
                <w:rFonts w:ascii="Arial" w:cs="Arial" w:eastAsia="Arial" w:hAnsi="Arial"/>
                <w:sz w:val="16"/>
                <w:szCs w:val="16"/>
                <w:b w:val="1"/>
                <w:bCs w:val="1"/>
                <w:i w:val="1"/>
                <w:iCs w:val="1"/>
                <w:color w:val="auto"/>
                <w:w w:val="95"/>
              </w:rPr>
              <w:t>Margin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center"/>
              <w:ind w:right="320"/>
              <w:spacing w:after="0"/>
              <w:rPr>
                <w:sz w:val="20"/>
                <w:szCs w:val="20"/>
                <w:color w:val="auto"/>
              </w:rPr>
            </w:pPr>
            <w:r>
              <w:rPr>
                <w:rFonts w:ascii="Arial" w:cs="Arial" w:eastAsia="Arial" w:hAnsi="Arial"/>
                <w:sz w:val="16"/>
                <w:szCs w:val="16"/>
                <w:b w:val="1"/>
                <w:bCs w:val="1"/>
                <w:i w:val="1"/>
                <w:iCs w:val="1"/>
                <w:color w:val="auto"/>
                <w:w w:val="95"/>
              </w:rPr>
              <w:t>Profit</w:t>
            </w:r>
          </w:p>
        </w:tc>
        <w:tc>
          <w:tcPr>
            <w:tcW w:w="840" w:type="dxa"/>
            <w:vAlign w:val="bottom"/>
          </w:tcPr>
          <w:p>
            <w:pPr>
              <w:jc w:val="center"/>
              <w:ind w:right="19"/>
              <w:spacing w:after="0"/>
              <w:rPr>
                <w:sz w:val="20"/>
                <w:szCs w:val="20"/>
                <w:color w:val="auto"/>
              </w:rPr>
            </w:pPr>
            <w:r>
              <w:rPr>
                <w:rFonts w:ascii="Arial" w:cs="Arial" w:eastAsia="Arial" w:hAnsi="Arial"/>
                <w:sz w:val="16"/>
                <w:szCs w:val="16"/>
                <w:b w:val="1"/>
                <w:bCs w:val="1"/>
                <w:i w:val="1"/>
                <w:iCs w:val="1"/>
                <w:color w:val="auto"/>
                <w:w w:val="95"/>
              </w:rPr>
              <w:t>Margin</w:t>
            </w:r>
          </w:p>
        </w:tc>
        <w:tc>
          <w:tcPr>
            <w:tcW w:w="0" w:type="dxa"/>
            <w:vAlign w:val="bottom"/>
          </w:tcPr>
          <w:p>
            <w:pPr>
              <w:spacing w:after="0"/>
              <w:rPr>
                <w:sz w:val="1"/>
                <w:szCs w:val="1"/>
                <w:color w:val="auto"/>
              </w:rPr>
            </w:pPr>
          </w:p>
        </w:tc>
      </w:tr>
      <w:tr>
        <w:trPr>
          <w:trHeight w:val="209"/>
        </w:trPr>
        <w:tc>
          <w:tcPr>
            <w:tcW w:w="25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i w:val="1"/>
                <w:iCs w:val="1"/>
                <w:color w:val="auto"/>
                <w:w w:val="97"/>
              </w:rPr>
              <w:t>Segment gross profit and margin</w:t>
            </w: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Device Solutions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24,719</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center"/>
              <w:ind w:right="19"/>
              <w:spacing w:after="0"/>
              <w:rPr>
                <w:sz w:val="20"/>
                <w:szCs w:val="20"/>
                <w:color w:val="auto"/>
              </w:rPr>
            </w:pPr>
            <w:r>
              <w:rPr>
                <w:rFonts w:ascii="Arial" w:cs="Arial" w:eastAsia="Arial" w:hAnsi="Arial"/>
                <w:sz w:val="16"/>
                <w:szCs w:val="16"/>
                <w:color w:val="auto"/>
                <w:w w:val="92"/>
              </w:rPr>
              <w:t>21.8%</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13,878</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13.2%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48,432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center"/>
              <w:ind w:right="19"/>
              <w:spacing w:after="0"/>
              <w:rPr>
                <w:sz w:val="20"/>
                <w:szCs w:val="20"/>
                <w:color w:val="auto"/>
              </w:rPr>
            </w:pPr>
            <w:r>
              <w:rPr>
                <w:rFonts w:ascii="Arial" w:cs="Arial" w:eastAsia="Arial" w:hAnsi="Arial"/>
                <w:sz w:val="16"/>
                <w:szCs w:val="16"/>
                <w:color w:val="auto"/>
                <w:w w:val="92"/>
              </w:rPr>
              <w:t>20.9%</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35,684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center"/>
              <w:ind w:right="19"/>
              <w:spacing w:after="0"/>
              <w:rPr>
                <w:sz w:val="20"/>
                <w:szCs w:val="20"/>
                <w:color w:val="auto"/>
              </w:rPr>
            </w:pPr>
            <w:r>
              <w:rPr>
                <w:rFonts w:ascii="Arial" w:cs="Arial" w:eastAsia="Arial" w:hAnsi="Arial"/>
                <w:sz w:val="16"/>
                <w:szCs w:val="16"/>
                <w:color w:val="auto"/>
                <w:w w:val="92"/>
              </w:rPr>
              <w:t>14.6%</w:t>
            </w:r>
          </w:p>
        </w:tc>
        <w:tc>
          <w:tcPr>
            <w:tcW w:w="0" w:type="dxa"/>
            <w:vAlign w:val="bottom"/>
          </w:tcPr>
          <w:p>
            <w:pPr>
              <w:spacing w:after="0"/>
              <w:rPr>
                <w:sz w:val="1"/>
                <w:szCs w:val="1"/>
                <w:color w:val="auto"/>
              </w:rPr>
            </w:pPr>
          </w:p>
        </w:tc>
      </w:tr>
      <w:tr>
        <w:trPr>
          <w:trHeight w:val="213"/>
        </w:trPr>
        <w:tc>
          <w:tcPr>
            <w:tcW w:w="2500" w:type="dxa"/>
            <w:vAlign w:val="bottom"/>
          </w:tcPr>
          <w:p>
            <w:pPr>
              <w:ind w:left="140"/>
              <w:spacing w:after="0"/>
              <w:rPr>
                <w:sz w:val="20"/>
                <w:szCs w:val="20"/>
                <w:color w:val="auto"/>
              </w:rPr>
            </w:pPr>
            <w:r>
              <w:rPr>
                <w:rFonts w:ascii="Arial" w:cs="Arial" w:eastAsia="Arial" w:hAnsi="Arial"/>
                <w:sz w:val="16"/>
                <w:szCs w:val="16"/>
                <w:color w:val="auto"/>
              </w:rPr>
              <w:t>Networked Solutions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121,873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center"/>
              <w:ind w:right="19"/>
              <w:spacing w:after="0"/>
              <w:rPr>
                <w:sz w:val="20"/>
                <w:szCs w:val="20"/>
                <w:color w:val="auto"/>
              </w:rPr>
            </w:pPr>
            <w:r>
              <w:rPr>
                <w:rFonts w:ascii="Arial" w:cs="Arial" w:eastAsia="Arial" w:hAnsi="Arial"/>
                <w:sz w:val="16"/>
                <w:szCs w:val="16"/>
                <w:color w:val="auto"/>
                <w:w w:val="92"/>
              </w:rPr>
              <w:t>33.8%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89,909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w w:val="92"/>
              </w:rPr>
              <w:t>33.4%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227,649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ind w:right="19"/>
              <w:spacing w:after="0"/>
              <w:rPr>
                <w:sz w:val="20"/>
                <w:szCs w:val="20"/>
                <w:color w:val="auto"/>
              </w:rPr>
            </w:pPr>
            <w:r>
              <w:rPr>
                <w:rFonts w:ascii="Arial" w:cs="Arial" w:eastAsia="Arial" w:hAnsi="Arial"/>
                <w:sz w:val="16"/>
                <w:szCs w:val="16"/>
                <w:color w:val="auto"/>
                <w:w w:val="92"/>
              </w:rPr>
              <w:t>33.8%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181,260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center"/>
              <w:ind w:right="19"/>
              <w:spacing w:after="0"/>
              <w:rPr>
                <w:sz w:val="20"/>
                <w:szCs w:val="20"/>
                <w:color w:val="auto"/>
              </w:rPr>
            </w:pPr>
            <w:r>
              <w:rPr>
                <w:rFonts w:ascii="Arial" w:cs="Arial" w:eastAsia="Arial" w:hAnsi="Arial"/>
                <w:sz w:val="16"/>
                <w:szCs w:val="16"/>
                <w:color w:val="auto"/>
                <w:w w:val="92"/>
              </w:rPr>
              <w:t>33.1%</w:t>
            </w:r>
          </w:p>
        </w:tc>
        <w:tc>
          <w:tcPr>
            <w:tcW w:w="0" w:type="dxa"/>
            <w:vAlign w:val="bottom"/>
          </w:tcPr>
          <w:p>
            <w:pPr>
              <w:spacing w:after="0"/>
              <w:rPr>
                <w:sz w:val="1"/>
                <w:szCs w:val="1"/>
                <w:color w:val="auto"/>
              </w:rPr>
            </w:pPr>
          </w:p>
        </w:tc>
      </w:tr>
      <w:tr>
        <w:trPr>
          <w:trHeight w:val="219"/>
        </w:trPr>
        <w:tc>
          <w:tcPr>
            <w:tcW w:w="25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Outcomes</w:t>
            </w: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27,355</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center"/>
              <w:ind w:right="19"/>
              <w:spacing w:after="0"/>
              <w:rPr>
                <w:sz w:val="20"/>
                <w:szCs w:val="20"/>
                <w:color w:val="auto"/>
              </w:rPr>
            </w:pPr>
            <w:r>
              <w:rPr>
                <w:rFonts w:ascii="Arial" w:cs="Arial" w:eastAsia="Arial" w:hAnsi="Arial"/>
                <w:sz w:val="16"/>
                <w:szCs w:val="16"/>
                <w:color w:val="auto"/>
                <w:w w:val="92"/>
              </w:rPr>
              <w:t>40.8%</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22,318</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38.7%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54,234</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center"/>
              <w:ind w:right="19"/>
              <w:spacing w:after="0"/>
              <w:rPr>
                <w:sz w:val="20"/>
                <w:szCs w:val="20"/>
                <w:color w:val="auto"/>
              </w:rPr>
            </w:pPr>
            <w:r>
              <w:rPr>
                <w:rFonts w:ascii="Arial" w:cs="Arial" w:eastAsia="Arial" w:hAnsi="Arial"/>
                <w:sz w:val="16"/>
                <w:szCs w:val="16"/>
                <w:color w:val="auto"/>
                <w:w w:val="92"/>
              </w:rPr>
              <w:t>41.8%</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44,385</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center"/>
              <w:ind w:right="19"/>
              <w:spacing w:after="0"/>
              <w:rPr>
                <w:sz w:val="20"/>
                <w:szCs w:val="20"/>
                <w:color w:val="auto"/>
              </w:rPr>
            </w:pPr>
            <w:r>
              <w:rPr>
                <w:rFonts w:ascii="Arial" w:cs="Arial" w:eastAsia="Arial" w:hAnsi="Arial"/>
                <w:sz w:val="16"/>
                <w:szCs w:val="16"/>
                <w:color w:val="auto"/>
                <w:w w:val="92"/>
              </w:rPr>
              <w:t>38.7%</w:t>
            </w:r>
          </w:p>
        </w:tc>
        <w:tc>
          <w:tcPr>
            <w:tcW w:w="0" w:type="dxa"/>
            <w:vAlign w:val="bottom"/>
          </w:tcPr>
          <w:p>
            <w:pPr>
              <w:spacing w:after="0"/>
              <w:rPr>
                <w:sz w:val="1"/>
                <w:szCs w:val="1"/>
                <w:color w:val="auto"/>
              </w:rPr>
            </w:pPr>
          </w:p>
        </w:tc>
      </w:tr>
      <w:tr>
        <w:trPr>
          <w:trHeight w:val="209"/>
        </w:trPr>
        <w:tc>
          <w:tcPr>
            <w:tcW w:w="2500" w:type="dxa"/>
            <w:vAlign w:val="bottom"/>
          </w:tcPr>
          <w:p>
            <w:pPr>
              <w:ind w:left="300"/>
              <w:spacing w:after="0"/>
              <w:rPr>
                <w:sz w:val="20"/>
                <w:szCs w:val="20"/>
                <w:color w:val="auto"/>
              </w:rPr>
            </w:pPr>
            <w:r>
              <w:rPr>
                <w:rFonts w:ascii="Arial" w:cs="Arial" w:eastAsia="Arial" w:hAnsi="Arial"/>
                <w:sz w:val="16"/>
                <w:szCs w:val="16"/>
                <w:color w:val="auto"/>
              </w:rPr>
              <w:t>Total gross profit and margin</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173,947</w:t>
            </w:r>
          </w:p>
        </w:tc>
        <w:tc>
          <w:tcPr>
            <w:tcW w:w="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center"/>
              <w:ind w:right="19"/>
              <w:spacing w:after="0"/>
              <w:rPr>
                <w:sz w:val="20"/>
                <w:szCs w:val="20"/>
                <w:color w:val="auto"/>
              </w:rPr>
            </w:pPr>
            <w:r>
              <w:rPr>
                <w:rFonts w:ascii="Arial" w:cs="Arial" w:eastAsia="Arial" w:hAnsi="Arial"/>
                <w:sz w:val="16"/>
                <w:szCs w:val="16"/>
                <w:color w:val="auto"/>
                <w:w w:val="92"/>
              </w:rPr>
              <w:t>32.1%</w:t>
            </w:r>
          </w:p>
        </w:tc>
        <w:tc>
          <w:tcPr>
            <w:tcW w:w="120" w:type="dxa"/>
            <w:vAlign w:val="bottom"/>
          </w:tcPr>
          <w:p>
            <w:pPr>
              <w:spacing w:after="0"/>
              <w:rPr>
                <w:sz w:val="18"/>
                <w:szCs w:val="18"/>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126,105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w w:val="92"/>
              </w:rPr>
              <w:t>29.2%</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330,315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ind w:right="19"/>
              <w:spacing w:after="0"/>
              <w:rPr>
                <w:sz w:val="20"/>
                <w:szCs w:val="20"/>
                <w:color w:val="auto"/>
              </w:rPr>
            </w:pPr>
            <w:r>
              <w:rPr>
                <w:rFonts w:ascii="Arial" w:cs="Arial" w:eastAsia="Arial" w:hAnsi="Arial"/>
                <w:sz w:val="16"/>
                <w:szCs w:val="16"/>
                <w:color w:val="auto"/>
                <w:w w:val="92"/>
              </w:rPr>
              <w:t>31.9%</w:t>
            </w:r>
          </w:p>
        </w:tc>
        <w:tc>
          <w:tcPr>
            <w:tcW w:w="100" w:type="dxa"/>
            <w:vAlign w:val="bottom"/>
          </w:tcPr>
          <w:p>
            <w:pPr>
              <w:spacing w:after="0"/>
              <w:rPr>
                <w:sz w:val="18"/>
                <w:szCs w:val="18"/>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261,329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center"/>
              <w:ind w:right="19"/>
              <w:spacing w:after="0"/>
              <w:rPr>
                <w:sz w:val="20"/>
                <w:szCs w:val="20"/>
                <w:color w:val="auto"/>
              </w:rPr>
            </w:pPr>
            <w:r>
              <w:rPr>
                <w:rFonts w:ascii="Arial" w:cs="Arial" w:eastAsia="Arial" w:hAnsi="Arial"/>
                <w:sz w:val="16"/>
                <w:szCs w:val="16"/>
                <w:color w:val="auto"/>
                <w:w w:val="92"/>
              </w:rPr>
              <w:t>28.8%</w:t>
            </w:r>
          </w:p>
        </w:tc>
        <w:tc>
          <w:tcPr>
            <w:tcW w:w="0" w:type="dxa"/>
            <w:vAlign w:val="bottom"/>
          </w:tcPr>
          <w:p>
            <w:pPr>
              <w:spacing w:after="0"/>
              <w:rPr>
                <w:sz w:val="1"/>
                <w:szCs w:val="1"/>
                <w:color w:val="auto"/>
              </w:rPr>
            </w:pPr>
          </w:p>
        </w:tc>
      </w:tr>
      <w:tr>
        <w:trPr>
          <w:trHeight w:val="21"/>
        </w:trPr>
        <w:tc>
          <w:tcPr>
            <w:tcW w:w="2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8"/>
        </w:trPr>
        <w:tc>
          <w:tcPr>
            <w:tcW w:w="2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gridSpan w:val="5"/>
          </w:tcPr>
          <w:p>
            <w:pPr>
              <w:jc w:val="right"/>
              <w:ind w:right="19"/>
              <w:spacing w:after="0"/>
              <w:rPr>
                <w:sz w:val="20"/>
                <w:szCs w:val="20"/>
                <w:color w:val="auto"/>
              </w:rPr>
            </w:pPr>
            <w:r>
              <w:rPr>
                <w:rFonts w:ascii="Arial" w:cs="Arial" w:eastAsia="Arial" w:hAnsi="Arial"/>
                <w:sz w:val="16"/>
                <w:szCs w:val="16"/>
                <w:b w:val="1"/>
                <w:bCs w:val="1"/>
                <w:color w:val="auto"/>
                <w:w w:val="90"/>
              </w:rPr>
              <w:t>Three Months Ended June</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80" w:type="dxa"/>
            <w:vAlign w:val="bottom"/>
            <w:gridSpan w:val="4"/>
          </w:tcPr>
          <w:p>
            <w:pPr>
              <w:jc w:val="center"/>
              <w:ind w:right="79"/>
              <w:spacing w:after="0"/>
              <w:rPr>
                <w:sz w:val="20"/>
                <w:szCs w:val="20"/>
                <w:color w:val="auto"/>
              </w:rPr>
            </w:pPr>
            <w:r>
              <w:rPr>
                <w:rFonts w:ascii="Arial" w:cs="Arial" w:eastAsia="Arial" w:hAnsi="Arial"/>
                <w:sz w:val="16"/>
                <w:szCs w:val="16"/>
                <w:b w:val="1"/>
                <w:bCs w:val="1"/>
                <w:color w:val="auto"/>
                <w:w w:val="92"/>
              </w:rPr>
              <w:t>Six Months Ended</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5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89"/>
              </w:rPr>
              <w:t>30,</w:t>
            </w:r>
          </w:p>
        </w:tc>
        <w:tc>
          <w:tcPr>
            <w:tcW w:w="8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4"/>
          </w:tcPr>
          <w:p>
            <w:pPr>
              <w:jc w:val="center"/>
              <w:ind w:right="59"/>
              <w:spacing w:after="0"/>
              <w:rPr>
                <w:sz w:val="20"/>
                <w:szCs w:val="20"/>
                <w:color w:val="auto"/>
              </w:rPr>
            </w:pPr>
            <w:r>
              <w:rPr>
                <w:rFonts w:ascii="Arial" w:cs="Arial" w:eastAsia="Arial" w:hAnsi="Arial"/>
                <w:sz w:val="16"/>
                <w:szCs w:val="16"/>
                <w:b w:val="1"/>
                <w:bCs w:val="1"/>
                <w:color w:val="auto"/>
                <w:w w:val="90"/>
              </w:rPr>
              <w:t>June 30,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50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10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6"/>
                <w:szCs w:val="16"/>
                <w:b w:val="1"/>
                <w:bCs w:val="1"/>
                <w:color w:val="auto"/>
                <w:w w:val="89"/>
              </w:rPr>
              <w:t>2023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center"/>
              <w:ind w:right="39"/>
              <w:spacing w:after="0"/>
              <w:rPr>
                <w:sz w:val="20"/>
                <w:szCs w:val="20"/>
                <w:color w:val="auto"/>
              </w:rPr>
            </w:pPr>
            <w:r>
              <w:rPr>
                <w:rFonts w:ascii="Arial" w:cs="Arial" w:eastAsia="Arial" w:hAnsi="Arial"/>
                <w:sz w:val="16"/>
                <w:szCs w:val="16"/>
                <w:b w:val="1"/>
                <w:bCs w:val="1"/>
                <w:color w:val="auto"/>
                <w:w w:val="89"/>
              </w:rPr>
              <w:t>2022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center"/>
              <w:ind w:right="320"/>
              <w:spacing w:after="0"/>
              <w:rPr>
                <w:sz w:val="20"/>
                <w:szCs w:val="20"/>
                <w:color w:val="auto"/>
              </w:rPr>
            </w:pPr>
            <w:r>
              <w:rPr>
                <w:rFonts w:ascii="Arial" w:cs="Arial" w:eastAsia="Arial" w:hAnsi="Arial"/>
                <w:sz w:val="16"/>
                <w:szCs w:val="16"/>
                <w:b w:val="1"/>
                <w:bCs w:val="1"/>
                <w:color w:val="auto"/>
                <w:w w:val="95"/>
              </w:rPr>
              <w:t>% Change</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center"/>
              <w:ind w:right="59"/>
              <w:spacing w:after="0"/>
              <w:rPr>
                <w:sz w:val="20"/>
                <w:szCs w:val="20"/>
                <w:color w:val="auto"/>
              </w:rPr>
            </w:pPr>
            <w:r>
              <w:rPr>
                <w:rFonts w:ascii="Arial" w:cs="Arial" w:eastAsia="Arial" w:hAnsi="Arial"/>
                <w:sz w:val="16"/>
                <w:szCs w:val="16"/>
                <w:b w:val="1"/>
                <w:bCs w:val="1"/>
                <w:color w:val="auto"/>
                <w:w w:val="89"/>
              </w:rPr>
              <w:t>2023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ind w:right="39"/>
              <w:spacing w:after="0"/>
              <w:rPr>
                <w:sz w:val="20"/>
                <w:szCs w:val="20"/>
                <w:color w:val="auto"/>
              </w:rPr>
            </w:pPr>
            <w:r>
              <w:rPr>
                <w:rFonts w:ascii="Arial" w:cs="Arial" w:eastAsia="Arial" w:hAnsi="Arial"/>
                <w:sz w:val="16"/>
                <w:szCs w:val="16"/>
                <w:b w:val="1"/>
                <w:bCs w:val="1"/>
                <w:color w:val="auto"/>
                <w:w w:val="89"/>
              </w:rPr>
              <w:t>2022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center"/>
              <w:ind w:right="320"/>
              <w:spacing w:after="0"/>
              <w:rPr>
                <w:sz w:val="20"/>
                <w:szCs w:val="20"/>
                <w:color w:val="auto"/>
              </w:rPr>
            </w:pPr>
            <w:r>
              <w:rPr>
                <w:rFonts w:ascii="Arial" w:cs="Arial" w:eastAsia="Arial" w:hAnsi="Arial"/>
                <w:sz w:val="16"/>
                <w:szCs w:val="16"/>
                <w:b w:val="1"/>
                <w:bCs w:val="1"/>
                <w:color w:val="auto"/>
                <w:w w:val="93"/>
              </w:rPr>
              <w:t>% Change</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5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i w:val="1"/>
                <w:iCs w:val="1"/>
                <w:color w:val="auto"/>
              </w:rPr>
              <w:t>Segment operating expenses</w:t>
            </w: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Device Solutions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10,635</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8,419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right="39"/>
              <w:spacing w:after="0"/>
              <w:rPr>
                <w:sz w:val="20"/>
                <w:szCs w:val="20"/>
                <w:color w:val="auto"/>
              </w:rPr>
            </w:pPr>
            <w:r>
              <w:rPr>
                <w:rFonts w:ascii="Arial" w:cs="Arial" w:eastAsia="Arial" w:hAnsi="Arial"/>
                <w:sz w:val="16"/>
                <w:szCs w:val="16"/>
                <w:color w:val="auto"/>
                <w:w w:val="93"/>
              </w:rPr>
              <w:t>26%</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20,270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18,647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right="39"/>
              <w:spacing w:after="0"/>
              <w:rPr>
                <w:sz w:val="20"/>
                <w:szCs w:val="20"/>
                <w:color w:val="auto"/>
              </w:rPr>
            </w:pPr>
            <w:r>
              <w:rPr>
                <w:rFonts w:ascii="Arial" w:cs="Arial" w:eastAsia="Arial" w:hAnsi="Arial"/>
                <w:sz w:val="16"/>
                <w:szCs w:val="16"/>
                <w:color w:val="auto"/>
                <w:w w:val="94"/>
              </w:rPr>
              <w:t>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500" w:type="dxa"/>
            <w:vAlign w:val="bottom"/>
          </w:tcPr>
          <w:p>
            <w:pPr>
              <w:ind w:left="140"/>
              <w:spacing w:after="0"/>
              <w:rPr>
                <w:sz w:val="20"/>
                <w:szCs w:val="20"/>
                <w:color w:val="auto"/>
              </w:rPr>
            </w:pPr>
            <w:r>
              <w:rPr>
                <w:rFonts w:ascii="Arial" w:cs="Arial" w:eastAsia="Arial" w:hAnsi="Arial"/>
                <w:sz w:val="16"/>
                <w:szCs w:val="16"/>
                <w:color w:val="auto"/>
              </w:rPr>
              <w:t>Networked Solutions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33,280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27,627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ind w:right="39"/>
              <w:spacing w:after="0"/>
              <w:rPr>
                <w:sz w:val="20"/>
                <w:szCs w:val="20"/>
                <w:color w:val="auto"/>
              </w:rPr>
            </w:pPr>
            <w:r>
              <w:rPr>
                <w:rFonts w:ascii="Arial" w:cs="Arial" w:eastAsia="Arial" w:hAnsi="Arial"/>
                <w:sz w:val="16"/>
                <w:szCs w:val="16"/>
                <w:color w:val="auto"/>
                <w:w w:val="93"/>
              </w:rPr>
              <w:t>20%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64,100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57,971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ind w:right="19"/>
              <w:spacing w:after="0"/>
              <w:rPr>
                <w:sz w:val="20"/>
                <w:szCs w:val="20"/>
                <w:color w:val="auto"/>
              </w:rPr>
            </w:pPr>
            <w:r>
              <w:rPr>
                <w:rFonts w:ascii="Arial" w:cs="Arial" w:eastAsia="Arial" w:hAnsi="Arial"/>
                <w:sz w:val="16"/>
                <w:szCs w:val="16"/>
                <w:color w:val="auto"/>
                <w:w w:val="87"/>
              </w:rPr>
              <w:t>11%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Outcomes</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14,679</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13,209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right="39"/>
              <w:spacing w:after="0"/>
              <w:rPr>
                <w:sz w:val="20"/>
                <w:szCs w:val="20"/>
                <w:color w:val="auto"/>
              </w:rPr>
            </w:pPr>
            <w:r>
              <w:rPr>
                <w:rFonts w:ascii="Arial" w:cs="Arial" w:eastAsia="Arial" w:hAnsi="Arial"/>
                <w:sz w:val="16"/>
                <w:szCs w:val="16"/>
                <w:color w:val="auto"/>
                <w:w w:val="93"/>
              </w:rPr>
              <w:t>11%</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28,647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26,935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right="39"/>
              <w:spacing w:after="0"/>
              <w:rPr>
                <w:sz w:val="20"/>
                <w:szCs w:val="20"/>
                <w:color w:val="auto"/>
              </w:rPr>
            </w:pPr>
            <w:r>
              <w:rPr>
                <w:rFonts w:ascii="Arial" w:cs="Arial" w:eastAsia="Arial" w:hAnsi="Arial"/>
                <w:sz w:val="16"/>
                <w:szCs w:val="16"/>
                <w:color w:val="auto"/>
                <w:w w:val="94"/>
              </w:rPr>
              <w:t>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500" w:type="dxa"/>
            <w:vAlign w:val="bottom"/>
          </w:tcPr>
          <w:p>
            <w:pPr>
              <w:ind w:left="140"/>
              <w:spacing w:after="0"/>
              <w:rPr>
                <w:sz w:val="20"/>
                <w:szCs w:val="20"/>
                <w:color w:val="auto"/>
              </w:rPr>
            </w:pPr>
            <w:r>
              <w:rPr>
                <w:rFonts w:ascii="Arial" w:cs="Arial" w:eastAsia="Arial" w:hAnsi="Arial"/>
                <w:sz w:val="16"/>
                <w:szCs w:val="16"/>
                <w:color w:val="auto"/>
              </w:rPr>
              <w:t>Corporate unallocated</w:t>
            </w: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80,253</w:t>
            </w:r>
          </w:p>
        </w:tc>
        <w:tc>
          <w:tcPr>
            <w:tcW w:w="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110,377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ind w:right="39"/>
              <w:spacing w:after="0"/>
              <w:rPr>
                <w:sz w:val="20"/>
                <w:szCs w:val="20"/>
                <w:color w:val="auto"/>
              </w:rPr>
            </w:pPr>
            <w:r>
              <w:rPr>
                <w:rFonts w:ascii="Arial" w:cs="Arial" w:eastAsia="Arial" w:hAnsi="Arial"/>
                <w:sz w:val="16"/>
                <w:szCs w:val="16"/>
                <w:color w:val="auto"/>
                <w:w w:val="98"/>
              </w:rPr>
              <w:t>(27)%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192,591</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184,484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ind w:right="39"/>
              <w:spacing w:after="0"/>
              <w:rPr>
                <w:sz w:val="20"/>
                <w:szCs w:val="20"/>
                <w:color w:val="auto"/>
              </w:rPr>
            </w:pPr>
            <w:r>
              <w:rPr>
                <w:rFonts w:ascii="Arial" w:cs="Arial" w:eastAsia="Arial" w:hAnsi="Arial"/>
                <w:sz w:val="16"/>
                <w:szCs w:val="16"/>
                <w:color w:val="auto"/>
                <w:w w:val="94"/>
              </w:rPr>
              <w:t>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operating expenses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138,847</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159,632</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center"/>
              <w:ind w:right="39"/>
              <w:spacing w:after="0"/>
              <w:rPr>
                <w:sz w:val="20"/>
                <w:szCs w:val="20"/>
                <w:color w:val="auto"/>
              </w:rPr>
            </w:pPr>
            <w:r>
              <w:rPr>
                <w:rFonts w:ascii="Arial" w:cs="Arial" w:eastAsia="Arial" w:hAnsi="Arial"/>
                <w:sz w:val="16"/>
                <w:szCs w:val="16"/>
                <w:color w:val="auto"/>
                <w:w w:val="98"/>
              </w:rPr>
              <w:t>(13)%</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305,608</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288,037</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center"/>
              <w:ind w:right="39"/>
              <w:spacing w:after="0"/>
              <w:rPr>
                <w:sz w:val="20"/>
                <w:szCs w:val="20"/>
                <w:color w:val="auto"/>
              </w:rPr>
            </w:pPr>
            <w:r>
              <w:rPr>
                <w:rFonts w:ascii="Arial" w:cs="Arial" w:eastAsia="Arial" w:hAnsi="Arial"/>
                <w:sz w:val="16"/>
                <w:szCs w:val="16"/>
                <w:color w:val="auto"/>
                <w:w w:val="94"/>
              </w:rPr>
              <w:t>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1340" w:type="dxa"/>
            <w:vAlign w:val="bottom"/>
            <w:gridSpan w:val="5"/>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340" w:type="dxa"/>
            <w:vAlign w:val="bottom"/>
            <w:gridSpan w:val="5"/>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25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8"/>
          </w:tcPr>
          <w:p>
            <w:pPr>
              <w:jc w:val="right"/>
              <w:ind w:right="220"/>
              <w:spacing w:after="0"/>
              <w:rPr>
                <w:sz w:val="20"/>
                <w:szCs w:val="20"/>
                <w:color w:val="auto"/>
              </w:rPr>
            </w:pPr>
            <w:r>
              <w:rPr>
                <w:rFonts w:ascii="Arial" w:cs="Arial" w:eastAsia="Arial" w:hAnsi="Arial"/>
                <w:sz w:val="16"/>
                <w:szCs w:val="16"/>
                <w:b w:val="1"/>
                <w:bCs w:val="1"/>
                <w:color w:val="auto"/>
                <w:w w:val="96"/>
              </w:rPr>
              <w:t>Three Months Ended June 30,</w:t>
            </w: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6"/>
          </w:tcPr>
          <w:p>
            <w:pPr>
              <w:jc w:val="right"/>
              <w:ind w:right="420"/>
              <w:spacing w:after="0"/>
              <w:rPr>
                <w:sz w:val="20"/>
                <w:szCs w:val="20"/>
                <w:color w:val="auto"/>
              </w:rPr>
            </w:pPr>
            <w:r>
              <w:rPr>
                <w:rFonts w:ascii="Arial" w:cs="Arial" w:eastAsia="Arial" w:hAnsi="Arial"/>
                <w:sz w:val="16"/>
                <w:szCs w:val="16"/>
                <w:b w:val="1"/>
                <w:bCs w:val="1"/>
                <w:color w:val="auto"/>
                <w:w w:val="89"/>
              </w:rPr>
              <w:t>Six Months Ended June 30,</w:t>
            </w: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5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4"/>
          </w:tcPr>
          <w:p>
            <w:pPr>
              <w:jc w:val="center"/>
              <w:ind w:left="659"/>
              <w:spacing w:after="0"/>
              <w:rPr>
                <w:sz w:val="20"/>
                <w:szCs w:val="20"/>
                <w:color w:val="auto"/>
              </w:rPr>
            </w:pPr>
            <w:r>
              <w:rPr>
                <w:rFonts w:ascii="Arial" w:cs="Arial" w:eastAsia="Arial" w:hAnsi="Arial"/>
                <w:sz w:val="16"/>
                <w:szCs w:val="16"/>
                <w:b w:val="1"/>
                <w:bCs w:val="1"/>
                <w:color w:val="auto"/>
                <w:w w:val="89"/>
              </w:rPr>
              <w:t>2023</w:t>
            </w:r>
          </w:p>
        </w:tc>
        <w:tc>
          <w:tcPr>
            <w:tcW w:w="8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b w:val="1"/>
                <w:bCs w:val="1"/>
                <w:color w:val="auto"/>
              </w:rPr>
              <w:t>2022</w:t>
            </w: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4"/>
          </w:tcPr>
          <w:p>
            <w:pPr>
              <w:jc w:val="right"/>
              <w:ind w:right="87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6"/>
                <w:szCs w:val="16"/>
                <w:b w:val="1"/>
                <w:bCs w:val="1"/>
                <w:color w:val="auto"/>
              </w:rPr>
              <w:t>2022</w:t>
            </w: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spacing w:after="0" w:line="162" w:lineRule="exact"/>
              <w:rPr>
                <w:sz w:val="20"/>
                <w:szCs w:val="20"/>
                <w:color w:val="auto"/>
              </w:rPr>
            </w:pPr>
            <w:r>
              <w:rPr>
                <w:rFonts w:ascii="Arial" w:cs="Arial" w:eastAsia="Arial" w:hAnsi="Arial"/>
                <w:sz w:val="16"/>
                <w:szCs w:val="16"/>
                <w:b w:val="1"/>
                <w:bCs w:val="1"/>
                <w:i w:val="1"/>
                <w:iCs w:val="1"/>
                <w:color w:val="auto"/>
                <w:w w:val="89"/>
              </w:rPr>
              <w:t>Operating</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vMerge w:val="restart"/>
          </w:tcPr>
          <w:p>
            <w:pPr>
              <w:jc w:val="center"/>
              <w:ind w:right="39"/>
              <w:spacing w:after="0"/>
              <w:rPr>
                <w:sz w:val="20"/>
                <w:szCs w:val="20"/>
                <w:color w:val="auto"/>
              </w:rPr>
            </w:pPr>
            <w:r>
              <w:rPr>
                <w:rFonts w:ascii="Arial" w:cs="Arial" w:eastAsia="Arial" w:hAnsi="Arial"/>
                <w:sz w:val="16"/>
                <w:szCs w:val="16"/>
                <w:b w:val="1"/>
                <w:bCs w:val="1"/>
                <w:i w:val="1"/>
                <w:iCs w:val="1"/>
                <w:color w:val="auto"/>
                <w:w w:val="89"/>
              </w:rPr>
              <w:t>Operating</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3"/>
            <w:vMerge w:val="restart"/>
          </w:tcPr>
          <w:p>
            <w:pPr>
              <w:jc w:val="center"/>
              <w:ind w:right="320"/>
              <w:spacing w:after="0"/>
              <w:rPr>
                <w:sz w:val="20"/>
                <w:szCs w:val="20"/>
                <w:color w:val="auto"/>
              </w:rPr>
            </w:pPr>
            <w:r>
              <w:rPr>
                <w:rFonts w:ascii="Arial" w:cs="Arial" w:eastAsia="Arial" w:hAnsi="Arial"/>
                <w:sz w:val="16"/>
                <w:szCs w:val="16"/>
                <w:b w:val="1"/>
                <w:bCs w:val="1"/>
                <w:i w:val="1"/>
                <w:iCs w:val="1"/>
                <w:color w:val="auto"/>
                <w:w w:val="87"/>
              </w:rPr>
              <w:t>Operating</w:t>
            </w:r>
          </w:p>
        </w:tc>
        <w:tc>
          <w:tcPr>
            <w:tcW w:w="960" w:type="dxa"/>
            <w:vAlign w:val="bottom"/>
            <w:gridSpan w:val="2"/>
            <w:vMerge w:val="restart"/>
          </w:tcPr>
          <w:p>
            <w:pPr>
              <w:jc w:val="center"/>
              <w:ind w:right="200"/>
              <w:spacing w:after="0"/>
              <w:rPr>
                <w:sz w:val="20"/>
                <w:szCs w:val="20"/>
                <w:color w:val="auto"/>
              </w:rPr>
            </w:pPr>
            <w:r>
              <w:rPr>
                <w:rFonts w:ascii="Arial" w:cs="Arial" w:eastAsia="Arial" w:hAnsi="Arial"/>
                <w:sz w:val="16"/>
                <w:szCs w:val="16"/>
                <w:b w:val="1"/>
                <w:bCs w:val="1"/>
                <w:i w:val="1"/>
                <w:iCs w:val="1"/>
                <w:color w:val="auto"/>
                <w:w w:val="89"/>
              </w:rPr>
              <w:t>Operating</w:t>
            </w:r>
          </w:p>
        </w:tc>
        <w:tc>
          <w:tcPr>
            <w:tcW w:w="140" w:type="dxa"/>
            <w:vAlign w:val="bottom"/>
          </w:tcPr>
          <w:p>
            <w:pPr>
              <w:spacing w:after="0"/>
              <w:rPr>
                <w:sz w:val="14"/>
                <w:szCs w:val="14"/>
                <w:color w:val="auto"/>
              </w:rPr>
            </w:pPr>
          </w:p>
        </w:tc>
        <w:tc>
          <w:tcPr>
            <w:tcW w:w="900" w:type="dxa"/>
            <w:vAlign w:val="bottom"/>
            <w:vMerge w:val="restart"/>
          </w:tcPr>
          <w:p>
            <w:pPr>
              <w:jc w:val="center"/>
              <w:ind w:right="59"/>
              <w:spacing w:after="0"/>
              <w:rPr>
                <w:sz w:val="20"/>
                <w:szCs w:val="20"/>
                <w:color w:val="auto"/>
              </w:rPr>
            </w:pPr>
            <w:r>
              <w:rPr>
                <w:rFonts w:ascii="Arial" w:cs="Arial" w:eastAsia="Arial" w:hAnsi="Arial"/>
                <w:sz w:val="16"/>
                <w:szCs w:val="16"/>
                <w:b w:val="1"/>
                <w:bCs w:val="1"/>
                <w:i w:val="1"/>
                <w:iCs w:val="1"/>
                <w:color w:val="auto"/>
                <w:w w:val="89"/>
              </w:rPr>
              <w:t>Operating</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vMerge w:val="restart"/>
          </w:tcPr>
          <w:p>
            <w:pPr>
              <w:jc w:val="center"/>
              <w:ind w:right="39"/>
              <w:spacing w:after="0"/>
              <w:rPr>
                <w:sz w:val="20"/>
                <w:szCs w:val="20"/>
                <w:color w:val="auto"/>
              </w:rPr>
            </w:pPr>
            <w:r>
              <w:rPr>
                <w:rFonts w:ascii="Arial" w:cs="Arial" w:eastAsia="Arial" w:hAnsi="Arial"/>
                <w:sz w:val="16"/>
                <w:szCs w:val="16"/>
                <w:b w:val="1"/>
                <w:bCs w:val="1"/>
                <w:i w:val="1"/>
                <w:iCs w:val="1"/>
                <w:color w:val="auto"/>
                <w:w w:val="89"/>
              </w:rPr>
              <w:t>Operating</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3"/>
            <w:vMerge w:val="restart"/>
          </w:tcPr>
          <w:p>
            <w:pPr>
              <w:jc w:val="center"/>
              <w:ind w:right="320"/>
              <w:spacing w:after="0"/>
              <w:rPr>
                <w:sz w:val="20"/>
                <w:szCs w:val="20"/>
                <w:color w:val="auto"/>
              </w:rPr>
            </w:pPr>
            <w:r>
              <w:rPr>
                <w:rFonts w:ascii="Arial" w:cs="Arial" w:eastAsia="Arial" w:hAnsi="Arial"/>
                <w:sz w:val="16"/>
                <w:szCs w:val="16"/>
                <w:b w:val="1"/>
                <w:bCs w:val="1"/>
                <w:i w:val="1"/>
                <w:iCs w:val="1"/>
                <w:color w:val="auto"/>
                <w:w w:val="89"/>
              </w:rPr>
              <w:t>Operating</w:t>
            </w:r>
          </w:p>
        </w:tc>
        <w:tc>
          <w:tcPr>
            <w:tcW w:w="840" w:type="dxa"/>
            <w:vAlign w:val="bottom"/>
            <w:vMerge w:val="restart"/>
          </w:tcPr>
          <w:p>
            <w:pPr>
              <w:jc w:val="center"/>
              <w:ind w:right="19"/>
              <w:spacing w:after="0"/>
              <w:rPr>
                <w:sz w:val="20"/>
                <w:szCs w:val="20"/>
                <w:color w:val="auto"/>
              </w:rPr>
            </w:pPr>
            <w:r>
              <w:rPr>
                <w:rFonts w:ascii="Arial" w:cs="Arial" w:eastAsia="Arial" w:hAnsi="Arial"/>
                <w:sz w:val="16"/>
                <w:szCs w:val="16"/>
                <w:b w:val="1"/>
                <w:bCs w:val="1"/>
                <w:i w:val="1"/>
                <w:iCs w:val="1"/>
                <w:color w:val="auto"/>
                <w:w w:val="87"/>
              </w:rPr>
              <w:t>Operating</w:t>
            </w:r>
          </w:p>
        </w:tc>
        <w:tc>
          <w:tcPr>
            <w:tcW w:w="0" w:type="dxa"/>
            <w:vAlign w:val="bottom"/>
          </w:tcPr>
          <w:p>
            <w:pPr>
              <w:spacing w:after="0"/>
              <w:rPr>
                <w:sz w:val="1"/>
                <w:szCs w:val="1"/>
                <w:color w:val="auto"/>
              </w:rPr>
            </w:pPr>
          </w:p>
        </w:tc>
      </w:tr>
      <w:tr>
        <w:trPr>
          <w:trHeight w:val="162"/>
        </w:trPr>
        <w:tc>
          <w:tcPr>
            <w:tcW w:w="250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00" w:type="dxa"/>
            <w:vAlign w:val="bottom"/>
          </w:tcPr>
          <w:p>
            <w:pPr>
              <w:spacing w:after="0"/>
              <w:rPr>
                <w:sz w:val="14"/>
                <w:szCs w:val="14"/>
                <w:color w:val="auto"/>
              </w:rPr>
            </w:pPr>
          </w:p>
        </w:tc>
        <w:tc>
          <w:tcPr>
            <w:tcW w:w="800" w:type="dxa"/>
            <w:vAlign w:val="bottom"/>
          </w:tcPr>
          <w:p>
            <w:pPr>
              <w:jc w:val="center"/>
              <w:spacing w:after="0" w:line="162" w:lineRule="exact"/>
              <w:rPr>
                <w:sz w:val="20"/>
                <w:szCs w:val="20"/>
                <w:color w:val="auto"/>
              </w:rPr>
            </w:pPr>
            <w:r>
              <w:rPr>
                <w:rFonts w:ascii="Arial" w:cs="Arial" w:eastAsia="Arial" w:hAnsi="Arial"/>
                <w:sz w:val="16"/>
                <w:szCs w:val="16"/>
                <w:b w:val="1"/>
                <w:bCs w:val="1"/>
                <w:i w:val="1"/>
                <w:iCs w:val="1"/>
                <w:color w:val="auto"/>
                <w:w w:val="89"/>
              </w:rPr>
              <w:t>Income</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5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6"/>
                <w:szCs w:val="16"/>
                <w:b w:val="1"/>
                <w:bCs w:val="1"/>
                <w:i w:val="1"/>
                <w:iCs w:val="1"/>
                <w:color w:val="auto"/>
                <w:w w:val="83"/>
              </w:rPr>
              <w:t>(Loss)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center"/>
              <w:ind w:right="39"/>
              <w:spacing w:after="0"/>
              <w:rPr>
                <w:sz w:val="20"/>
                <w:szCs w:val="20"/>
                <w:color w:val="auto"/>
              </w:rPr>
            </w:pPr>
            <w:r>
              <w:rPr>
                <w:rFonts w:ascii="Arial" w:cs="Arial" w:eastAsia="Arial" w:hAnsi="Arial"/>
                <w:sz w:val="16"/>
                <w:szCs w:val="16"/>
                <w:b w:val="1"/>
                <w:bCs w:val="1"/>
                <w:i w:val="1"/>
                <w:iCs w:val="1"/>
                <w:color w:val="auto"/>
                <w:w w:val="99"/>
              </w:rPr>
              <w:t>Margin</w:t>
            </w:r>
          </w:p>
        </w:tc>
        <w:tc>
          <w:tcPr>
            <w:tcW w:w="120" w:type="dxa"/>
            <w:vAlign w:val="bottom"/>
          </w:tcPr>
          <w:p>
            <w:pPr>
              <w:spacing w:after="0"/>
              <w:rPr>
                <w:sz w:val="18"/>
                <w:szCs w:val="18"/>
                <w:color w:val="auto"/>
              </w:rPr>
            </w:pPr>
          </w:p>
        </w:tc>
        <w:tc>
          <w:tcPr>
            <w:tcW w:w="1220" w:type="dxa"/>
            <w:vAlign w:val="bottom"/>
            <w:gridSpan w:val="4"/>
          </w:tcPr>
          <w:p>
            <w:pPr>
              <w:ind w:left="40"/>
              <w:spacing w:after="0"/>
              <w:rPr>
                <w:sz w:val="20"/>
                <w:szCs w:val="20"/>
                <w:color w:val="auto"/>
              </w:rPr>
            </w:pPr>
            <w:r>
              <w:rPr>
                <w:rFonts w:ascii="Arial" w:cs="Arial" w:eastAsia="Arial" w:hAnsi="Arial"/>
                <w:sz w:val="16"/>
                <w:szCs w:val="16"/>
                <w:b w:val="1"/>
                <w:bCs w:val="1"/>
                <w:i w:val="1"/>
                <w:iCs w:val="1"/>
                <w:color w:val="auto"/>
              </w:rPr>
              <w:t>Income (Loss)</w:t>
            </w:r>
          </w:p>
        </w:tc>
        <w:tc>
          <w:tcPr>
            <w:tcW w:w="960" w:type="dxa"/>
            <w:vAlign w:val="bottom"/>
            <w:gridSpan w:val="2"/>
          </w:tcPr>
          <w:p>
            <w:pPr>
              <w:jc w:val="center"/>
              <w:ind w:right="200"/>
              <w:spacing w:after="0"/>
              <w:rPr>
                <w:sz w:val="20"/>
                <w:szCs w:val="20"/>
                <w:color w:val="auto"/>
              </w:rPr>
            </w:pPr>
            <w:r>
              <w:rPr>
                <w:rFonts w:ascii="Arial" w:cs="Arial" w:eastAsia="Arial" w:hAnsi="Arial"/>
                <w:sz w:val="16"/>
                <w:szCs w:val="16"/>
                <w:b w:val="1"/>
                <w:bCs w:val="1"/>
                <w:i w:val="1"/>
                <w:iCs w:val="1"/>
                <w:color w:val="auto"/>
                <w:w w:val="99"/>
              </w:rPr>
              <w:t>Margin</w:t>
            </w:r>
          </w:p>
        </w:tc>
        <w:tc>
          <w:tcPr>
            <w:tcW w:w="1040" w:type="dxa"/>
            <w:vAlign w:val="bottom"/>
            <w:gridSpan w:val="2"/>
          </w:tcPr>
          <w:p>
            <w:pPr>
              <w:jc w:val="center"/>
              <w:spacing w:after="0"/>
              <w:rPr>
                <w:sz w:val="20"/>
                <w:szCs w:val="20"/>
                <w:color w:val="auto"/>
              </w:rPr>
            </w:pPr>
            <w:r>
              <w:rPr>
                <w:rFonts w:ascii="Arial" w:cs="Arial" w:eastAsia="Arial" w:hAnsi="Arial"/>
                <w:sz w:val="16"/>
                <w:szCs w:val="16"/>
                <w:b w:val="1"/>
                <w:bCs w:val="1"/>
                <w:i w:val="1"/>
                <w:iCs w:val="1"/>
                <w:color w:val="auto"/>
                <w:w w:val="88"/>
              </w:rPr>
              <w:t>Income (Loss)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ind w:right="19"/>
              <w:spacing w:after="0"/>
              <w:rPr>
                <w:sz w:val="20"/>
                <w:szCs w:val="20"/>
                <w:color w:val="auto"/>
              </w:rPr>
            </w:pPr>
            <w:r>
              <w:rPr>
                <w:rFonts w:ascii="Arial" w:cs="Arial" w:eastAsia="Arial" w:hAnsi="Arial"/>
                <w:sz w:val="16"/>
                <w:szCs w:val="16"/>
                <w:b w:val="1"/>
                <w:bCs w:val="1"/>
                <w:i w:val="1"/>
                <w:iCs w:val="1"/>
                <w:color w:val="auto"/>
                <w:w w:val="95"/>
              </w:rPr>
              <w:t>Margin</w:t>
            </w:r>
          </w:p>
        </w:tc>
        <w:tc>
          <w:tcPr>
            <w:tcW w:w="100" w:type="dxa"/>
            <w:vAlign w:val="bottom"/>
          </w:tcPr>
          <w:p>
            <w:pPr>
              <w:spacing w:after="0"/>
              <w:rPr>
                <w:sz w:val="18"/>
                <w:szCs w:val="18"/>
                <w:color w:val="auto"/>
              </w:rPr>
            </w:pPr>
          </w:p>
        </w:tc>
        <w:tc>
          <w:tcPr>
            <w:tcW w:w="1240" w:type="dxa"/>
            <w:vAlign w:val="bottom"/>
            <w:gridSpan w:val="4"/>
          </w:tcPr>
          <w:p>
            <w:pPr>
              <w:ind w:left="40"/>
              <w:spacing w:after="0"/>
              <w:rPr>
                <w:sz w:val="20"/>
                <w:szCs w:val="20"/>
                <w:color w:val="auto"/>
              </w:rPr>
            </w:pPr>
            <w:r>
              <w:rPr>
                <w:rFonts w:ascii="Arial" w:cs="Arial" w:eastAsia="Arial" w:hAnsi="Arial"/>
                <w:sz w:val="16"/>
                <w:szCs w:val="16"/>
                <w:b w:val="1"/>
                <w:bCs w:val="1"/>
                <w:i w:val="1"/>
                <w:iCs w:val="1"/>
                <w:color w:val="auto"/>
              </w:rPr>
              <w:t>Income (Loss)</w:t>
            </w:r>
          </w:p>
        </w:tc>
        <w:tc>
          <w:tcPr>
            <w:tcW w:w="840" w:type="dxa"/>
            <w:vAlign w:val="bottom"/>
          </w:tcPr>
          <w:p>
            <w:pPr>
              <w:jc w:val="center"/>
              <w:ind w:right="19"/>
              <w:spacing w:after="0"/>
              <w:rPr>
                <w:sz w:val="20"/>
                <w:szCs w:val="20"/>
                <w:color w:val="auto"/>
              </w:rPr>
            </w:pPr>
            <w:r>
              <w:rPr>
                <w:rFonts w:ascii="Arial" w:cs="Arial" w:eastAsia="Arial" w:hAnsi="Arial"/>
                <w:sz w:val="16"/>
                <w:szCs w:val="16"/>
                <w:b w:val="1"/>
                <w:bCs w:val="1"/>
                <w:i w:val="1"/>
                <w:iCs w:val="1"/>
                <w:color w:val="auto"/>
                <w:w w:val="95"/>
              </w:rPr>
              <w:t>Margin</w:t>
            </w:r>
          </w:p>
        </w:tc>
        <w:tc>
          <w:tcPr>
            <w:tcW w:w="0" w:type="dxa"/>
            <w:vAlign w:val="bottom"/>
          </w:tcPr>
          <w:p>
            <w:pPr>
              <w:spacing w:after="0"/>
              <w:rPr>
                <w:sz w:val="1"/>
                <w:szCs w:val="1"/>
                <w:color w:val="auto"/>
              </w:rPr>
            </w:pPr>
          </w:p>
        </w:tc>
      </w:tr>
      <w:tr>
        <w:trPr>
          <w:trHeight w:val="162"/>
        </w:trPr>
        <w:tc>
          <w:tcPr>
            <w:tcW w:w="2500" w:type="dxa"/>
            <w:vAlign w:val="bottom"/>
            <w:tcBorders>
              <w:top w:val="single" w:sz="8" w:color="auto"/>
            </w:tcBorders>
          </w:tcPr>
          <w:p>
            <w:pPr>
              <w:ind w:left="20"/>
              <w:spacing w:after="0" w:line="162" w:lineRule="exact"/>
              <w:rPr>
                <w:sz w:val="20"/>
                <w:szCs w:val="20"/>
                <w:color w:val="auto"/>
              </w:rPr>
            </w:pPr>
            <w:r>
              <w:rPr>
                <w:rFonts w:ascii="Arial" w:cs="Arial" w:eastAsia="Arial" w:hAnsi="Arial"/>
                <w:sz w:val="16"/>
                <w:szCs w:val="16"/>
                <w:b w:val="1"/>
                <w:bCs w:val="1"/>
                <w:i w:val="1"/>
                <w:iCs w:val="1"/>
                <w:color w:val="auto"/>
                <w:w w:val="97"/>
              </w:rPr>
              <w:t>Segment operating income (loss)</w:t>
            </w:r>
          </w:p>
        </w:tc>
        <w:tc>
          <w:tcPr>
            <w:tcW w:w="1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50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and operating margin</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Device Solutions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14,084</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center"/>
              <w:ind w:right="19"/>
              <w:spacing w:after="0"/>
              <w:rPr>
                <w:sz w:val="20"/>
                <w:szCs w:val="20"/>
                <w:color w:val="auto"/>
              </w:rPr>
            </w:pPr>
            <w:r>
              <w:rPr>
                <w:rFonts w:ascii="Arial" w:cs="Arial" w:eastAsia="Arial" w:hAnsi="Arial"/>
                <w:sz w:val="16"/>
                <w:szCs w:val="16"/>
                <w:color w:val="auto"/>
                <w:w w:val="92"/>
              </w:rPr>
              <w:t>12.4%</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5,459</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jc w:val="center"/>
              <w:ind w:right="19"/>
              <w:spacing w:after="0"/>
              <w:rPr>
                <w:sz w:val="20"/>
                <w:szCs w:val="20"/>
                <w:color w:val="auto"/>
              </w:rPr>
            </w:pPr>
            <w:r>
              <w:rPr>
                <w:rFonts w:ascii="Arial" w:cs="Arial" w:eastAsia="Arial" w:hAnsi="Arial"/>
                <w:sz w:val="16"/>
                <w:szCs w:val="16"/>
                <w:color w:val="auto"/>
                <w:w w:val="87"/>
              </w:rPr>
              <w:t>5.2%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28,162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center"/>
              <w:ind w:right="19"/>
              <w:spacing w:after="0"/>
              <w:rPr>
                <w:sz w:val="20"/>
                <w:szCs w:val="20"/>
                <w:color w:val="auto"/>
              </w:rPr>
            </w:pPr>
            <w:r>
              <w:rPr>
                <w:rFonts w:ascii="Arial" w:cs="Arial" w:eastAsia="Arial" w:hAnsi="Arial"/>
                <w:sz w:val="16"/>
                <w:szCs w:val="16"/>
                <w:color w:val="auto"/>
                <w:w w:val="92"/>
              </w:rPr>
              <w:t>12.2%</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17,037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center"/>
              <w:ind w:right="19"/>
              <w:spacing w:after="0"/>
              <w:rPr>
                <w:sz w:val="20"/>
                <w:szCs w:val="20"/>
                <w:color w:val="auto"/>
              </w:rPr>
            </w:pPr>
            <w:r>
              <w:rPr>
                <w:rFonts w:ascii="Arial" w:cs="Arial" w:eastAsia="Arial" w:hAnsi="Arial"/>
                <w:sz w:val="16"/>
                <w:szCs w:val="16"/>
                <w:color w:val="auto"/>
                <w:w w:val="93"/>
              </w:rPr>
              <w:t>7.0%</w:t>
            </w:r>
          </w:p>
        </w:tc>
        <w:tc>
          <w:tcPr>
            <w:tcW w:w="0" w:type="dxa"/>
            <w:vAlign w:val="bottom"/>
          </w:tcPr>
          <w:p>
            <w:pPr>
              <w:spacing w:after="0"/>
              <w:rPr>
                <w:sz w:val="1"/>
                <w:szCs w:val="1"/>
                <w:color w:val="auto"/>
              </w:rPr>
            </w:pPr>
          </w:p>
        </w:tc>
      </w:tr>
      <w:tr>
        <w:trPr>
          <w:trHeight w:val="213"/>
        </w:trPr>
        <w:tc>
          <w:tcPr>
            <w:tcW w:w="2500" w:type="dxa"/>
            <w:vAlign w:val="bottom"/>
          </w:tcPr>
          <w:p>
            <w:pPr>
              <w:ind w:left="140"/>
              <w:spacing w:after="0"/>
              <w:rPr>
                <w:sz w:val="20"/>
                <w:szCs w:val="20"/>
                <w:color w:val="auto"/>
              </w:rPr>
            </w:pPr>
            <w:r>
              <w:rPr>
                <w:rFonts w:ascii="Arial" w:cs="Arial" w:eastAsia="Arial" w:hAnsi="Arial"/>
                <w:sz w:val="16"/>
                <w:szCs w:val="16"/>
                <w:color w:val="auto"/>
              </w:rPr>
              <w:t>Networked Solutions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88,593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center"/>
              <w:ind w:right="19"/>
              <w:spacing w:after="0"/>
              <w:rPr>
                <w:sz w:val="20"/>
                <w:szCs w:val="20"/>
                <w:color w:val="auto"/>
              </w:rPr>
            </w:pPr>
            <w:r>
              <w:rPr>
                <w:rFonts w:ascii="Arial" w:cs="Arial" w:eastAsia="Arial" w:hAnsi="Arial"/>
                <w:sz w:val="16"/>
                <w:szCs w:val="16"/>
                <w:color w:val="auto"/>
                <w:w w:val="92"/>
              </w:rPr>
              <w:t>24.5%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62,282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w w:val="92"/>
              </w:rPr>
              <w:t>23.1%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163,549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ind w:right="19"/>
              <w:spacing w:after="0"/>
              <w:rPr>
                <w:sz w:val="20"/>
                <w:szCs w:val="20"/>
                <w:color w:val="auto"/>
              </w:rPr>
            </w:pPr>
            <w:r>
              <w:rPr>
                <w:rFonts w:ascii="Arial" w:cs="Arial" w:eastAsia="Arial" w:hAnsi="Arial"/>
                <w:sz w:val="16"/>
                <w:szCs w:val="16"/>
                <w:color w:val="auto"/>
                <w:w w:val="92"/>
              </w:rPr>
              <w:t>24.3%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123,289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center"/>
              <w:ind w:right="19"/>
              <w:spacing w:after="0"/>
              <w:rPr>
                <w:sz w:val="20"/>
                <w:szCs w:val="20"/>
                <w:color w:val="auto"/>
              </w:rPr>
            </w:pPr>
            <w:r>
              <w:rPr>
                <w:rFonts w:ascii="Arial" w:cs="Arial" w:eastAsia="Arial" w:hAnsi="Arial"/>
                <w:sz w:val="16"/>
                <w:szCs w:val="16"/>
                <w:color w:val="auto"/>
                <w:w w:val="92"/>
              </w:rPr>
              <w:t>22.5%</w:t>
            </w:r>
          </w:p>
        </w:tc>
        <w:tc>
          <w:tcPr>
            <w:tcW w:w="0" w:type="dxa"/>
            <w:vAlign w:val="bottom"/>
          </w:tcPr>
          <w:p>
            <w:pPr>
              <w:spacing w:after="0"/>
              <w:rPr>
                <w:sz w:val="1"/>
                <w:szCs w:val="1"/>
                <w:color w:val="auto"/>
              </w:rPr>
            </w:pPr>
          </w:p>
        </w:tc>
      </w:tr>
      <w:tr>
        <w:trPr>
          <w:trHeight w:val="219"/>
        </w:trPr>
        <w:tc>
          <w:tcPr>
            <w:tcW w:w="25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Outcomes</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12,676</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center"/>
              <w:ind w:right="19"/>
              <w:spacing w:after="0"/>
              <w:rPr>
                <w:sz w:val="20"/>
                <w:szCs w:val="20"/>
                <w:color w:val="auto"/>
              </w:rPr>
            </w:pPr>
            <w:r>
              <w:rPr>
                <w:rFonts w:ascii="Arial" w:cs="Arial" w:eastAsia="Arial" w:hAnsi="Arial"/>
                <w:sz w:val="16"/>
                <w:szCs w:val="16"/>
                <w:color w:val="auto"/>
                <w:w w:val="92"/>
              </w:rPr>
              <w:t>18.9%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9,109</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15.8%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25,587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center"/>
              <w:ind w:right="19"/>
              <w:spacing w:after="0"/>
              <w:rPr>
                <w:sz w:val="20"/>
                <w:szCs w:val="20"/>
                <w:color w:val="auto"/>
              </w:rPr>
            </w:pPr>
            <w:r>
              <w:rPr>
                <w:rFonts w:ascii="Arial" w:cs="Arial" w:eastAsia="Arial" w:hAnsi="Arial"/>
                <w:sz w:val="16"/>
                <w:szCs w:val="16"/>
                <w:color w:val="auto"/>
                <w:w w:val="92"/>
              </w:rPr>
              <w:t>19.7%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17,450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center"/>
              <w:ind w:right="19"/>
              <w:spacing w:after="0"/>
              <w:rPr>
                <w:sz w:val="20"/>
                <w:szCs w:val="20"/>
                <w:color w:val="auto"/>
              </w:rPr>
            </w:pPr>
            <w:r>
              <w:rPr>
                <w:rFonts w:ascii="Arial" w:cs="Arial" w:eastAsia="Arial" w:hAnsi="Arial"/>
                <w:sz w:val="16"/>
                <w:szCs w:val="16"/>
                <w:color w:val="auto"/>
                <w:w w:val="92"/>
              </w:rPr>
              <w:t>15.2%</w:t>
            </w:r>
          </w:p>
        </w:tc>
        <w:tc>
          <w:tcPr>
            <w:tcW w:w="0" w:type="dxa"/>
            <w:vAlign w:val="bottom"/>
          </w:tcPr>
          <w:p>
            <w:pPr>
              <w:spacing w:after="0"/>
              <w:rPr>
                <w:sz w:val="1"/>
                <w:szCs w:val="1"/>
                <w:color w:val="auto"/>
              </w:rPr>
            </w:pPr>
          </w:p>
        </w:tc>
      </w:tr>
      <w:tr>
        <w:trPr>
          <w:trHeight w:val="216"/>
        </w:trPr>
        <w:tc>
          <w:tcPr>
            <w:tcW w:w="2500" w:type="dxa"/>
            <w:vAlign w:val="bottom"/>
          </w:tcPr>
          <w:p>
            <w:pPr>
              <w:ind w:left="140"/>
              <w:spacing w:after="0"/>
              <w:rPr>
                <w:sz w:val="20"/>
                <w:szCs w:val="20"/>
                <w:color w:val="auto"/>
              </w:rPr>
            </w:pPr>
            <w:r>
              <w:rPr>
                <w:rFonts w:ascii="Arial" w:cs="Arial" w:eastAsia="Arial" w:hAnsi="Arial"/>
                <w:sz w:val="16"/>
                <w:szCs w:val="16"/>
                <w:color w:val="auto"/>
              </w:rPr>
              <w:t>Corporate unallocated</w:t>
            </w: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(80,253)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center"/>
              <w:ind w:right="19"/>
              <w:spacing w:after="0"/>
              <w:rPr>
                <w:sz w:val="20"/>
                <w:szCs w:val="20"/>
                <w:color w:val="auto"/>
              </w:rPr>
            </w:pPr>
            <w:r>
              <w:rPr>
                <w:rFonts w:ascii="Arial" w:cs="Arial" w:eastAsia="Arial" w:hAnsi="Arial"/>
                <w:sz w:val="16"/>
                <w:szCs w:val="16"/>
                <w:color w:val="auto"/>
              </w:rPr>
              <w:t>NM</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(110,377)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6"/>
                <w:szCs w:val="16"/>
                <w:color w:val="auto"/>
              </w:rPr>
              <w:t>NM</w:t>
            </w: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(192,591)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ind w:right="19"/>
              <w:spacing w:after="0"/>
              <w:rPr>
                <w:sz w:val="20"/>
                <w:szCs w:val="20"/>
                <w:color w:val="auto"/>
              </w:rPr>
            </w:pPr>
            <w:r>
              <w:rPr>
                <w:rFonts w:ascii="Arial" w:cs="Arial" w:eastAsia="Arial" w:hAnsi="Arial"/>
                <w:sz w:val="16"/>
                <w:szCs w:val="16"/>
                <w:color w:val="auto"/>
              </w:rPr>
              <w:t>NM</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(184,484)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center"/>
              <w:ind w:right="19"/>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159"/>
        </w:trPr>
        <w:tc>
          <w:tcPr>
            <w:tcW w:w="2500" w:type="dxa"/>
            <w:vAlign w:val="bottom"/>
            <w:shd w:val="clear" w:color="auto" w:fill="CCEEFF"/>
          </w:tcPr>
          <w:p>
            <w:pPr>
              <w:ind w:left="300"/>
              <w:spacing w:after="0" w:line="159" w:lineRule="exact"/>
              <w:rPr>
                <w:sz w:val="20"/>
                <w:szCs w:val="20"/>
                <w:color w:val="auto"/>
              </w:rPr>
            </w:pPr>
            <w:r>
              <w:rPr>
                <w:rFonts w:ascii="Arial" w:cs="Arial" w:eastAsia="Arial" w:hAnsi="Arial"/>
                <w:sz w:val="16"/>
                <w:szCs w:val="16"/>
                <w:color w:val="auto"/>
              </w:rPr>
              <w:t>Total operating income (loss)</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35,100</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center"/>
              <w:ind w:right="19"/>
              <w:spacing w:after="0"/>
              <w:rPr>
                <w:sz w:val="20"/>
                <w:szCs w:val="20"/>
                <w:color w:val="auto"/>
              </w:rPr>
            </w:pPr>
            <w:r>
              <w:rPr>
                <w:rFonts w:ascii="Arial" w:cs="Arial" w:eastAsia="Arial" w:hAnsi="Arial"/>
                <w:sz w:val="16"/>
                <w:szCs w:val="16"/>
                <w:color w:val="auto"/>
                <w:w w:val="93"/>
              </w:rPr>
              <w:t>6.5%</w:t>
            </w:r>
          </w:p>
        </w:tc>
        <w:tc>
          <w:tcPr>
            <w:tcW w:w="240" w:type="dxa"/>
            <w:vAlign w:val="bottom"/>
            <w:gridSpan w:val="2"/>
            <w:vMerge w:val="restart"/>
            <w:shd w:val="clear" w:color="auto" w:fill="CCEEFF"/>
          </w:tcPr>
          <w:p>
            <w:pPr>
              <w:ind w:left="140"/>
              <w:spacing w:after="0"/>
              <w:rPr>
                <w:sz w:val="20"/>
                <w:szCs w:val="20"/>
                <w:color w:val="auto"/>
              </w:rPr>
            </w:pPr>
            <w:r>
              <w:rPr>
                <w:rFonts w:ascii="Arial" w:cs="Arial" w:eastAsia="Arial" w:hAnsi="Arial"/>
                <w:sz w:val="16"/>
                <w:szCs w:val="16"/>
                <w:color w:val="auto"/>
                <w:w w:val="8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(33,527)</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center"/>
              <w:ind w:right="19"/>
              <w:spacing w:after="0"/>
              <w:rPr>
                <w:sz w:val="20"/>
                <w:szCs w:val="20"/>
                <w:color w:val="auto"/>
              </w:rPr>
            </w:pPr>
            <w:r>
              <w:rPr>
                <w:rFonts w:ascii="Arial" w:cs="Arial" w:eastAsia="Arial" w:hAnsi="Arial"/>
                <w:sz w:val="16"/>
                <w:szCs w:val="16"/>
                <w:color w:val="auto"/>
                <w:w w:val="93"/>
              </w:rPr>
              <w:t>(7.8)%</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24,707</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center"/>
              <w:ind w:right="19"/>
              <w:spacing w:after="0"/>
              <w:rPr>
                <w:sz w:val="20"/>
                <w:szCs w:val="20"/>
                <w:color w:val="auto"/>
              </w:rPr>
            </w:pPr>
            <w:r>
              <w:rPr>
                <w:rFonts w:ascii="Arial" w:cs="Arial" w:eastAsia="Arial" w:hAnsi="Arial"/>
                <w:sz w:val="16"/>
                <w:szCs w:val="16"/>
                <w:color w:val="auto"/>
                <w:w w:val="93"/>
              </w:rPr>
              <w:t>2.4%</w:t>
            </w:r>
          </w:p>
        </w:tc>
        <w:tc>
          <w:tcPr>
            <w:tcW w:w="220" w:type="dxa"/>
            <w:vAlign w:val="bottom"/>
            <w:gridSpan w:val="2"/>
            <w:vMerge w:val="restart"/>
            <w:shd w:val="clear" w:color="auto" w:fill="CCEEFF"/>
          </w:tcPr>
          <w:p>
            <w:pPr>
              <w:ind w:left="120"/>
              <w:spacing w:after="0"/>
              <w:rPr>
                <w:sz w:val="20"/>
                <w:szCs w:val="20"/>
                <w:color w:val="auto"/>
              </w:rPr>
            </w:pPr>
            <w:r>
              <w:rPr>
                <w:rFonts w:ascii="Arial" w:cs="Arial" w:eastAsia="Arial" w:hAnsi="Arial"/>
                <w:sz w:val="16"/>
                <w:szCs w:val="16"/>
                <w:color w:val="auto"/>
                <w:w w:val="8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(26,708)</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center"/>
              <w:ind w:right="19"/>
              <w:spacing w:after="0"/>
              <w:rPr>
                <w:sz w:val="20"/>
                <w:szCs w:val="20"/>
                <w:color w:val="auto"/>
              </w:rPr>
            </w:pPr>
            <w:r>
              <w:rPr>
                <w:rFonts w:ascii="Arial" w:cs="Arial" w:eastAsia="Arial" w:hAnsi="Arial"/>
                <w:sz w:val="16"/>
                <w:szCs w:val="16"/>
                <w:color w:val="auto"/>
                <w:w w:val="97"/>
              </w:rPr>
              <w:t>(2.9)%</w:t>
            </w:r>
          </w:p>
        </w:tc>
        <w:tc>
          <w:tcPr>
            <w:tcW w:w="0" w:type="dxa"/>
            <w:vAlign w:val="bottom"/>
          </w:tcPr>
          <w:p>
            <w:pPr>
              <w:spacing w:after="0"/>
              <w:rPr>
                <w:sz w:val="1"/>
                <w:szCs w:val="1"/>
                <w:color w:val="auto"/>
              </w:rPr>
            </w:pPr>
          </w:p>
        </w:tc>
      </w:tr>
      <w:tr>
        <w:trPr>
          <w:trHeight w:val="205"/>
        </w:trPr>
        <w:tc>
          <w:tcPr>
            <w:tcW w:w="25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and operating margin</w:t>
            </w:r>
          </w:p>
        </w:tc>
        <w:tc>
          <w:tcPr>
            <w:tcW w:w="100" w:type="dxa"/>
            <w:vAlign w:val="bottom"/>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240" w:type="dxa"/>
            <w:vAlign w:val="bottom"/>
            <w:gridSpan w:val="2"/>
            <w:vMerge w:val="continue"/>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220" w:type="dxa"/>
            <w:vAlign w:val="bottom"/>
            <w:gridSpan w:val="2"/>
            <w:vMerge w:val="continue"/>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Device Solutions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effects of changes in foreign currency exchange rates and the constant currency changes in certain Device Solutions segment financial results were as follows: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00" w:type="dxa"/>
            <w:vAlign w:val="bottom"/>
          </w:tcPr>
          <w:p>
            <w:pPr>
              <w:spacing w:after="0"/>
              <w:rPr>
                <w:sz w:val="16"/>
                <w:szCs w:val="16"/>
                <w:color w:val="auto"/>
              </w:rPr>
            </w:pPr>
          </w:p>
        </w:tc>
        <w:tc>
          <w:tcPr>
            <w:tcW w:w="2760" w:type="dxa"/>
            <w:vAlign w:val="bottom"/>
            <w:gridSpan w:val="4"/>
            <w:vMerge w:val="restart"/>
          </w:tcPr>
          <w:p>
            <w:pPr>
              <w:ind w:left="640"/>
              <w:spacing w:after="0"/>
              <w:rPr>
                <w:sz w:val="20"/>
                <w:szCs w:val="20"/>
                <w:color w:val="auto"/>
              </w:rPr>
            </w:pPr>
            <w:r>
              <w:rPr>
                <w:rFonts w:ascii="Arial" w:cs="Arial" w:eastAsia="Arial" w:hAnsi="Arial"/>
                <w:sz w:val="16"/>
                <w:szCs w:val="16"/>
                <w:b w:val="1"/>
                <w:bCs w:val="1"/>
                <w:color w:val="auto"/>
                <w:w w:val="92"/>
              </w:rPr>
              <w:t>Three Months Ended June 30,</w:t>
            </w: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Effect of Changes in</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3000" w:type="dxa"/>
            <w:vAlign w:val="bottom"/>
          </w:tcPr>
          <w:p>
            <w:pPr>
              <w:spacing w:after="0"/>
              <w:rPr>
                <w:sz w:val="10"/>
                <w:szCs w:val="10"/>
                <w:color w:val="auto"/>
              </w:rPr>
            </w:pPr>
          </w:p>
        </w:tc>
        <w:tc>
          <w:tcPr>
            <w:tcW w:w="2760" w:type="dxa"/>
            <w:vAlign w:val="bottom"/>
            <w:tcBorders>
              <w:bottom w:val="single" w:sz="8" w:color="auto"/>
            </w:tcBorders>
            <w:gridSpan w:val="4"/>
            <w:vMerge w:val="continue"/>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vMerge w:val="restart"/>
          </w:tcPr>
          <w:p>
            <w:pPr>
              <w:jc w:val="center"/>
              <w:ind w:right="39"/>
              <w:spacing w:after="0" w:line="162" w:lineRule="exact"/>
              <w:rPr>
                <w:sz w:val="20"/>
                <w:szCs w:val="20"/>
                <w:color w:val="auto"/>
              </w:rPr>
            </w:pPr>
            <w:r>
              <w:rPr>
                <w:rFonts w:ascii="Arial" w:cs="Arial" w:eastAsia="Arial" w:hAnsi="Arial"/>
                <w:sz w:val="16"/>
                <w:szCs w:val="16"/>
                <w:b w:val="1"/>
                <w:bCs w:val="1"/>
                <w:color w:val="auto"/>
                <w:w w:val="92"/>
              </w:rPr>
              <w:t>Foreign Currency</w:t>
            </w:r>
          </w:p>
        </w:tc>
        <w:tc>
          <w:tcPr>
            <w:tcW w:w="100" w:type="dxa"/>
            <w:vAlign w:val="bottom"/>
          </w:tcPr>
          <w:p>
            <w:pPr>
              <w:spacing w:after="0"/>
              <w:rPr>
                <w:sz w:val="10"/>
                <w:szCs w:val="10"/>
                <w:color w:val="auto"/>
              </w:rPr>
            </w:pPr>
          </w:p>
        </w:tc>
        <w:tc>
          <w:tcPr>
            <w:tcW w:w="1500" w:type="dxa"/>
            <w:vAlign w:val="bottom"/>
            <w:gridSpan w:val="2"/>
            <w:vMerge w:val="restart"/>
          </w:tcPr>
          <w:p>
            <w:pPr>
              <w:jc w:val="center"/>
              <w:spacing w:after="0" w:line="162" w:lineRule="exact"/>
              <w:rPr>
                <w:sz w:val="20"/>
                <w:szCs w:val="20"/>
                <w:color w:val="auto"/>
              </w:rPr>
            </w:pPr>
            <w:r>
              <w:rPr>
                <w:rFonts w:ascii="Arial" w:cs="Arial" w:eastAsia="Arial" w:hAnsi="Arial"/>
                <w:sz w:val="16"/>
                <w:szCs w:val="16"/>
                <w:b w:val="1"/>
                <w:bCs w:val="1"/>
                <w:color w:val="auto"/>
                <w:w w:val="93"/>
              </w:rPr>
              <w:t>Constant Currency</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
        </w:trPr>
        <w:tc>
          <w:tcPr>
            <w:tcW w:w="300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000" w:type="dxa"/>
            <w:vAlign w:val="bottom"/>
            <w:vMerge w:val="restart"/>
          </w:tcPr>
          <w:p>
            <w:pPr>
              <w:ind w:left="660"/>
              <w:spacing w:after="0"/>
              <w:rPr>
                <w:sz w:val="20"/>
                <w:szCs w:val="20"/>
                <w:color w:val="auto"/>
              </w:rPr>
            </w:pPr>
            <w:r>
              <w:rPr>
                <w:rFonts w:ascii="Arial" w:cs="Arial" w:eastAsia="Arial" w:hAnsi="Arial"/>
                <w:sz w:val="16"/>
                <w:szCs w:val="16"/>
                <w:b w:val="1"/>
                <w:bCs w:val="1"/>
                <w:color w:val="auto"/>
                <w:w w:val="89"/>
              </w:rPr>
              <w:t>2023</w:t>
            </w:r>
          </w:p>
        </w:tc>
        <w:tc>
          <w:tcPr>
            <w:tcW w:w="620" w:type="dxa"/>
            <w:vAlign w:val="bottom"/>
          </w:tcPr>
          <w:p>
            <w:pPr>
              <w:spacing w:after="0"/>
              <w:rPr>
                <w:sz w:val="2"/>
                <w:szCs w:val="2"/>
                <w:color w:val="auto"/>
              </w:rPr>
            </w:pPr>
          </w:p>
        </w:tc>
        <w:tc>
          <w:tcPr>
            <w:tcW w:w="1140" w:type="dxa"/>
            <w:vAlign w:val="bottom"/>
            <w:gridSpan w:val="2"/>
            <w:vMerge w:val="restart"/>
          </w:tcPr>
          <w:p>
            <w:pPr>
              <w:jc w:val="right"/>
              <w:ind w:right="40"/>
              <w:spacing w:after="0"/>
              <w:rPr>
                <w:sz w:val="20"/>
                <w:szCs w:val="20"/>
                <w:color w:val="auto"/>
              </w:rPr>
            </w:pPr>
            <w:r>
              <w:rPr>
                <w:rFonts w:ascii="Arial" w:cs="Arial" w:eastAsia="Arial" w:hAnsi="Arial"/>
                <w:sz w:val="16"/>
                <w:szCs w:val="16"/>
                <w:b w:val="1"/>
                <w:bCs w:val="1"/>
                <w:color w:val="auto"/>
              </w:rPr>
              <w:t>2022</w:t>
            </w: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vMerge w:val="restart"/>
          </w:tcPr>
          <w:p>
            <w:pPr>
              <w:jc w:val="right"/>
              <w:ind w:right="199"/>
              <w:spacing w:after="0"/>
              <w:rPr>
                <w:sz w:val="20"/>
                <w:szCs w:val="20"/>
                <w:color w:val="auto"/>
              </w:rPr>
            </w:pPr>
            <w:r>
              <w:rPr>
                <w:rFonts w:ascii="Arial" w:cs="Arial" w:eastAsia="Arial" w:hAnsi="Arial"/>
                <w:sz w:val="16"/>
                <w:szCs w:val="16"/>
                <w:b w:val="1"/>
                <w:bCs w:val="1"/>
                <w:color w:val="auto"/>
                <w:w w:val="98"/>
              </w:rPr>
              <w:t>Total Change</w:t>
            </w:r>
          </w:p>
        </w:tc>
        <w:tc>
          <w:tcPr>
            <w:tcW w:w="0" w:type="dxa"/>
            <w:vAlign w:val="bottom"/>
          </w:tcPr>
          <w:p>
            <w:pPr>
              <w:spacing w:after="0" w:line="20" w:lineRule="exact"/>
              <w:rPr>
                <w:sz w:val="1"/>
                <w:szCs w:val="1"/>
                <w:color w:val="auto"/>
              </w:rPr>
            </w:pPr>
          </w:p>
        </w:tc>
      </w:tr>
      <w:tr>
        <w:trPr>
          <w:trHeight w:val="213"/>
        </w:trPr>
        <w:tc>
          <w:tcPr>
            <w:tcW w:w="300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center"/>
              <w:ind w:right="19"/>
              <w:spacing w:after="0"/>
              <w:rPr>
                <w:sz w:val="20"/>
                <w:szCs w:val="20"/>
                <w:color w:val="auto"/>
              </w:rPr>
            </w:pPr>
            <w:r>
              <w:rPr>
                <w:rFonts w:ascii="Arial" w:cs="Arial" w:eastAsia="Arial" w:hAnsi="Arial"/>
                <w:sz w:val="16"/>
                <w:szCs w:val="16"/>
                <w:b w:val="1"/>
                <w:bCs w:val="1"/>
                <w:color w:val="auto"/>
                <w:w w:val="88"/>
              </w:rPr>
              <w:t>Exchange Rates</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center"/>
              <w:ind w:right="219"/>
              <w:spacing w:after="0"/>
              <w:rPr>
                <w:sz w:val="20"/>
                <w:szCs w:val="20"/>
                <w:color w:val="auto"/>
              </w:rPr>
            </w:pPr>
            <w:r>
              <w:rPr>
                <w:rFonts w:ascii="Arial" w:cs="Arial" w:eastAsia="Arial" w:hAnsi="Arial"/>
                <w:sz w:val="16"/>
                <w:szCs w:val="16"/>
                <w:b w:val="1"/>
                <w:bCs w:val="1"/>
                <w:color w:val="auto"/>
                <w:w w:val="91"/>
              </w:rPr>
              <w:t>Change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i w:val="1"/>
                <w:iCs w:val="1"/>
                <w:color w:val="auto"/>
              </w:rPr>
              <w:t>Device Solutions Segment</w:t>
            </w:r>
          </w:p>
        </w:tc>
        <w:tc>
          <w:tcPr>
            <w:tcW w:w="1000" w:type="dxa"/>
            <w:vAlign w:val="bottom"/>
            <w:tcBorders>
              <w:top w:val="single" w:sz="8" w:color="auto"/>
              <w:bottom w:val="single" w:sz="8" w:color="CCEEFF"/>
            </w:tcBorders>
          </w:tcPr>
          <w:p>
            <w:pPr>
              <w:spacing w:after="0"/>
              <w:rPr>
                <w:sz w:val="18"/>
                <w:szCs w:val="18"/>
                <w:color w:val="auto"/>
              </w:rPr>
            </w:pPr>
          </w:p>
        </w:tc>
        <w:tc>
          <w:tcPr>
            <w:tcW w:w="62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CCEEFF"/>
            </w:tcBorders>
          </w:tcPr>
          <w:p>
            <w:pPr>
              <w:spacing w:after="0"/>
              <w:rPr>
                <w:sz w:val="18"/>
                <w:szCs w:val="18"/>
                <w:color w:val="auto"/>
              </w:rPr>
            </w:pPr>
          </w:p>
        </w:tc>
        <w:tc>
          <w:tcPr>
            <w:tcW w:w="60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40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CCEEFF"/>
            </w:tcBorders>
          </w:tcPr>
          <w:p>
            <w:pPr>
              <w:spacing w:after="0"/>
              <w:rPr>
                <w:sz w:val="18"/>
                <w:szCs w:val="18"/>
                <w:color w:val="auto"/>
              </w:rPr>
            </w:pPr>
          </w:p>
        </w:tc>
        <w:tc>
          <w:tcPr>
            <w:tcW w:w="120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CCEEFF"/>
            </w:tcBorders>
          </w:tcPr>
          <w:p>
            <w:pPr>
              <w:spacing w:after="0"/>
              <w:rPr>
                <w:sz w:val="18"/>
                <w:szCs w:val="18"/>
                <w:color w:val="auto"/>
              </w:rPr>
            </w:pPr>
          </w:p>
        </w:tc>
        <w:tc>
          <w:tcPr>
            <w:tcW w:w="130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Revenues</w:t>
            </w:r>
          </w:p>
        </w:tc>
        <w:tc>
          <w:tcPr>
            <w:tcW w:w="100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113,160</w:t>
            </w:r>
          </w:p>
        </w:tc>
        <w:tc>
          <w:tcPr>
            <w:tcW w:w="1140" w:type="dxa"/>
            <w:vAlign w:val="bottom"/>
            <w:gridSpan w:val="2"/>
            <w:shd w:val="clear" w:color="auto" w:fill="CCEEFF"/>
          </w:tcPr>
          <w:p>
            <w:pPr>
              <w:jc w:val="right"/>
              <w:ind w:right="92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104,810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1,157</w:t>
            </w:r>
          </w:p>
        </w:tc>
        <w:tc>
          <w:tcPr>
            <w:tcW w:w="40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7,193</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8,350</w:t>
            </w:r>
          </w:p>
        </w:tc>
        <w:tc>
          <w:tcPr>
            <w:tcW w:w="0" w:type="dxa"/>
            <w:vAlign w:val="bottom"/>
          </w:tcPr>
          <w:p>
            <w:pPr>
              <w:spacing w:after="0"/>
              <w:rPr>
                <w:sz w:val="1"/>
                <w:szCs w:val="1"/>
                <w:color w:val="auto"/>
              </w:rPr>
            </w:pPr>
          </w:p>
        </w:tc>
      </w:tr>
      <w:tr>
        <w:trPr>
          <w:trHeight w:val="213"/>
        </w:trPr>
        <w:tc>
          <w:tcPr>
            <w:tcW w:w="3000" w:type="dxa"/>
            <w:vAlign w:val="bottom"/>
          </w:tcPr>
          <w:p>
            <w:pPr>
              <w:ind w:left="140"/>
              <w:spacing w:after="0"/>
              <w:rPr>
                <w:sz w:val="20"/>
                <w:szCs w:val="20"/>
                <w:color w:val="auto"/>
              </w:rPr>
            </w:pPr>
            <w:r>
              <w:rPr>
                <w:rFonts w:ascii="Arial" w:cs="Arial" w:eastAsia="Arial" w:hAnsi="Arial"/>
                <w:sz w:val="16"/>
                <w:szCs w:val="16"/>
                <w:color w:val="auto"/>
              </w:rPr>
              <w:t>Gross profit</w:t>
            </w: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24,719</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13,878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196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10,645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10,841</w:t>
            </w: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expenses</w:t>
            </w: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10,635</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8,419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2,216</w:t>
            </w:r>
          </w:p>
        </w:tc>
        <w:tc>
          <w:tcPr>
            <w:tcW w:w="0" w:type="dxa"/>
            <w:vAlign w:val="bottom"/>
          </w:tcPr>
          <w:p>
            <w:pPr>
              <w:spacing w:after="0"/>
              <w:rPr>
                <w:sz w:val="1"/>
                <w:szCs w:val="1"/>
                <w:color w:val="auto"/>
              </w:rPr>
            </w:pPr>
          </w:p>
        </w:tc>
      </w:tr>
      <w:tr>
        <w:trPr>
          <w:trHeight w:val="770"/>
        </w:trPr>
        <w:tc>
          <w:tcPr>
            <w:tcW w:w="3000" w:type="dxa"/>
            <w:vAlign w:val="bottom"/>
          </w:tcPr>
          <w:p>
            <w:pPr>
              <w:spacing w:after="0"/>
              <w:rPr>
                <w:sz w:val="24"/>
                <w:szCs w:val="24"/>
                <w:color w:val="auto"/>
              </w:rPr>
            </w:pPr>
          </w:p>
        </w:tc>
        <w:tc>
          <w:tcPr>
            <w:tcW w:w="2760" w:type="dxa"/>
            <w:vAlign w:val="bottom"/>
            <w:gridSpan w:val="4"/>
            <w:vMerge w:val="restart"/>
          </w:tcPr>
          <w:p>
            <w:pPr>
              <w:jc w:val="right"/>
              <w:ind w:right="120"/>
              <w:spacing w:after="0"/>
              <w:rPr>
                <w:sz w:val="20"/>
                <w:szCs w:val="20"/>
                <w:color w:val="auto"/>
              </w:rPr>
            </w:pPr>
            <w:r>
              <w:rPr>
                <w:rFonts w:ascii="Arial" w:cs="Arial" w:eastAsia="Arial" w:hAnsi="Arial"/>
                <w:sz w:val="16"/>
                <w:szCs w:val="16"/>
                <w:b w:val="1"/>
                <w:bCs w:val="1"/>
                <w:color w:val="auto"/>
              </w:rPr>
              <w:t>Six Months Ended June 30,</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Effect of Changes in</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3000" w:type="dxa"/>
            <w:vAlign w:val="bottom"/>
          </w:tcPr>
          <w:p>
            <w:pPr>
              <w:spacing w:after="0"/>
              <w:rPr>
                <w:sz w:val="10"/>
                <w:szCs w:val="10"/>
                <w:color w:val="auto"/>
              </w:rPr>
            </w:pPr>
          </w:p>
        </w:tc>
        <w:tc>
          <w:tcPr>
            <w:tcW w:w="2760" w:type="dxa"/>
            <w:vAlign w:val="bottom"/>
            <w:tcBorders>
              <w:bottom w:val="single" w:sz="8" w:color="auto"/>
            </w:tcBorders>
            <w:gridSpan w:val="4"/>
            <w:vMerge w:val="continue"/>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vMerge w:val="restart"/>
          </w:tcPr>
          <w:p>
            <w:pPr>
              <w:jc w:val="center"/>
              <w:ind w:right="39"/>
              <w:spacing w:after="0" w:line="162" w:lineRule="exact"/>
              <w:rPr>
                <w:sz w:val="20"/>
                <w:szCs w:val="20"/>
                <w:color w:val="auto"/>
              </w:rPr>
            </w:pPr>
            <w:r>
              <w:rPr>
                <w:rFonts w:ascii="Arial" w:cs="Arial" w:eastAsia="Arial" w:hAnsi="Arial"/>
                <w:sz w:val="16"/>
                <w:szCs w:val="16"/>
                <w:b w:val="1"/>
                <w:bCs w:val="1"/>
                <w:color w:val="auto"/>
                <w:w w:val="92"/>
              </w:rPr>
              <w:t>Foreign Currency</w:t>
            </w:r>
          </w:p>
        </w:tc>
        <w:tc>
          <w:tcPr>
            <w:tcW w:w="100" w:type="dxa"/>
            <w:vAlign w:val="bottom"/>
          </w:tcPr>
          <w:p>
            <w:pPr>
              <w:spacing w:after="0"/>
              <w:rPr>
                <w:sz w:val="10"/>
                <w:szCs w:val="10"/>
                <w:color w:val="auto"/>
              </w:rPr>
            </w:pPr>
          </w:p>
        </w:tc>
        <w:tc>
          <w:tcPr>
            <w:tcW w:w="1500" w:type="dxa"/>
            <w:vAlign w:val="bottom"/>
            <w:gridSpan w:val="2"/>
            <w:vMerge w:val="restart"/>
          </w:tcPr>
          <w:p>
            <w:pPr>
              <w:jc w:val="center"/>
              <w:spacing w:after="0" w:line="162" w:lineRule="exact"/>
              <w:rPr>
                <w:sz w:val="20"/>
                <w:szCs w:val="20"/>
                <w:color w:val="auto"/>
              </w:rPr>
            </w:pPr>
            <w:r>
              <w:rPr>
                <w:rFonts w:ascii="Arial" w:cs="Arial" w:eastAsia="Arial" w:hAnsi="Arial"/>
                <w:sz w:val="16"/>
                <w:szCs w:val="16"/>
                <w:b w:val="1"/>
                <w:bCs w:val="1"/>
                <w:color w:val="auto"/>
                <w:w w:val="93"/>
              </w:rPr>
              <w:t>Constant Currency</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300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000" w:type="dxa"/>
            <w:vAlign w:val="bottom"/>
            <w:vMerge w:val="restart"/>
          </w:tcPr>
          <w:p>
            <w:pPr>
              <w:ind w:left="660"/>
              <w:spacing w:after="0"/>
              <w:rPr>
                <w:sz w:val="20"/>
                <w:szCs w:val="20"/>
                <w:color w:val="auto"/>
              </w:rPr>
            </w:pPr>
            <w:r>
              <w:rPr>
                <w:rFonts w:ascii="Arial" w:cs="Arial" w:eastAsia="Arial" w:hAnsi="Arial"/>
                <w:sz w:val="16"/>
                <w:szCs w:val="16"/>
                <w:b w:val="1"/>
                <w:bCs w:val="1"/>
                <w:color w:val="auto"/>
                <w:w w:val="89"/>
              </w:rPr>
              <w:t>2023</w:t>
            </w:r>
          </w:p>
        </w:tc>
        <w:tc>
          <w:tcPr>
            <w:tcW w:w="620" w:type="dxa"/>
            <w:vAlign w:val="bottom"/>
          </w:tcPr>
          <w:p>
            <w:pPr>
              <w:spacing w:after="0"/>
              <w:rPr>
                <w:sz w:val="2"/>
                <w:szCs w:val="2"/>
                <w:color w:val="auto"/>
              </w:rPr>
            </w:pPr>
          </w:p>
        </w:tc>
        <w:tc>
          <w:tcPr>
            <w:tcW w:w="1140" w:type="dxa"/>
            <w:vAlign w:val="bottom"/>
            <w:gridSpan w:val="2"/>
            <w:vMerge w:val="restart"/>
          </w:tcPr>
          <w:p>
            <w:pPr>
              <w:jc w:val="right"/>
              <w:ind w:right="40"/>
              <w:spacing w:after="0"/>
              <w:rPr>
                <w:sz w:val="20"/>
                <w:szCs w:val="20"/>
                <w:color w:val="auto"/>
              </w:rPr>
            </w:pPr>
            <w:r>
              <w:rPr>
                <w:rFonts w:ascii="Arial" w:cs="Arial" w:eastAsia="Arial" w:hAnsi="Arial"/>
                <w:sz w:val="16"/>
                <w:szCs w:val="16"/>
                <w:b w:val="1"/>
                <w:bCs w:val="1"/>
                <w:color w:val="auto"/>
              </w:rPr>
              <w:t>2022</w:t>
            </w: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vMerge w:val="restart"/>
          </w:tcPr>
          <w:p>
            <w:pPr>
              <w:jc w:val="right"/>
              <w:ind w:right="199"/>
              <w:spacing w:after="0"/>
              <w:rPr>
                <w:sz w:val="20"/>
                <w:szCs w:val="20"/>
                <w:color w:val="auto"/>
              </w:rPr>
            </w:pPr>
            <w:r>
              <w:rPr>
                <w:rFonts w:ascii="Arial" w:cs="Arial" w:eastAsia="Arial" w:hAnsi="Arial"/>
                <w:sz w:val="16"/>
                <w:szCs w:val="16"/>
                <w:b w:val="1"/>
                <w:bCs w:val="1"/>
                <w:color w:val="auto"/>
                <w:w w:val="98"/>
              </w:rPr>
              <w:t>Total Change</w:t>
            </w:r>
          </w:p>
        </w:tc>
        <w:tc>
          <w:tcPr>
            <w:tcW w:w="0" w:type="dxa"/>
            <w:vAlign w:val="bottom"/>
          </w:tcPr>
          <w:p>
            <w:pPr>
              <w:spacing w:after="0" w:line="20" w:lineRule="exact"/>
              <w:rPr>
                <w:sz w:val="1"/>
                <w:szCs w:val="1"/>
                <w:color w:val="auto"/>
              </w:rPr>
            </w:pPr>
          </w:p>
        </w:tc>
      </w:tr>
      <w:tr>
        <w:trPr>
          <w:trHeight w:val="213"/>
        </w:trPr>
        <w:tc>
          <w:tcPr>
            <w:tcW w:w="300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center"/>
              <w:ind w:right="19"/>
              <w:spacing w:after="0"/>
              <w:rPr>
                <w:sz w:val="20"/>
                <w:szCs w:val="20"/>
                <w:color w:val="auto"/>
              </w:rPr>
            </w:pPr>
            <w:r>
              <w:rPr>
                <w:rFonts w:ascii="Arial" w:cs="Arial" w:eastAsia="Arial" w:hAnsi="Arial"/>
                <w:sz w:val="16"/>
                <w:szCs w:val="16"/>
                <w:b w:val="1"/>
                <w:bCs w:val="1"/>
                <w:color w:val="auto"/>
                <w:w w:val="88"/>
              </w:rPr>
              <w:t>Exchange Rates</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center"/>
              <w:ind w:right="219"/>
              <w:spacing w:after="0"/>
              <w:rPr>
                <w:sz w:val="20"/>
                <w:szCs w:val="20"/>
                <w:color w:val="auto"/>
              </w:rPr>
            </w:pPr>
            <w:r>
              <w:rPr>
                <w:rFonts w:ascii="Arial" w:cs="Arial" w:eastAsia="Arial" w:hAnsi="Arial"/>
                <w:sz w:val="16"/>
                <w:szCs w:val="16"/>
                <w:b w:val="1"/>
                <w:bCs w:val="1"/>
                <w:color w:val="auto"/>
                <w:w w:val="91"/>
              </w:rPr>
              <w:t>Change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i w:val="1"/>
                <w:iCs w:val="1"/>
                <w:color w:val="auto"/>
              </w:rPr>
              <w:t>Device Solutions Segment</w:t>
            </w:r>
          </w:p>
        </w:tc>
        <w:tc>
          <w:tcPr>
            <w:tcW w:w="1000" w:type="dxa"/>
            <w:vAlign w:val="bottom"/>
            <w:tcBorders>
              <w:top w:val="single" w:sz="8" w:color="auto"/>
              <w:bottom w:val="single" w:sz="8" w:color="CCEEFF"/>
            </w:tcBorders>
          </w:tcPr>
          <w:p>
            <w:pPr>
              <w:spacing w:after="0"/>
              <w:rPr>
                <w:sz w:val="18"/>
                <w:szCs w:val="18"/>
                <w:color w:val="auto"/>
              </w:rPr>
            </w:pPr>
          </w:p>
        </w:tc>
        <w:tc>
          <w:tcPr>
            <w:tcW w:w="62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CCEEFF"/>
            </w:tcBorders>
          </w:tcPr>
          <w:p>
            <w:pPr>
              <w:spacing w:after="0"/>
              <w:rPr>
                <w:sz w:val="18"/>
                <w:szCs w:val="18"/>
                <w:color w:val="auto"/>
              </w:rPr>
            </w:pPr>
          </w:p>
        </w:tc>
        <w:tc>
          <w:tcPr>
            <w:tcW w:w="60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40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CCEEFF"/>
            </w:tcBorders>
          </w:tcPr>
          <w:p>
            <w:pPr>
              <w:spacing w:after="0"/>
              <w:rPr>
                <w:sz w:val="18"/>
                <w:szCs w:val="18"/>
                <w:color w:val="auto"/>
              </w:rPr>
            </w:pPr>
          </w:p>
        </w:tc>
        <w:tc>
          <w:tcPr>
            <w:tcW w:w="120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CCEEFF"/>
            </w:tcBorders>
          </w:tcPr>
          <w:p>
            <w:pPr>
              <w:spacing w:after="0"/>
              <w:rPr>
                <w:sz w:val="18"/>
                <w:szCs w:val="18"/>
                <w:color w:val="auto"/>
              </w:rPr>
            </w:pPr>
          </w:p>
        </w:tc>
        <w:tc>
          <w:tcPr>
            <w:tcW w:w="130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0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Revenues</w:t>
            </w:r>
          </w:p>
        </w:tc>
        <w:tc>
          <w:tcPr>
            <w:tcW w:w="100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231,414</w:t>
            </w:r>
          </w:p>
        </w:tc>
        <w:tc>
          <w:tcPr>
            <w:tcW w:w="1140" w:type="dxa"/>
            <w:vAlign w:val="bottom"/>
            <w:gridSpan w:val="2"/>
            <w:shd w:val="clear" w:color="auto" w:fill="CCEEFF"/>
          </w:tcPr>
          <w:p>
            <w:pPr>
              <w:jc w:val="right"/>
              <w:ind w:right="92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244,375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(4,857)</w:t>
            </w:r>
          </w:p>
        </w:tc>
        <w:tc>
          <w:tcPr>
            <w:tcW w:w="40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(8,104)</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(12,961)</w:t>
            </w:r>
          </w:p>
        </w:tc>
        <w:tc>
          <w:tcPr>
            <w:tcW w:w="0" w:type="dxa"/>
            <w:vAlign w:val="bottom"/>
          </w:tcPr>
          <w:p>
            <w:pPr>
              <w:spacing w:after="0"/>
              <w:rPr>
                <w:sz w:val="1"/>
                <w:szCs w:val="1"/>
                <w:color w:val="auto"/>
              </w:rPr>
            </w:pPr>
          </w:p>
        </w:tc>
      </w:tr>
      <w:tr>
        <w:trPr>
          <w:trHeight w:val="213"/>
        </w:trPr>
        <w:tc>
          <w:tcPr>
            <w:tcW w:w="3000" w:type="dxa"/>
            <w:vAlign w:val="bottom"/>
          </w:tcPr>
          <w:p>
            <w:pPr>
              <w:ind w:left="140"/>
              <w:spacing w:after="0"/>
              <w:rPr>
                <w:sz w:val="20"/>
                <w:szCs w:val="20"/>
                <w:color w:val="auto"/>
              </w:rPr>
            </w:pPr>
            <w:r>
              <w:rPr>
                <w:rFonts w:ascii="Arial" w:cs="Arial" w:eastAsia="Arial" w:hAnsi="Arial"/>
                <w:sz w:val="16"/>
                <w:szCs w:val="16"/>
                <w:color w:val="auto"/>
              </w:rPr>
              <w:t>Gross profit</w:t>
            </w: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48,432</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35,684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(607)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13,355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12,748</w:t>
            </w: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expenses</w:t>
            </w: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20,270</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18,647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1,623</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 - Three months ended June 30, 2023 vs. Three months ended June 30, 2022</w:t>
      </w:r>
    </w:p>
    <w:p>
      <w:pPr>
        <w:spacing w:after="0" w:line="12"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Revenues increased $8.4 million, or 8%. Changes in foreign currency exchange rates favorably impacted revenues by $1.2 million. Revenues increased compared with the prior year due primarily to increased sales in Europe, Middle East, and Africa (EMEA).</w:t>
      </w:r>
    </w:p>
    <w:p>
      <w:pPr>
        <w:spacing w:after="0" w:line="22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 - Six months ended June 30, 2023 vs. Six months ended June 30, 2022</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Revenues decreased $13.0 million, or 5%. Changes in foreign currency exchange rates unfavorably impacted revenues by $4.9 million. Revenues decreased compared with the prior year due to the sale of certain products from our manufacturing and business operations in Europe and North America to Dresser during the first quarter of 2022 and the discontinuation of certain legacy products.</w:t>
      </w:r>
    </w:p>
    <w:p>
      <w:pPr>
        <w:spacing w:after="0" w:line="21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Gross Margin - Three months ended June 30, 2023 vs. Three months ended June 30, 2022</w:t>
      </w:r>
    </w:p>
    <w:p>
      <w:pPr>
        <w:spacing w:after="0" w:line="12"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For the three months ended June 30, 2023, gross margin was 21.8%, compared with 13.2% for the same period in 2022. The 860 basis point increase over the prior year was primarily due to an improved product mix and operational efficiencies.</w:t>
      </w:r>
    </w:p>
    <w:p>
      <w:pPr>
        <w:spacing w:after="0" w:line="22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Gross Margin - Six months ended June 30, 2023 vs. Six months ended June 30, 2022</w:t>
      </w:r>
    </w:p>
    <w:p>
      <w:pPr>
        <w:spacing w:after="0" w:line="12"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For the six months ended June 30, 2023, gross margin was 20.9%, compared with 14.6% for the same period in 2022. The 630 basis point increase over the prior year was primarily due to an improved product mix and operational efficiencies.</w:t>
      </w:r>
    </w:p>
    <w:p>
      <w:pPr>
        <w:spacing w:after="0" w:line="22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Expenses - Three months ended June 30, 2023 vs. Three months ended June 30, 2022</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Operating expenses increased $2.2 million, or 26%, compared with 2022. The increase was primarily due to higher product development expenses.</w:t>
      </w:r>
    </w:p>
    <w:p>
      <w:pPr>
        <w:spacing w:after="0" w:line="24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Expenses - Six months ended June 30, 2023 vs. Six months ended June 30, 2022</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Operating expenses increased $1.6 million, or 9%, for the first six months of 2023, compared with the same period in 2022. The increase was primarily due to higher product development expenses.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Networked Solutions</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effects of changes in foreign currency exchange rates and the constant currency changes in certain Networked Solutions segment financial results were as follows: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00" w:type="dxa"/>
            <w:vAlign w:val="bottom"/>
          </w:tcPr>
          <w:p>
            <w:pPr>
              <w:spacing w:after="0"/>
              <w:rPr>
                <w:sz w:val="16"/>
                <w:szCs w:val="16"/>
                <w:color w:val="auto"/>
              </w:rPr>
            </w:pPr>
          </w:p>
        </w:tc>
        <w:tc>
          <w:tcPr>
            <w:tcW w:w="2760" w:type="dxa"/>
            <w:vAlign w:val="bottom"/>
            <w:gridSpan w:val="4"/>
            <w:vMerge w:val="restart"/>
          </w:tcPr>
          <w:p>
            <w:pPr>
              <w:ind w:left="640"/>
              <w:spacing w:after="0"/>
              <w:rPr>
                <w:sz w:val="20"/>
                <w:szCs w:val="20"/>
                <w:color w:val="auto"/>
              </w:rPr>
            </w:pPr>
            <w:r>
              <w:rPr>
                <w:rFonts w:ascii="Arial" w:cs="Arial" w:eastAsia="Arial" w:hAnsi="Arial"/>
                <w:sz w:val="16"/>
                <w:szCs w:val="16"/>
                <w:b w:val="1"/>
                <w:bCs w:val="1"/>
                <w:color w:val="auto"/>
                <w:w w:val="92"/>
              </w:rPr>
              <w:t>Three Months Ended June 30,</w:t>
            </w: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Effect of Changes in</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3000" w:type="dxa"/>
            <w:vAlign w:val="bottom"/>
          </w:tcPr>
          <w:p>
            <w:pPr>
              <w:spacing w:after="0"/>
              <w:rPr>
                <w:sz w:val="10"/>
                <w:szCs w:val="10"/>
                <w:color w:val="auto"/>
              </w:rPr>
            </w:pPr>
          </w:p>
        </w:tc>
        <w:tc>
          <w:tcPr>
            <w:tcW w:w="2760" w:type="dxa"/>
            <w:vAlign w:val="bottom"/>
            <w:tcBorders>
              <w:bottom w:val="single" w:sz="8" w:color="auto"/>
            </w:tcBorders>
            <w:gridSpan w:val="4"/>
            <w:vMerge w:val="continue"/>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vMerge w:val="restart"/>
          </w:tcPr>
          <w:p>
            <w:pPr>
              <w:jc w:val="center"/>
              <w:ind w:right="60"/>
              <w:spacing w:after="0" w:line="162" w:lineRule="exact"/>
              <w:rPr>
                <w:sz w:val="20"/>
                <w:szCs w:val="20"/>
                <w:color w:val="auto"/>
              </w:rPr>
            </w:pPr>
            <w:r>
              <w:rPr>
                <w:rFonts w:ascii="Arial" w:cs="Arial" w:eastAsia="Arial" w:hAnsi="Arial"/>
                <w:sz w:val="16"/>
                <w:szCs w:val="16"/>
                <w:b w:val="1"/>
                <w:bCs w:val="1"/>
                <w:color w:val="auto"/>
                <w:w w:val="92"/>
              </w:rPr>
              <w:t>Foreign Currency</w:t>
            </w:r>
          </w:p>
        </w:tc>
        <w:tc>
          <w:tcPr>
            <w:tcW w:w="100" w:type="dxa"/>
            <w:vAlign w:val="bottom"/>
          </w:tcPr>
          <w:p>
            <w:pPr>
              <w:spacing w:after="0"/>
              <w:rPr>
                <w:sz w:val="10"/>
                <w:szCs w:val="10"/>
                <w:color w:val="auto"/>
              </w:rPr>
            </w:pPr>
          </w:p>
        </w:tc>
        <w:tc>
          <w:tcPr>
            <w:tcW w:w="1500" w:type="dxa"/>
            <w:vAlign w:val="bottom"/>
            <w:gridSpan w:val="2"/>
            <w:vMerge w:val="restart"/>
          </w:tcPr>
          <w:p>
            <w:pPr>
              <w:jc w:val="center"/>
              <w:spacing w:after="0" w:line="162" w:lineRule="exact"/>
              <w:rPr>
                <w:sz w:val="20"/>
                <w:szCs w:val="20"/>
                <w:color w:val="auto"/>
              </w:rPr>
            </w:pPr>
            <w:r>
              <w:rPr>
                <w:rFonts w:ascii="Arial" w:cs="Arial" w:eastAsia="Arial" w:hAnsi="Arial"/>
                <w:sz w:val="16"/>
                <w:szCs w:val="16"/>
                <w:b w:val="1"/>
                <w:bCs w:val="1"/>
                <w:color w:val="auto"/>
                <w:w w:val="93"/>
              </w:rPr>
              <w:t>Constant Currency</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
        </w:trPr>
        <w:tc>
          <w:tcPr>
            <w:tcW w:w="300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000" w:type="dxa"/>
            <w:vAlign w:val="bottom"/>
            <w:vMerge w:val="restart"/>
          </w:tcPr>
          <w:p>
            <w:pPr>
              <w:ind w:left="660"/>
              <w:spacing w:after="0"/>
              <w:rPr>
                <w:sz w:val="20"/>
                <w:szCs w:val="20"/>
                <w:color w:val="auto"/>
              </w:rPr>
            </w:pPr>
            <w:r>
              <w:rPr>
                <w:rFonts w:ascii="Arial" w:cs="Arial" w:eastAsia="Arial" w:hAnsi="Arial"/>
                <w:sz w:val="16"/>
                <w:szCs w:val="16"/>
                <w:b w:val="1"/>
                <w:bCs w:val="1"/>
                <w:color w:val="auto"/>
                <w:w w:val="89"/>
              </w:rPr>
              <w:t>2023</w:t>
            </w:r>
          </w:p>
        </w:tc>
        <w:tc>
          <w:tcPr>
            <w:tcW w:w="620" w:type="dxa"/>
            <w:vAlign w:val="bottom"/>
          </w:tcPr>
          <w:p>
            <w:pPr>
              <w:spacing w:after="0"/>
              <w:rPr>
                <w:sz w:val="2"/>
                <w:szCs w:val="2"/>
                <w:color w:val="auto"/>
              </w:rPr>
            </w:pPr>
          </w:p>
        </w:tc>
        <w:tc>
          <w:tcPr>
            <w:tcW w:w="1140" w:type="dxa"/>
            <w:vAlign w:val="bottom"/>
            <w:gridSpan w:val="2"/>
            <w:vMerge w:val="restart"/>
          </w:tcPr>
          <w:p>
            <w:pPr>
              <w:jc w:val="right"/>
              <w:ind w:right="40"/>
              <w:spacing w:after="0"/>
              <w:rPr>
                <w:sz w:val="20"/>
                <w:szCs w:val="20"/>
                <w:color w:val="auto"/>
              </w:rPr>
            </w:pPr>
            <w:r>
              <w:rPr>
                <w:rFonts w:ascii="Arial" w:cs="Arial" w:eastAsia="Arial" w:hAnsi="Arial"/>
                <w:sz w:val="16"/>
                <w:szCs w:val="16"/>
                <w:b w:val="1"/>
                <w:bCs w:val="1"/>
                <w:color w:val="auto"/>
              </w:rPr>
              <w:t>2022</w:t>
            </w: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vMerge w:val="restart"/>
          </w:tcPr>
          <w:p>
            <w:pPr>
              <w:jc w:val="right"/>
              <w:ind w:right="199"/>
              <w:spacing w:after="0"/>
              <w:rPr>
                <w:sz w:val="20"/>
                <w:szCs w:val="20"/>
                <w:color w:val="auto"/>
              </w:rPr>
            </w:pPr>
            <w:r>
              <w:rPr>
                <w:rFonts w:ascii="Arial" w:cs="Arial" w:eastAsia="Arial" w:hAnsi="Arial"/>
                <w:sz w:val="16"/>
                <w:szCs w:val="16"/>
                <w:b w:val="1"/>
                <w:bCs w:val="1"/>
                <w:color w:val="auto"/>
                <w:w w:val="98"/>
              </w:rPr>
              <w:t>Total Change</w:t>
            </w:r>
          </w:p>
        </w:tc>
        <w:tc>
          <w:tcPr>
            <w:tcW w:w="0" w:type="dxa"/>
            <w:vAlign w:val="bottom"/>
          </w:tcPr>
          <w:p>
            <w:pPr>
              <w:spacing w:after="0" w:line="20" w:lineRule="exact"/>
              <w:rPr>
                <w:sz w:val="1"/>
                <w:szCs w:val="1"/>
                <w:color w:val="auto"/>
              </w:rPr>
            </w:pPr>
          </w:p>
        </w:tc>
      </w:tr>
      <w:tr>
        <w:trPr>
          <w:trHeight w:val="213"/>
        </w:trPr>
        <w:tc>
          <w:tcPr>
            <w:tcW w:w="300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center"/>
              <w:ind w:right="40"/>
              <w:spacing w:after="0"/>
              <w:rPr>
                <w:sz w:val="20"/>
                <w:szCs w:val="20"/>
                <w:color w:val="auto"/>
              </w:rPr>
            </w:pPr>
            <w:r>
              <w:rPr>
                <w:rFonts w:ascii="Arial" w:cs="Arial" w:eastAsia="Arial" w:hAnsi="Arial"/>
                <w:sz w:val="16"/>
                <w:szCs w:val="16"/>
                <w:b w:val="1"/>
                <w:bCs w:val="1"/>
                <w:color w:val="auto"/>
                <w:w w:val="88"/>
              </w:rPr>
              <w:t>Exchange Rates</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center"/>
              <w:ind w:right="219"/>
              <w:spacing w:after="0"/>
              <w:rPr>
                <w:sz w:val="20"/>
                <w:szCs w:val="20"/>
                <w:color w:val="auto"/>
              </w:rPr>
            </w:pPr>
            <w:r>
              <w:rPr>
                <w:rFonts w:ascii="Arial" w:cs="Arial" w:eastAsia="Arial" w:hAnsi="Arial"/>
                <w:sz w:val="16"/>
                <w:szCs w:val="16"/>
                <w:b w:val="1"/>
                <w:bCs w:val="1"/>
                <w:color w:val="auto"/>
                <w:w w:val="91"/>
              </w:rPr>
              <w:t>Change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i w:val="1"/>
                <w:iCs w:val="1"/>
                <w:color w:val="auto"/>
              </w:rPr>
              <w:t>Networked Solutions Segment</w:t>
            </w:r>
          </w:p>
        </w:tc>
        <w:tc>
          <w:tcPr>
            <w:tcW w:w="1000" w:type="dxa"/>
            <w:vAlign w:val="bottom"/>
            <w:tcBorders>
              <w:top w:val="single" w:sz="8" w:color="auto"/>
              <w:bottom w:val="single" w:sz="8" w:color="CCEEFF"/>
            </w:tcBorders>
          </w:tcPr>
          <w:p>
            <w:pPr>
              <w:spacing w:after="0"/>
              <w:rPr>
                <w:sz w:val="18"/>
                <w:szCs w:val="18"/>
                <w:color w:val="auto"/>
              </w:rPr>
            </w:pPr>
          </w:p>
        </w:tc>
        <w:tc>
          <w:tcPr>
            <w:tcW w:w="62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CCEEFF"/>
            </w:tcBorders>
          </w:tcPr>
          <w:p>
            <w:pPr>
              <w:spacing w:after="0"/>
              <w:rPr>
                <w:sz w:val="18"/>
                <w:szCs w:val="18"/>
                <w:color w:val="auto"/>
              </w:rPr>
            </w:pPr>
          </w:p>
        </w:tc>
        <w:tc>
          <w:tcPr>
            <w:tcW w:w="60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38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CCEEFF"/>
            </w:tcBorders>
          </w:tcPr>
          <w:p>
            <w:pPr>
              <w:spacing w:after="0"/>
              <w:rPr>
                <w:sz w:val="18"/>
                <w:szCs w:val="18"/>
                <w:color w:val="auto"/>
              </w:rPr>
            </w:pPr>
          </w:p>
        </w:tc>
        <w:tc>
          <w:tcPr>
            <w:tcW w:w="120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CCEEFF"/>
            </w:tcBorders>
          </w:tcPr>
          <w:p>
            <w:pPr>
              <w:spacing w:after="0"/>
              <w:rPr>
                <w:sz w:val="18"/>
                <w:szCs w:val="18"/>
                <w:color w:val="auto"/>
              </w:rPr>
            </w:pPr>
          </w:p>
        </w:tc>
        <w:tc>
          <w:tcPr>
            <w:tcW w:w="130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Revenues</w:t>
            </w:r>
          </w:p>
        </w:tc>
        <w:tc>
          <w:tcPr>
            <w:tcW w:w="100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360,930</w:t>
            </w:r>
          </w:p>
        </w:tc>
        <w:tc>
          <w:tcPr>
            <w:tcW w:w="1140" w:type="dxa"/>
            <w:vAlign w:val="bottom"/>
            <w:gridSpan w:val="2"/>
            <w:shd w:val="clear" w:color="auto" w:fill="CCEEFF"/>
          </w:tcPr>
          <w:p>
            <w:pPr>
              <w:jc w:val="right"/>
              <w:ind w:right="92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269,462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(751)</w:t>
            </w:r>
          </w:p>
        </w:tc>
        <w:tc>
          <w:tcPr>
            <w:tcW w:w="400" w:type="dxa"/>
            <w:vAlign w:val="bottom"/>
            <w:gridSpan w:val="2"/>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92,219</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91,468</w:t>
            </w:r>
          </w:p>
        </w:tc>
        <w:tc>
          <w:tcPr>
            <w:tcW w:w="0" w:type="dxa"/>
            <w:vAlign w:val="bottom"/>
          </w:tcPr>
          <w:p>
            <w:pPr>
              <w:spacing w:after="0"/>
              <w:rPr>
                <w:sz w:val="1"/>
                <w:szCs w:val="1"/>
                <w:color w:val="auto"/>
              </w:rPr>
            </w:pPr>
          </w:p>
        </w:tc>
      </w:tr>
      <w:tr>
        <w:trPr>
          <w:trHeight w:val="213"/>
        </w:trPr>
        <w:tc>
          <w:tcPr>
            <w:tcW w:w="3000" w:type="dxa"/>
            <w:vAlign w:val="bottom"/>
          </w:tcPr>
          <w:p>
            <w:pPr>
              <w:ind w:left="140"/>
              <w:spacing w:after="0"/>
              <w:rPr>
                <w:sz w:val="20"/>
                <w:szCs w:val="20"/>
                <w:color w:val="auto"/>
              </w:rPr>
            </w:pPr>
            <w:r>
              <w:rPr>
                <w:rFonts w:ascii="Arial" w:cs="Arial" w:eastAsia="Arial" w:hAnsi="Arial"/>
                <w:sz w:val="16"/>
                <w:szCs w:val="16"/>
                <w:color w:val="auto"/>
              </w:rPr>
              <w:t>Gross profit</w:t>
            </w: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w w:val="93"/>
              </w:rPr>
              <w:t>121,873</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89,909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31,954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31,964</w:t>
            </w: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expenses</w:t>
            </w: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33,280</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27,627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5,661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5,653</w:t>
            </w:r>
          </w:p>
        </w:tc>
        <w:tc>
          <w:tcPr>
            <w:tcW w:w="0" w:type="dxa"/>
            <w:vAlign w:val="bottom"/>
          </w:tcPr>
          <w:p>
            <w:pPr>
              <w:spacing w:after="0"/>
              <w:rPr>
                <w:sz w:val="1"/>
                <w:szCs w:val="1"/>
                <w:color w:val="auto"/>
              </w:rPr>
            </w:pPr>
          </w:p>
        </w:tc>
      </w:tr>
      <w:tr>
        <w:trPr>
          <w:trHeight w:val="797"/>
        </w:trPr>
        <w:tc>
          <w:tcPr>
            <w:tcW w:w="3000" w:type="dxa"/>
            <w:vAlign w:val="bottom"/>
          </w:tcPr>
          <w:p>
            <w:pPr>
              <w:spacing w:after="0"/>
              <w:rPr>
                <w:sz w:val="24"/>
                <w:szCs w:val="24"/>
                <w:color w:val="auto"/>
              </w:rPr>
            </w:pPr>
          </w:p>
        </w:tc>
        <w:tc>
          <w:tcPr>
            <w:tcW w:w="2760" w:type="dxa"/>
            <w:vAlign w:val="bottom"/>
            <w:gridSpan w:val="4"/>
            <w:vMerge w:val="restart"/>
          </w:tcPr>
          <w:p>
            <w:pPr>
              <w:jc w:val="right"/>
              <w:ind w:right="120"/>
              <w:spacing w:after="0"/>
              <w:rPr>
                <w:sz w:val="20"/>
                <w:szCs w:val="20"/>
                <w:color w:val="auto"/>
              </w:rPr>
            </w:pPr>
            <w:r>
              <w:rPr>
                <w:rFonts w:ascii="Arial" w:cs="Arial" w:eastAsia="Arial" w:hAnsi="Arial"/>
                <w:sz w:val="16"/>
                <w:szCs w:val="16"/>
                <w:b w:val="1"/>
                <w:bCs w:val="1"/>
                <w:color w:val="auto"/>
              </w:rPr>
              <w:t>Six Months Ended June 30,</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Effect of Changes in</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000" w:type="dxa"/>
            <w:vAlign w:val="bottom"/>
          </w:tcPr>
          <w:p>
            <w:pPr>
              <w:spacing w:after="0"/>
              <w:rPr>
                <w:sz w:val="11"/>
                <w:szCs w:val="11"/>
                <w:color w:val="auto"/>
              </w:rPr>
            </w:pPr>
          </w:p>
        </w:tc>
        <w:tc>
          <w:tcPr>
            <w:tcW w:w="2760" w:type="dxa"/>
            <w:vAlign w:val="bottom"/>
            <w:tcBorders>
              <w:bottom w:val="single" w:sz="8" w:color="auto"/>
            </w:tcBorders>
            <w:gridSpan w:val="4"/>
            <w:vMerge w:val="continue"/>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tcPr>
          <w:p>
            <w:pPr>
              <w:jc w:val="center"/>
              <w:ind w:right="60"/>
              <w:spacing w:after="0" w:line="132" w:lineRule="exact"/>
              <w:rPr>
                <w:sz w:val="20"/>
                <w:szCs w:val="20"/>
                <w:color w:val="auto"/>
              </w:rPr>
            </w:pPr>
            <w:r>
              <w:rPr>
                <w:rFonts w:ascii="Arial" w:cs="Arial" w:eastAsia="Arial" w:hAnsi="Arial"/>
                <w:sz w:val="15"/>
                <w:szCs w:val="15"/>
                <w:b w:val="1"/>
                <w:bCs w:val="1"/>
                <w:color w:val="auto"/>
                <w:w w:val="99"/>
              </w:rPr>
              <w:t>Foreign Currency</w:t>
            </w:r>
          </w:p>
        </w:tc>
        <w:tc>
          <w:tcPr>
            <w:tcW w:w="100" w:type="dxa"/>
            <w:vAlign w:val="bottom"/>
          </w:tcPr>
          <w:p>
            <w:pPr>
              <w:spacing w:after="0"/>
              <w:rPr>
                <w:sz w:val="11"/>
                <w:szCs w:val="11"/>
                <w:color w:val="auto"/>
              </w:rPr>
            </w:pPr>
          </w:p>
        </w:tc>
        <w:tc>
          <w:tcPr>
            <w:tcW w:w="1500" w:type="dxa"/>
            <w:vAlign w:val="bottom"/>
            <w:gridSpan w:val="2"/>
          </w:tcPr>
          <w:p>
            <w:pPr>
              <w:jc w:val="center"/>
              <w:spacing w:after="0" w:line="132" w:lineRule="exact"/>
              <w:rPr>
                <w:sz w:val="20"/>
                <w:szCs w:val="20"/>
                <w:color w:val="auto"/>
              </w:rPr>
            </w:pPr>
            <w:r>
              <w:rPr>
                <w:rFonts w:ascii="Arial" w:cs="Arial" w:eastAsia="Arial" w:hAnsi="Arial"/>
                <w:sz w:val="15"/>
                <w:szCs w:val="15"/>
                <w:b w:val="1"/>
                <w:bCs w:val="1"/>
                <w:color w:val="auto"/>
                <w:w w:val="99"/>
              </w:rPr>
              <w:t>Constant Currency</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300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1000" w:type="dxa"/>
            <w:vAlign w:val="bottom"/>
          </w:tcPr>
          <w:p>
            <w:pPr>
              <w:ind w:left="660"/>
              <w:spacing w:after="0"/>
              <w:rPr>
                <w:sz w:val="20"/>
                <w:szCs w:val="20"/>
                <w:color w:val="auto"/>
              </w:rPr>
            </w:pPr>
            <w:r>
              <w:rPr>
                <w:rFonts w:ascii="Arial" w:cs="Arial" w:eastAsia="Arial" w:hAnsi="Arial"/>
                <w:sz w:val="16"/>
                <w:szCs w:val="16"/>
                <w:b w:val="1"/>
                <w:bCs w:val="1"/>
                <w:color w:val="auto"/>
                <w:w w:val="89"/>
              </w:rPr>
              <w:t>2023</w:t>
            </w:r>
          </w:p>
        </w:tc>
        <w:tc>
          <w:tcPr>
            <w:tcW w:w="62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2022</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center"/>
              <w:ind w:right="40"/>
              <w:spacing w:after="0"/>
              <w:rPr>
                <w:sz w:val="20"/>
                <w:szCs w:val="20"/>
                <w:color w:val="auto"/>
              </w:rPr>
            </w:pPr>
            <w:r>
              <w:rPr>
                <w:rFonts w:ascii="Arial" w:cs="Arial" w:eastAsia="Arial" w:hAnsi="Arial"/>
                <w:sz w:val="16"/>
                <w:szCs w:val="16"/>
                <w:b w:val="1"/>
                <w:bCs w:val="1"/>
                <w:color w:val="auto"/>
                <w:w w:val="88"/>
              </w:rPr>
              <w:t>Exchange Rates</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center"/>
              <w:ind w:right="219"/>
              <w:spacing w:after="0"/>
              <w:rPr>
                <w:sz w:val="20"/>
                <w:szCs w:val="20"/>
                <w:color w:val="auto"/>
              </w:rPr>
            </w:pPr>
            <w:r>
              <w:rPr>
                <w:rFonts w:ascii="Arial" w:cs="Arial" w:eastAsia="Arial" w:hAnsi="Arial"/>
                <w:sz w:val="16"/>
                <w:szCs w:val="16"/>
                <w:b w:val="1"/>
                <w:bCs w:val="1"/>
                <w:color w:val="auto"/>
                <w:w w:val="91"/>
              </w:rPr>
              <w:t>Change</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ind w:right="199"/>
              <w:spacing w:after="0"/>
              <w:rPr>
                <w:sz w:val="20"/>
                <w:szCs w:val="20"/>
                <w:color w:val="auto"/>
              </w:rPr>
            </w:pPr>
            <w:r>
              <w:rPr>
                <w:rFonts w:ascii="Arial" w:cs="Arial" w:eastAsia="Arial" w:hAnsi="Arial"/>
                <w:sz w:val="16"/>
                <w:szCs w:val="16"/>
                <w:b w:val="1"/>
                <w:bCs w:val="1"/>
                <w:color w:val="auto"/>
                <w:w w:val="98"/>
              </w:rPr>
              <w:t>Total Change</w:t>
            </w:r>
          </w:p>
        </w:tc>
        <w:tc>
          <w:tcPr>
            <w:tcW w:w="0" w:type="dxa"/>
            <w:vAlign w:val="bottom"/>
          </w:tcPr>
          <w:p>
            <w:pPr>
              <w:spacing w:after="0"/>
              <w:rPr>
                <w:sz w:val="1"/>
                <w:szCs w:val="1"/>
                <w:color w:val="auto"/>
              </w:rPr>
            </w:pPr>
          </w:p>
        </w:tc>
      </w:tr>
      <w:tr>
        <w:trPr>
          <w:trHeight w:val="209"/>
        </w:trPr>
        <w:tc>
          <w:tcPr>
            <w:tcW w:w="30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i w:val="1"/>
                <w:iCs w:val="1"/>
                <w:color w:val="auto"/>
              </w:rPr>
              <w:t>Networked Solutions Segment</w:t>
            </w:r>
          </w:p>
        </w:tc>
        <w:tc>
          <w:tcPr>
            <w:tcW w:w="10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Revenues</w:t>
            </w:r>
          </w:p>
        </w:tc>
        <w:tc>
          <w:tcPr>
            <w:tcW w:w="100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674,398</w:t>
            </w:r>
          </w:p>
        </w:tc>
        <w:tc>
          <w:tcPr>
            <w:tcW w:w="1140" w:type="dxa"/>
            <w:vAlign w:val="bottom"/>
            <w:gridSpan w:val="2"/>
            <w:shd w:val="clear" w:color="auto" w:fill="CCEEFF"/>
          </w:tcPr>
          <w:p>
            <w:pPr>
              <w:jc w:val="right"/>
              <w:ind w:right="92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548,282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(2,371)</w:t>
            </w:r>
          </w:p>
        </w:tc>
        <w:tc>
          <w:tcPr>
            <w:tcW w:w="400" w:type="dxa"/>
            <w:vAlign w:val="bottom"/>
            <w:gridSpan w:val="2"/>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128,487</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126,116</w:t>
            </w:r>
          </w:p>
        </w:tc>
        <w:tc>
          <w:tcPr>
            <w:tcW w:w="0" w:type="dxa"/>
            <w:vAlign w:val="bottom"/>
          </w:tcPr>
          <w:p>
            <w:pPr>
              <w:spacing w:after="0"/>
              <w:rPr>
                <w:sz w:val="1"/>
                <w:szCs w:val="1"/>
                <w:color w:val="auto"/>
              </w:rPr>
            </w:pPr>
          </w:p>
        </w:tc>
      </w:tr>
      <w:tr>
        <w:trPr>
          <w:trHeight w:val="213"/>
        </w:trPr>
        <w:tc>
          <w:tcPr>
            <w:tcW w:w="3000" w:type="dxa"/>
            <w:vAlign w:val="bottom"/>
          </w:tcPr>
          <w:p>
            <w:pPr>
              <w:ind w:left="140"/>
              <w:spacing w:after="0"/>
              <w:rPr>
                <w:sz w:val="20"/>
                <w:szCs w:val="20"/>
                <w:color w:val="auto"/>
              </w:rPr>
            </w:pPr>
            <w:r>
              <w:rPr>
                <w:rFonts w:ascii="Arial" w:cs="Arial" w:eastAsia="Arial" w:hAnsi="Arial"/>
                <w:sz w:val="16"/>
                <w:szCs w:val="16"/>
                <w:color w:val="auto"/>
              </w:rPr>
              <w:t>Gross profit</w:t>
            </w: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w w:val="93"/>
              </w:rPr>
              <w:t>227,649</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89"/>
              </w:rPr>
              <w:t>181,260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(754)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47,143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46,389</w:t>
            </w: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expenses</w:t>
            </w: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64,100</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57,971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6,168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6,129</w:t>
            </w: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 - Three months ended June 30, 2023 vs. Three months ended June 30, 2022</w:t>
      </w:r>
    </w:p>
    <w:p>
      <w:pPr>
        <w:spacing w:after="0" w:line="23"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Revenues increased $91.5 million, or 34%, in 2023 compared with 2022. The increase was primarily from product revenues due to the ramp of new deployments and improving component supply enabling our ability to fulfill more customer demand.</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 - Six months ended June 30, 2023 vs. Six months ended June 30, 2022</w:t>
      </w:r>
    </w:p>
    <w:p>
      <w:pPr>
        <w:spacing w:after="0" w:line="23"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Revenues increased $126.1 million, or 23%, for the first six months of 2023 compared with the same period in 2022. The increase was primarily from product revenues due to the ramp of new deployments and improving component supply enabling our ability to fulfill more customer demand.</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Gross Margin - Three months ended June 30, 2023 vs. Three months ended June 30, 2022</w:t>
      </w:r>
    </w:p>
    <w:p>
      <w:pPr>
        <w:spacing w:after="0" w:line="23"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Gross margin was 33.8% for the period ending June 30, 2023, compared with 33.4% in 2022. The 40 basis point increase was primarily related to favorable product and solutions mix and improved operational efficiencies.</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Gross Margin - Six months ended June 30, 2023 vs. Six months ended June 30, 2022</w:t>
      </w:r>
    </w:p>
    <w:p>
      <w:pPr>
        <w:spacing w:after="0" w:line="23"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Gross margin was 33.8% for the 2023 period, compared with 33.1% in 2022. The 70 basis point increase was primarily related to favorable product and solutions mix and improved operational efficiencies.</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Expenses - Three months ended June 30, 2023 vs. Three months ended June 30, 2022</w:t>
      </w:r>
    </w:p>
    <w:p>
      <w:pPr>
        <w:spacing w:after="0" w:line="23"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Operating expenses increased $5.7 million, or 20%, for the quarter in 2023, compared with the same period in 2022. The increase was primarily related to higher product development expenses.</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Expenses - Six months ended June 30, 2023 vs. Six months ended June 30, 2022</w:t>
      </w:r>
    </w:p>
    <w:p>
      <w:pPr>
        <w:spacing w:after="0" w:line="23"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Operating expenses increased $6.1 million, or 11%, for the first six months of 2023, compared with the same period in 2022. The increase was primarily related to higher product development expenses.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Outcomes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The effects of changes in foreign currency exchange rates and the constant currency changes in certain Outcomes segment financial results were as follows:</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00" w:type="dxa"/>
            <w:vAlign w:val="bottom"/>
          </w:tcPr>
          <w:p>
            <w:pPr>
              <w:spacing w:after="0"/>
              <w:rPr>
                <w:sz w:val="16"/>
                <w:szCs w:val="16"/>
                <w:color w:val="auto"/>
              </w:rPr>
            </w:pPr>
          </w:p>
        </w:tc>
        <w:tc>
          <w:tcPr>
            <w:tcW w:w="2760" w:type="dxa"/>
            <w:vAlign w:val="bottom"/>
            <w:gridSpan w:val="4"/>
            <w:vMerge w:val="restart"/>
          </w:tcPr>
          <w:p>
            <w:pPr>
              <w:ind w:left="640"/>
              <w:spacing w:after="0"/>
              <w:rPr>
                <w:sz w:val="20"/>
                <w:szCs w:val="20"/>
                <w:color w:val="auto"/>
              </w:rPr>
            </w:pPr>
            <w:r>
              <w:rPr>
                <w:rFonts w:ascii="Arial" w:cs="Arial" w:eastAsia="Arial" w:hAnsi="Arial"/>
                <w:sz w:val="16"/>
                <w:szCs w:val="16"/>
                <w:b w:val="1"/>
                <w:bCs w:val="1"/>
                <w:color w:val="auto"/>
                <w:w w:val="92"/>
              </w:rPr>
              <w:t>Three Months Ended June 30,</w:t>
            </w: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Effect of Changes in</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3000" w:type="dxa"/>
            <w:vAlign w:val="bottom"/>
          </w:tcPr>
          <w:p>
            <w:pPr>
              <w:spacing w:after="0"/>
              <w:rPr>
                <w:sz w:val="10"/>
                <w:szCs w:val="10"/>
                <w:color w:val="auto"/>
              </w:rPr>
            </w:pPr>
          </w:p>
        </w:tc>
        <w:tc>
          <w:tcPr>
            <w:tcW w:w="2760" w:type="dxa"/>
            <w:vAlign w:val="bottom"/>
            <w:tcBorders>
              <w:bottom w:val="single" w:sz="8" w:color="auto"/>
            </w:tcBorders>
            <w:gridSpan w:val="4"/>
            <w:vMerge w:val="continue"/>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vMerge w:val="restart"/>
          </w:tcPr>
          <w:p>
            <w:pPr>
              <w:jc w:val="center"/>
              <w:ind w:right="60"/>
              <w:spacing w:after="0" w:line="162" w:lineRule="exact"/>
              <w:rPr>
                <w:sz w:val="20"/>
                <w:szCs w:val="20"/>
                <w:color w:val="auto"/>
              </w:rPr>
            </w:pPr>
            <w:r>
              <w:rPr>
                <w:rFonts w:ascii="Arial" w:cs="Arial" w:eastAsia="Arial" w:hAnsi="Arial"/>
                <w:sz w:val="16"/>
                <w:szCs w:val="16"/>
                <w:b w:val="1"/>
                <w:bCs w:val="1"/>
                <w:color w:val="auto"/>
                <w:w w:val="92"/>
              </w:rPr>
              <w:t>Foreign Currency</w:t>
            </w:r>
          </w:p>
        </w:tc>
        <w:tc>
          <w:tcPr>
            <w:tcW w:w="100" w:type="dxa"/>
            <w:vAlign w:val="bottom"/>
          </w:tcPr>
          <w:p>
            <w:pPr>
              <w:spacing w:after="0"/>
              <w:rPr>
                <w:sz w:val="10"/>
                <w:szCs w:val="10"/>
                <w:color w:val="auto"/>
              </w:rPr>
            </w:pPr>
          </w:p>
        </w:tc>
        <w:tc>
          <w:tcPr>
            <w:tcW w:w="1500" w:type="dxa"/>
            <w:vAlign w:val="bottom"/>
            <w:gridSpan w:val="2"/>
            <w:vMerge w:val="restart"/>
          </w:tcPr>
          <w:p>
            <w:pPr>
              <w:jc w:val="center"/>
              <w:spacing w:after="0" w:line="162" w:lineRule="exact"/>
              <w:rPr>
                <w:sz w:val="20"/>
                <w:szCs w:val="20"/>
                <w:color w:val="auto"/>
              </w:rPr>
            </w:pPr>
            <w:r>
              <w:rPr>
                <w:rFonts w:ascii="Arial" w:cs="Arial" w:eastAsia="Arial" w:hAnsi="Arial"/>
                <w:sz w:val="16"/>
                <w:szCs w:val="16"/>
                <w:b w:val="1"/>
                <w:bCs w:val="1"/>
                <w:color w:val="auto"/>
                <w:w w:val="93"/>
              </w:rPr>
              <w:t>Constant Currency</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
        </w:trPr>
        <w:tc>
          <w:tcPr>
            <w:tcW w:w="300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000" w:type="dxa"/>
            <w:vAlign w:val="bottom"/>
            <w:vMerge w:val="restart"/>
          </w:tcPr>
          <w:p>
            <w:pPr>
              <w:ind w:left="660"/>
              <w:spacing w:after="0"/>
              <w:rPr>
                <w:sz w:val="20"/>
                <w:szCs w:val="20"/>
                <w:color w:val="auto"/>
              </w:rPr>
            </w:pPr>
            <w:r>
              <w:rPr>
                <w:rFonts w:ascii="Arial" w:cs="Arial" w:eastAsia="Arial" w:hAnsi="Arial"/>
                <w:sz w:val="16"/>
                <w:szCs w:val="16"/>
                <w:b w:val="1"/>
                <w:bCs w:val="1"/>
                <w:color w:val="auto"/>
                <w:w w:val="89"/>
              </w:rPr>
              <w:t>2023</w:t>
            </w:r>
          </w:p>
        </w:tc>
        <w:tc>
          <w:tcPr>
            <w:tcW w:w="620" w:type="dxa"/>
            <w:vAlign w:val="bottom"/>
          </w:tcPr>
          <w:p>
            <w:pPr>
              <w:spacing w:after="0"/>
              <w:rPr>
                <w:sz w:val="2"/>
                <w:szCs w:val="2"/>
                <w:color w:val="auto"/>
              </w:rPr>
            </w:pPr>
          </w:p>
        </w:tc>
        <w:tc>
          <w:tcPr>
            <w:tcW w:w="1140" w:type="dxa"/>
            <w:vAlign w:val="bottom"/>
            <w:gridSpan w:val="2"/>
            <w:vMerge w:val="restart"/>
          </w:tcPr>
          <w:p>
            <w:pPr>
              <w:jc w:val="right"/>
              <w:ind w:right="40"/>
              <w:spacing w:after="0"/>
              <w:rPr>
                <w:sz w:val="20"/>
                <w:szCs w:val="20"/>
                <w:color w:val="auto"/>
              </w:rPr>
            </w:pPr>
            <w:r>
              <w:rPr>
                <w:rFonts w:ascii="Arial" w:cs="Arial" w:eastAsia="Arial" w:hAnsi="Arial"/>
                <w:sz w:val="16"/>
                <w:szCs w:val="16"/>
                <w:b w:val="1"/>
                <w:bCs w:val="1"/>
                <w:color w:val="auto"/>
              </w:rPr>
              <w:t>2022</w:t>
            </w: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vMerge w:val="restart"/>
          </w:tcPr>
          <w:p>
            <w:pPr>
              <w:jc w:val="right"/>
              <w:ind w:right="199"/>
              <w:spacing w:after="0"/>
              <w:rPr>
                <w:sz w:val="20"/>
                <w:szCs w:val="20"/>
                <w:color w:val="auto"/>
              </w:rPr>
            </w:pPr>
            <w:r>
              <w:rPr>
                <w:rFonts w:ascii="Arial" w:cs="Arial" w:eastAsia="Arial" w:hAnsi="Arial"/>
                <w:sz w:val="16"/>
                <w:szCs w:val="16"/>
                <w:b w:val="1"/>
                <w:bCs w:val="1"/>
                <w:color w:val="auto"/>
                <w:w w:val="98"/>
              </w:rPr>
              <w:t>Total Change</w:t>
            </w:r>
          </w:p>
        </w:tc>
        <w:tc>
          <w:tcPr>
            <w:tcW w:w="0" w:type="dxa"/>
            <w:vAlign w:val="bottom"/>
          </w:tcPr>
          <w:p>
            <w:pPr>
              <w:spacing w:after="0" w:line="20" w:lineRule="exact"/>
              <w:rPr>
                <w:sz w:val="1"/>
                <w:szCs w:val="1"/>
                <w:color w:val="auto"/>
              </w:rPr>
            </w:pPr>
          </w:p>
        </w:tc>
      </w:tr>
      <w:tr>
        <w:trPr>
          <w:trHeight w:val="213"/>
        </w:trPr>
        <w:tc>
          <w:tcPr>
            <w:tcW w:w="300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center"/>
              <w:ind w:right="40"/>
              <w:spacing w:after="0"/>
              <w:rPr>
                <w:sz w:val="20"/>
                <w:szCs w:val="20"/>
                <w:color w:val="auto"/>
              </w:rPr>
            </w:pPr>
            <w:r>
              <w:rPr>
                <w:rFonts w:ascii="Arial" w:cs="Arial" w:eastAsia="Arial" w:hAnsi="Arial"/>
                <w:sz w:val="16"/>
                <w:szCs w:val="16"/>
                <w:b w:val="1"/>
                <w:bCs w:val="1"/>
                <w:color w:val="auto"/>
                <w:w w:val="88"/>
              </w:rPr>
              <w:t>Exchange Rates</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center"/>
              <w:ind w:right="199"/>
              <w:spacing w:after="0"/>
              <w:rPr>
                <w:sz w:val="20"/>
                <w:szCs w:val="20"/>
                <w:color w:val="auto"/>
              </w:rPr>
            </w:pPr>
            <w:r>
              <w:rPr>
                <w:rFonts w:ascii="Arial" w:cs="Arial" w:eastAsia="Arial" w:hAnsi="Arial"/>
                <w:sz w:val="16"/>
                <w:szCs w:val="16"/>
                <w:b w:val="1"/>
                <w:bCs w:val="1"/>
                <w:color w:val="auto"/>
                <w:w w:val="88"/>
              </w:rPr>
              <w:t>Change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i w:val="1"/>
                <w:iCs w:val="1"/>
                <w:color w:val="auto"/>
              </w:rPr>
              <w:t>Outcomes Segment</w:t>
            </w:r>
          </w:p>
        </w:tc>
        <w:tc>
          <w:tcPr>
            <w:tcW w:w="1000" w:type="dxa"/>
            <w:vAlign w:val="bottom"/>
            <w:tcBorders>
              <w:top w:val="single" w:sz="8" w:color="auto"/>
              <w:bottom w:val="single" w:sz="8" w:color="CCEEFF"/>
            </w:tcBorders>
          </w:tcPr>
          <w:p>
            <w:pPr>
              <w:spacing w:after="0"/>
              <w:rPr>
                <w:sz w:val="18"/>
                <w:szCs w:val="18"/>
                <w:color w:val="auto"/>
              </w:rPr>
            </w:pPr>
          </w:p>
        </w:tc>
        <w:tc>
          <w:tcPr>
            <w:tcW w:w="62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CCEEFF"/>
            </w:tcBorders>
          </w:tcPr>
          <w:p>
            <w:pPr>
              <w:spacing w:after="0"/>
              <w:rPr>
                <w:sz w:val="18"/>
                <w:szCs w:val="18"/>
                <w:color w:val="auto"/>
              </w:rPr>
            </w:pPr>
          </w:p>
        </w:tc>
        <w:tc>
          <w:tcPr>
            <w:tcW w:w="60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38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CCEEFF"/>
            </w:tcBorders>
          </w:tcPr>
          <w:p>
            <w:pPr>
              <w:spacing w:after="0"/>
              <w:rPr>
                <w:sz w:val="18"/>
                <w:szCs w:val="18"/>
                <w:color w:val="auto"/>
              </w:rPr>
            </w:pPr>
          </w:p>
        </w:tc>
        <w:tc>
          <w:tcPr>
            <w:tcW w:w="120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CCEEFF"/>
            </w:tcBorders>
          </w:tcPr>
          <w:p>
            <w:pPr>
              <w:spacing w:after="0"/>
              <w:rPr>
                <w:sz w:val="18"/>
                <w:szCs w:val="18"/>
                <w:color w:val="auto"/>
              </w:rPr>
            </w:pPr>
          </w:p>
        </w:tc>
        <w:tc>
          <w:tcPr>
            <w:tcW w:w="130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Revenues</w:t>
            </w:r>
          </w:p>
        </w:tc>
        <w:tc>
          <w:tcPr>
            <w:tcW w:w="100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66,980</w:t>
            </w:r>
          </w:p>
        </w:tc>
        <w:tc>
          <w:tcPr>
            <w:tcW w:w="1140" w:type="dxa"/>
            <w:vAlign w:val="bottom"/>
            <w:gridSpan w:val="2"/>
            <w:shd w:val="clear" w:color="auto" w:fill="CCEEFF"/>
          </w:tcPr>
          <w:p>
            <w:pPr>
              <w:jc w:val="right"/>
              <w:ind w:right="92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57,610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w:t>
            </w:r>
          </w:p>
        </w:tc>
        <w:tc>
          <w:tcPr>
            <w:tcW w:w="400" w:type="dxa"/>
            <w:vAlign w:val="bottom"/>
            <w:gridSpan w:val="2"/>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9,521</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9,370</w:t>
            </w:r>
          </w:p>
        </w:tc>
        <w:tc>
          <w:tcPr>
            <w:tcW w:w="0" w:type="dxa"/>
            <w:vAlign w:val="bottom"/>
          </w:tcPr>
          <w:p>
            <w:pPr>
              <w:spacing w:after="0"/>
              <w:rPr>
                <w:sz w:val="1"/>
                <w:szCs w:val="1"/>
                <w:color w:val="auto"/>
              </w:rPr>
            </w:pPr>
          </w:p>
        </w:tc>
      </w:tr>
      <w:tr>
        <w:trPr>
          <w:trHeight w:val="213"/>
        </w:trPr>
        <w:tc>
          <w:tcPr>
            <w:tcW w:w="3000" w:type="dxa"/>
            <w:vAlign w:val="bottom"/>
          </w:tcPr>
          <w:p>
            <w:pPr>
              <w:ind w:left="140"/>
              <w:spacing w:after="0"/>
              <w:rPr>
                <w:sz w:val="20"/>
                <w:szCs w:val="20"/>
                <w:color w:val="auto"/>
              </w:rPr>
            </w:pPr>
            <w:r>
              <w:rPr>
                <w:rFonts w:ascii="Arial" w:cs="Arial" w:eastAsia="Arial" w:hAnsi="Arial"/>
                <w:sz w:val="16"/>
                <w:szCs w:val="16"/>
                <w:color w:val="auto"/>
              </w:rPr>
              <w:t>Gross profit</w:t>
            </w: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27,355</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22,318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112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4,925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5,037</w:t>
            </w: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expenses</w:t>
            </w: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14,679</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13,209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1,470</w:t>
            </w:r>
          </w:p>
        </w:tc>
        <w:tc>
          <w:tcPr>
            <w:tcW w:w="0" w:type="dxa"/>
            <w:vAlign w:val="bottom"/>
          </w:tcPr>
          <w:p>
            <w:pPr>
              <w:spacing w:after="0"/>
              <w:rPr>
                <w:sz w:val="1"/>
                <w:szCs w:val="1"/>
                <w:color w:val="auto"/>
              </w:rPr>
            </w:pPr>
          </w:p>
        </w:tc>
      </w:tr>
      <w:tr>
        <w:trPr>
          <w:trHeight w:val="796"/>
        </w:trPr>
        <w:tc>
          <w:tcPr>
            <w:tcW w:w="3000" w:type="dxa"/>
            <w:vAlign w:val="bottom"/>
          </w:tcPr>
          <w:p>
            <w:pPr>
              <w:spacing w:after="0"/>
              <w:rPr>
                <w:sz w:val="24"/>
                <w:szCs w:val="24"/>
                <w:color w:val="auto"/>
              </w:rPr>
            </w:pPr>
          </w:p>
        </w:tc>
        <w:tc>
          <w:tcPr>
            <w:tcW w:w="2760" w:type="dxa"/>
            <w:vAlign w:val="bottom"/>
            <w:gridSpan w:val="4"/>
            <w:vMerge w:val="restart"/>
          </w:tcPr>
          <w:p>
            <w:pPr>
              <w:jc w:val="right"/>
              <w:ind w:right="120"/>
              <w:spacing w:after="0"/>
              <w:rPr>
                <w:sz w:val="20"/>
                <w:szCs w:val="20"/>
                <w:color w:val="auto"/>
              </w:rPr>
            </w:pPr>
            <w:r>
              <w:rPr>
                <w:rFonts w:ascii="Arial" w:cs="Arial" w:eastAsia="Arial" w:hAnsi="Arial"/>
                <w:sz w:val="16"/>
                <w:szCs w:val="16"/>
                <w:b w:val="1"/>
                <w:bCs w:val="1"/>
                <w:color w:val="auto"/>
              </w:rPr>
              <w:t>Six Months Ended June 30,</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Effect of Changes in</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000" w:type="dxa"/>
            <w:vAlign w:val="bottom"/>
          </w:tcPr>
          <w:p>
            <w:pPr>
              <w:spacing w:after="0"/>
              <w:rPr>
                <w:sz w:val="11"/>
                <w:szCs w:val="11"/>
                <w:color w:val="auto"/>
              </w:rPr>
            </w:pPr>
          </w:p>
        </w:tc>
        <w:tc>
          <w:tcPr>
            <w:tcW w:w="2760" w:type="dxa"/>
            <w:vAlign w:val="bottom"/>
            <w:tcBorders>
              <w:bottom w:val="single" w:sz="8" w:color="auto"/>
            </w:tcBorders>
            <w:gridSpan w:val="4"/>
            <w:vMerge w:val="continue"/>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tcPr>
          <w:p>
            <w:pPr>
              <w:jc w:val="center"/>
              <w:ind w:right="60"/>
              <w:spacing w:after="0" w:line="132" w:lineRule="exact"/>
              <w:rPr>
                <w:sz w:val="20"/>
                <w:szCs w:val="20"/>
                <w:color w:val="auto"/>
              </w:rPr>
            </w:pPr>
            <w:r>
              <w:rPr>
                <w:rFonts w:ascii="Arial" w:cs="Arial" w:eastAsia="Arial" w:hAnsi="Arial"/>
                <w:sz w:val="15"/>
                <w:szCs w:val="15"/>
                <w:b w:val="1"/>
                <w:bCs w:val="1"/>
                <w:color w:val="auto"/>
                <w:w w:val="99"/>
              </w:rPr>
              <w:t>Foreign Currency</w:t>
            </w:r>
          </w:p>
        </w:tc>
        <w:tc>
          <w:tcPr>
            <w:tcW w:w="100" w:type="dxa"/>
            <w:vAlign w:val="bottom"/>
          </w:tcPr>
          <w:p>
            <w:pPr>
              <w:spacing w:after="0"/>
              <w:rPr>
                <w:sz w:val="11"/>
                <w:szCs w:val="11"/>
                <w:color w:val="auto"/>
              </w:rPr>
            </w:pPr>
          </w:p>
        </w:tc>
        <w:tc>
          <w:tcPr>
            <w:tcW w:w="1500" w:type="dxa"/>
            <w:vAlign w:val="bottom"/>
            <w:gridSpan w:val="2"/>
          </w:tcPr>
          <w:p>
            <w:pPr>
              <w:jc w:val="center"/>
              <w:spacing w:after="0" w:line="132" w:lineRule="exact"/>
              <w:rPr>
                <w:sz w:val="20"/>
                <w:szCs w:val="20"/>
                <w:color w:val="auto"/>
              </w:rPr>
            </w:pPr>
            <w:r>
              <w:rPr>
                <w:rFonts w:ascii="Arial" w:cs="Arial" w:eastAsia="Arial" w:hAnsi="Arial"/>
                <w:sz w:val="15"/>
                <w:szCs w:val="15"/>
                <w:b w:val="1"/>
                <w:bCs w:val="1"/>
                <w:color w:val="auto"/>
                <w:w w:val="99"/>
              </w:rPr>
              <w:t>Constant Currency</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300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1000" w:type="dxa"/>
            <w:vAlign w:val="bottom"/>
          </w:tcPr>
          <w:p>
            <w:pPr>
              <w:ind w:left="660"/>
              <w:spacing w:after="0"/>
              <w:rPr>
                <w:sz w:val="20"/>
                <w:szCs w:val="20"/>
                <w:color w:val="auto"/>
              </w:rPr>
            </w:pPr>
            <w:r>
              <w:rPr>
                <w:rFonts w:ascii="Arial" w:cs="Arial" w:eastAsia="Arial" w:hAnsi="Arial"/>
                <w:sz w:val="16"/>
                <w:szCs w:val="16"/>
                <w:b w:val="1"/>
                <w:bCs w:val="1"/>
                <w:color w:val="auto"/>
                <w:w w:val="89"/>
              </w:rPr>
              <w:t>2023</w:t>
            </w:r>
          </w:p>
        </w:tc>
        <w:tc>
          <w:tcPr>
            <w:tcW w:w="62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2022</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center"/>
              <w:ind w:right="40"/>
              <w:spacing w:after="0"/>
              <w:rPr>
                <w:sz w:val="20"/>
                <w:szCs w:val="20"/>
                <w:color w:val="auto"/>
              </w:rPr>
            </w:pPr>
            <w:r>
              <w:rPr>
                <w:rFonts w:ascii="Arial" w:cs="Arial" w:eastAsia="Arial" w:hAnsi="Arial"/>
                <w:sz w:val="16"/>
                <w:szCs w:val="16"/>
                <w:b w:val="1"/>
                <w:bCs w:val="1"/>
                <w:color w:val="auto"/>
                <w:w w:val="88"/>
              </w:rPr>
              <w:t>Exchange Rates</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center"/>
              <w:ind w:right="199"/>
              <w:spacing w:after="0"/>
              <w:rPr>
                <w:sz w:val="20"/>
                <w:szCs w:val="20"/>
                <w:color w:val="auto"/>
              </w:rPr>
            </w:pPr>
            <w:r>
              <w:rPr>
                <w:rFonts w:ascii="Arial" w:cs="Arial" w:eastAsia="Arial" w:hAnsi="Arial"/>
                <w:sz w:val="16"/>
                <w:szCs w:val="16"/>
                <w:b w:val="1"/>
                <w:bCs w:val="1"/>
                <w:color w:val="auto"/>
                <w:w w:val="88"/>
              </w:rPr>
              <w:t>Change</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199"/>
              <w:spacing w:after="0"/>
              <w:rPr>
                <w:sz w:val="20"/>
                <w:szCs w:val="20"/>
                <w:color w:val="auto"/>
              </w:rPr>
            </w:pPr>
            <w:r>
              <w:rPr>
                <w:rFonts w:ascii="Arial" w:cs="Arial" w:eastAsia="Arial" w:hAnsi="Arial"/>
                <w:sz w:val="16"/>
                <w:szCs w:val="16"/>
                <w:b w:val="1"/>
                <w:bCs w:val="1"/>
                <w:color w:val="auto"/>
                <w:w w:val="98"/>
              </w:rPr>
              <w:t>Total Change</w:t>
            </w:r>
          </w:p>
        </w:tc>
        <w:tc>
          <w:tcPr>
            <w:tcW w:w="0" w:type="dxa"/>
            <w:vAlign w:val="bottom"/>
          </w:tcPr>
          <w:p>
            <w:pPr>
              <w:spacing w:after="0"/>
              <w:rPr>
                <w:sz w:val="1"/>
                <w:szCs w:val="1"/>
                <w:color w:val="auto"/>
              </w:rPr>
            </w:pPr>
          </w:p>
        </w:tc>
      </w:tr>
      <w:tr>
        <w:trPr>
          <w:trHeight w:val="209"/>
        </w:trPr>
        <w:tc>
          <w:tcPr>
            <w:tcW w:w="30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i w:val="1"/>
                <w:iCs w:val="1"/>
                <w:color w:val="auto"/>
              </w:rPr>
              <w:t>Outcomes Segment</w:t>
            </w:r>
          </w:p>
        </w:tc>
        <w:tc>
          <w:tcPr>
            <w:tcW w:w="10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Revenues</w:t>
            </w:r>
          </w:p>
        </w:tc>
        <w:tc>
          <w:tcPr>
            <w:tcW w:w="100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129,876</w:t>
            </w:r>
          </w:p>
        </w:tc>
        <w:tc>
          <w:tcPr>
            <w:tcW w:w="1140" w:type="dxa"/>
            <w:vAlign w:val="bottom"/>
            <w:gridSpan w:val="2"/>
            <w:shd w:val="clear" w:color="auto" w:fill="CCEEFF"/>
          </w:tcPr>
          <w:p>
            <w:pPr>
              <w:jc w:val="right"/>
              <w:ind w:right="92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114,556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(1,247)</w:t>
            </w:r>
          </w:p>
        </w:tc>
        <w:tc>
          <w:tcPr>
            <w:tcW w:w="400" w:type="dxa"/>
            <w:vAlign w:val="bottom"/>
            <w:gridSpan w:val="2"/>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16,567</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15,320</w:t>
            </w:r>
          </w:p>
        </w:tc>
        <w:tc>
          <w:tcPr>
            <w:tcW w:w="0" w:type="dxa"/>
            <w:vAlign w:val="bottom"/>
          </w:tcPr>
          <w:p>
            <w:pPr>
              <w:spacing w:after="0"/>
              <w:rPr>
                <w:sz w:val="1"/>
                <w:szCs w:val="1"/>
                <w:color w:val="auto"/>
              </w:rPr>
            </w:pPr>
          </w:p>
        </w:tc>
      </w:tr>
      <w:tr>
        <w:trPr>
          <w:trHeight w:val="213"/>
        </w:trPr>
        <w:tc>
          <w:tcPr>
            <w:tcW w:w="3000" w:type="dxa"/>
            <w:vAlign w:val="bottom"/>
          </w:tcPr>
          <w:p>
            <w:pPr>
              <w:ind w:left="140"/>
              <w:spacing w:after="0"/>
              <w:rPr>
                <w:sz w:val="20"/>
                <w:szCs w:val="20"/>
                <w:color w:val="auto"/>
              </w:rPr>
            </w:pPr>
            <w:r>
              <w:rPr>
                <w:rFonts w:ascii="Arial" w:cs="Arial" w:eastAsia="Arial" w:hAnsi="Arial"/>
                <w:sz w:val="16"/>
                <w:szCs w:val="16"/>
                <w:color w:val="auto"/>
              </w:rPr>
              <w:t>Gross profit</w:t>
            </w: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54,234</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44,385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(466)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10,315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9,849</w:t>
            </w: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expenses</w:t>
            </w: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28,647</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26,935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1,712</w:t>
            </w: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 - Three months ended June 30, 2023 vs. Three months ended June 30, 2022</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For the 2023 period, revenues increased $9.4 million, or 16%, compared with the 2022 period. This increase was driven by software license, hardware sales, and recurring services.</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 - Six months ended June 30, 2023 vs. Six months ended June 30, 2022</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Revenues increased $15.3 million, or 13%, for the first six months of 2023, compared with 2022. This increase was driven by software license, hardware sales, and recurring services.</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Gross Margin - Three months ended June 30, 2023 vs. Three months ended June 30, 2022</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Gross margin increased to 40.8% for the second quarter of 2023, compared with 38.7% for the same period last year. The 210 basis point increase was driven by software license sales, favorable managed services mix, and other cost efficiencies.</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Gross Margin - Six months ended June 30, 2023 vs. Six months ended June 30, 2022</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Gross margin increased to 41.8% for the period ending in 2023, compared with 38.7% for last year. The 310 basis point increase was driven by software license sales, favorable managed services mix, and other cost efficiencies.</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Expenses - Three months ended June 30, 2023 vs. Three months ended June 30, 2022</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Operating expenses for the 2023 period increased $1.5 million, or 11%, compared with the same period last year. This was primarily related to increased research and development expenses.</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Expenses - Six months ended June 30, 2023 vs. Six months ended June 30, 2022</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Operating expenses for the first six months of 2023 increased $1.7 million, or 6%, compared with the same period last year. This was primarily related to increased research and development expenses.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Unallocated</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Corporate Unallocated Expenses - Three months ended June 30, 2023 vs. Three months ended June 30, 2022</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Operating expenses not directly associated with an operating segment are classified as Corporate unallocated. These expenses decreased $30.1 million, or (27)%, for the three months ended June 30, 2023 compared with the same period in 2022. This decrease was primarily the result of $38.5 million in goodwill impairment recognized in 2022, partially offset by a $4.3 million increase in sales, general and administrative expenses and a $4.3 million increase in restructuring costs. The increase in sales, general and administrative expenses was primarily driven by increased labor costs, including variable compensation.</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Corporate Unallocated Expenses - Six months ended June 30, 2023 vs. Six months ended June 30, 2022</w:t>
      </w:r>
    </w:p>
    <w:p>
      <w:pPr>
        <w:spacing w:after="0" w:line="2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For the first six months of 2023, Corporate unallocated expenses increased $8.1 million, or 4%, compared with the 2022 period. This was primarily the result of a $47.3 million increase in restructuring costs, of which $39.4 million was related to the 2023 Projects, as well as a $3.5 million increase in sales, general and administrative expenses. The increase in sales, general and administrative expenses was primarily driven by increased labor costs, including variable compensation. The increase was offset by $38.5 million in goodwill impairment recognized in 2022 and a $3.3 million decrease in amortization.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Bookings and Backlog of Orders</w:t>
      </w:r>
    </w:p>
    <w:p>
      <w:pPr>
        <w:spacing w:after="0" w:line="25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Bookings for a reported period represent customer contracts and purchase orders received during the period for hardware, software, and services that have met certain conditions, such as regulatory and/or contractual approval. Total backlog represents committed but undelivered products and services for contracts and purchase orders at period-end. Twelve-month backlog represents the portion of total backlog that reflects our understanding of customer's desired deployment over the next 12 months. The actual revenue recognized and timing of revenue earned from backlog may vary based on actual currency rates at the time of shipment, supply constraints, and adjusted customer project timing. Backlog is not a complete measure of our future revenues as we also receive significant book-and-ship orders, as well as frame contracts. Bookings and backlog may fluctuate significantly due to the timing of large project awards. In addition, annual or multi-year contracts are subject to rescheduling due to the long-term nature of the contracts. Certain of our customers have the right to cancel contracts, but we do not have a history of any significant cancellations. Beginning total backlog, plus bookings, minus revenues, will not equal ending total backlog due to miscellaneous contract adjustments, foreign currency fluctuations, and other factors. Total bookings and backlog include certain contracts with a termination for convenience clause, which will not agree to the total transaction price allocated to the remaining performance obligations disclosed in Item 1: Financial Statements (Unaudited), Note 16: Revenues included in this Quarterly Report on Form 10-Q.</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920" w:type="dxa"/>
            <w:vAlign w:val="bottom"/>
          </w:tcPr>
          <w:p>
            <w:pPr>
              <w:spacing w:after="0"/>
              <w:rPr>
                <w:sz w:val="16"/>
                <w:szCs w:val="16"/>
                <w:color w:val="auto"/>
              </w:rPr>
            </w:pPr>
          </w:p>
        </w:tc>
        <w:tc>
          <w:tcPr>
            <w:tcW w:w="3220" w:type="dxa"/>
            <w:vAlign w:val="bottom"/>
            <w:vMerge w:val="restart"/>
          </w:tcPr>
          <w:p>
            <w:pPr>
              <w:jc w:val="center"/>
              <w:ind w:left="1999"/>
              <w:spacing w:after="0"/>
              <w:rPr>
                <w:sz w:val="20"/>
                <w:szCs w:val="20"/>
                <w:color w:val="auto"/>
              </w:rPr>
            </w:pPr>
            <w:r>
              <w:rPr>
                <w:rFonts w:ascii="Arial" w:cs="Arial" w:eastAsia="Arial" w:hAnsi="Arial"/>
                <w:sz w:val="16"/>
                <w:szCs w:val="16"/>
                <w:b w:val="1"/>
                <w:bCs w:val="1"/>
                <w:color w:val="auto"/>
                <w:w w:val="98"/>
              </w:rPr>
              <w:t>Quarterly</w:t>
            </w:r>
          </w:p>
        </w:tc>
        <w:tc>
          <w:tcPr>
            <w:tcW w:w="5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760" w:type="dxa"/>
            <w:vAlign w:val="bottom"/>
          </w:tcPr>
          <w:p>
            <w:pPr>
              <w:jc w:val="center"/>
              <w:ind w:right="379"/>
              <w:spacing w:after="0"/>
              <w:rPr>
                <w:sz w:val="20"/>
                <w:szCs w:val="20"/>
                <w:color w:val="auto"/>
              </w:rPr>
            </w:pPr>
            <w:r>
              <w:rPr>
                <w:rFonts w:ascii="Arial" w:cs="Arial" w:eastAsia="Arial" w:hAnsi="Arial"/>
                <w:sz w:val="16"/>
                <w:szCs w:val="16"/>
                <w:b w:val="1"/>
                <w:bCs w:val="1"/>
                <w:color w:val="auto"/>
                <w:w w:val="92"/>
              </w:rPr>
              <w:t>Ending</w:t>
            </w:r>
          </w:p>
        </w:tc>
        <w:tc>
          <w:tcPr>
            <w:tcW w:w="500" w:type="dxa"/>
            <w:vAlign w:val="bottom"/>
          </w:tcPr>
          <w:p>
            <w:pPr>
              <w:spacing w:after="0"/>
              <w:rPr>
                <w:sz w:val="16"/>
                <w:szCs w:val="16"/>
                <w:color w:val="auto"/>
              </w:rPr>
            </w:pPr>
          </w:p>
        </w:tc>
        <w:tc>
          <w:tcPr>
            <w:tcW w:w="1760" w:type="dxa"/>
            <w:vAlign w:val="bottom"/>
          </w:tcPr>
          <w:p>
            <w:pPr>
              <w:jc w:val="center"/>
              <w:ind w:right="339"/>
              <w:spacing w:after="0"/>
              <w:rPr>
                <w:sz w:val="20"/>
                <w:szCs w:val="20"/>
                <w:color w:val="auto"/>
              </w:rPr>
            </w:pPr>
            <w:r>
              <w:rPr>
                <w:rFonts w:ascii="Arial" w:cs="Arial" w:eastAsia="Arial" w:hAnsi="Arial"/>
                <w:sz w:val="16"/>
                <w:szCs w:val="16"/>
                <w:b w:val="1"/>
                <w:bCs w:val="1"/>
                <w:color w:val="auto"/>
                <w:w w:val="92"/>
              </w:rPr>
              <w:t>Ending</w:t>
            </w:r>
          </w:p>
        </w:tc>
        <w:tc>
          <w:tcPr>
            <w:tcW w:w="0" w:type="dxa"/>
            <w:vAlign w:val="bottom"/>
          </w:tcPr>
          <w:p>
            <w:pPr>
              <w:spacing w:after="0"/>
              <w:rPr>
                <w:sz w:val="1"/>
                <w:szCs w:val="1"/>
                <w:color w:val="auto"/>
              </w:rPr>
            </w:pPr>
          </w:p>
        </w:tc>
      </w:tr>
      <w:tr>
        <w:trPr>
          <w:trHeight w:val="162"/>
        </w:trPr>
        <w:tc>
          <w:tcPr>
            <w:tcW w:w="29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Quarter Ended</w:t>
            </w:r>
          </w:p>
        </w:tc>
        <w:tc>
          <w:tcPr>
            <w:tcW w:w="322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760" w:type="dxa"/>
            <w:vAlign w:val="bottom"/>
          </w:tcPr>
          <w:p>
            <w:pPr>
              <w:jc w:val="center"/>
              <w:ind w:right="399"/>
              <w:spacing w:after="0" w:line="162" w:lineRule="exact"/>
              <w:rPr>
                <w:sz w:val="20"/>
                <w:szCs w:val="20"/>
                <w:color w:val="auto"/>
              </w:rPr>
            </w:pPr>
            <w:r>
              <w:rPr>
                <w:rFonts w:ascii="Arial" w:cs="Arial" w:eastAsia="Arial" w:hAnsi="Arial"/>
                <w:sz w:val="16"/>
                <w:szCs w:val="16"/>
                <w:b w:val="1"/>
                <w:bCs w:val="1"/>
                <w:color w:val="auto"/>
                <w:w w:val="94"/>
              </w:rPr>
              <w:t>Total</w:t>
            </w:r>
          </w:p>
        </w:tc>
        <w:tc>
          <w:tcPr>
            <w:tcW w:w="500" w:type="dxa"/>
            <w:vAlign w:val="bottom"/>
          </w:tcPr>
          <w:p>
            <w:pPr>
              <w:spacing w:after="0"/>
              <w:rPr>
                <w:sz w:val="14"/>
                <w:szCs w:val="14"/>
                <w:color w:val="auto"/>
              </w:rPr>
            </w:pPr>
          </w:p>
        </w:tc>
        <w:tc>
          <w:tcPr>
            <w:tcW w:w="1760" w:type="dxa"/>
            <w:vAlign w:val="bottom"/>
          </w:tcPr>
          <w:p>
            <w:pPr>
              <w:jc w:val="center"/>
              <w:ind w:right="339"/>
              <w:spacing w:after="0" w:line="162" w:lineRule="exact"/>
              <w:rPr>
                <w:sz w:val="20"/>
                <w:szCs w:val="20"/>
                <w:color w:val="auto"/>
              </w:rPr>
            </w:pPr>
            <w:r>
              <w:rPr>
                <w:rFonts w:ascii="Arial" w:cs="Arial" w:eastAsia="Arial" w:hAnsi="Arial"/>
                <w:sz w:val="16"/>
                <w:szCs w:val="16"/>
                <w:b w:val="1"/>
                <w:bCs w:val="1"/>
                <w:color w:val="auto"/>
                <w:w w:val="98"/>
              </w:rPr>
              <w:t>12-Month</w:t>
            </w:r>
          </w:p>
        </w:tc>
        <w:tc>
          <w:tcPr>
            <w:tcW w:w="0" w:type="dxa"/>
            <w:vAlign w:val="bottom"/>
          </w:tcPr>
          <w:p>
            <w:pPr>
              <w:spacing w:after="0"/>
              <w:rPr>
                <w:sz w:val="1"/>
                <w:szCs w:val="1"/>
                <w:color w:val="auto"/>
              </w:rPr>
            </w:pPr>
          </w:p>
        </w:tc>
      </w:tr>
      <w:tr>
        <w:trPr>
          <w:trHeight w:val="213"/>
        </w:trPr>
        <w:tc>
          <w:tcPr>
            <w:tcW w:w="2920" w:type="dxa"/>
            <w:vAlign w:val="bottom"/>
            <w:tcBorders>
              <w:bottom w:val="single" w:sz="8" w:color="auto"/>
            </w:tcBorders>
            <w:vMerge w:val="continue"/>
          </w:tcPr>
          <w:p>
            <w:pPr>
              <w:spacing w:after="0"/>
              <w:rPr>
                <w:sz w:val="18"/>
                <w:szCs w:val="18"/>
                <w:color w:val="auto"/>
              </w:rPr>
            </w:pPr>
          </w:p>
        </w:tc>
        <w:tc>
          <w:tcPr>
            <w:tcW w:w="3220" w:type="dxa"/>
            <w:vAlign w:val="bottom"/>
            <w:tcBorders>
              <w:bottom w:val="single" w:sz="8" w:color="auto"/>
            </w:tcBorders>
          </w:tcPr>
          <w:p>
            <w:pPr>
              <w:jc w:val="center"/>
              <w:ind w:left="2019"/>
              <w:spacing w:after="0"/>
              <w:rPr>
                <w:sz w:val="20"/>
                <w:szCs w:val="20"/>
                <w:color w:val="auto"/>
              </w:rPr>
            </w:pPr>
            <w:r>
              <w:rPr>
                <w:rFonts w:ascii="Arial" w:cs="Arial" w:eastAsia="Arial" w:hAnsi="Arial"/>
                <w:sz w:val="16"/>
                <w:szCs w:val="16"/>
                <w:b w:val="1"/>
                <w:bCs w:val="1"/>
                <w:color w:val="auto"/>
                <w:w w:val="87"/>
              </w:rPr>
              <w:t>Bookings</w:t>
            </w:r>
          </w:p>
        </w:tc>
        <w:tc>
          <w:tcPr>
            <w:tcW w:w="5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center"/>
              <w:ind w:right="399"/>
              <w:spacing w:after="0"/>
              <w:rPr>
                <w:sz w:val="20"/>
                <w:szCs w:val="20"/>
                <w:color w:val="auto"/>
              </w:rPr>
            </w:pPr>
            <w:r>
              <w:rPr>
                <w:rFonts w:ascii="Arial" w:cs="Arial" w:eastAsia="Arial" w:hAnsi="Arial"/>
                <w:sz w:val="16"/>
                <w:szCs w:val="16"/>
                <w:b w:val="1"/>
                <w:bCs w:val="1"/>
                <w:color w:val="auto"/>
                <w:w w:val="89"/>
              </w:rPr>
              <w:t>Backlog</w:t>
            </w:r>
          </w:p>
        </w:tc>
        <w:tc>
          <w:tcPr>
            <w:tcW w:w="5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center"/>
              <w:ind w:right="319"/>
              <w:spacing w:after="0"/>
              <w:rPr>
                <w:sz w:val="20"/>
                <w:szCs w:val="20"/>
                <w:color w:val="auto"/>
              </w:rPr>
            </w:pPr>
            <w:r>
              <w:rPr>
                <w:rFonts w:ascii="Arial" w:cs="Arial" w:eastAsia="Arial" w:hAnsi="Arial"/>
                <w:sz w:val="16"/>
                <w:szCs w:val="16"/>
                <w:b w:val="1"/>
                <w:bCs w:val="1"/>
                <w:color w:val="auto"/>
                <w:w w:val="89"/>
              </w:rPr>
              <w:t>Backlog</w:t>
            </w:r>
          </w:p>
        </w:tc>
        <w:tc>
          <w:tcPr>
            <w:tcW w:w="0" w:type="dxa"/>
            <w:vAlign w:val="bottom"/>
          </w:tcPr>
          <w:p>
            <w:pPr>
              <w:spacing w:after="0"/>
              <w:rPr>
                <w:sz w:val="1"/>
                <w:szCs w:val="1"/>
                <w:color w:val="auto"/>
              </w:rPr>
            </w:pPr>
          </w:p>
        </w:tc>
      </w:tr>
      <w:tr>
        <w:trPr>
          <w:trHeight w:val="209"/>
        </w:trPr>
        <w:tc>
          <w:tcPr>
            <w:tcW w:w="2920" w:type="dxa"/>
            <w:vAlign w:val="bottom"/>
          </w:tcPr>
          <w:p>
            <w:pPr>
              <w:ind w:left="20"/>
              <w:spacing w:after="0"/>
              <w:rPr>
                <w:sz w:val="20"/>
                <w:szCs w:val="20"/>
                <w:color w:val="auto"/>
              </w:rPr>
            </w:pPr>
            <w:r>
              <w:rPr>
                <w:rFonts w:ascii="Arial" w:cs="Arial" w:eastAsia="Arial" w:hAnsi="Arial"/>
                <w:sz w:val="16"/>
                <w:szCs w:val="16"/>
                <w:i w:val="1"/>
                <w:iCs w:val="1"/>
                <w:color w:val="auto"/>
              </w:rPr>
              <w:t>In millions</w:t>
            </w:r>
          </w:p>
        </w:tc>
        <w:tc>
          <w:tcPr>
            <w:tcW w:w="3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June 30, 2023</w:t>
            </w:r>
          </w:p>
        </w:tc>
        <w:tc>
          <w:tcPr>
            <w:tcW w:w="3220" w:type="dxa"/>
            <w:vAlign w:val="bottom"/>
            <w:shd w:val="clear" w:color="auto" w:fill="CCEEFF"/>
          </w:tcPr>
          <w:p>
            <w:pPr>
              <w:jc w:val="right"/>
              <w:ind w:right="1479"/>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475</w:t>
            </w:r>
          </w:p>
        </w:tc>
        <w:tc>
          <w:tcPr>
            <w:tcW w:w="52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4,493</w:t>
            </w:r>
          </w:p>
        </w:tc>
        <w:tc>
          <w:tcPr>
            <w:tcW w:w="5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2,008</w:t>
            </w:r>
          </w:p>
        </w:tc>
        <w:tc>
          <w:tcPr>
            <w:tcW w:w="0" w:type="dxa"/>
            <w:vAlign w:val="bottom"/>
          </w:tcPr>
          <w:p>
            <w:pPr>
              <w:spacing w:after="0"/>
              <w:rPr>
                <w:sz w:val="1"/>
                <w:szCs w:val="1"/>
                <w:color w:val="auto"/>
              </w:rPr>
            </w:pPr>
          </w:p>
        </w:tc>
      </w:tr>
      <w:tr>
        <w:trPr>
          <w:trHeight w:val="213"/>
        </w:trPr>
        <w:tc>
          <w:tcPr>
            <w:tcW w:w="2920" w:type="dxa"/>
            <w:vAlign w:val="bottom"/>
          </w:tcPr>
          <w:p>
            <w:pPr>
              <w:ind w:left="20"/>
              <w:spacing w:after="0"/>
              <w:rPr>
                <w:sz w:val="20"/>
                <w:szCs w:val="20"/>
                <w:color w:val="auto"/>
              </w:rPr>
            </w:pPr>
            <w:r>
              <w:rPr>
                <w:rFonts w:ascii="Arial" w:cs="Arial" w:eastAsia="Arial" w:hAnsi="Arial"/>
                <w:sz w:val="16"/>
                <w:szCs w:val="16"/>
                <w:color w:val="auto"/>
              </w:rPr>
              <w:t>March 31, 2023</w:t>
            </w:r>
          </w:p>
        </w:tc>
        <w:tc>
          <w:tcPr>
            <w:tcW w:w="3220" w:type="dxa"/>
            <w:vAlign w:val="bottom"/>
          </w:tcPr>
          <w:p>
            <w:pPr>
              <w:spacing w:after="0"/>
              <w:rPr>
                <w:sz w:val="18"/>
                <w:szCs w:val="18"/>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428</w:t>
            </w:r>
          </w:p>
        </w:tc>
        <w:tc>
          <w:tcPr>
            <w:tcW w:w="520" w:type="dxa"/>
            <w:vAlign w:val="bottom"/>
          </w:tcPr>
          <w:p>
            <w:pPr>
              <w:spacing w:after="0"/>
              <w:rPr>
                <w:sz w:val="18"/>
                <w:szCs w:val="18"/>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4,558</w:t>
            </w:r>
          </w:p>
        </w:tc>
        <w:tc>
          <w:tcPr>
            <w:tcW w:w="5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1,897</w:t>
            </w:r>
          </w:p>
        </w:tc>
        <w:tc>
          <w:tcPr>
            <w:tcW w:w="0" w:type="dxa"/>
            <w:vAlign w:val="bottom"/>
          </w:tcPr>
          <w:p>
            <w:pPr>
              <w:spacing w:after="0"/>
              <w:rPr>
                <w:sz w:val="1"/>
                <w:szCs w:val="1"/>
                <w:color w:val="auto"/>
              </w:rPr>
            </w:pPr>
          </w:p>
        </w:tc>
      </w:tr>
      <w:tr>
        <w:trPr>
          <w:trHeight w:val="219"/>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December 31, 2022</w:t>
            </w:r>
          </w:p>
        </w:tc>
        <w:tc>
          <w:tcPr>
            <w:tcW w:w="32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898</w:t>
            </w:r>
          </w:p>
        </w:tc>
        <w:tc>
          <w:tcPr>
            <w:tcW w:w="52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4,619</w:t>
            </w:r>
          </w:p>
        </w:tc>
        <w:tc>
          <w:tcPr>
            <w:tcW w:w="5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2,052</w:t>
            </w:r>
          </w:p>
        </w:tc>
        <w:tc>
          <w:tcPr>
            <w:tcW w:w="0" w:type="dxa"/>
            <w:vAlign w:val="bottom"/>
          </w:tcPr>
          <w:p>
            <w:pPr>
              <w:spacing w:after="0"/>
              <w:rPr>
                <w:sz w:val="1"/>
                <w:szCs w:val="1"/>
                <w:color w:val="auto"/>
              </w:rPr>
            </w:pPr>
          </w:p>
        </w:tc>
      </w:tr>
      <w:tr>
        <w:trPr>
          <w:trHeight w:val="213"/>
        </w:trPr>
        <w:tc>
          <w:tcPr>
            <w:tcW w:w="2920" w:type="dxa"/>
            <w:vAlign w:val="bottom"/>
          </w:tcPr>
          <w:p>
            <w:pPr>
              <w:ind w:left="20"/>
              <w:spacing w:after="0"/>
              <w:rPr>
                <w:sz w:val="20"/>
                <w:szCs w:val="20"/>
                <w:color w:val="auto"/>
              </w:rPr>
            </w:pPr>
            <w:r>
              <w:rPr>
                <w:rFonts w:ascii="Arial" w:cs="Arial" w:eastAsia="Arial" w:hAnsi="Arial"/>
                <w:sz w:val="16"/>
                <w:szCs w:val="16"/>
                <w:color w:val="auto"/>
              </w:rPr>
              <w:t>September 30, 2022</w:t>
            </w:r>
          </w:p>
        </w:tc>
        <w:tc>
          <w:tcPr>
            <w:tcW w:w="3220" w:type="dxa"/>
            <w:vAlign w:val="bottom"/>
          </w:tcPr>
          <w:p>
            <w:pPr>
              <w:spacing w:after="0"/>
              <w:rPr>
                <w:sz w:val="18"/>
                <w:szCs w:val="18"/>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578</w:t>
            </w:r>
          </w:p>
        </w:tc>
        <w:tc>
          <w:tcPr>
            <w:tcW w:w="520" w:type="dxa"/>
            <w:vAlign w:val="bottom"/>
          </w:tcPr>
          <w:p>
            <w:pPr>
              <w:spacing w:after="0"/>
              <w:rPr>
                <w:sz w:val="18"/>
                <w:szCs w:val="18"/>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4,201</w:t>
            </w:r>
          </w:p>
        </w:tc>
        <w:tc>
          <w:tcPr>
            <w:tcW w:w="5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1,612</w:t>
            </w:r>
          </w:p>
        </w:tc>
        <w:tc>
          <w:tcPr>
            <w:tcW w:w="0" w:type="dxa"/>
            <w:vAlign w:val="bottom"/>
          </w:tcPr>
          <w:p>
            <w:pPr>
              <w:spacing w:after="0"/>
              <w:rPr>
                <w:sz w:val="1"/>
                <w:szCs w:val="1"/>
                <w:color w:val="auto"/>
              </w:rPr>
            </w:pPr>
          </w:p>
        </w:tc>
      </w:tr>
      <w:tr>
        <w:trPr>
          <w:trHeight w:val="219"/>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June 30, 2022</w:t>
            </w:r>
          </w:p>
        </w:tc>
        <w:tc>
          <w:tcPr>
            <w:tcW w:w="32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612</w:t>
            </w:r>
          </w:p>
        </w:tc>
        <w:tc>
          <w:tcPr>
            <w:tcW w:w="52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4,063</w:t>
            </w:r>
          </w:p>
        </w:tc>
        <w:tc>
          <w:tcPr>
            <w:tcW w:w="5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1,746</w:t>
            </w: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Information</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b w:val="1"/>
                <w:bCs w:val="1"/>
                <w:color w:val="auto"/>
              </w:rPr>
              <w:t>Six Months Ended June 30,</w:t>
            </w:r>
          </w:p>
        </w:tc>
        <w:tc>
          <w:tcPr>
            <w:tcW w:w="1280" w:type="dxa"/>
            <w:vAlign w:val="bottom"/>
            <w:tcBorders>
              <w:bottom w:val="single" w:sz="8" w:color="auto"/>
            </w:tcBorders>
          </w:tcPr>
          <w:p>
            <w:pPr>
              <w:spacing w:after="0"/>
              <w:rPr>
                <w:sz w:val="18"/>
                <w:szCs w:val="18"/>
                <w:color w:val="auto"/>
              </w:rPr>
            </w:pPr>
          </w:p>
        </w:tc>
      </w:tr>
      <w:tr>
        <w:trPr>
          <w:trHeight w:val="213"/>
        </w:trPr>
        <w:tc>
          <w:tcPr>
            <w:tcW w:w="67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5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859"/>
              <w:spacing w:after="0"/>
              <w:rPr>
                <w:sz w:val="20"/>
                <w:szCs w:val="20"/>
                <w:color w:val="auto"/>
              </w:rPr>
            </w:pPr>
            <w:r>
              <w:rPr>
                <w:rFonts w:ascii="Arial" w:cs="Arial" w:eastAsia="Arial" w:hAnsi="Arial"/>
                <w:sz w:val="16"/>
                <w:szCs w:val="16"/>
                <w:b w:val="1"/>
                <w:bCs w:val="1"/>
                <w:color w:val="auto"/>
                <w:w w:val="89"/>
              </w:rPr>
              <w:t>2022</w:t>
            </w:r>
          </w:p>
        </w:tc>
      </w:tr>
      <w:tr>
        <w:trPr>
          <w:trHeight w:val="212"/>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42,989</w:t>
            </w:r>
          </w:p>
        </w:tc>
        <w:tc>
          <w:tcPr>
            <w:tcW w:w="1020" w:type="dxa"/>
            <w:vAlign w:val="bottom"/>
            <w:gridSpan w:val="2"/>
            <w:shd w:val="clear" w:color="auto" w:fill="CCEEFF"/>
          </w:tcPr>
          <w:p>
            <w:pPr>
              <w:jc w:val="right"/>
              <w:ind w:right="80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22,656</w:t>
            </w:r>
          </w:p>
        </w:tc>
      </w:tr>
      <w:tr>
        <w:trPr>
          <w:trHeight w:val="213"/>
        </w:trPr>
        <w:tc>
          <w:tcPr>
            <w:tcW w:w="6760" w:type="dxa"/>
            <w:vAlign w:val="bottom"/>
          </w:tcPr>
          <w:p>
            <w:pPr>
              <w:ind w:left="20"/>
              <w:spacing w:after="0"/>
              <w:rPr>
                <w:sz w:val="20"/>
                <w:szCs w:val="20"/>
                <w:color w:val="auto"/>
              </w:rPr>
            </w:pPr>
            <w:r>
              <w:rPr>
                <w:rFonts w:ascii="Arial" w:cs="Arial" w:eastAsia="Arial" w:hAnsi="Arial"/>
                <w:sz w:val="16"/>
                <w:szCs w:val="16"/>
                <w:color w:val="auto"/>
              </w:rPr>
              <w:t>Net cash provided by (used in) investing activities</w:t>
            </w:r>
          </w:p>
        </w:tc>
        <w:tc>
          <w:tcPr>
            <w:tcW w:w="5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(13,220)</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47,015</w:t>
            </w:r>
          </w:p>
        </w:tc>
      </w:tr>
      <w:tr>
        <w:trPr>
          <w:trHeight w:val="219"/>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(used in) financing activities</w:t>
            </w: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770</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(20,076)</w:t>
            </w:r>
          </w:p>
        </w:tc>
      </w:tr>
      <w:tr>
        <w:trPr>
          <w:trHeight w:val="213"/>
        </w:trPr>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Effect of foreign exchange rate changes on cash and cash equivalents</w:t>
            </w:r>
          </w:p>
        </w:tc>
        <w:tc>
          <w:tcPr>
            <w:tcW w:w="5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w:t>
            </w:r>
          </w:p>
        </w:tc>
        <w:tc>
          <w:tcPr>
            <w:tcW w:w="12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(3,674)</w:t>
            </w:r>
          </w:p>
        </w:tc>
      </w:tr>
      <w:tr>
        <w:trPr>
          <w:trHeight w:val="230"/>
        </w:trPr>
        <w:tc>
          <w:tcPr>
            <w:tcW w:w="67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Increase in cash and cash equivalents</w:t>
            </w: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30,780</w:t>
            </w:r>
          </w:p>
        </w:tc>
        <w:tc>
          <w:tcPr>
            <w:tcW w:w="1020" w:type="dxa"/>
            <w:vAlign w:val="bottom"/>
            <w:gridSpan w:val="2"/>
            <w:shd w:val="clear" w:color="auto" w:fill="CCEEFF"/>
          </w:tcPr>
          <w:p>
            <w:pPr>
              <w:jc w:val="right"/>
              <w:ind w:right="80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45,921</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Cash and cash equivalents were $232.8 million at June 30, 2023, compared with $202.0 million at December 31, 2022. The $30.8 million increase in cash and cash equivalents in the 2023 period was primarily the result of cash provided by operations partially offset by cash used for variable compensation payouts and acquisition of property, plant, and equipment.</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Operating activities</w:t>
      </w:r>
    </w:p>
    <w:p>
      <w:pPr>
        <w:spacing w:after="0" w:line="23" w:lineRule="exact"/>
        <w:rPr>
          <w:sz w:val="20"/>
          <w:szCs w:val="20"/>
          <w:color w:val="auto"/>
        </w:rPr>
      </w:pPr>
    </w:p>
    <w:p>
      <w:pPr>
        <w:jc w:val="both"/>
        <w:spacing w:after="0" w:line="323" w:lineRule="auto"/>
        <w:rPr>
          <w:sz w:val="20"/>
          <w:szCs w:val="20"/>
          <w:color w:val="auto"/>
        </w:rPr>
      </w:pPr>
      <w:r>
        <w:rPr>
          <w:rFonts w:ascii="Arial" w:cs="Arial" w:eastAsia="Arial" w:hAnsi="Arial"/>
          <w:sz w:val="16"/>
          <w:szCs w:val="16"/>
          <w:color w:val="auto"/>
        </w:rPr>
        <w:t>Cash provided by operating activities during the six months in 2023 was $43.0 million compared with $22.7 million during the same period in 2022. The increase was primarily due to increased earnings and lower variable compensation payouts in 2023, partially offset by an increase in working capital.</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Investing activities</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Cash provided by investing activities during the six months in 2023 was $60.2 million lower than in 2022. This decrease of cash was primarily the result of proceeds from the sale of certain Gas product lines from our Device Solutions manufacturing and business operations in Europe and North America to Dresser of $55.9 million in 2022, and an increase in cash used to purchase property, plant, and equipment of $1.8 million in 2023.</w:t>
      </w:r>
    </w:p>
    <w:p>
      <w:pPr>
        <w:spacing w:after="0" w:line="20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Financing activities</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Net cash provided in financing activities during the six months in 2023 was $0.8 million, compared with net cash used of $20.1 million for the same period in 2022. The increase is due primarily to the repurchase of common stock in 2022 of $17.0 million.</w:t>
      </w:r>
    </w:p>
    <w:p>
      <w:pPr>
        <w:spacing w:after="0" w:line="21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Effect of exchange rates on cash and cash equivalents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effect of exchange rates on the cash balances of currencies held in foreign denominations at June 30, 2023 was an increase of $0.2 million, compared with a decrease of $3.7 million for the same period in 2022. Our foreign currency exposure relates to non-U.S. dollar denominated balances in our international subsidiary operations.</w:t>
      </w:r>
    </w:p>
    <w:p>
      <w:pPr>
        <w:spacing w:after="0" w:line="21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Free cash flow (Non-GAAP)</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To supplement our Consolidated Statements of Cash Flows presented on a GAAP basis, we use the non-GAAP measure of free cash flow to analyze cash flows generated from our operations. The presentation of non-GAAP free cash flow is not meant to be considered in isolation or as an alternative to net income (loss) as an indicator of our performance, or as an alternative to cash flows from operating activities as a measure of liquidity. We calculate free cash flows, using amounts from our Consolidated Statements of Cash Flows, as follows: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b w:val="1"/>
                <w:bCs w:val="1"/>
                <w:color w:val="auto"/>
              </w:rPr>
              <w:t>Six Months Ended June 30,</w:t>
            </w:r>
          </w:p>
        </w:tc>
        <w:tc>
          <w:tcPr>
            <w:tcW w:w="1280" w:type="dxa"/>
            <w:vAlign w:val="bottom"/>
            <w:tcBorders>
              <w:bottom w:val="single" w:sz="8" w:color="auto"/>
            </w:tcBorders>
          </w:tcPr>
          <w:p>
            <w:pPr>
              <w:spacing w:after="0"/>
              <w:rPr>
                <w:sz w:val="18"/>
                <w:szCs w:val="18"/>
                <w:color w:val="auto"/>
              </w:rPr>
            </w:pPr>
          </w:p>
        </w:tc>
      </w:tr>
      <w:tr>
        <w:trPr>
          <w:trHeight w:val="213"/>
        </w:trPr>
        <w:tc>
          <w:tcPr>
            <w:tcW w:w="67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5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85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859"/>
              <w:spacing w:after="0"/>
              <w:rPr>
                <w:sz w:val="20"/>
                <w:szCs w:val="20"/>
                <w:color w:val="auto"/>
              </w:rPr>
            </w:pPr>
            <w:r>
              <w:rPr>
                <w:rFonts w:ascii="Arial" w:cs="Arial" w:eastAsia="Arial" w:hAnsi="Arial"/>
                <w:sz w:val="16"/>
                <w:szCs w:val="16"/>
                <w:b w:val="1"/>
                <w:bCs w:val="1"/>
                <w:color w:val="auto"/>
                <w:w w:val="89"/>
              </w:rPr>
              <w:t>2022</w:t>
            </w:r>
          </w:p>
        </w:tc>
      </w:tr>
      <w:tr>
        <w:trPr>
          <w:trHeight w:val="212"/>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680" w:type="dxa"/>
            <w:vAlign w:val="bottom"/>
            <w:shd w:val="clear" w:color="auto" w:fill="CCEEFF"/>
          </w:tcPr>
          <w:p>
            <w:pPr>
              <w:jc w:val="center"/>
              <w:ind w:left="1019"/>
              <w:spacing w:after="0"/>
              <w:rPr>
                <w:sz w:val="20"/>
                <w:szCs w:val="20"/>
                <w:color w:val="auto"/>
              </w:rPr>
            </w:pPr>
            <w:r>
              <w:rPr>
                <w:rFonts w:ascii="Arial" w:cs="Arial" w:eastAsia="Arial" w:hAnsi="Arial"/>
                <w:sz w:val="16"/>
                <w:szCs w:val="16"/>
                <w:color w:val="auto"/>
                <w:w w:val="93"/>
              </w:rPr>
              <w:t>42,989</w:t>
            </w:r>
          </w:p>
        </w:tc>
        <w:tc>
          <w:tcPr>
            <w:tcW w:w="1020" w:type="dxa"/>
            <w:vAlign w:val="bottom"/>
            <w:gridSpan w:val="2"/>
            <w:shd w:val="clear" w:color="auto" w:fill="CCEEFF"/>
          </w:tcPr>
          <w:p>
            <w:pPr>
              <w:jc w:val="right"/>
              <w:ind w:right="80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center"/>
              <w:ind w:left="619"/>
              <w:spacing w:after="0"/>
              <w:rPr>
                <w:sz w:val="20"/>
                <w:szCs w:val="20"/>
                <w:color w:val="auto"/>
              </w:rPr>
            </w:pPr>
            <w:r>
              <w:rPr>
                <w:rFonts w:ascii="Arial" w:cs="Arial" w:eastAsia="Arial" w:hAnsi="Arial"/>
                <w:sz w:val="16"/>
                <w:szCs w:val="16"/>
                <w:color w:val="auto"/>
                <w:w w:val="93"/>
              </w:rPr>
              <w:t>22,656</w:t>
            </w:r>
          </w:p>
        </w:tc>
      </w:tr>
      <w:tr>
        <w:trPr>
          <w:trHeight w:val="216"/>
        </w:trPr>
        <w:tc>
          <w:tcPr>
            <w:tcW w:w="6760" w:type="dxa"/>
            <w:vAlign w:val="bottom"/>
          </w:tcPr>
          <w:p>
            <w:pPr>
              <w:ind w:left="20"/>
              <w:spacing w:after="0"/>
              <w:rPr>
                <w:sz w:val="20"/>
                <w:szCs w:val="20"/>
                <w:color w:val="auto"/>
              </w:rPr>
            </w:pPr>
            <w:r>
              <w:rPr>
                <w:rFonts w:ascii="Arial" w:cs="Arial" w:eastAsia="Arial" w:hAnsi="Arial"/>
                <w:sz w:val="16"/>
                <w:szCs w:val="16"/>
                <w:color w:val="auto"/>
              </w:rPr>
              <w:t>Acquisitions of property, plant, and equipment</w:t>
            </w:r>
          </w:p>
        </w:tc>
        <w:tc>
          <w:tcPr>
            <w:tcW w:w="5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center"/>
              <w:ind w:left="999"/>
              <w:spacing w:after="0"/>
              <w:rPr>
                <w:sz w:val="20"/>
                <w:szCs w:val="20"/>
                <w:color w:val="auto"/>
              </w:rPr>
            </w:pPr>
            <w:r>
              <w:rPr>
                <w:rFonts w:ascii="Arial" w:cs="Arial" w:eastAsia="Arial" w:hAnsi="Arial"/>
                <w:sz w:val="16"/>
                <w:szCs w:val="16"/>
                <w:color w:val="auto"/>
                <w:w w:val="93"/>
              </w:rPr>
              <w:t>(12,498)</w:t>
            </w:r>
          </w:p>
        </w:tc>
        <w:tc>
          <w:tcPr>
            <w:tcW w:w="12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left="599"/>
              <w:spacing w:after="0"/>
              <w:rPr>
                <w:sz w:val="20"/>
                <w:szCs w:val="20"/>
                <w:color w:val="auto"/>
              </w:rPr>
            </w:pPr>
            <w:r>
              <w:rPr>
                <w:rFonts w:ascii="Arial" w:cs="Arial" w:eastAsia="Arial" w:hAnsi="Arial"/>
                <w:sz w:val="16"/>
                <w:szCs w:val="16"/>
                <w:color w:val="auto"/>
                <w:w w:val="93"/>
              </w:rPr>
              <w:t>(10,663)</w:t>
            </w:r>
          </w:p>
        </w:tc>
      </w:tr>
      <w:tr>
        <w:trPr>
          <w:trHeight w:val="229"/>
        </w:trPr>
        <w:tc>
          <w:tcPr>
            <w:tcW w:w="6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Free cash flow</w:t>
            </w: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680" w:type="dxa"/>
            <w:vAlign w:val="bottom"/>
            <w:shd w:val="clear" w:color="auto" w:fill="CCEEFF"/>
          </w:tcPr>
          <w:p>
            <w:pPr>
              <w:jc w:val="center"/>
              <w:ind w:left="1019"/>
              <w:spacing w:after="0"/>
              <w:rPr>
                <w:sz w:val="20"/>
                <w:szCs w:val="20"/>
                <w:color w:val="auto"/>
              </w:rPr>
            </w:pPr>
            <w:r>
              <w:rPr>
                <w:rFonts w:ascii="Arial" w:cs="Arial" w:eastAsia="Arial" w:hAnsi="Arial"/>
                <w:sz w:val="16"/>
                <w:szCs w:val="16"/>
                <w:color w:val="auto"/>
                <w:w w:val="93"/>
              </w:rPr>
              <w:t>30,491</w:t>
            </w:r>
          </w:p>
        </w:tc>
        <w:tc>
          <w:tcPr>
            <w:tcW w:w="1020" w:type="dxa"/>
            <w:vAlign w:val="bottom"/>
            <w:gridSpan w:val="2"/>
            <w:shd w:val="clear" w:color="auto" w:fill="CCEEFF"/>
          </w:tcPr>
          <w:p>
            <w:pPr>
              <w:jc w:val="right"/>
              <w:ind w:right="80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center"/>
              <w:ind w:left="639"/>
              <w:spacing w:after="0"/>
              <w:rPr>
                <w:sz w:val="20"/>
                <w:szCs w:val="20"/>
                <w:color w:val="auto"/>
              </w:rPr>
            </w:pPr>
            <w:r>
              <w:rPr>
                <w:rFonts w:ascii="Arial" w:cs="Arial" w:eastAsia="Arial" w:hAnsi="Arial"/>
                <w:sz w:val="16"/>
                <w:szCs w:val="16"/>
                <w:color w:val="auto"/>
                <w:w w:val="89"/>
              </w:rPr>
              <w:t>11,993</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Free cash flow fluctuated primarily as a result of changes in cash provided by operating activities. See the cash flow discussion of operating activities above.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5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have no off-balance sheet financing agreements or guarantees as defined by Item 303 of Regulation S-K at June 30, 2023 and December 31, 2022 that we believe could reasonably likely have a current or future effect on our financial condition, results of operations, or cash flows.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principal sources of liquidity are cash flows from operations, borrowings, and the sale of our common stock. Cash flows may fluctuate and are sensitive to many factors including changes in working capital and the timing and magnitude of capital expenditures and payments of debt. Working capital, which represents current assets less current liabilities, continues to be in a net favorable position. We expect existing cash, cash flows from operations, and access to capital markets to continue to be sufficient to fund our operating activities and cash commitments, such as material capital expenditures and debt obligations, for at least the next 12 months and into the foreseeable future.</w:t>
      </w:r>
    </w:p>
    <w:p>
      <w:pPr>
        <w:spacing w:after="0" w:line="21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Borrowings</w:t>
      </w:r>
    </w:p>
    <w:p>
      <w:pPr>
        <w:spacing w:after="0" w:line="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initially entered into our credit facility on January 5, 2018 (together with the subsequent six amendments, the "2018 credit facility"). The 2018 credit facility provides a multicurrency revolving line of credit (the revolver) with a principal amount of up to $500 million. The revolver also contains a $300 million standby letter of credit sub-facility and a $50 million swingline sub-facility. At June 30, 2023, no amount was outstanding under the 2018 credit facility, and $61.6 million was utilized by outstanding standby letters of credit, resulting in $438.4 million available for borrowing or standby letters of credit under the revolver. At June 30, 2023, $238.4 million was available for additional standby letters of credit under the letter of credit sub-facility, and no amounts were outstanding under the swingline sub-facility. Amounts borrowed under the revolver may be repaid and reborrowed until the revolver's maturity on October 18, 2024, at which time all outstanding loans together with all accrued and unpaid interest must be repaid.</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March 12, 2021, we closed the sale of $460 million in convertible notes in a private placement to qualified institutional buyers. The convertible notes do not bear regular interest, and the principal amount does not accrete. The convertible notes will mature on March 15, 2026, unless earlier repurchased, redeemed, or converted in accordance with their terms.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For further description of our borrowings, refer to Item 1: Financial Statements (Unaudited), Note 6: Debt included in this Quarterly Report on Form 10-Q.</w:t>
      </w:r>
    </w:p>
    <w:p>
      <w:pPr>
        <w:spacing w:after="0" w:line="2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a description of our letters of credit and performance bonds, and the amounts available for additional borrowings or letters of credit under our lines of credit, including the revolver that is part of our credit facility, refer to Item 1: Financial Statements (Unaudited), Note 11: Commitments and Contingencies included in this Quarterly Report on Form 10-Q.</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Restructuring</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September 17, 2020, our Board of Directors approved a restructuring plan (the 2020 Projects). The 2020 Projects include activities that continue our efforts to optimize global supply chain and manufacturing operations, sales and marketing organizations, and other overhead. These projects are scheduled to be substantially complete by the end of 2023, with an estimated $4 million in cash payments remaining as of June 30, 2023 with cash outflows expected through 2025.</w:t>
      </w:r>
    </w:p>
    <w:p>
      <w:pPr>
        <w:spacing w:after="0" w:line="22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October 29, 2021, our Board of Directors approved a restructuring plan (the 2021 Projects), which in conjunction with the announcement of the sale of certain Gas product lines from our Device Solutions manufacturing and business operations in Europe and North America to Dresser, includes activities to drive reductions in certain locations and functional support areas. These projects are expected to be substantially complete by the end of 2024, with an estimated $32 million in cash payments remaining as of June 30, 2023 with cash outflows expected through 2025.</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23, 2023, our Board of Directors approved a restructuring plan (the 2023 Projects). The 2023 Projects include activities that continue Itron's efforts to optimize its global supply chain and manufacturing operations, sales and marketing organizations, and other overhead. These projects are to be substantially complete by early 2025, with an estimated $43 million in cash payments remaining as of June 30, 2023 with cash outflows expected through 2027.</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six months ended June 30, 2023, we paid out a net $6.6 million related to all our restructuring projects. As of June 30, 2023, $73.7 million was accrued for these restructuring projects, of which $16.1 million is expected to be paid within the next 12 months.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further details regarding our restructuring activities, refer to Item 1: Financial Statements (Unaudited), Note 12: Restructuring included in this Quarterly Report on Form 10-Q.</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Stock Repurchase Authorization</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Effective May 11, 2023, Itron's Board of Directors authorized a share repurchase up to $100 million of our common stock over an 18-month period (the 2023 Stock Repurchase Program). Repurchases will be made in the open market pursuant to the terms of any Rule 10b5-1 plans that we may enter into, and in accordance with applicable securities laws. The repurchase program is intended to comply with Rule 10b-18 promulgated under the Securities Exchange Act of 1934, as amended. Depending on market conditions and other factors, these repurchases may be commenced or suspended from time to time without prior notice.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During the second quarter of 2023, we repurchased no shares of our common stock under the 2023 Stock Repurchase Program.</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Other Liquidity Considerations</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tax credits and net operating loss carryforwards in various jurisdictions that are available to reduce cash taxes. However, utilization of tax credits and net operating losses are limited in certain jurisdictions. Based on current projections, we expect to pay, net of refunds, approximately $19 million in U.S federal taxes, $11 million in state taxes, and $16 million in local and foreign taxes during 2023. For a discussion of our tax provision and unrecognized tax benefits, see Item 1: Financial Statements (Unaudited), Note 10: Income Taxes included in this Quarterly Report on Form 10-Q.</w:t>
      </w:r>
    </w:p>
    <w:p>
      <w:pPr>
        <w:spacing w:after="0" w:line="2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June 30, 2023, we are under examination by certain tax authorities. We believe we have appropriately accrued for the expected outcome of all tax matters and do not currently anticipate that the ultimate resolution of these examinations will have a material adverse effect on our financial condition, future results of operations, or liquidity.</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June 30, 2023, there was $47.1 million of cash and short-term investments held by certain foreign subsidiaries in which we are permanently reinvested for tax purposes. As a result of recent changes in U.S. tax legislation, any repatriation in the future would not result in U.S. federal income tax. Accordingly, there is no provision for U.S. deferred taxes on this cash. If this cash were repatriated to fund U.S. operations, additional withholding tax costs may be incurred. Tax is only one of the many</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factors that we consider in the management of global cash. Accordingly, the amount of taxes that we would need to accrue and pay to repatriate foreign cash could vary significantly.</w:t>
      </w:r>
    </w:p>
    <w:p>
      <w:pPr>
        <w:spacing w:after="0" w:line="19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one of our consolidated international subsidiaries we have a joint venture partner, who is a minority shareholder. Although this entity is not wholly-owned by Itron, Inc., we consolidate the subsidiary because we exercise control over the operations. The noncontrolling interest balance in our Consolidated Balance Sheets represents the proportional share of the equity of the joint venture entity, which is attributable to the minority shareholders. At June 30, 2023, $8.5 million of our consolidated cash balance was held in this joint venture entity. As a result, the minority shareholder of this entity has rights to its proportional share of this cash balance, and there may be limitations on our ability to repatriate cash to the United States from this entity.</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General Liquidity Overview</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We expect to grow through a combination of internal new research and development, licensing technology from and to others, distribution agreements, partnering arrangements, and acquisitions of technology or other companies. We expect these activities to be funded with existing cash, cash flow from operations, borrowings, or the sale of our common stock or other securities. We believe existing sources of liquidity will be sufficient to fund our existing operations and obligations for the next 12 months and into the foreseeable future, but offer no assurances. Our liquidity could be affected by the stability of the electricity, gas, and water utility industries, competitive pressures, </w:t>
      </w:r>
      <w:r>
        <w:rPr>
          <w:rFonts w:ascii="Arial" w:cs="Arial" w:eastAsia="Arial" w:hAnsi="Arial"/>
          <w:sz w:val="17"/>
          <w:szCs w:val="17"/>
          <w:color w:val="222222"/>
        </w:rPr>
        <w:t>our dependence on certain key vendors and components,</w:t>
      </w:r>
      <w:r>
        <w:rPr>
          <w:rFonts w:ascii="Arial" w:cs="Arial" w:eastAsia="Arial" w:hAnsi="Arial"/>
          <w:sz w:val="17"/>
          <w:szCs w:val="17"/>
          <w:color w:val="auto"/>
        </w:rPr>
        <w:t xml:space="preserve"> changes in estimated liabilities for product warranties and/or litigation, supply constraints, future business combinations, capital market fluctuations, international risks, and other factors described under Part I, Item 1A: Risk Factors of our 2022 Annual Report, as well as Part I, Item 3: Quantitative and Qualitative Disclosures About Market Risk included in this Quarterly Report on Form 10-Q.</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Refer to Item 1: Financial Statements (Unaudited), Note 11: Commitments and Contingencies included in this Quarterly Report on Form 10-Q.</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 and Policies</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consolidated financial statements and accompanying notes are prepared in accordance with GAAP. Preparing consolidated financial statements requires management to make estimates and assumptions that affect the reported amounts of assets, liabilities, revenues, and expenses. These estimates and assumptions are affected by management's application of accounting policies. Our critical accounting policies that require the use of estimates and assumptions were discussed in detail in the 2022 Annual Report and have not changed materially.</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Refer to Item 1: Financial Statements (Unaudited), Note 1: Summary of Significant Accounting Policies included in this Quarterly Report on Form 10-Q for further disclosures regarding new accounting pronouncements.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To supplement our consolidated financial statements, which are prepared in accordance with GAAP, we use certain non-GAAP financial measures, including non-GAAP operating expense, non-GAAP operating income, non-GAAP net income, non-GAAP diluted EPS, adjusted EBITDA, free cash flow, and constant currency. The presentation of this financial information is not intended to be considered in isolation or as a substitute for, or superior to, the financial information prepared and presented in accordance with GAAP, and other companies may define such measures differently. For a reconciliation of each non-GAAP measure to the most comparable financial measure prepared and presented in accordance with GAAP, please see the table captioned Reconciliations of Non-GAAP Financial Measures to the Most Directly Comparable GAAP Financial Measures.</w:t>
      </w:r>
    </w:p>
    <w:p>
      <w:pPr>
        <w:spacing w:after="0" w:line="20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use these non-GAAP financial measures for financial and operational decision making and/or as a means for determining executive compensation. Management believes that these non-GAAP financial measures provide meaningful supplemental information regarding our performance and ability to service debt by excluding certain expenses that may not be indicative of our recurring core operating results. These non-GAAP financial measures facilitate management's internal comparisons to our historical performance, as well as comparisons to our competitors' operating results. Our executive compensation plans exclude non-cash charges related to amortization of intangibles and certain discrete cash and non-cash charges, such as restructuring, loss on sale of business, strategic initiative expenses, goodwill impairment, or acquisition and integration related expenses. We believe that both management and investors benefit from referring to these non-GAAP financial measures in assessing our performance and when planning, forecasting and analyzing future periods. We believe these non-GAAP financial measures are useful to investors because they provide greater transparency with respect to key metrics used by management in its financial and operational decision making and because they are used by our institutional investors and the analyst community to analyze the health of our business.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color w:val="auto"/>
        </w:rPr>
        <w:t xml:space="preserve">Non-GAAP operating expenses </w:t>
      </w:r>
      <w:r>
        <w:rPr>
          <w:rFonts w:ascii="Arial" w:cs="Arial" w:eastAsia="Arial" w:hAnsi="Arial"/>
          <w:sz w:val="16"/>
          <w:szCs w:val="16"/>
          <w:color w:val="auto"/>
        </w:rPr>
        <w:t>and</w:t>
      </w:r>
      <w:r>
        <w:rPr>
          <w:rFonts w:ascii="Arial" w:cs="Arial" w:eastAsia="Arial" w:hAnsi="Arial"/>
          <w:sz w:val="16"/>
          <w:szCs w:val="16"/>
          <w:i w:val="1"/>
          <w:iCs w:val="1"/>
          <w:color w:val="auto"/>
        </w:rPr>
        <w:t xml:space="preserve"> non-GAAP operating income </w:t>
      </w:r>
      <w:r>
        <w:rPr>
          <w:rFonts w:ascii="Arial" w:cs="Arial" w:eastAsia="Arial" w:hAnsi="Arial"/>
          <w:sz w:val="16"/>
          <w:szCs w:val="16"/>
          <w:color w:val="auto"/>
        </w:rPr>
        <w:t>– We define non-GAAP operating expenses as operating expenses excluding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expenses related to the amortization of intangible assets, restructuring, loss on sale of business, strategic initiative expenses, goodwill impairment, and acquisition and integration. We define non-GAAP operating income as operating income (loss) excluding the expenses related to the amortization of intangible assets, restructuring, loss on sale of business, strategic initiative expenses, goodwill impairment, and acquisition and integration. Acquisition and integration related expenses include costs, which are incurred to affect and integrate business combinations, such as professional fees, certain employee retention and salaries related to integration, severances, contract terminations, travel costs related to knowledge transfer, system conversion costs, and asset impairment charges. We consider these non-GAAP financial measures to be useful metrics for management and investors because they exclude the effect of expenses that are not related to our core operating results. By excluding these expenses, we believe that it is easier for management and investors to compare our financial results over multiple periods and analyze trends in our operations. For example, in certain periods, expenses related to amortization of intangible assets may decrease, which would improve GAAP operating margins, yet the improvement in GAAP operating margins due to this lower expense is not necessarily reflective of an improvement in our core business. There are some limitations related to the use of non-GAAP operating expenses and non-GAAP operating income versus operating expenses and operating income calculated in accordance with GAAP. We compensate for these limitations by providing specific information about the GAAP amounts excluded from non-GAAP operating expense and non-GAAP operating income and evaluating non-GAAP operating expense and non-GAAP operating income together with GAAP operating expense and operating income.</w:t>
      </w:r>
    </w:p>
    <w:p>
      <w:pPr>
        <w:spacing w:after="0" w:line="19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i w:val="1"/>
          <w:iCs w:val="1"/>
          <w:color w:val="auto"/>
        </w:rPr>
        <w:t xml:space="preserve">Non-GAAP net income </w:t>
      </w:r>
      <w:r>
        <w:rPr>
          <w:rFonts w:ascii="Arial" w:cs="Arial" w:eastAsia="Arial" w:hAnsi="Arial"/>
          <w:sz w:val="16"/>
          <w:szCs w:val="16"/>
          <w:color w:val="auto"/>
        </w:rPr>
        <w:t>and</w:t>
      </w:r>
      <w:r>
        <w:rPr>
          <w:rFonts w:ascii="Arial" w:cs="Arial" w:eastAsia="Arial" w:hAnsi="Arial"/>
          <w:sz w:val="16"/>
          <w:szCs w:val="16"/>
          <w:i w:val="1"/>
          <w:iCs w:val="1"/>
          <w:color w:val="auto"/>
        </w:rPr>
        <w:t xml:space="preserve"> non-GAAP diluted EPS </w:t>
      </w:r>
      <w:r>
        <w:rPr>
          <w:rFonts w:ascii="Arial" w:cs="Arial" w:eastAsia="Arial" w:hAnsi="Arial"/>
          <w:sz w:val="16"/>
          <w:szCs w:val="16"/>
          <w:color w:val="auto"/>
        </w:rPr>
        <w:t>– We define non-GAAP net income as net income (loss) attributable to Itron, Inc. excluding the</w:t>
      </w:r>
      <w:r>
        <w:rPr>
          <w:rFonts w:ascii="Arial" w:cs="Arial" w:eastAsia="Arial" w:hAnsi="Arial"/>
          <w:sz w:val="16"/>
          <w:szCs w:val="16"/>
          <w:i w:val="1"/>
          <w:iCs w:val="1"/>
          <w:color w:val="auto"/>
        </w:rPr>
        <w:t xml:space="preserve"> </w:t>
      </w:r>
      <w:r>
        <w:rPr>
          <w:rFonts w:ascii="Arial" w:cs="Arial" w:eastAsia="Arial" w:hAnsi="Arial"/>
          <w:sz w:val="16"/>
          <w:szCs w:val="16"/>
          <w:color w:val="auto"/>
        </w:rPr>
        <w:t>expenses associated with amortization of intangible assets, amortization of debt placement fees, restructuring, loss on sale of business, strategic initiative expenses, goodwill impairment, acquisition and integration, and the tax effect of excluding these expenses. We define non-GAAP diluted EPS as non-GAAP net income divided by diluted weighted-average shares outstanding during the period calculated on a GAAP basis and then reduced to reflect the anti-dilutive impact of the convertible note hedge transactions entered into in connection with the 0% convertible notes due 2026 issued in March 2021. We consider these financial measures to be useful metrics for management and investors for the same reasons that we use non-GAAP operating income. The same limitations described above regarding our use of non-GAAP operating income apply to our use of non-GAAP net income and non-GAAP diluted EPS. We compensate for these limitations by providing specific information regarding the GAAP amounts excluded from these non-GAAP measures and evaluating non-GAAP net income and non-GAAP diluted EPS together with GAAP net income attributable to Itron, Inc. and GAAP diluted EPS.</w:t>
      </w:r>
    </w:p>
    <w:p>
      <w:pPr>
        <w:spacing w:after="0" w:line="19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For interim periods the budgeted annual effective tax rate (AETR) is used, adjusted for any discrete items, as defined in Accounting Standards Codification (ASC) 740 - Income Taxes. The budgeted AETR is determined at the beginning of the fiscal year. The AETR is revised throughout the year based on changes to our full-year forecast. If the revised AETR increases or decreases by 200 basis points or more from the budgeted AETR due to changes in the full-year forecast during the year, the revised AETR is used in place of the budgeted AETR beginning with the quarter the 200 basis point threshold is exceeded and going forward for all subsequent interim quarters in the year. We continue to assess the AETR based on latest forecast throughout the year and use the most recent AETR anytime it increases or decreases by 200 basis points or more from the prior interim period.</w:t>
      </w:r>
    </w:p>
    <w:p>
      <w:pPr>
        <w:spacing w:after="0" w:line="19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Adjusted EBITDA </w:t>
      </w:r>
      <w:r>
        <w:rPr>
          <w:rFonts w:ascii="Arial" w:cs="Arial" w:eastAsia="Arial" w:hAnsi="Arial"/>
          <w:sz w:val="16"/>
          <w:szCs w:val="16"/>
          <w:color w:val="auto"/>
        </w:rPr>
        <w:t>– We define adjusted EBITDA as net income (loss) (a) minus interest income, (b) plus interest expense, depreciation and amortization,</w:t>
      </w:r>
      <w:r>
        <w:rPr>
          <w:rFonts w:ascii="Arial" w:cs="Arial" w:eastAsia="Arial" w:hAnsi="Arial"/>
          <w:sz w:val="16"/>
          <w:szCs w:val="16"/>
          <w:i w:val="1"/>
          <w:iCs w:val="1"/>
          <w:color w:val="auto"/>
        </w:rPr>
        <w:t xml:space="preserve"> </w:t>
      </w:r>
      <w:r>
        <w:rPr>
          <w:rFonts w:ascii="Arial" w:cs="Arial" w:eastAsia="Arial" w:hAnsi="Arial"/>
          <w:sz w:val="16"/>
          <w:szCs w:val="16"/>
          <w:color w:val="auto"/>
        </w:rPr>
        <w:t>restructuring, loss on sale of business, strategic initiative expenses, goodwill impairment, acquisition and integration, and (c) excluding income tax provision or benefit. Management uses adjusted EBITDA as a performance measure for executive compensation. A limitation to using adjusted EBITDA is that it does not represent the total increase or decrease in the cash balance for the period and the measure includes some non-cash items and excludes other non-cash items. Additionally, the items that we exclude in our calculation of adjusted EBITDA may differ from the items that our peer companies exclude when they report their results. We compensate for these limitations by providing a reconciliation of this measure to GAAP net income (loss).</w:t>
      </w:r>
    </w:p>
    <w:p>
      <w:pPr>
        <w:spacing w:after="0" w:line="19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Free cash flow </w:t>
      </w:r>
      <w:r>
        <w:rPr>
          <w:rFonts w:ascii="Arial" w:cs="Arial" w:eastAsia="Arial" w:hAnsi="Arial"/>
          <w:sz w:val="18"/>
          <w:szCs w:val="18"/>
          <w:color w:val="auto"/>
        </w:rPr>
        <w:t>– We define free cash flow as net cash provided by operating activities less cash used for acquisitions of property, plant and equipment. We</w:t>
      </w:r>
      <w:r>
        <w:rPr>
          <w:rFonts w:ascii="Arial" w:cs="Arial" w:eastAsia="Arial" w:hAnsi="Arial"/>
          <w:sz w:val="18"/>
          <w:szCs w:val="18"/>
          <w:i w:val="1"/>
          <w:iCs w:val="1"/>
          <w:color w:val="auto"/>
        </w:rPr>
        <w:t xml:space="preserve"> </w:t>
      </w:r>
      <w:r>
        <w:rPr>
          <w:rFonts w:ascii="Arial" w:cs="Arial" w:eastAsia="Arial" w:hAnsi="Arial"/>
          <w:sz w:val="18"/>
          <w:szCs w:val="18"/>
          <w:color w:val="auto"/>
        </w:rPr>
        <w:t>believe free cash flow provides investors with a relevant measure of liquidity and a useful basis for assessing our ability to fund our operations and repay our debt. The same limitations described above regarding our use of adjusted EBITDA apply to our use of free cash flow. We compensate for these limitations by providing specific information regarding the GAAP amounts in the reconciliation.</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Constant currency </w:t>
      </w:r>
      <w:r>
        <w:rPr>
          <w:rFonts w:ascii="Arial" w:cs="Arial" w:eastAsia="Arial" w:hAnsi="Arial"/>
          <w:sz w:val="18"/>
          <w:szCs w:val="18"/>
          <w:color w:val="auto"/>
        </w:rPr>
        <w:t>– We refer to the impact of foreign currency exchange rate fluctuations in our discussions of financial results, which references the</w:t>
      </w:r>
      <w:r>
        <w:rPr>
          <w:rFonts w:ascii="Arial" w:cs="Arial" w:eastAsia="Arial" w:hAnsi="Arial"/>
          <w:sz w:val="18"/>
          <w:szCs w:val="18"/>
          <w:i w:val="1"/>
          <w:iCs w:val="1"/>
          <w:color w:val="auto"/>
        </w:rPr>
        <w:t xml:space="preserve"> </w:t>
      </w:r>
      <w:r>
        <w:rPr>
          <w:rFonts w:ascii="Arial" w:cs="Arial" w:eastAsia="Arial" w:hAnsi="Arial"/>
          <w:sz w:val="18"/>
          <w:szCs w:val="18"/>
          <w:color w:val="auto"/>
        </w:rPr>
        <w:t>differences between the foreign currency exchange rates used to translate operating results from the entity's functional currency into U.S. dollars for financial reporting purposes. We also use the term "constant currency", which represents financial results adjusted to exclude changes in foreign currency exchange rates as compared with the rates in</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comparable prior year period. We calculate the constant currency change as the difference between the current period results and the comparable prior period's results restated using current period foreign currency exchange rates.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Reconciliations of Non-GAAP Financial Measures to the Most Directly Comparable GAAP Financial Measures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tables below reconcile the non-GAAP financial measures of operating expenses, operating income, net income, diluted EPS, adjusted EBITDA, and free cash flow with the most directly comparable GAAP financial measures.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80" w:type="dxa"/>
            <w:vAlign w:val="bottom"/>
            <w:gridSpan w:val="2"/>
          </w:tcPr>
          <w:p>
            <w:pPr>
              <w:ind w:left="20"/>
              <w:spacing w:after="0"/>
              <w:rPr>
                <w:sz w:val="20"/>
                <w:szCs w:val="20"/>
                <w:color w:val="auto"/>
              </w:rPr>
            </w:pPr>
            <w:r>
              <w:rPr>
                <w:rFonts w:ascii="Arial" w:cs="Arial" w:eastAsia="Arial" w:hAnsi="Arial"/>
                <w:sz w:val="16"/>
                <w:szCs w:val="16"/>
                <w:b w:val="1"/>
                <w:bCs w:val="1"/>
                <w:color w:val="auto"/>
              </w:rPr>
              <w:t>TOTAL COMPANY RECONCILIATIONS</w:t>
            </w:r>
          </w:p>
        </w:tc>
        <w:tc>
          <w:tcPr>
            <w:tcW w:w="34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4"/>
          </w:tcPr>
          <w:p>
            <w:pPr>
              <w:jc w:val="right"/>
              <w:ind w:right="479"/>
              <w:spacing w:after="0"/>
              <w:rPr>
                <w:sz w:val="20"/>
                <w:szCs w:val="20"/>
                <w:color w:val="auto"/>
              </w:rPr>
            </w:pPr>
            <w:r>
              <w:rPr>
                <w:rFonts w:ascii="Arial" w:cs="Arial" w:eastAsia="Arial" w:hAnsi="Arial"/>
                <w:sz w:val="16"/>
                <w:szCs w:val="16"/>
                <w:b w:val="1"/>
                <w:bCs w:val="1"/>
                <w:color w:val="auto"/>
              </w:rPr>
              <w:t>Three Months Ended June 30,</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4"/>
          </w:tcPr>
          <w:p>
            <w:pPr>
              <w:jc w:val="right"/>
              <w:ind w:right="579"/>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207"/>
        </w:trPr>
        <w:tc>
          <w:tcPr>
            <w:tcW w:w="120" w:type="dxa"/>
            <w:vAlign w:val="bottom"/>
          </w:tcPr>
          <w:p>
            <w:pPr>
              <w:spacing w:after="0"/>
              <w:rPr>
                <w:sz w:val="17"/>
                <w:szCs w:val="17"/>
                <w:color w:val="auto"/>
              </w:rPr>
            </w:pPr>
          </w:p>
        </w:tc>
        <w:tc>
          <w:tcPr>
            <w:tcW w:w="45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 except per share data</w:t>
            </w: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4560" w:type="dxa"/>
            <w:vAlign w:val="bottom"/>
          </w:tcPr>
          <w:p>
            <w:pPr>
              <w:ind w:left="20"/>
              <w:spacing w:after="0"/>
              <w:rPr>
                <w:sz w:val="20"/>
                <w:szCs w:val="20"/>
                <w:color w:val="auto"/>
              </w:rPr>
            </w:pPr>
            <w:r>
              <w:rPr>
                <w:rFonts w:ascii="Arial" w:cs="Arial" w:eastAsia="Arial" w:hAnsi="Arial"/>
                <w:sz w:val="16"/>
                <w:szCs w:val="16"/>
                <w:b w:val="1"/>
                <w:bCs w:val="1"/>
                <w:color w:val="auto"/>
              </w:rPr>
              <w:t>NON-GAAP OPERATING EXPENSES</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20" w:type="dxa"/>
            <w:vAlign w:val="bottom"/>
            <w:shd w:val="clear" w:color="auto" w:fill="CCEEFF"/>
          </w:tcPr>
          <w:p>
            <w:pPr>
              <w:spacing w:after="0"/>
              <w:rPr>
                <w:sz w:val="19"/>
                <w:szCs w:val="19"/>
                <w:color w:val="auto"/>
              </w:rPr>
            </w:pPr>
          </w:p>
        </w:tc>
        <w:tc>
          <w:tcPr>
            <w:tcW w:w="45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GAAP operating expenses</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138,847</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159,632</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305,608</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288,037</w:t>
            </w:r>
          </w:p>
        </w:tc>
        <w:tc>
          <w:tcPr>
            <w:tcW w:w="0" w:type="dxa"/>
            <w:vAlign w:val="bottom"/>
          </w:tcPr>
          <w:p>
            <w:pPr>
              <w:spacing w:after="0"/>
              <w:rPr>
                <w:sz w:val="1"/>
                <w:szCs w:val="1"/>
                <w:color w:val="auto"/>
              </w:rPr>
            </w:pPr>
          </w:p>
        </w:tc>
      </w:tr>
      <w:tr>
        <w:trPr>
          <w:trHeight w:val="213"/>
        </w:trPr>
        <w:tc>
          <w:tcPr>
            <w:tcW w:w="120" w:type="dxa"/>
            <w:vAlign w:val="bottom"/>
          </w:tcPr>
          <w:p>
            <w:pPr>
              <w:spacing w:after="0"/>
              <w:rPr>
                <w:sz w:val="18"/>
                <w:szCs w:val="18"/>
                <w:color w:val="auto"/>
              </w:rPr>
            </w:pPr>
          </w:p>
        </w:tc>
        <w:tc>
          <w:tcPr>
            <w:tcW w:w="4560" w:type="dxa"/>
            <w:vAlign w:val="bottom"/>
          </w:tcPr>
          <w:p>
            <w:pPr>
              <w:ind w:left="360"/>
              <w:spacing w:after="0"/>
              <w:rPr>
                <w:sz w:val="20"/>
                <w:szCs w:val="20"/>
                <w:color w:val="auto"/>
              </w:rPr>
            </w:pPr>
            <w:r>
              <w:rPr>
                <w:rFonts w:ascii="Arial" w:cs="Arial" w:eastAsia="Arial" w:hAnsi="Arial"/>
                <w:sz w:val="16"/>
                <w:szCs w:val="16"/>
                <w:color w:val="auto"/>
              </w:rPr>
              <w:t>Amortization of intangible assets</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(4,722)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(6,485)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(9,770)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(13,038)</w:t>
            </w:r>
          </w:p>
        </w:tc>
        <w:tc>
          <w:tcPr>
            <w:tcW w:w="0" w:type="dxa"/>
            <w:vAlign w:val="bottom"/>
          </w:tcPr>
          <w:p>
            <w:pPr>
              <w:spacing w:after="0"/>
              <w:rPr>
                <w:sz w:val="1"/>
                <w:szCs w:val="1"/>
                <w:color w:val="auto"/>
              </w:rPr>
            </w:pPr>
          </w:p>
        </w:tc>
      </w:tr>
      <w:tr>
        <w:trPr>
          <w:trHeight w:val="219"/>
        </w:trPr>
        <w:tc>
          <w:tcPr>
            <w:tcW w:w="120" w:type="dxa"/>
            <w:vAlign w:val="bottom"/>
            <w:shd w:val="clear" w:color="auto" w:fill="CCEEFF"/>
          </w:tcPr>
          <w:p>
            <w:pPr>
              <w:spacing w:after="0"/>
              <w:rPr>
                <w:sz w:val="19"/>
                <w:szCs w:val="19"/>
                <w:color w:val="auto"/>
              </w:rPr>
            </w:pPr>
          </w:p>
        </w:tc>
        <w:tc>
          <w:tcPr>
            <w:tcW w:w="45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Restructuring</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(37,483)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9,825</w:t>
            </w:r>
          </w:p>
        </w:tc>
        <w:tc>
          <w:tcPr>
            <w:tcW w:w="0" w:type="dxa"/>
            <w:vAlign w:val="bottom"/>
          </w:tcPr>
          <w:p>
            <w:pPr>
              <w:spacing w:after="0"/>
              <w:rPr>
                <w:sz w:val="1"/>
                <w:szCs w:val="1"/>
                <w:color w:val="auto"/>
              </w:rPr>
            </w:pPr>
          </w:p>
        </w:tc>
      </w:tr>
      <w:tr>
        <w:trPr>
          <w:trHeight w:val="213"/>
        </w:trPr>
        <w:tc>
          <w:tcPr>
            <w:tcW w:w="120" w:type="dxa"/>
            <w:vAlign w:val="bottom"/>
          </w:tcPr>
          <w:p>
            <w:pPr>
              <w:spacing w:after="0"/>
              <w:rPr>
                <w:sz w:val="18"/>
                <w:szCs w:val="18"/>
                <w:color w:val="auto"/>
              </w:rPr>
            </w:pPr>
          </w:p>
        </w:tc>
        <w:tc>
          <w:tcPr>
            <w:tcW w:w="4560" w:type="dxa"/>
            <w:vAlign w:val="bottom"/>
          </w:tcPr>
          <w:p>
            <w:pPr>
              <w:ind w:left="360"/>
              <w:spacing w:after="0"/>
              <w:rPr>
                <w:sz w:val="20"/>
                <w:szCs w:val="20"/>
                <w:color w:val="auto"/>
              </w:rPr>
            </w:pPr>
            <w:r>
              <w:rPr>
                <w:rFonts w:ascii="Arial" w:cs="Arial" w:eastAsia="Arial" w:hAnsi="Arial"/>
                <w:sz w:val="16"/>
                <w:szCs w:val="16"/>
                <w:color w:val="auto"/>
              </w:rPr>
              <w:t>Loss on sale of business</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(612)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(630)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(2,415)</w:t>
            </w:r>
          </w:p>
        </w:tc>
        <w:tc>
          <w:tcPr>
            <w:tcW w:w="0" w:type="dxa"/>
            <w:vAlign w:val="bottom"/>
          </w:tcPr>
          <w:p>
            <w:pPr>
              <w:spacing w:after="0"/>
              <w:rPr>
                <w:sz w:val="1"/>
                <w:szCs w:val="1"/>
                <w:color w:val="auto"/>
              </w:rPr>
            </w:pPr>
          </w:p>
        </w:tc>
      </w:tr>
      <w:tr>
        <w:trPr>
          <w:trHeight w:val="219"/>
        </w:trPr>
        <w:tc>
          <w:tcPr>
            <w:tcW w:w="120" w:type="dxa"/>
            <w:vAlign w:val="bottom"/>
            <w:shd w:val="clear" w:color="auto" w:fill="CCEEFF"/>
          </w:tcPr>
          <w:p>
            <w:pPr>
              <w:spacing w:after="0"/>
              <w:rPr>
                <w:sz w:val="19"/>
                <w:szCs w:val="19"/>
                <w:color w:val="auto"/>
              </w:rPr>
            </w:pPr>
          </w:p>
        </w:tc>
        <w:tc>
          <w:tcPr>
            <w:tcW w:w="45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Strategic initiative</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(710)</w:t>
            </w:r>
          </w:p>
        </w:tc>
        <w:tc>
          <w:tcPr>
            <w:tcW w:w="0" w:type="dxa"/>
            <w:vAlign w:val="bottom"/>
          </w:tcPr>
          <w:p>
            <w:pPr>
              <w:spacing w:after="0"/>
              <w:rPr>
                <w:sz w:val="1"/>
                <w:szCs w:val="1"/>
                <w:color w:val="auto"/>
              </w:rPr>
            </w:pPr>
          </w:p>
        </w:tc>
      </w:tr>
      <w:tr>
        <w:trPr>
          <w:trHeight w:val="213"/>
        </w:trPr>
        <w:tc>
          <w:tcPr>
            <w:tcW w:w="120" w:type="dxa"/>
            <w:vAlign w:val="bottom"/>
          </w:tcPr>
          <w:p>
            <w:pPr>
              <w:spacing w:after="0"/>
              <w:rPr>
                <w:sz w:val="18"/>
                <w:szCs w:val="18"/>
                <w:color w:val="auto"/>
              </w:rPr>
            </w:pPr>
          </w:p>
        </w:tc>
        <w:tc>
          <w:tcPr>
            <w:tcW w:w="4560" w:type="dxa"/>
            <w:vAlign w:val="bottom"/>
          </w:tcPr>
          <w:p>
            <w:pPr>
              <w:ind w:left="360"/>
              <w:spacing w:after="0"/>
              <w:rPr>
                <w:sz w:val="20"/>
                <w:szCs w:val="20"/>
                <w:color w:val="auto"/>
              </w:rPr>
            </w:pPr>
            <w:r>
              <w:rPr>
                <w:rFonts w:ascii="Arial" w:cs="Arial" w:eastAsia="Arial" w:hAnsi="Arial"/>
                <w:sz w:val="16"/>
                <w:szCs w:val="16"/>
                <w:color w:val="auto"/>
              </w:rPr>
              <w:t>Goodwill impairment</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(38,480)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(38,480)</w:t>
            </w:r>
          </w:p>
        </w:tc>
        <w:tc>
          <w:tcPr>
            <w:tcW w:w="0" w:type="dxa"/>
            <w:vAlign w:val="bottom"/>
          </w:tcPr>
          <w:p>
            <w:pPr>
              <w:spacing w:after="0"/>
              <w:rPr>
                <w:sz w:val="1"/>
                <w:szCs w:val="1"/>
                <w:color w:val="auto"/>
              </w:rPr>
            </w:pPr>
          </w:p>
        </w:tc>
      </w:tr>
      <w:tr>
        <w:trPr>
          <w:trHeight w:val="219"/>
        </w:trPr>
        <w:tc>
          <w:tcPr>
            <w:tcW w:w="120" w:type="dxa"/>
            <w:vAlign w:val="bottom"/>
            <w:tcBorders>
              <w:bottom w:val="single" w:sz="8" w:color="CCEEFF"/>
            </w:tcBorders>
            <w:shd w:val="clear" w:color="auto" w:fill="CCEEFF"/>
          </w:tcPr>
          <w:p>
            <w:pPr>
              <w:spacing w:after="0"/>
              <w:rPr>
                <w:sz w:val="19"/>
                <w:szCs w:val="19"/>
                <w:color w:val="auto"/>
              </w:rPr>
            </w:pPr>
          </w:p>
        </w:tc>
        <w:tc>
          <w:tcPr>
            <w:tcW w:w="45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Acquisition and integration</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w:t>
            </w: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4560" w:type="dxa"/>
            <w:vAlign w:val="bottom"/>
          </w:tcPr>
          <w:p>
            <w:pPr>
              <w:ind w:left="200"/>
              <w:spacing w:after="0"/>
              <w:rPr>
                <w:sz w:val="20"/>
                <w:szCs w:val="20"/>
                <w:color w:val="auto"/>
              </w:rPr>
            </w:pPr>
            <w:r>
              <w:rPr>
                <w:rFonts w:ascii="Arial" w:cs="Arial" w:eastAsia="Arial" w:hAnsi="Arial"/>
                <w:sz w:val="16"/>
                <w:szCs w:val="16"/>
                <w:color w:val="auto"/>
              </w:rPr>
              <w:t>Non-GAAP operating expenses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132,595</w:t>
            </w:r>
          </w:p>
        </w:tc>
        <w:tc>
          <w:tcPr>
            <w:tcW w:w="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117,068</w:t>
            </w:r>
          </w:p>
        </w:tc>
        <w:tc>
          <w:tcPr>
            <w:tcW w:w="4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257,636</w:t>
            </w:r>
          </w:p>
        </w:tc>
        <w:tc>
          <w:tcPr>
            <w:tcW w:w="4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243,003</w:t>
            </w:r>
          </w:p>
        </w:tc>
        <w:tc>
          <w:tcPr>
            <w:tcW w:w="0" w:type="dxa"/>
            <w:vAlign w:val="bottom"/>
          </w:tcPr>
          <w:p>
            <w:pPr>
              <w:spacing w:after="0"/>
              <w:rPr>
                <w:sz w:val="1"/>
                <w:szCs w:val="1"/>
                <w:color w:val="auto"/>
              </w:rPr>
            </w:pPr>
          </w:p>
        </w:tc>
      </w:tr>
      <w:tr>
        <w:trPr>
          <w:trHeight w:val="20"/>
        </w:trPr>
        <w:tc>
          <w:tcPr>
            <w:tcW w:w="120" w:type="dxa"/>
            <w:vAlign w:val="bottom"/>
            <w:tcBorders>
              <w:bottom w:val="single" w:sz="8" w:color="CCEEFF"/>
            </w:tcBorders>
          </w:tcPr>
          <w:p>
            <w:pPr>
              <w:spacing w:after="0" w:line="20" w:lineRule="exact"/>
              <w:rPr>
                <w:sz w:val="1"/>
                <w:szCs w:val="1"/>
                <w:color w:val="auto"/>
              </w:rPr>
            </w:pPr>
          </w:p>
        </w:tc>
        <w:tc>
          <w:tcPr>
            <w:tcW w:w="456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0" w:type="dxa"/>
            <w:vAlign w:val="bottom"/>
            <w:shd w:val="clear" w:color="auto" w:fill="CCEEFF"/>
          </w:tcPr>
          <w:p>
            <w:pPr>
              <w:spacing w:after="0"/>
              <w:rPr>
                <w:sz w:val="19"/>
                <w:szCs w:val="19"/>
                <w:color w:val="auto"/>
              </w:rPr>
            </w:pPr>
          </w:p>
        </w:tc>
        <w:tc>
          <w:tcPr>
            <w:tcW w:w="45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20" w:type="dxa"/>
            <w:vAlign w:val="bottom"/>
          </w:tcPr>
          <w:p>
            <w:pPr>
              <w:spacing w:after="0"/>
              <w:rPr>
                <w:sz w:val="18"/>
                <w:szCs w:val="18"/>
                <w:color w:val="auto"/>
              </w:rPr>
            </w:pPr>
          </w:p>
        </w:tc>
        <w:tc>
          <w:tcPr>
            <w:tcW w:w="4560" w:type="dxa"/>
            <w:vAlign w:val="bottom"/>
          </w:tcPr>
          <w:p>
            <w:pPr>
              <w:ind w:left="20"/>
              <w:spacing w:after="0"/>
              <w:rPr>
                <w:sz w:val="20"/>
                <w:szCs w:val="20"/>
                <w:color w:val="auto"/>
              </w:rPr>
            </w:pPr>
            <w:r>
              <w:rPr>
                <w:rFonts w:ascii="Arial" w:cs="Arial" w:eastAsia="Arial" w:hAnsi="Arial"/>
                <w:sz w:val="16"/>
                <w:szCs w:val="16"/>
                <w:b w:val="1"/>
                <w:bCs w:val="1"/>
                <w:color w:val="auto"/>
              </w:rPr>
              <w:t>NON-GAAP OPERATING INCOME</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20" w:type="dxa"/>
            <w:vAlign w:val="bottom"/>
            <w:shd w:val="clear" w:color="auto" w:fill="CCEEFF"/>
          </w:tcPr>
          <w:p>
            <w:pPr>
              <w:spacing w:after="0"/>
              <w:rPr>
                <w:sz w:val="19"/>
                <w:szCs w:val="19"/>
                <w:color w:val="auto"/>
              </w:rPr>
            </w:pPr>
          </w:p>
        </w:tc>
        <w:tc>
          <w:tcPr>
            <w:tcW w:w="45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GAAP operating income (loss)</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35,100</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(33,527)</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24,707</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(26,708)</w:t>
            </w:r>
          </w:p>
        </w:tc>
        <w:tc>
          <w:tcPr>
            <w:tcW w:w="0" w:type="dxa"/>
            <w:vAlign w:val="bottom"/>
          </w:tcPr>
          <w:p>
            <w:pPr>
              <w:spacing w:after="0"/>
              <w:rPr>
                <w:sz w:val="1"/>
                <w:szCs w:val="1"/>
                <w:color w:val="auto"/>
              </w:rPr>
            </w:pPr>
          </w:p>
        </w:tc>
      </w:tr>
      <w:tr>
        <w:trPr>
          <w:trHeight w:val="213"/>
        </w:trPr>
        <w:tc>
          <w:tcPr>
            <w:tcW w:w="120" w:type="dxa"/>
            <w:vAlign w:val="bottom"/>
          </w:tcPr>
          <w:p>
            <w:pPr>
              <w:spacing w:after="0"/>
              <w:rPr>
                <w:sz w:val="18"/>
                <w:szCs w:val="18"/>
                <w:color w:val="auto"/>
              </w:rPr>
            </w:pPr>
          </w:p>
        </w:tc>
        <w:tc>
          <w:tcPr>
            <w:tcW w:w="4560" w:type="dxa"/>
            <w:vAlign w:val="bottom"/>
          </w:tcPr>
          <w:p>
            <w:pPr>
              <w:ind w:left="360"/>
              <w:spacing w:after="0"/>
              <w:rPr>
                <w:sz w:val="20"/>
                <w:szCs w:val="20"/>
                <w:color w:val="auto"/>
              </w:rPr>
            </w:pPr>
            <w:r>
              <w:rPr>
                <w:rFonts w:ascii="Arial" w:cs="Arial" w:eastAsia="Arial" w:hAnsi="Arial"/>
                <w:sz w:val="16"/>
                <w:szCs w:val="16"/>
                <w:color w:val="auto"/>
              </w:rPr>
              <w:t>Amortization of intangible assets</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4,722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6,485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9,770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13,038</w:t>
            </w:r>
          </w:p>
        </w:tc>
        <w:tc>
          <w:tcPr>
            <w:tcW w:w="0" w:type="dxa"/>
            <w:vAlign w:val="bottom"/>
          </w:tcPr>
          <w:p>
            <w:pPr>
              <w:spacing w:after="0"/>
              <w:rPr>
                <w:sz w:val="1"/>
                <w:szCs w:val="1"/>
                <w:color w:val="auto"/>
              </w:rPr>
            </w:pPr>
          </w:p>
        </w:tc>
      </w:tr>
      <w:tr>
        <w:trPr>
          <w:trHeight w:val="219"/>
        </w:trPr>
        <w:tc>
          <w:tcPr>
            <w:tcW w:w="120" w:type="dxa"/>
            <w:vAlign w:val="bottom"/>
            <w:shd w:val="clear" w:color="auto" w:fill="CCEEFF"/>
          </w:tcPr>
          <w:p>
            <w:pPr>
              <w:spacing w:after="0"/>
              <w:rPr>
                <w:sz w:val="19"/>
                <w:szCs w:val="19"/>
                <w:color w:val="auto"/>
              </w:rPr>
            </w:pPr>
          </w:p>
        </w:tc>
        <w:tc>
          <w:tcPr>
            <w:tcW w:w="45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Restructuring</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37,483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(9,825)</w:t>
            </w:r>
          </w:p>
        </w:tc>
        <w:tc>
          <w:tcPr>
            <w:tcW w:w="0" w:type="dxa"/>
            <w:vAlign w:val="bottom"/>
          </w:tcPr>
          <w:p>
            <w:pPr>
              <w:spacing w:after="0"/>
              <w:rPr>
                <w:sz w:val="1"/>
                <w:szCs w:val="1"/>
                <w:color w:val="auto"/>
              </w:rPr>
            </w:pPr>
          </w:p>
        </w:tc>
      </w:tr>
      <w:tr>
        <w:trPr>
          <w:trHeight w:val="213"/>
        </w:trPr>
        <w:tc>
          <w:tcPr>
            <w:tcW w:w="120" w:type="dxa"/>
            <w:vAlign w:val="bottom"/>
          </w:tcPr>
          <w:p>
            <w:pPr>
              <w:spacing w:after="0"/>
              <w:rPr>
                <w:sz w:val="18"/>
                <w:szCs w:val="18"/>
                <w:color w:val="auto"/>
              </w:rPr>
            </w:pPr>
          </w:p>
        </w:tc>
        <w:tc>
          <w:tcPr>
            <w:tcW w:w="4560" w:type="dxa"/>
            <w:vAlign w:val="bottom"/>
          </w:tcPr>
          <w:p>
            <w:pPr>
              <w:ind w:left="360"/>
              <w:spacing w:after="0"/>
              <w:rPr>
                <w:sz w:val="20"/>
                <w:szCs w:val="20"/>
                <w:color w:val="auto"/>
              </w:rPr>
            </w:pPr>
            <w:r>
              <w:rPr>
                <w:rFonts w:ascii="Arial" w:cs="Arial" w:eastAsia="Arial" w:hAnsi="Arial"/>
                <w:sz w:val="16"/>
                <w:szCs w:val="16"/>
                <w:color w:val="auto"/>
              </w:rPr>
              <w:t>Loss on sale of business</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612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630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2,415</w:t>
            </w:r>
          </w:p>
        </w:tc>
        <w:tc>
          <w:tcPr>
            <w:tcW w:w="0" w:type="dxa"/>
            <w:vAlign w:val="bottom"/>
          </w:tcPr>
          <w:p>
            <w:pPr>
              <w:spacing w:after="0"/>
              <w:rPr>
                <w:sz w:val="1"/>
                <w:szCs w:val="1"/>
                <w:color w:val="auto"/>
              </w:rPr>
            </w:pPr>
          </w:p>
        </w:tc>
      </w:tr>
      <w:tr>
        <w:trPr>
          <w:trHeight w:val="219"/>
        </w:trPr>
        <w:tc>
          <w:tcPr>
            <w:tcW w:w="120" w:type="dxa"/>
            <w:vAlign w:val="bottom"/>
            <w:shd w:val="clear" w:color="auto" w:fill="CCEEFF"/>
          </w:tcPr>
          <w:p>
            <w:pPr>
              <w:spacing w:after="0"/>
              <w:rPr>
                <w:sz w:val="19"/>
                <w:szCs w:val="19"/>
                <w:color w:val="auto"/>
              </w:rPr>
            </w:pPr>
          </w:p>
        </w:tc>
        <w:tc>
          <w:tcPr>
            <w:tcW w:w="45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Strategic initiative</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710</w:t>
            </w:r>
          </w:p>
        </w:tc>
        <w:tc>
          <w:tcPr>
            <w:tcW w:w="0" w:type="dxa"/>
            <w:vAlign w:val="bottom"/>
          </w:tcPr>
          <w:p>
            <w:pPr>
              <w:spacing w:after="0"/>
              <w:rPr>
                <w:sz w:val="1"/>
                <w:szCs w:val="1"/>
                <w:color w:val="auto"/>
              </w:rPr>
            </w:pPr>
          </w:p>
        </w:tc>
      </w:tr>
      <w:tr>
        <w:trPr>
          <w:trHeight w:val="213"/>
        </w:trPr>
        <w:tc>
          <w:tcPr>
            <w:tcW w:w="120" w:type="dxa"/>
            <w:vAlign w:val="bottom"/>
          </w:tcPr>
          <w:p>
            <w:pPr>
              <w:spacing w:after="0"/>
              <w:rPr>
                <w:sz w:val="18"/>
                <w:szCs w:val="18"/>
                <w:color w:val="auto"/>
              </w:rPr>
            </w:pPr>
          </w:p>
        </w:tc>
        <w:tc>
          <w:tcPr>
            <w:tcW w:w="4560" w:type="dxa"/>
            <w:vAlign w:val="bottom"/>
          </w:tcPr>
          <w:p>
            <w:pPr>
              <w:ind w:left="360"/>
              <w:spacing w:after="0"/>
              <w:rPr>
                <w:sz w:val="20"/>
                <w:szCs w:val="20"/>
                <w:color w:val="auto"/>
              </w:rPr>
            </w:pPr>
            <w:r>
              <w:rPr>
                <w:rFonts w:ascii="Arial" w:cs="Arial" w:eastAsia="Arial" w:hAnsi="Arial"/>
                <w:sz w:val="16"/>
                <w:szCs w:val="16"/>
                <w:color w:val="auto"/>
              </w:rPr>
              <w:t>Goodwill impairment</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38,480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38,480</w:t>
            </w:r>
          </w:p>
        </w:tc>
        <w:tc>
          <w:tcPr>
            <w:tcW w:w="0" w:type="dxa"/>
            <w:vAlign w:val="bottom"/>
          </w:tcPr>
          <w:p>
            <w:pPr>
              <w:spacing w:after="0"/>
              <w:rPr>
                <w:sz w:val="1"/>
                <w:szCs w:val="1"/>
                <w:color w:val="auto"/>
              </w:rPr>
            </w:pPr>
          </w:p>
        </w:tc>
      </w:tr>
      <w:tr>
        <w:trPr>
          <w:trHeight w:val="216"/>
        </w:trPr>
        <w:tc>
          <w:tcPr>
            <w:tcW w:w="120" w:type="dxa"/>
            <w:vAlign w:val="bottom"/>
            <w:shd w:val="clear" w:color="auto" w:fill="CCEEFF"/>
          </w:tcPr>
          <w:p>
            <w:pPr>
              <w:spacing w:after="0"/>
              <w:rPr>
                <w:sz w:val="18"/>
                <w:szCs w:val="18"/>
                <w:color w:val="auto"/>
              </w:rPr>
            </w:pPr>
          </w:p>
        </w:tc>
        <w:tc>
          <w:tcPr>
            <w:tcW w:w="45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Acquisition and integration</w:t>
            </w:r>
          </w:p>
        </w:tc>
        <w:tc>
          <w:tcPr>
            <w:tcW w:w="3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w:t>
            </w:r>
          </w:p>
        </w:tc>
        <w:tc>
          <w:tcPr>
            <w:tcW w:w="0" w:type="dxa"/>
            <w:vAlign w:val="bottom"/>
          </w:tcPr>
          <w:p>
            <w:pPr>
              <w:spacing w:after="0"/>
              <w:rPr>
                <w:sz w:val="1"/>
                <w:szCs w:val="1"/>
                <w:color w:val="auto"/>
              </w:rPr>
            </w:pPr>
          </w:p>
        </w:tc>
      </w:tr>
      <w:tr>
        <w:trPr>
          <w:trHeight w:val="213"/>
        </w:trPr>
        <w:tc>
          <w:tcPr>
            <w:tcW w:w="120" w:type="dxa"/>
            <w:vAlign w:val="bottom"/>
          </w:tcPr>
          <w:p>
            <w:pPr>
              <w:spacing w:after="0"/>
              <w:rPr>
                <w:sz w:val="18"/>
                <w:szCs w:val="18"/>
                <w:color w:val="auto"/>
              </w:rPr>
            </w:pPr>
          </w:p>
        </w:tc>
        <w:tc>
          <w:tcPr>
            <w:tcW w:w="4560" w:type="dxa"/>
            <w:vAlign w:val="bottom"/>
          </w:tcPr>
          <w:p>
            <w:pPr>
              <w:ind w:left="200"/>
              <w:spacing w:after="0"/>
              <w:rPr>
                <w:sz w:val="20"/>
                <w:szCs w:val="20"/>
                <w:color w:val="auto"/>
              </w:rPr>
            </w:pPr>
            <w:r>
              <w:rPr>
                <w:rFonts w:ascii="Arial" w:cs="Arial" w:eastAsia="Arial" w:hAnsi="Arial"/>
                <w:sz w:val="16"/>
                <w:szCs w:val="16"/>
                <w:color w:val="auto"/>
              </w:rPr>
              <w:t>Non-GAAP operating income</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41,352</w:t>
            </w:r>
          </w:p>
        </w:tc>
        <w:tc>
          <w:tcPr>
            <w:tcW w:w="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9,037</w:t>
            </w:r>
          </w:p>
        </w:tc>
        <w:tc>
          <w:tcPr>
            <w:tcW w:w="4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72,679</w:t>
            </w:r>
          </w:p>
        </w:tc>
        <w:tc>
          <w:tcPr>
            <w:tcW w:w="4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18,326</w:t>
            </w:r>
          </w:p>
        </w:tc>
        <w:tc>
          <w:tcPr>
            <w:tcW w:w="0" w:type="dxa"/>
            <w:vAlign w:val="bottom"/>
          </w:tcPr>
          <w:p>
            <w:pPr>
              <w:spacing w:after="0"/>
              <w:rPr>
                <w:sz w:val="1"/>
                <w:szCs w:val="1"/>
                <w:color w:val="auto"/>
              </w:rPr>
            </w:pPr>
          </w:p>
        </w:tc>
      </w:tr>
      <w:tr>
        <w:trPr>
          <w:trHeight w:val="20"/>
        </w:trPr>
        <w:tc>
          <w:tcPr>
            <w:tcW w:w="120" w:type="dxa"/>
            <w:vAlign w:val="bottom"/>
            <w:tcBorders>
              <w:bottom w:val="single" w:sz="8" w:color="CCEEFF"/>
            </w:tcBorders>
          </w:tcPr>
          <w:p>
            <w:pPr>
              <w:spacing w:after="0" w:line="20" w:lineRule="exact"/>
              <w:rPr>
                <w:sz w:val="1"/>
                <w:szCs w:val="1"/>
                <w:color w:val="auto"/>
              </w:rPr>
            </w:pPr>
          </w:p>
        </w:tc>
        <w:tc>
          <w:tcPr>
            <w:tcW w:w="456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20" w:type="dxa"/>
            <w:vAlign w:val="bottom"/>
          </w:tcPr>
          <w:p>
            <w:pPr>
              <w:spacing w:after="0"/>
              <w:rPr>
                <w:sz w:val="18"/>
                <w:szCs w:val="18"/>
                <w:color w:val="auto"/>
              </w:rPr>
            </w:pPr>
          </w:p>
        </w:tc>
        <w:tc>
          <w:tcPr>
            <w:tcW w:w="4560" w:type="dxa"/>
            <w:vAlign w:val="bottom"/>
          </w:tcPr>
          <w:p>
            <w:pPr>
              <w:ind w:left="20"/>
              <w:spacing w:after="0"/>
              <w:rPr>
                <w:sz w:val="20"/>
                <w:szCs w:val="20"/>
                <w:color w:val="auto"/>
              </w:rPr>
            </w:pPr>
            <w:r>
              <w:rPr>
                <w:rFonts w:ascii="Arial" w:cs="Arial" w:eastAsia="Arial" w:hAnsi="Arial"/>
                <w:sz w:val="16"/>
                <w:szCs w:val="16"/>
                <w:b w:val="1"/>
                <w:bCs w:val="1"/>
                <w:color w:val="auto"/>
              </w:rPr>
              <w:t>NON-GAAP NET INCOME &amp; DILUTED EPS</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20" w:type="dxa"/>
            <w:vAlign w:val="bottom"/>
            <w:shd w:val="clear" w:color="auto" w:fill="CCEEFF"/>
          </w:tcPr>
          <w:p>
            <w:pPr>
              <w:spacing w:after="0"/>
              <w:rPr>
                <w:sz w:val="19"/>
                <w:szCs w:val="19"/>
                <w:color w:val="auto"/>
              </w:rPr>
            </w:pPr>
          </w:p>
        </w:tc>
        <w:tc>
          <w:tcPr>
            <w:tcW w:w="45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GAAP net income (loss) attributable to Itron, Inc.</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24,201</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(36,967)</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12,365</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(36,061)</w:t>
            </w:r>
          </w:p>
        </w:tc>
        <w:tc>
          <w:tcPr>
            <w:tcW w:w="0" w:type="dxa"/>
            <w:vAlign w:val="bottom"/>
          </w:tcPr>
          <w:p>
            <w:pPr>
              <w:spacing w:after="0"/>
              <w:rPr>
                <w:sz w:val="1"/>
                <w:szCs w:val="1"/>
                <w:color w:val="auto"/>
              </w:rPr>
            </w:pPr>
          </w:p>
        </w:tc>
      </w:tr>
      <w:tr>
        <w:trPr>
          <w:trHeight w:val="213"/>
        </w:trPr>
        <w:tc>
          <w:tcPr>
            <w:tcW w:w="120" w:type="dxa"/>
            <w:vAlign w:val="bottom"/>
          </w:tcPr>
          <w:p>
            <w:pPr>
              <w:spacing w:after="0"/>
              <w:rPr>
                <w:sz w:val="18"/>
                <w:szCs w:val="18"/>
                <w:color w:val="auto"/>
              </w:rPr>
            </w:pPr>
          </w:p>
        </w:tc>
        <w:tc>
          <w:tcPr>
            <w:tcW w:w="4560" w:type="dxa"/>
            <w:vAlign w:val="bottom"/>
          </w:tcPr>
          <w:p>
            <w:pPr>
              <w:ind w:left="360"/>
              <w:spacing w:after="0"/>
              <w:rPr>
                <w:sz w:val="20"/>
                <w:szCs w:val="20"/>
                <w:color w:val="auto"/>
              </w:rPr>
            </w:pPr>
            <w:r>
              <w:rPr>
                <w:rFonts w:ascii="Arial" w:cs="Arial" w:eastAsia="Arial" w:hAnsi="Arial"/>
                <w:sz w:val="16"/>
                <w:szCs w:val="16"/>
                <w:color w:val="auto"/>
              </w:rPr>
              <w:t>Amortization of intangible assets</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4,722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6,485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9,770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13,038</w:t>
            </w:r>
          </w:p>
        </w:tc>
        <w:tc>
          <w:tcPr>
            <w:tcW w:w="0" w:type="dxa"/>
            <w:vAlign w:val="bottom"/>
          </w:tcPr>
          <w:p>
            <w:pPr>
              <w:spacing w:after="0"/>
              <w:rPr>
                <w:sz w:val="1"/>
                <w:szCs w:val="1"/>
                <w:color w:val="auto"/>
              </w:rPr>
            </w:pPr>
          </w:p>
        </w:tc>
      </w:tr>
      <w:tr>
        <w:trPr>
          <w:trHeight w:val="219"/>
        </w:trPr>
        <w:tc>
          <w:tcPr>
            <w:tcW w:w="120" w:type="dxa"/>
            <w:vAlign w:val="bottom"/>
            <w:shd w:val="clear" w:color="auto" w:fill="CCEEFF"/>
          </w:tcPr>
          <w:p>
            <w:pPr>
              <w:spacing w:after="0"/>
              <w:rPr>
                <w:sz w:val="19"/>
                <w:szCs w:val="19"/>
                <w:color w:val="auto"/>
              </w:rPr>
            </w:pPr>
          </w:p>
        </w:tc>
        <w:tc>
          <w:tcPr>
            <w:tcW w:w="45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Amortization of debt placement fees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1,632</w:t>
            </w:r>
          </w:p>
        </w:tc>
        <w:tc>
          <w:tcPr>
            <w:tcW w:w="0" w:type="dxa"/>
            <w:vAlign w:val="bottom"/>
          </w:tcPr>
          <w:p>
            <w:pPr>
              <w:spacing w:after="0"/>
              <w:rPr>
                <w:sz w:val="1"/>
                <w:szCs w:val="1"/>
                <w:color w:val="auto"/>
              </w:rPr>
            </w:pPr>
          </w:p>
        </w:tc>
      </w:tr>
      <w:tr>
        <w:trPr>
          <w:trHeight w:val="213"/>
        </w:trPr>
        <w:tc>
          <w:tcPr>
            <w:tcW w:w="120" w:type="dxa"/>
            <w:vAlign w:val="bottom"/>
          </w:tcPr>
          <w:p>
            <w:pPr>
              <w:spacing w:after="0"/>
              <w:rPr>
                <w:sz w:val="18"/>
                <w:szCs w:val="18"/>
                <w:color w:val="auto"/>
              </w:rPr>
            </w:pPr>
          </w:p>
        </w:tc>
        <w:tc>
          <w:tcPr>
            <w:tcW w:w="4560" w:type="dxa"/>
            <w:vAlign w:val="bottom"/>
          </w:tcPr>
          <w:p>
            <w:pPr>
              <w:ind w:left="360"/>
              <w:spacing w:after="0"/>
              <w:rPr>
                <w:sz w:val="20"/>
                <w:szCs w:val="20"/>
                <w:color w:val="auto"/>
              </w:rPr>
            </w:pPr>
            <w:r>
              <w:rPr>
                <w:rFonts w:ascii="Arial" w:cs="Arial" w:eastAsia="Arial" w:hAnsi="Arial"/>
                <w:sz w:val="16"/>
                <w:szCs w:val="16"/>
                <w:color w:val="auto"/>
              </w:rPr>
              <w:t>Restructuring</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874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(3,459)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37,483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(9,825)</w:t>
            </w:r>
          </w:p>
        </w:tc>
        <w:tc>
          <w:tcPr>
            <w:tcW w:w="0" w:type="dxa"/>
            <w:vAlign w:val="bottom"/>
          </w:tcPr>
          <w:p>
            <w:pPr>
              <w:spacing w:after="0"/>
              <w:rPr>
                <w:sz w:val="1"/>
                <w:szCs w:val="1"/>
                <w:color w:val="auto"/>
              </w:rPr>
            </w:pPr>
          </w:p>
        </w:tc>
      </w:tr>
      <w:tr>
        <w:trPr>
          <w:trHeight w:val="219"/>
        </w:trPr>
        <w:tc>
          <w:tcPr>
            <w:tcW w:w="120" w:type="dxa"/>
            <w:vAlign w:val="bottom"/>
            <w:shd w:val="clear" w:color="auto" w:fill="CCEEFF"/>
          </w:tcPr>
          <w:p>
            <w:pPr>
              <w:spacing w:after="0"/>
              <w:rPr>
                <w:sz w:val="19"/>
                <w:szCs w:val="19"/>
                <w:color w:val="auto"/>
              </w:rPr>
            </w:pPr>
          </w:p>
        </w:tc>
        <w:tc>
          <w:tcPr>
            <w:tcW w:w="45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Loss on sale of business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2,415</w:t>
            </w:r>
          </w:p>
        </w:tc>
        <w:tc>
          <w:tcPr>
            <w:tcW w:w="0" w:type="dxa"/>
            <w:vAlign w:val="bottom"/>
          </w:tcPr>
          <w:p>
            <w:pPr>
              <w:spacing w:after="0"/>
              <w:rPr>
                <w:sz w:val="1"/>
                <w:szCs w:val="1"/>
                <w:color w:val="auto"/>
              </w:rPr>
            </w:pPr>
          </w:p>
        </w:tc>
      </w:tr>
      <w:tr>
        <w:trPr>
          <w:trHeight w:val="213"/>
        </w:trPr>
        <w:tc>
          <w:tcPr>
            <w:tcW w:w="120" w:type="dxa"/>
            <w:vAlign w:val="bottom"/>
          </w:tcPr>
          <w:p>
            <w:pPr>
              <w:spacing w:after="0"/>
              <w:rPr>
                <w:sz w:val="18"/>
                <w:szCs w:val="18"/>
                <w:color w:val="auto"/>
              </w:rPr>
            </w:pPr>
          </w:p>
        </w:tc>
        <w:tc>
          <w:tcPr>
            <w:tcW w:w="4560" w:type="dxa"/>
            <w:vAlign w:val="bottom"/>
          </w:tcPr>
          <w:p>
            <w:pPr>
              <w:ind w:left="360"/>
              <w:spacing w:after="0"/>
              <w:rPr>
                <w:sz w:val="20"/>
                <w:szCs w:val="20"/>
                <w:color w:val="auto"/>
              </w:rPr>
            </w:pPr>
            <w:r>
              <w:rPr>
                <w:rFonts w:ascii="Arial" w:cs="Arial" w:eastAsia="Arial" w:hAnsi="Arial"/>
                <w:sz w:val="16"/>
                <w:szCs w:val="16"/>
                <w:color w:val="auto"/>
              </w:rPr>
              <w:t>Strategic initiative</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710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710</w:t>
            </w:r>
          </w:p>
        </w:tc>
        <w:tc>
          <w:tcPr>
            <w:tcW w:w="0" w:type="dxa"/>
            <w:vAlign w:val="bottom"/>
          </w:tcPr>
          <w:p>
            <w:pPr>
              <w:spacing w:after="0"/>
              <w:rPr>
                <w:sz w:val="1"/>
                <w:szCs w:val="1"/>
                <w:color w:val="auto"/>
              </w:rPr>
            </w:pPr>
          </w:p>
        </w:tc>
      </w:tr>
      <w:tr>
        <w:trPr>
          <w:trHeight w:val="219"/>
        </w:trPr>
        <w:tc>
          <w:tcPr>
            <w:tcW w:w="120" w:type="dxa"/>
            <w:vAlign w:val="bottom"/>
            <w:shd w:val="clear" w:color="auto" w:fill="CCEEFF"/>
          </w:tcPr>
          <w:p>
            <w:pPr>
              <w:spacing w:after="0"/>
              <w:rPr>
                <w:sz w:val="19"/>
                <w:szCs w:val="19"/>
                <w:color w:val="auto"/>
              </w:rPr>
            </w:pPr>
          </w:p>
        </w:tc>
        <w:tc>
          <w:tcPr>
            <w:tcW w:w="45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Goodwill impairment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38,480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38,480</w:t>
            </w:r>
          </w:p>
        </w:tc>
        <w:tc>
          <w:tcPr>
            <w:tcW w:w="0" w:type="dxa"/>
            <w:vAlign w:val="bottom"/>
          </w:tcPr>
          <w:p>
            <w:pPr>
              <w:spacing w:after="0"/>
              <w:rPr>
                <w:sz w:val="1"/>
                <w:szCs w:val="1"/>
                <w:color w:val="auto"/>
              </w:rPr>
            </w:pPr>
          </w:p>
        </w:tc>
      </w:tr>
      <w:tr>
        <w:trPr>
          <w:trHeight w:val="213"/>
        </w:trPr>
        <w:tc>
          <w:tcPr>
            <w:tcW w:w="120" w:type="dxa"/>
            <w:vAlign w:val="bottom"/>
          </w:tcPr>
          <w:p>
            <w:pPr>
              <w:spacing w:after="0"/>
              <w:rPr>
                <w:sz w:val="18"/>
                <w:szCs w:val="18"/>
                <w:color w:val="auto"/>
              </w:rPr>
            </w:pPr>
          </w:p>
        </w:tc>
        <w:tc>
          <w:tcPr>
            <w:tcW w:w="4560" w:type="dxa"/>
            <w:vAlign w:val="bottom"/>
          </w:tcPr>
          <w:p>
            <w:pPr>
              <w:ind w:left="360"/>
              <w:spacing w:after="0"/>
              <w:rPr>
                <w:sz w:val="20"/>
                <w:szCs w:val="20"/>
                <w:color w:val="auto"/>
              </w:rPr>
            </w:pPr>
            <w:r>
              <w:rPr>
                <w:rFonts w:ascii="Arial" w:cs="Arial" w:eastAsia="Arial" w:hAnsi="Arial"/>
                <w:sz w:val="16"/>
                <w:szCs w:val="16"/>
                <w:color w:val="auto"/>
              </w:rPr>
              <w:t>Acquisition and integration</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216</w:t>
            </w:r>
          </w:p>
        </w:tc>
        <w:tc>
          <w:tcPr>
            <w:tcW w:w="0" w:type="dxa"/>
            <w:vAlign w:val="bottom"/>
          </w:tcPr>
          <w:p>
            <w:pPr>
              <w:spacing w:after="0"/>
              <w:rPr>
                <w:sz w:val="1"/>
                <w:szCs w:val="1"/>
                <w:color w:val="auto"/>
              </w:rPr>
            </w:pPr>
          </w:p>
        </w:tc>
      </w:tr>
      <w:tr>
        <w:trPr>
          <w:trHeight w:val="219"/>
        </w:trPr>
        <w:tc>
          <w:tcPr>
            <w:tcW w:w="120" w:type="dxa"/>
            <w:vAlign w:val="bottom"/>
            <w:tcBorders>
              <w:bottom w:val="single" w:sz="8" w:color="CCEEFF"/>
            </w:tcBorders>
            <w:shd w:val="clear" w:color="auto" w:fill="CCEEFF"/>
          </w:tcPr>
          <w:p>
            <w:pPr>
              <w:spacing w:after="0"/>
              <w:rPr>
                <w:sz w:val="19"/>
                <w:szCs w:val="19"/>
                <w:color w:val="auto"/>
              </w:rPr>
            </w:pPr>
          </w:p>
        </w:tc>
        <w:tc>
          <w:tcPr>
            <w:tcW w:w="45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Income tax effect of non-GAAP adjustments</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(1,516)</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(3,300)</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(9,863)</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(2,301)</w:t>
            </w: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4560" w:type="dxa"/>
            <w:vAlign w:val="bottom"/>
          </w:tcPr>
          <w:p>
            <w:pPr>
              <w:ind w:left="200"/>
              <w:spacing w:after="0"/>
              <w:rPr>
                <w:sz w:val="20"/>
                <w:szCs w:val="20"/>
                <w:color w:val="auto"/>
              </w:rPr>
            </w:pPr>
            <w:r>
              <w:rPr>
                <w:rFonts w:ascii="Arial" w:cs="Arial" w:eastAsia="Arial" w:hAnsi="Arial"/>
                <w:sz w:val="16"/>
                <w:szCs w:val="16"/>
                <w:color w:val="auto"/>
              </w:rPr>
              <w:t>Non-GAAP net income attributable to Itron, Inc.</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29,824</w:t>
            </w:r>
          </w:p>
        </w:tc>
        <w:tc>
          <w:tcPr>
            <w:tcW w:w="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3,133</w:t>
            </w:r>
          </w:p>
        </w:tc>
        <w:tc>
          <w:tcPr>
            <w:tcW w:w="4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52,206</w:t>
            </w:r>
          </w:p>
        </w:tc>
        <w:tc>
          <w:tcPr>
            <w:tcW w:w="4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8,304</w:t>
            </w:r>
          </w:p>
        </w:tc>
        <w:tc>
          <w:tcPr>
            <w:tcW w:w="0" w:type="dxa"/>
            <w:vAlign w:val="bottom"/>
          </w:tcPr>
          <w:p>
            <w:pPr>
              <w:spacing w:after="0"/>
              <w:rPr>
                <w:sz w:val="1"/>
                <w:szCs w:val="1"/>
                <w:color w:val="auto"/>
              </w:rPr>
            </w:pPr>
          </w:p>
        </w:tc>
      </w:tr>
      <w:tr>
        <w:trPr>
          <w:trHeight w:val="20"/>
        </w:trPr>
        <w:tc>
          <w:tcPr>
            <w:tcW w:w="120" w:type="dxa"/>
            <w:vAlign w:val="bottom"/>
            <w:tcBorders>
              <w:bottom w:val="single" w:sz="8" w:color="CCEEFF"/>
            </w:tcBorders>
          </w:tcPr>
          <w:p>
            <w:pPr>
              <w:spacing w:after="0" w:line="20" w:lineRule="exact"/>
              <w:rPr>
                <w:sz w:val="1"/>
                <w:szCs w:val="1"/>
                <w:color w:val="auto"/>
              </w:rPr>
            </w:pPr>
          </w:p>
        </w:tc>
        <w:tc>
          <w:tcPr>
            <w:tcW w:w="456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20" w:type="dxa"/>
            <w:vAlign w:val="bottom"/>
            <w:shd w:val="clear" w:color="auto" w:fill="CCEEFF"/>
          </w:tcPr>
          <w:p>
            <w:pPr>
              <w:spacing w:after="0"/>
              <w:rPr>
                <w:sz w:val="19"/>
                <w:szCs w:val="19"/>
                <w:color w:val="auto"/>
              </w:rPr>
            </w:pPr>
          </w:p>
        </w:tc>
        <w:tc>
          <w:tcPr>
            <w:tcW w:w="45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560" w:type="dxa"/>
            <w:vAlign w:val="bottom"/>
          </w:tcPr>
          <w:p>
            <w:pPr>
              <w:ind w:left="200"/>
              <w:spacing w:after="0"/>
              <w:rPr>
                <w:sz w:val="20"/>
                <w:szCs w:val="20"/>
                <w:color w:val="auto"/>
              </w:rPr>
            </w:pPr>
            <w:r>
              <w:rPr>
                <w:rFonts w:ascii="Arial" w:cs="Arial" w:eastAsia="Arial" w:hAnsi="Arial"/>
                <w:sz w:val="16"/>
                <w:szCs w:val="16"/>
                <w:color w:val="auto"/>
              </w:rPr>
              <w:t>Non-GAAP diluted EPS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0.65</w:t>
            </w:r>
          </w:p>
        </w:tc>
        <w:tc>
          <w:tcPr>
            <w:tcW w:w="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0.07</w:t>
            </w:r>
          </w:p>
        </w:tc>
        <w:tc>
          <w:tcPr>
            <w:tcW w:w="4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1.14</w:t>
            </w:r>
          </w:p>
        </w:tc>
        <w:tc>
          <w:tcPr>
            <w:tcW w:w="4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0.18</w:t>
            </w:r>
          </w:p>
        </w:tc>
        <w:tc>
          <w:tcPr>
            <w:tcW w:w="0" w:type="dxa"/>
            <w:vAlign w:val="bottom"/>
          </w:tcPr>
          <w:p>
            <w:pPr>
              <w:spacing w:after="0"/>
              <w:rPr>
                <w:sz w:val="1"/>
                <w:szCs w:val="1"/>
                <w:color w:val="auto"/>
              </w:rPr>
            </w:pPr>
          </w:p>
        </w:tc>
      </w:tr>
      <w:tr>
        <w:trPr>
          <w:trHeight w:val="20"/>
        </w:trPr>
        <w:tc>
          <w:tcPr>
            <w:tcW w:w="120" w:type="dxa"/>
            <w:vAlign w:val="bottom"/>
            <w:tcBorders>
              <w:bottom w:val="single" w:sz="8" w:color="CCEEFF"/>
            </w:tcBorders>
          </w:tcPr>
          <w:p>
            <w:pPr>
              <w:spacing w:after="0" w:line="20" w:lineRule="exact"/>
              <w:rPr>
                <w:sz w:val="1"/>
                <w:szCs w:val="1"/>
                <w:color w:val="auto"/>
              </w:rPr>
            </w:pPr>
          </w:p>
        </w:tc>
        <w:tc>
          <w:tcPr>
            <w:tcW w:w="456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0" w:type="dxa"/>
            <w:vAlign w:val="bottom"/>
            <w:shd w:val="clear" w:color="auto" w:fill="CCEEFF"/>
          </w:tcPr>
          <w:p>
            <w:pPr>
              <w:spacing w:after="0"/>
              <w:rPr>
                <w:sz w:val="19"/>
                <w:szCs w:val="19"/>
                <w:color w:val="auto"/>
              </w:rPr>
            </w:pPr>
          </w:p>
        </w:tc>
        <w:tc>
          <w:tcPr>
            <w:tcW w:w="45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120" w:type="dxa"/>
            <w:vAlign w:val="bottom"/>
          </w:tcPr>
          <w:p>
            <w:pPr>
              <w:spacing w:after="0"/>
              <w:rPr>
                <w:sz w:val="14"/>
                <w:szCs w:val="14"/>
                <w:color w:val="auto"/>
              </w:rPr>
            </w:pPr>
          </w:p>
        </w:tc>
        <w:tc>
          <w:tcPr>
            <w:tcW w:w="4560" w:type="dxa"/>
            <w:vAlign w:val="bottom"/>
          </w:tcPr>
          <w:p>
            <w:pPr>
              <w:ind w:left="200"/>
              <w:spacing w:after="0" w:line="166" w:lineRule="exact"/>
              <w:rPr>
                <w:sz w:val="20"/>
                <w:szCs w:val="20"/>
                <w:color w:val="auto"/>
              </w:rPr>
            </w:pPr>
            <w:r>
              <w:rPr>
                <w:rFonts w:ascii="Arial" w:cs="Arial" w:eastAsia="Arial" w:hAnsi="Arial"/>
                <w:sz w:val="16"/>
                <w:szCs w:val="16"/>
                <w:color w:val="auto"/>
              </w:rPr>
              <w:t>Non-GAAP weighted average common shares outstanding -</w:t>
            </w:r>
          </w:p>
        </w:tc>
        <w:tc>
          <w:tcPr>
            <w:tcW w:w="34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45,781</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45,228</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45,677</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45,234</w:t>
            </w:r>
          </w:p>
        </w:tc>
        <w:tc>
          <w:tcPr>
            <w:tcW w:w="0" w:type="dxa"/>
            <w:vAlign w:val="bottom"/>
          </w:tcPr>
          <w:p>
            <w:pPr>
              <w:spacing w:after="0"/>
              <w:rPr>
                <w:sz w:val="1"/>
                <w:szCs w:val="1"/>
                <w:color w:val="auto"/>
              </w:rPr>
            </w:pPr>
          </w:p>
        </w:tc>
      </w:tr>
      <w:tr>
        <w:trPr>
          <w:trHeight w:val="185"/>
        </w:trPr>
        <w:tc>
          <w:tcPr>
            <w:tcW w:w="120" w:type="dxa"/>
            <w:vAlign w:val="bottom"/>
          </w:tcPr>
          <w:p>
            <w:pPr>
              <w:spacing w:after="0"/>
              <w:rPr>
                <w:sz w:val="16"/>
                <w:szCs w:val="16"/>
                <w:color w:val="auto"/>
              </w:rPr>
            </w:pPr>
          </w:p>
        </w:tc>
        <w:tc>
          <w:tcPr>
            <w:tcW w:w="4560" w:type="dxa"/>
            <w:vAlign w:val="bottom"/>
          </w:tcPr>
          <w:p>
            <w:pPr>
              <w:ind w:left="200"/>
              <w:spacing w:after="0"/>
              <w:rPr>
                <w:sz w:val="20"/>
                <w:szCs w:val="20"/>
                <w:color w:val="auto"/>
              </w:rPr>
            </w:pPr>
            <w:r>
              <w:rPr>
                <w:rFonts w:ascii="Arial" w:cs="Arial" w:eastAsia="Arial" w:hAnsi="Arial"/>
                <w:sz w:val="16"/>
                <w:szCs w:val="16"/>
                <w:color w:val="auto"/>
              </w:rPr>
              <w:t>Diluted</w:t>
            </w: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80" w:type="dxa"/>
            <w:vAlign w:val="bottom"/>
          </w:tcPr>
          <w:p>
            <w:pPr>
              <w:ind w:left="20"/>
              <w:spacing w:after="0"/>
              <w:rPr>
                <w:sz w:val="20"/>
                <w:szCs w:val="20"/>
                <w:color w:val="auto"/>
              </w:rPr>
            </w:pPr>
            <w:r>
              <w:rPr>
                <w:rFonts w:ascii="Arial" w:cs="Arial" w:eastAsia="Arial" w:hAnsi="Arial"/>
                <w:sz w:val="16"/>
                <w:szCs w:val="16"/>
                <w:b w:val="1"/>
                <w:bCs w:val="1"/>
                <w:color w:val="auto"/>
              </w:rPr>
              <w:t>TOTAL COMPANY RECONCILIATIONS</w:t>
            </w:r>
          </w:p>
        </w:tc>
        <w:tc>
          <w:tcPr>
            <w:tcW w:w="34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4"/>
          </w:tcPr>
          <w:p>
            <w:pPr>
              <w:jc w:val="right"/>
              <w:ind w:right="479"/>
              <w:spacing w:after="0"/>
              <w:rPr>
                <w:sz w:val="20"/>
                <w:szCs w:val="20"/>
                <w:color w:val="auto"/>
              </w:rPr>
            </w:pPr>
            <w:r>
              <w:rPr>
                <w:rFonts w:ascii="Arial" w:cs="Arial" w:eastAsia="Arial" w:hAnsi="Arial"/>
                <w:sz w:val="16"/>
                <w:szCs w:val="16"/>
                <w:b w:val="1"/>
                <w:bCs w:val="1"/>
                <w:color w:val="auto"/>
              </w:rPr>
              <w:t>Three Months Ended June 30,</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4"/>
          </w:tcPr>
          <w:p>
            <w:pPr>
              <w:jc w:val="right"/>
              <w:ind w:right="579"/>
              <w:spacing w:after="0"/>
              <w:rPr>
                <w:sz w:val="20"/>
                <w:szCs w:val="20"/>
                <w:color w:val="auto"/>
              </w:rPr>
            </w:pPr>
            <w:r>
              <w:rPr>
                <w:rFonts w:ascii="Arial" w:cs="Arial" w:eastAsia="Arial" w:hAnsi="Arial"/>
                <w:sz w:val="16"/>
                <w:szCs w:val="16"/>
                <w:b w:val="1"/>
                <w:bCs w:val="1"/>
                <w:color w:val="auto"/>
              </w:rPr>
              <w:t>Six Months Ended June 30,</w:t>
            </w:r>
          </w:p>
        </w:tc>
      </w:tr>
      <w:tr>
        <w:trPr>
          <w:trHeight w:val="207"/>
        </w:trPr>
        <w:tc>
          <w:tcPr>
            <w:tcW w:w="4680" w:type="dxa"/>
            <w:vAlign w:val="bottom"/>
            <w:tcBorders>
              <w:bottom w:val="single" w:sz="8" w:color="auto"/>
            </w:tcBorders>
          </w:tcPr>
          <w:p>
            <w:pPr>
              <w:ind w:left="140"/>
              <w:spacing w:after="0"/>
              <w:rPr>
                <w:sz w:val="20"/>
                <w:szCs w:val="20"/>
                <w:color w:val="auto"/>
              </w:rPr>
            </w:pPr>
            <w:r>
              <w:rPr>
                <w:rFonts w:ascii="Arial" w:cs="Arial" w:eastAsia="Arial" w:hAnsi="Arial"/>
                <w:sz w:val="16"/>
                <w:szCs w:val="16"/>
                <w:i w:val="1"/>
                <w:iCs w:val="1"/>
                <w:color w:val="auto"/>
              </w:rPr>
              <w:t>In thousands, except per share data</w:t>
            </w: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r>
      <w:tr>
        <w:trPr>
          <w:trHeight w:val="210"/>
        </w:trPr>
        <w:tc>
          <w:tcPr>
            <w:tcW w:w="4680" w:type="dxa"/>
            <w:vAlign w:val="bottom"/>
          </w:tcPr>
          <w:p>
            <w:pPr>
              <w:ind w:left="140"/>
              <w:spacing w:after="0"/>
              <w:rPr>
                <w:sz w:val="20"/>
                <w:szCs w:val="20"/>
                <w:color w:val="auto"/>
              </w:rPr>
            </w:pPr>
            <w:r>
              <w:rPr>
                <w:rFonts w:ascii="Arial" w:cs="Arial" w:eastAsia="Arial" w:hAnsi="Arial"/>
                <w:sz w:val="16"/>
                <w:szCs w:val="16"/>
                <w:b w:val="1"/>
                <w:bCs w:val="1"/>
                <w:color w:val="auto"/>
              </w:rPr>
              <w:t>ADJUSTED EBITDA</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9"/>
        </w:trPr>
        <w:tc>
          <w:tcPr>
            <w:tcW w:w="46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GAAP net income (loss) attributable to Itron, Inc.</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24,201</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(36,967)</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12,365</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(36,061)</w:t>
            </w:r>
          </w:p>
        </w:tc>
      </w:tr>
      <w:tr>
        <w:trPr>
          <w:trHeight w:val="213"/>
        </w:trPr>
        <w:tc>
          <w:tcPr>
            <w:tcW w:w="4680" w:type="dxa"/>
            <w:vAlign w:val="bottom"/>
          </w:tcPr>
          <w:p>
            <w:pPr>
              <w:ind w:left="480"/>
              <w:spacing w:after="0"/>
              <w:rPr>
                <w:sz w:val="20"/>
                <w:szCs w:val="20"/>
                <w:color w:val="auto"/>
              </w:rPr>
            </w:pPr>
            <w:r>
              <w:rPr>
                <w:rFonts w:ascii="Arial" w:cs="Arial" w:eastAsia="Arial" w:hAnsi="Arial"/>
                <w:sz w:val="16"/>
                <w:szCs w:val="16"/>
                <w:color w:val="auto"/>
              </w:rPr>
              <w:t>Interest income</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(1,508)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(349)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(3,326)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(566)</w:t>
            </w:r>
          </w:p>
        </w:tc>
      </w:tr>
      <w:tr>
        <w:trPr>
          <w:trHeight w:val="219"/>
        </w:trPr>
        <w:tc>
          <w:tcPr>
            <w:tcW w:w="4680" w:type="dxa"/>
            <w:vAlign w:val="bottom"/>
            <w:shd w:val="clear" w:color="auto" w:fill="CCEEFF"/>
          </w:tcPr>
          <w:p>
            <w:pPr>
              <w:ind w:left="480"/>
              <w:spacing w:after="0"/>
              <w:rPr>
                <w:sz w:val="20"/>
                <w:szCs w:val="20"/>
                <w:color w:val="auto"/>
              </w:rPr>
            </w:pPr>
            <w:r>
              <w:rPr>
                <w:rFonts w:ascii="Arial" w:cs="Arial" w:eastAsia="Arial" w:hAnsi="Arial"/>
                <w:sz w:val="16"/>
                <w:szCs w:val="16"/>
                <w:color w:val="auto"/>
              </w:rPr>
              <w:t>Interest expense</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4,034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3,252</w:t>
            </w:r>
          </w:p>
        </w:tc>
      </w:tr>
      <w:tr>
        <w:trPr>
          <w:trHeight w:val="213"/>
        </w:trPr>
        <w:tc>
          <w:tcPr>
            <w:tcW w:w="4680" w:type="dxa"/>
            <w:vAlign w:val="bottom"/>
          </w:tcPr>
          <w:p>
            <w:pPr>
              <w:ind w:left="480"/>
              <w:spacing w:after="0"/>
              <w:rPr>
                <w:sz w:val="20"/>
                <w:szCs w:val="20"/>
                <w:color w:val="auto"/>
              </w:rPr>
            </w:pPr>
            <w:r>
              <w:rPr>
                <w:rFonts w:ascii="Arial" w:cs="Arial" w:eastAsia="Arial" w:hAnsi="Arial"/>
                <w:sz w:val="16"/>
                <w:szCs w:val="16"/>
                <w:color w:val="auto"/>
              </w:rPr>
              <w:t>Income tax provision</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9,195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641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9,125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4,500</w:t>
            </w:r>
          </w:p>
        </w:tc>
      </w:tr>
      <w:tr>
        <w:trPr>
          <w:trHeight w:val="219"/>
        </w:trPr>
        <w:tc>
          <w:tcPr>
            <w:tcW w:w="4680" w:type="dxa"/>
            <w:vAlign w:val="bottom"/>
            <w:shd w:val="clear" w:color="auto" w:fill="CCEEFF"/>
          </w:tcPr>
          <w:p>
            <w:pPr>
              <w:ind w:left="480"/>
              <w:spacing w:after="0"/>
              <w:rPr>
                <w:sz w:val="20"/>
                <w:szCs w:val="20"/>
                <w:color w:val="auto"/>
              </w:rPr>
            </w:pPr>
            <w:r>
              <w:rPr>
                <w:rFonts w:ascii="Arial" w:cs="Arial" w:eastAsia="Arial" w:hAnsi="Arial"/>
                <w:sz w:val="16"/>
                <w:szCs w:val="16"/>
                <w:color w:val="auto"/>
              </w:rPr>
              <w:t>Depreciation and amortization</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13,905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16,414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28,368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33,251</w:t>
            </w:r>
          </w:p>
        </w:tc>
      </w:tr>
      <w:tr>
        <w:trPr>
          <w:trHeight w:val="213"/>
        </w:trPr>
        <w:tc>
          <w:tcPr>
            <w:tcW w:w="4680" w:type="dxa"/>
            <w:vAlign w:val="bottom"/>
          </w:tcPr>
          <w:p>
            <w:pPr>
              <w:ind w:left="480"/>
              <w:spacing w:after="0"/>
              <w:rPr>
                <w:sz w:val="20"/>
                <w:szCs w:val="20"/>
                <w:color w:val="auto"/>
              </w:rPr>
            </w:pPr>
            <w:r>
              <w:rPr>
                <w:rFonts w:ascii="Arial" w:cs="Arial" w:eastAsia="Arial" w:hAnsi="Arial"/>
                <w:sz w:val="16"/>
                <w:szCs w:val="16"/>
                <w:color w:val="auto"/>
              </w:rPr>
              <w:t>Restructuring</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874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(3,459)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37,483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(9,825)</w:t>
            </w:r>
          </w:p>
        </w:tc>
      </w:tr>
      <w:tr>
        <w:trPr>
          <w:trHeight w:val="219"/>
        </w:trPr>
        <w:tc>
          <w:tcPr>
            <w:tcW w:w="4680" w:type="dxa"/>
            <w:vAlign w:val="bottom"/>
            <w:shd w:val="clear" w:color="auto" w:fill="CCEEFF"/>
          </w:tcPr>
          <w:p>
            <w:pPr>
              <w:ind w:left="480"/>
              <w:spacing w:after="0"/>
              <w:rPr>
                <w:sz w:val="20"/>
                <w:szCs w:val="20"/>
                <w:color w:val="auto"/>
              </w:rPr>
            </w:pPr>
            <w:r>
              <w:rPr>
                <w:rFonts w:ascii="Arial" w:cs="Arial" w:eastAsia="Arial" w:hAnsi="Arial"/>
                <w:sz w:val="16"/>
                <w:szCs w:val="16"/>
                <w:color w:val="auto"/>
              </w:rPr>
              <w:t>Loss on sale of business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2,415</w:t>
            </w:r>
          </w:p>
        </w:tc>
      </w:tr>
      <w:tr>
        <w:trPr>
          <w:trHeight w:val="213"/>
        </w:trPr>
        <w:tc>
          <w:tcPr>
            <w:tcW w:w="4680" w:type="dxa"/>
            <w:vAlign w:val="bottom"/>
          </w:tcPr>
          <w:p>
            <w:pPr>
              <w:ind w:left="480"/>
              <w:spacing w:after="0"/>
              <w:rPr>
                <w:sz w:val="20"/>
                <w:szCs w:val="20"/>
                <w:color w:val="auto"/>
              </w:rPr>
            </w:pPr>
            <w:r>
              <w:rPr>
                <w:rFonts w:ascii="Arial" w:cs="Arial" w:eastAsia="Arial" w:hAnsi="Arial"/>
                <w:sz w:val="16"/>
                <w:szCs w:val="16"/>
                <w:color w:val="auto"/>
              </w:rPr>
              <w:t>Strategic initiative</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710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710</w:t>
            </w:r>
          </w:p>
        </w:tc>
      </w:tr>
      <w:tr>
        <w:trPr>
          <w:trHeight w:val="219"/>
        </w:trPr>
        <w:tc>
          <w:tcPr>
            <w:tcW w:w="4680" w:type="dxa"/>
            <w:vAlign w:val="bottom"/>
            <w:shd w:val="clear" w:color="auto" w:fill="CCEEFF"/>
          </w:tcPr>
          <w:p>
            <w:pPr>
              <w:ind w:left="480"/>
              <w:spacing w:after="0"/>
              <w:rPr>
                <w:sz w:val="20"/>
                <w:szCs w:val="20"/>
                <w:color w:val="auto"/>
              </w:rPr>
            </w:pPr>
            <w:r>
              <w:rPr>
                <w:rFonts w:ascii="Arial" w:cs="Arial" w:eastAsia="Arial" w:hAnsi="Arial"/>
                <w:sz w:val="16"/>
                <w:szCs w:val="16"/>
                <w:color w:val="auto"/>
              </w:rPr>
              <w:t>Goodwill impairment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38,480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38,480</w:t>
            </w:r>
          </w:p>
        </w:tc>
      </w:tr>
      <w:tr>
        <w:trPr>
          <w:trHeight w:val="216"/>
        </w:trPr>
        <w:tc>
          <w:tcPr>
            <w:tcW w:w="4680" w:type="dxa"/>
            <w:vAlign w:val="bottom"/>
          </w:tcPr>
          <w:p>
            <w:pPr>
              <w:ind w:left="480"/>
              <w:spacing w:after="0"/>
              <w:rPr>
                <w:sz w:val="20"/>
                <w:szCs w:val="20"/>
                <w:color w:val="auto"/>
              </w:rPr>
            </w:pPr>
            <w:r>
              <w:rPr>
                <w:rFonts w:ascii="Arial" w:cs="Arial" w:eastAsia="Arial" w:hAnsi="Arial"/>
                <w:sz w:val="16"/>
                <w:szCs w:val="16"/>
                <w:color w:val="auto"/>
              </w:rPr>
              <w:t>Acquisition and integration</w:t>
            </w: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w:t>
            </w:r>
          </w:p>
        </w:tc>
      </w:tr>
      <w:tr>
        <w:trPr>
          <w:trHeight w:val="229"/>
        </w:trPr>
        <w:tc>
          <w:tcPr>
            <w:tcW w:w="46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Adjusted EBITDA</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49,300</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17,478</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88,768</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36,372</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203"/>
        </w:trPr>
        <w:tc>
          <w:tcPr>
            <w:tcW w:w="4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16"/>
        </w:trPr>
        <w:tc>
          <w:tcPr>
            <w:tcW w:w="468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FREE CASH FLOW</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3"/>
        </w:trPr>
        <w:tc>
          <w:tcPr>
            <w:tcW w:w="4680" w:type="dxa"/>
            <w:vAlign w:val="bottom"/>
          </w:tcPr>
          <w:p>
            <w:pPr>
              <w:ind w:left="320"/>
              <w:spacing w:after="0"/>
              <w:rPr>
                <w:sz w:val="20"/>
                <w:szCs w:val="20"/>
                <w:color w:val="auto"/>
              </w:rPr>
            </w:pPr>
            <w:r>
              <w:rPr>
                <w:rFonts w:ascii="Arial" w:cs="Arial" w:eastAsia="Arial" w:hAnsi="Arial"/>
                <w:sz w:val="16"/>
                <w:szCs w:val="16"/>
                <w:color w:val="auto"/>
              </w:rPr>
              <w:t>Net cash provided by operating activities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41,560</w:t>
            </w:r>
          </w:p>
        </w:tc>
        <w:tc>
          <w:tcPr>
            <w:tcW w:w="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15,065</w:t>
            </w:r>
          </w:p>
        </w:tc>
        <w:tc>
          <w:tcPr>
            <w:tcW w:w="4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42,989</w:t>
            </w:r>
          </w:p>
        </w:tc>
        <w:tc>
          <w:tcPr>
            <w:tcW w:w="4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22,656</w:t>
            </w:r>
          </w:p>
        </w:tc>
      </w:tr>
      <w:tr>
        <w:trPr>
          <w:trHeight w:val="216"/>
        </w:trPr>
        <w:tc>
          <w:tcPr>
            <w:tcW w:w="4680" w:type="dxa"/>
            <w:vAlign w:val="bottom"/>
            <w:shd w:val="clear" w:color="auto" w:fill="CCEEFF"/>
          </w:tcPr>
          <w:p>
            <w:pPr>
              <w:ind w:left="480"/>
              <w:spacing w:after="0"/>
              <w:rPr>
                <w:sz w:val="20"/>
                <w:szCs w:val="20"/>
                <w:color w:val="auto"/>
              </w:rPr>
            </w:pPr>
            <w:r>
              <w:rPr>
                <w:rFonts w:ascii="Arial" w:cs="Arial" w:eastAsia="Arial" w:hAnsi="Arial"/>
                <w:sz w:val="16"/>
                <w:szCs w:val="16"/>
                <w:color w:val="auto"/>
              </w:rPr>
              <w:t>Acquisitions of property, plant, and equipment</w:t>
            </w:r>
          </w:p>
        </w:tc>
        <w:tc>
          <w:tcPr>
            <w:tcW w:w="3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(5,596)</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(5,294)</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(12,498)</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(10,663)</w:t>
            </w:r>
          </w:p>
        </w:tc>
      </w:tr>
      <w:tr>
        <w:trPr>
          <w:trHeight w:val="213"/>
        </w:trPr>
        <w:tc>
          <w:tcPr>
            <w:tcW w:w="4680" w:type="dxa"/>
            <w:vAlign w:val="bottom"/>
          </w:tcPr>
          <w:p>
            <w:pPr>
              <w:ind w:left="320"/>
              <w:spacing w:after="0"/>
              <w:rPr>
                <w:sz w:val="20"/>
                <w:szCs w:val="20"/>
                <w:color w:val="auto"/>
              </w:rPr>
            </w:pPr>
            <w:r>
              <w:rPr>
                <w:rFonts w:ascii="Arial" w:cs="Arial" w:eastAsia="Arial" w:hAnsi="Arial"/>
                <w:sz w:val="16"/>
                <w:szCs w:val="16"/>
                <w:color w:val="auto"/>
              </w:rPr>
              <w:t>Free Cash Flow</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35,964</w:t>
            </w:r>
          </w:p>
        </w:tc>
        <w:tc>
          <w:tcPr>
            <w:tcW w:w="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9,771</w:t>
            </w:r>
          </w:p>
        </w:tc>
        <w:tc>
          <w:tcPr>
            <w:tcW w:w="4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30,491</w:t>
            </w:r>
          </w:p>
        </w:tc>
        <w:tc>
          <w:tcPr>
            <w:tcW w:w="4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11,993</w:t>
            </w:r>
          </w:p>
        </w:tc>
      </w:tr>
      <w:tr>
        <w:trPr>
          <w:trHeight w:val="21"/>
        </w:trPr>
        <w:tc>
          <w:tcPr>
            <w:tcW w:w="46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5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the normal course of business, we are exposed to interest rate and foreign currency exchange rate risks that could impact our financial position and results of operations. As part of our risk management strategy, we may use derivative financial instruments to hedge certain foreign currency and interest rate exposures. Our objective is to offset gains and losses resulting from these exposures with losses and gains on the derivative contracts used to hedge them, therefore reducing the impact of volatility on earnings or protecting the fair values of assets and liabilities. We use derivative contracts only to manage existing underlying exposures. Accordingly, we do not use derivative contracts for trading or speculative purposes.</w:t>
      </w:r>
    </w:p>
    <w:p>
      <w:pPr>
        <w:spacing w:after="0" w:line="20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Interest Rate Risk</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We may be exposed to interest rate risk through our variable rate debt instruments, namely the multicurrency revolving line of credit. At June 30, 2023, we had no outstanding variable rate debt.</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continually monitor and assess our interest rate risk and may institute additional interest rate swaps or other derivative instruments to manage such risk in the future if we were to have variable rate debt outstanding.</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Foreign Currency Exchange Rate Risk</w:t>
      </w:r>
    </w:p>
    <w:p>
      <w:pPr>
        <w:spacing w:after="0" w:line="2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We conduct business in a number of countries. Revenues denominated in functional currencies other than the U.S. dollar were 24% and 25% of total revenues for the three and six months ended June 30, 2023 compared with 30% and 33% for the same respective period in 2022. These transactions expose our account balances to movements in foreign currency exchange rates that could have a material effect on our financial results. Our primary foreign currency exposure relates to non-U.S. dollar denominated transactions in our international subsidiary operations, the most significant of which is the euro.</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also exposed to foreign exchange risk when we enter into non-functional currency transactions, both intercompany and third party. At each period-end, non-functional currency monetary assets and liabilities are revalued with the change recognized within other income (expense) in our Consolidated Statements of Operations. We enter into monthly foreign exchange forward contracts, which are not designated for hedge accounting, with the intent to reduce earnings volatility associated with currency exposures. As of June 30, 2023, a total of 35 contracts were offsetting our exposures from the euro, pound sterling, Indonesian rupiah, Canadian dollar, Australian dollar and various other currencies, with notional amounts ranging from $97,000 to $41.8 million.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In future periods, we may use additional derivative contracts to protect against foreign currency exchange rate risks.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An evaluation was performed under the supervision and with the participation of our Company's management, including the Chief Executive Officer and Chief Financial Officer, of the effectiveness of the design and operation of the Company's disclosure controls and procedures (as such term is defined in Rules 13a-15(e) and 15d-15(e)) under the Securities Exchange Act of 1934 as amended. Based on that evaluation, the Company's management, including the Chief Executive Officer and Chief Financial Officer, concluded that as of June 30, 2023, the Company's disclosure controls and procedures were effective to ensure the information required to be disclosed by an issuer in the reports that it files or submits under the Securities Exchange Act of 1934 is accumulated and communicated to our management, including our principal executive and principal financial officers, or persons performing similar functions, as appropriate to allow timely decisions regarding required disclosure.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w:t>
      </w:r>
    </w:p>
    <w:p>
      <w:pPr>
        <w:spacing w:after="0" w:line="19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Changes in internal controls over financial reporting</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There have been no changes in our internal control over financial reporting during the three months ended June 30, 2023 that materially affected, or are reasonably likely to materially affect, internal control over financial reporting.</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color w:val="auto"/>
        </w:rPr>
        <w:t>Refer to Item 1: Financial Statements (Unaudited), Note 11: Commitments and Contingencies included in this Quarterly Report on Form 10-Q.</w:t>
      </w:r>
    </w:p>
    <w:p>
      <w:pPr>
        <w:spacing w:after="0" w:line="260"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a complete list of Risk Factors, refer to Part I, Item 1A: Risk Factors of our Annual Report on Form 10-K for the fiscal year ended December 31, 2022, which was filed with the Securities and Exchange Commission on February 27, 2023.</w:t>
      </w:r>
    </w:p>
    <w:p>
      <w:pPr>
        <w:spacing w:after="0" w:line="200" w:lineRule="exact"/>
        <w:rPr>
          <w:sz w:val="20"/>
          <w:szCs w:val="20"/>
          <w:color w:val="auto"/>
        </w:rPr>
      </w:pPr>
    </w:p>
    <w:p>
      <w:pPr>
        <w:spacing w:after="0" w:line="236"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56"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Issuer Repurchase of Equity Securities.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94"/>
              </w:rPr>
              <w:t>Total Number of</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jc w:val="center"/>
              <w:ind w:right="19"/>
              <w:spacing w:after="0"/>
              <w:rPr>
                <w:sz w:val="20"/>
                <w:szCs w:val="20"/>
                <w:color w:val="auto"/>
              </w:rPr>
            </w:pPr>
            <w:r>
              <w:rPr>
                <w:rFonts w:ascii="Arial" w:cs="Arial" w:eastAsia="Arial" w:hAnsi="Arial"/>
                <w:sz w:val="16"/>
                <w:szCs w:val="16"/>
                <w:b w:val="1"/>
                <w:bCs w:val="1"/>
                <w:color w:val="auto"/>
                <w:w w:val="97"/>
              </w:rPr>
              <w:t>Maximum Dollar</w:t>
            </w:r>
          </w:p>
        </w:tc>
        <w:tc>
          <w:tcPr>
            <w:tcW w:w="0" w:type="dxa"/>
            <w:vAlign w:val="bottom"/>
          </w:tcPr>
          <w:p>
            <w:pPr>
              <w:spacing w:after="0"/>
              <w:rPr>
                <w:sz w:val="1"/>
                <w:szCs w:val="1"/>
                <w:color w:val="auto"/>
              </w:rPr>
            </w:pPr>
          </w:p>
        </w:tc>
      </w:tr>
      <w:tr>
        <w:trPr>
          <w:trHeight w:val="162"/>
        </w:trPr>
        <w:tc>
          <w:tcPr>
            <w:tcW w:w="45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6"/>
              </w:rPr>
              <w:t>Shares Purchased as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jc w:val="center"/>
              <w:ind w:right="19"/>
              <w:spacing w:after="0" w:line="162" w:lineRule="exact"/>
              <w:rPr>
                <w:sz w:val="20"/>
                <w:szCs w:val="20"/>
                <w:color w:val="auto"/>
              </w:rPr>
            </w:pPr>
            <w:r>
              <w:rPr>
                <w:rFonts w:ascii="Arial" w:cs="Arial" w:eastAsia="Arial" w:hAnsi="Arial"/>
                <w:sz w:val="16"/>
                <w:szCs w:val="16"/>
                <w:b w:val="1"/>
                <w:bCs w:val="1"/>
                <w:color w:val="auto"/>
                <w:w w:val="90"/>
              </w:rPr>
              <w:t>Value of Shares that</w:t>
            </w:r>
          </w:p>
        </w:tc>
        <w:tc>
          <w:tcPr>
            <w:tcW w:w="0" w:type="dxa"/>
            <w:vAlign w:val="bottom"/>
          </w:tcPr>
          <w:p>
            <w:pPr>
              <w:spacing w:after="0"/>
              <w:rPr>
                <w:sz w:val="1"/>
                <w:szCs w:val="1"/>
                <w:color w:val="auto"/>
              </w:rPr>
            </w:pPr>
          </w:p>
        </w:tc>
      </w:tr>
      <w:tr>
        <w:trPr>
          <w:trHeight w:val="162"/>
        </w:trPr>
        <w:tc>
          <w:tcPr>
            <w:tcW w:w="4540" w:type="dxa"/>
            <w:vAlign w:val="bottom"/>
          </w:tcPr>
          <w:p>
            <w:pPr>
              <w:spacing w:after="0"/>
              <w:rPr>
                <w:sz w:val="14"/>
                <w:szCs w:val="14"/>
                <w:color w:val="auto"/>
              </w:rPr>
            </w:pPr>
          </w:p>
        </w:tc>
        <w:tc>
          <w:tcPr>
            <w:tcW w:w="1820" w:type="dxa"/>
            <w:vAlign w:val="bottom"/>
            <w:gridSpan w:val="3"/>
            <w:vMerge w:val="restart"/>
          </w:tcPr>
          <w:p>
            <w:pPr>
              <w:ind w:left="220"/>
              <w:spacing w:after="0"/>
              <w:rPr>
                <w:sz w:val="20"/>
                <w:szCs w:val="20"/>
                <w:color w:val="auto"/>
              </w:rPr>
            </w:pPr>
            <w:r>
              <w:rPr>
                <w:rFonts w:ascii="Arial" w:cs="Arial" w:eastAsia="Arial" w:hAnsi="Arial"/>
                <w:sz w:val="16"/>
                <w:szCs w:val="16"/>
                <w:b w:val="1"/>
                <w:bCs w:val="1"/>
                <w:color w:val="auto"/>
              </w:rPr>
              <w:t>Total Number of</w:t>
            </w:r>
          </w:p>
        </w:tc>
        <w:tc>
          <w:tcPr>
            <w:tcW w:w="1480" w:type="dxa"/>
            <w:vAlign w:val="bottom"/>
            <w:vMerge w:val="restart"/>
          </w:tcPr>
          <w:p>
            <w:pPr>
              <w:jc w:val="center"/>
              <w:ind w:right="39"/>
              <w:spacing w:after="0"/>
              <w:rPr>
                <w:sz w:val="20"/>
                <w:szCs w:val="20"/>
                <w:color w:val="auto"/>
              </w:rPr>
            </w:pPr>
            <w:r>
              <w:rPr>
                <w:rFonts w:ascii="Arial" w:cs="Arial" w:eastAsia="Arial" w:hAnsi="Arial"/>
                <w:sz w:val="16"/>
                <w:szCs w:val="16"/>
                <w:b w:val="1"/>
                <w:bCs w:val="1"/>
                <w:color w:val="auto"/>
                <w:w w:val="91"/>
              </w:rPr>
              <w:t>Average Price Paid</w:t>
            </w:r>
          </w:p>
        </w:tc>
        <w:tc>
          <w:tcPr>
            <w:tcW w:w="100" w:type="dxa"/>
            <w:vAlign w:val="bottom"/>
          </w:tcPr>
          <w:p>
            <w:pPr>
              <w:spacing w:after="0"/>
              <w:rPr>
                <w:sz w:val="14"/>
                <w:szCs w:val="14"/>
                <w:color w:val="auto"/>
              </w:rPr>
            </w:pPr>
          </w:p>
        </w:tc>
        <w:tc>
          <w:tcPr>
            <w:tcW w:w="16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2"/>
              </w:rPr>
              <w:t>Part of Publicly</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jc w:val="center"/>
              <w:ind w:right="19"/>
              <w:spacing w:after="0" w:line="162" w:lineRule="exact"/>
              <w:rPr>
                <w:sz w:val="20"/>
                <w:szCs w:val="20"/>
                <w:color w:val="auto"/>
              </w:rPr>
            </w:pPr>
            <w:r>
              <w:rPr>
                <w:rFonts w:ascii="Arial" w:cs="Arial" w:eastAsia="Arial" w:hAnsi="Arial"/>
                <w:sz w:val="16"/>
                <w:szCs w:val="16"/>
                <w:b w:val="1"/>
                <w:bCs w:val="1"/>
                <w:color w:val="auto"/>
                <w:w w:val="93"/>
              </w:rPr>
              <w:t>May Yet Be</w:t>
            </w:r>
          </w:p>
        </w:tc>
        <w:tc>
          <w:tcPr>
            <w:tcW w:w="0" w:type="dxa"/>
            <w:vAlign w:val="bottom"/>
          </w:tcPr>
          <w:p>
            <w:pPr>
              <w:spacing w:after="0"/>
              <w:rPr>
                <w:sz w:val="1"/>
                <w:szCs w:val="1"/>
                <w:color w:val="auto"/>
              </w:rPr>
            </w:pPr>
          </w:p>
        </w:tc>
      </w:tr>
      <w:tr>
        <w:trPr>
          <w:trHeight w:val="162"/>
        </w:trPr>
        <w:tc>
          <w:tcPr>
            <w:tcW w:w="45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Period</w:t>
            </w:r>
          </w:p>
        </w:tc>
        <w:tc>
          <w:tcPr>
            <w:tcW w:w="1820" w:type="dxa"/>
            <w:vAlign w:val="bottom"/>
            <w:gridSpan w:val="3"/>
            <w:vMerge w:val="continue"/>
          </w:tcPr>
          <w:p>
            <w:pPr>
              <w:spacing w:after="0"/>
              <w:rPr>
                <w:sz w:val="14"/>
                <w:szCs w:val="14"/>
                <w:color w:val="auto"/>
              </w:rPr>
            </w:pPr>
          </w:p>
        </w:tc>
        <w:tc>
          <w:tcPr>
            <w:tcW w:w="14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9"/>
              </w:rPr>
              <w:t>Announced Plans or</w:t>
            </w:r>
          </w:p>
        </w:tc>
        <w:tc>
          <w:tcPr>
            <w:tcW w:w="100" w:type="dxa"/>
            <w:vAlign w:val="bottom"/>
          </w:tcPr>
          <w:p>
            <w:pPr>
              <w:spacing w:after="0"/>
              <w:rPr>
                <w:sz w:val="14"/>
                <w:szCs w:val="14"/>
                <w:color w:val="auto"/>
              </w:rPr>
            </w:pPr>
          </w:p>
        </w:tc>
        <w:tc>
          <w:tcPr>
            <w:tcW w:w="160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w w:val="90"/>
              </w:rPr>
              <w:t>Purchased Under the</w:t>
            </w:r>
          </w:p>
        </w:tc>
        <w:tc>
          <w:tcPr>
            <w:tcW w:w="0" w:type="dxa"/>
            <w:vAlign w:val="bottom"/>
          </w:tcPr>
          <w:p>
            <w:pPr>
              <w:spacing w:after="0"/>
              <w:rPr>
                <w:sz w:val="1"/>
                <w:szCs w:val="1"/>
                <w:color w:val="auto"/>
              </w:rPr>
            </w:pPr>
          </w:p>
        </w:tc>
      </w:tr>
      <w:tr>
        <w:trPr>
          <w:trHeight w:val="216"/>
        </w:trPr>
        <w:tc>
          <w:tcPr>
            <w:tcW w:w="4540" w:type="dxa"/>
            <w:vAlign w:val="bottom"/>
            <w:vMerge w:val="continue"/>
          </w:tcPr>
          <w:p>
            <w:pPr>
              <w:spacing w:after="0"/>
              <w:rPr>
                <w:sz w:val="18"/>
                <w:szCs w:val="18"/>
                <w:color w:val="auto"/>
              </w:rPr>
            </w:pPr>
          </w:p>
        </w:tc>
        <w:tc>
          <w:tcPr>
            <w:tcW w:w="1820" w:type="dxa"/>
            <w:vAlign w:val="bottom"/>
            <w:gridSpan w:val="3"/>
          </w:tcPr>
          <w:p>
            <w:pPr>
              <w:ind w:left="100"/>
              <w:spacing w:after="0" w:line="216" w:lineRule="exact"/>
              <w:rPr>
                <w:sz w:val="20"/>
                <w:szCs w:val="20"/>
                <w:color w:val="auto"/>
              </w:rPr>
            </w:pPr>
            <w:r>
              <w:rPr>
                <w:rFonts w:ascii="Arial" w:cs="Arial" w:eastAsia="Arial" w:hAnsi="Arial"/>
                <w:sz w:val="16"/>
                <w:szCs w:val="16"/>
                <w:b w:val="1"/>
                <w:bCs w:val="1"/>
                <w:color w:val="auto"/>
              </w:rPr>
              <w:t xml:space="preserve">Shares Purchased </w:t>
            </w:r>
            <w:r>
              <w:rPr>
                <w:rFonts w:ascii="Arial" w:cs="Arial" w:eastAsia="Arial" w:hAnsi="Arial"/>
                <w:sz w:val="21"/>
                <w:szCs w:val="21"/>
                <w:b w:val="1"/>
                <w:bCs w:val="1"/>
                <w:color w:val="auto"/>
                <w:vertAlign w:val="superscript"/>
              </w:rPr>
              <w:t>(1)</w:t>
            </w:r>
          </w:p>
        </w:tc>
        <w:tc>
          <w:tcPr>
            <w:tcW w:w="1480" w:type="dxa"/>
            <w:vAlign w:val="bottom"/>
          </w:tcPr>
          <w:p>
            <w:pPr>
              <w:jc w:val="center"/>
              <w:ind w:right="39"/>
              <w:spacing w:after="0" w:line="216" w:lineRule="exact"/>
              <w:rPr>
                <w:sz w:val="20"/>
                <w:szCs w:val="20"/>
                <w:color w:val="auto"/>
              </w:rPr>
            </w:pPr>
            <w:r>
              <w:rPr>
                <w:rFonts w:ascii="Arial" w:cs="Arial" w:eastAsia="Arial" w:hAnsi="Arial"/>
                <w:sz w:val="16"/>
                <w:szCs w:val="16"/>
                <w:b w:val="1"/>
                <w:bCs w:val="1"/>
                <w:color w:val="auto"/>
                <w:w w:val="88"/>
              </w:rPr>
              <w:t xml:space="preserve">per Share </w:t>
            </w:r>
            <w:r>
              <w:rPr>
                <w:rFonts w:ascii="Arial" w:cs="Arial" w:eastAsia="Arial" w:hAnsi="Arial"/>
                <w:sz w:val="21"/>
                <w:szCs w:val="21"/>
                <w:b w:val="1"/>
                <w:bCs w:val="1"/>
                <w:color w:val="auto"/>
                <w:w w:val="88"/>
                <w:vertAlign w:val="superscript"/>
              </w:rPr>
              <w:t>(2)</w:t>
            </w:r>
          </w:p>
        </w:tc>
        <w:tc>
          <w:tcPr>
            <w:tcW w:w="1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90"/>
              </w:rPr>
              <w:t>Programs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jc w:val="center"/>
              <w:ind w:right="19"/>
              <w:spacing w:after="0"/>
              <w:rPr>
                <w:sz w:val="20"/>
                <w:szCs w:val="20"/>
                <w:color w:val="auto"/>
              </w:rPr>
            </w:pPr>
            <w:r>
              <w:rPr>
                <w:rFonts w:ascii="Arial" w:cs="Arial" w:eastAsia="Arial" w:hAnsi="Arial"/>
                <w:sz w:val="16"/>
                <w:szCs w:val="16"/>
                <w:b w:val="1"/>
                <w:bCs w:val="1"/>
                <w:color w:val="auto"/>
                <w:w w:val="89"/>
              </w:rPr>
              <w:t>Plans or Programs</w:t>
            </w:r>
          </w:p>
        </w:tc>
        <w:tc>
          <w:tcPr>
            <w:tcW w:w="0" w:type="dxa"/>
            <w:vAlign w:val="bottom"/>
          </w:tcPr>
          <w:p>
            <w:pPr>
              <w:spacing w:after="0"/>
              <w:rPr>
                <w:sz w:val="1"/>
                <w:szCs w:val="1"/>
                <w:color w:val="auto"/>
              </w:rPr>
            </w:pPr>
          </w:p>
        </w:tc>
      </w:tr>
      <w:tr>
        <w:trPr>
          <w:trHeight w:val="207"/>
        </w:trPr>
        <w:tc>
          <w:tcPr>
            <w:tcW w:w="454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jc w:val="center"/>
              <w:ind w:right="19"/>
              <w:spacing w:after="0"/>
              <w:rPr>
                <w:sz w:val="20"/>
                <w:szCs w:val="20"/>
                <w:color w:val="auto"/>
              </w:rPr>
            </w:pPr>
            <w:r>
              <w:rPr>
                <w:rFonts w:ascii="Arial" w:cs="Arial" w:eastAsia="Arial" w:hAnsi="Arial"/>
                <w:sz w:val="16"/>
                <w:szCs w:val="16"/>
                <w:i w:val="1"/>
                <w:iCs w:val="1"/>
                <w:color w:val="auto"/>
                <w:w w:val="91"/>
              </w:rPr>
              <w:t>In thousands</w:t>
            </w:r>
          </w:p>
        </w:tc>
        <w:tc>
          <w:tcPr>
            <w:tcW w:w="0" w:type="dxa"/>
            <w:vAlign w:val="bottom"/>
          </w:tcPr>
          <w:p>
            <w:pPr>
              <w:spacing w:after="0"/>
              <w:rPr>
                <w:sz w:val="1"/>
                <w:szCs w:val="1"/>
                <w:color w:val="auto"/>
              </w:rPr>
            </w:pPr>
          </w:p>
        </w:tc>
      </w:tr>
      <w:tr>
        <w:trPr>
          <w:trHeight w:val="219"/>
        </w:trPr>
        <w:tc>
          <w:tcPr>
            <w:tcW w:w="4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April 1, 2023 through April 30, 2023</w:t>
            </w:r>
          </w:p>
        </w:tc>
        <w:tc>
          <w:tcPr>
            <w:tcW w:w="1820" w:type="dxa"/>
            <w:vAlign w:val="bottom"/>
            <w:gridSpan w:val="3"/>
            <w:shd w:val="clear" w:color="auto" w:fill="CCEEFF"/>
          </w:tcPr>
          <w:p>
            <w:pPr>
              <w:ind w:left="1360"/>
              <w:spacing w:after="0"/>
              <w:rPr>
                <w:sz w:val="20"/>
                <w:szCs w:val="20"/>
                <w:color w:val="auto"/>
              </w:rPr>
            </w:pPr>
            <w:r>
              <w:rPr>
                <w:rFonts w:ascii="Arial" w:cs="Arial" w:eastAsia="Arial" w:hAnsi="Arial"/>
                <w:sz w:val="16"/>
                <w:szCs w:val="16"/>
                <w:color w:val="auto"/>
              </w:rPr>
              <w:t>—   $</w:t>
            </w:r>
          </w:p>
        </w:tc>
        <w:tc>
          <w:tcPr>
            <w:tcW w:w="1480" w:type="dxa"/>
            <w:vAlign w:val="bottom"/>
            <w:shd w:val="clear" w:color="auto" w:fill="CCEEFF"/>
          </w:tcPr>
          <w:p>
            <w:pPr>
              <w:ind w:left="1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ind w:left="1360"/>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75,000</w:t>
            </w:r>
          </w:p>
        </w:tc>
        <w:tc>
          <w:tcPr>
            <w:tcW w:w="0" w:type="dxa"/>
            <w:vAlign w:val="bottom"/>
          </w:tcPr>
          <w:p>
            <w:pPr>
              <w:spacing w:after="0"/>
              <w:rPr>
                <w:sz w:val="1"/>
                <w:szCs w:val="1"/>
                <w:color w:val="auto"/>
              </w:rPr>
            </w:pPr>
          </w:p>
        </w:tc>
      </w:tr>
      <w:tr>
        <w:trPr>
          <w:trHeight w:val="213"/>
        </w:trPr>
        <w:tc>
          <w:tcPr>
            <w:tcW w:w="4540" w:type="dxa"/>
            <w:vAlign w:val="bottom"/>
          </w:tcPr>
          <w:p>
            <w:pPr>
              <w:ind w:left="20"/>
              <w:spacing w:after="0"/>
              <w:rPr>
                <w:sz w:val="20"/>
                <w:szCs w:val="20"/>
                <w:color w:val="auto"/>
              </w:rPr>
            </w:pPr>
            <w:r>
              <w:rPr>
                <w:rFonts w:ascii="Arial" w:cs="Arial" w:eastAsia="Arial" w:hAnsi="Arial"/>
                <w:sz w:val="16"/>
                <w:szCs w:val="16"/>
                <w:color w:val="auto"/>
              </w:rPr>
              <w:t>May 1, 2023 through May 31, 2023</w:t>
            </w:r>
          </w:p>
        </w:tc>
        <w:tc>
          <w:tcPr>
            <w:tcW w:w="1820" w:type="dxa"/>
            <w:vAlign w:val="bottom"/>
            <w:gridSpan w:val="3"/>
          </w:tcPr>
          <w:p>
            <w:pPr>
              <w:ind w:left="1360"/>
              <w:spacing w:after="0"/>
              <w:rPr>
                <w:sz w:val="20"/>
                <w:szCs w:val="20"/>
                <w:color w:val="auto"/>
              </w:rPr>
            </w:pPr>
            <w:r>
              <w:rPr>
                <w:rFonts w:ascii="Arial" w:cs="Arial" w:eastAsia="Arial" w:hAnsi="Arial"/>
                <w:sz w:val="16"/>
                <w:szCs w:val="16"/>
                <w:color w:val="auto"/>
              </w:rPr>
              <w:t>—</w:t>
            </w:r>
          </w:p>
        </w:tc>
        <w:tc>
          <w:tcPr>
            <w:tcW w:w="1480" w:type="dxa"/>
            <w:vAlign w:val="bottom"/>
          </w:tcPr>
          <w:p>
            <w:pPr>
              <w:ind w:left="1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0" w:type="dxa"/>
            <w:vAlign w:val="bottom"/>
          </w:tcPr>
          <w:p>
            <w:pPr>
              <w:ind w:left="13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100,000</w:t>
            </w:r>
          </w:p>
        </w:tc>
        <w:tc>
          <w:tcPr>
            <w:tcW w:w="0" w:type="dxa"/>
            <w:vAlign w:val="bottom"/>
          </w:tcPr>
          <w:p>
            <w:pPr>
              <w:spacing w:after="0"/>
              <w:rPr>
                <w:sz w:val="1"/>
                <w:szCs w:val="1"/>
                <w:color w:val="auto"/>
              </w:rPr>
            </w:pPr>
          </w:p>
        </w:tc>
      </w:tr>
      <w:tr>
        <w:trPr>
          <w:trHeight w:val="219"/>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June 1, 2023 through June 30, 2023</w:t>
            </w:r>
          </w:p>
        </w:tc>
        <w:tc>
          <w:tcPr>
            <w:tcW w:w="1580" w:type="dxa"/>
            <w:vAlign w:val="bottom"/>
            <w:tcBorders>
              <w:bottom w:val="single" w:sz="8" w:color="auto"/>
            </w:tcBorders>
            <w:shd w:val="clear" w:color="auto" w:fill="CCEEFF"/>
          </w:tcPr>
          <w:p>
            <w:pPr>
              <w:ind w:left="13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gridSpan w:val="2"/>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ind w:left="1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ind w:left="13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0" w:type="dxa"/>
            <w:vAlign w:val="bottom"/>
          </w:tcPr>
          <w:p>
            <w:pPr>
              <w:spacing w:after="0"/>
              <w:rPr>
                <w:sz w:val="1"/>
                <w:szCs w:val="1"/>
                <w:color w:val="auto"/>
              </w:rPr>
            </w:pPr>
          </w:p>
        </w:tc>
      </w:tr>
      <w:tr>
        <w:trPr>
          <w:trHeight w:val="210"/>
        </w:trPr>
        <w:tc>
          <w:tcPr>
            <w:tcW w:w="4540" w:type="dxa"/>
            <w:vAlign w:val="bottom"/>
          </w:tcPr>
          <w:p>
            <w:pPr>
              <w:ind w:left="220"/>
              <w:spacing w:after="0"/>
              <w:rPr>
                <w:sz w:val="20"/>
                <w:szCs w:val="20"/>
                <w:color w:val="auto"/>
              </w:rPr>
            </w:pPr>
            <w:r>
              <w:rPr>
                <w:rFonts w:ascii="Arial" w:cs="Arial" w:eastAsia="Arial" w:hAnsi="Arial"/>
                <w:sz w:val="16"/>
                <w:szCs w:val="16"/>
                <w:color w:val="auto"/>
              </w:rPr>
              <w:t>Total</w:t>
            </w:r>
          </w:p>
        </w:tc>
        <w:tc>
          <w:tcPr>
            <w:tcW w:w="1820" w:type="dxa"/>
            <w:vAlign w:val="bottom"/>
            <w:gridSpan w:val="3"/>
          </w:tcPr>
          <w:p>
            <w:pPr>
              <w:ind w:left="1360"/>
              <w:spacing w:after="0"/>
              <w:rPr>
                <w:sz w:val="20"/>
                <w:szCs w:val="20"/>
                <w:color w:val="auto"/>
              </w:rPr>
            </w:pPr>
            <w:r>
              <w:rPr>
                <w:rFonts w:ascii="Arial" w:cs="Arial" w:eastAsia="Arial" w:hAnsi="Arial"/>
                <w:sz w:val="16"/>
                <w:szCs w:val="16"/>
                <w:color w:val="auto"/>
              </w:rPr>
              <w:t>—</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ind w:left="13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4" w:lineRule="exact"/>
        <w:rPr>
          <w:sz w:val="20"/>
          <w:szCs w:val="20"/>
          <w:color w:val="auto"/>
        </w:rPr>
      </w:pPr>
    </w:p>
    <w:p>
      <w:pPr>
        <w:ind w:left="340" w:hanging="332"/>
        <w:spacing w:after="0"/>
        <w:tabs>
          <w:tab w:leader="none" w:pos="340" w:val="left"/>
        </w:tabs>
        <w:numPr>
          <w:ilvl w:val="0"/>
          <w:numId w:val="9"/>
        </w:numPr>
        <w:rPr>
          <w:rFonts w:ascii="Arial" w:cs="Arial" w:eastAsia="Arial" w:hAnsi="Arial"/>
          <w:sz w:val="20"/>
          <w:szCs w:val="20"/>
          <w:color w:val="auto"/>
          <w:vertAlign w:val="superscript"/>
        </w:rPr>
      </w:pPr>
      <w:r>
        <w:rPr>
          <w:rFonts w:ascii="Arial" w:cs="Arial" w:eastAsia="Arial" w:hAnsi="Arial"/>
          <w:sz w:val="15"/>
          <w:szCs w:val="15"/>
          <w:color w:val="auto"/>
        </w:rPr>
        <w:t>Effective May 11, 2023, Itron's Board of Directors authorized a share repurchase program of up to $100 million of Itron's common stock over an 18-month period.</w:t>
      </w:r>
    </w:p>
    <w:p>
      <w:pPr>
        <w:spacing w:after="0" w:line="50" w:lineRule="exact"/>
        <w:rPr>
          <w:rFonts w:ascii="Arial" w:cs="Arial" w:eastAsia="Arial" w:hAnsi="Arial"/>
          <w:sz w:val="20"/>
          <w:szCs w:val="20"/>
          <w:color w:val="auto"/>
          <w:vertAlign w:val="superscript"/>
        </w:rPr>
      </w:pPr>
    </w:p>
    <w:p>
      <w:pPr>
        <w:ind w:left="340" w:hanging="332"/>
        <w:spacing w:after="0" w:line="191" w:lineRule="auto"/>
        <w:tabs>
          <w:tab w:leader="none" w:pos="340" w:val="left"/>
        </w:tabs>
        <w:numPr>
          <w:ilvl w:val="0"/>
          <w:numId w:val="9"/>
        </w:numPr>
        <w:rPr>
          <w:rFonts w:ascii="Arial" w:cs="Arial" w:eastAsia="Arial" w:hAnsi="Arial"/>
          <w:sz w:val="21"/>
          <w:szCs w:val="21"/>
          <w:color w:val="auto"/>
          <w:vertAlign w:val="superscript"/>
        </w:rPr>
      </w:pPr>
      <w:r>
        <w:rPr>
          <w:rFonts w:ascii="Arial" w:cs="Arial" w:eastAsia="Arial" w:hAnsi="Arial"/>
          <w:sz w:val="16"/>
          <w:szCs w:val="16"/>
          <w:color w:val="auto"/>
        </w:rPr>
        <w:t>Excludes commissions.</w:t>
      </w:r>
    </w:p>
    <w:p>
      <w:pPr>
        <w:spacing w:after="0" w:line="231"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56"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 information was required to be disclosed in a report on Form 8-K during the second quarter of 2023 that was not reported.</w:t>
      </w:r>
    </w:p>
    <w:p>
      <w:pPr>
        <w:spacing w:after="0" w:line="252" w:lineRule="exact"/>
        <w:rPr>
          <w:rFonts w:ascii="Arial" w:cs="Arial" w:eastAsia="Arial" w:hAnsi="Arial"/>
          <w:sz w:val="18"/>
          <w:szCs w:val="18"/>
          <w:color w:val="auto"/>
        </w:rPr>
      </w:pPr>
    </w:p>
    <w:p>
      <w:pPr>
        <w:jc w:val="both"/>
        <w:ind w:left="660"/>
        <w:spacing w:after="0" w:line="263" w:lineRule="auto"/>
        <w:rPr>
          <w:rFonts w:ascii="Arial" w:cs="Arial" w:eastAsia="Arial" w:hAnsi="Arial"/>
          <w:sz w:val="18"/>
          <w:szCs w:val="18"/>
          <w:color w:val="auto"/>
        </w:rPr>
      </w:pPr>
      <w:r>
        <w:rPr>
          <w:rFonts w:ascii="Arial" w:cs="Arial" w:eastAsia="Arial" w:hAnsi="Arial"/>
          <w:sz w:val="18"/>
          <w:szCs w:val="18"/>
          <w:color w:val="auto"/>
        </w:rPr>
        <w:t>The information below relates to the timing requirements for shareholder proposals and nominations for the election of directors to be brought at the 2024 annual meeting, which updates the information provided under the same heading in the section titled "Shareholder Proposals for the 2024 Annual Meeting" in the Company's proxy statement filed with the SEC on March 21, 2023.</w:t>
      </w:r>
    </w:p>
    <w:p>
      <w:pPr>
        <w:spacing w:after="0" w:line="21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i w:val="1"/>
          <w:iCs w:val="1"/>
          <w:color w:val="auto"/>
        </w:rPr>
        <w:t>Requirements for Shareholder Proposals and Nominations to be Brought Before the Annual Meeting</w:t>
      </w:r>
    </w:p>
    <w:p>
      <w:pPr>
        <w:spacing w:after="0" w:line="252" w:lineRule="exact"/>
        <w:rPr>
          <w:rFonts w:ascii="Arial" w:cs="Arial" w:eastAsia="Arial" w:hAnsi="Arial"/>
          <w:sz w:val="18"/>
          <w:szCs w:val="18"/>
          <w:color w:val="auto"/>
        </w:rPr>
      </w:pPr>
    </w:p>
    <w:p>
      <w:pPr>
        <w:ind w:left="660"/>
        <w:spacing w:after="0" w:line="277" w:lineRule="auto"/>
        <w:rPr>
          <w:rFonts w:ascii="Arial" w:cs="Arial" w:eastAsia="Arial" w:hAnsi="Arial"/>
          <w:sz w:val="18"/>
          <w:szCs w:val="18"/>
          <w:color w:val="auto"/>
        </w:rPr>
      </w:pPr>
      <w:r>
        <w:rPr>
          <w:rFonts w:ascii="Arial" w:cs="Arial" w:eastAsia="Arial" w:hAnsi="Arial"/>
          <w:sz w:val="18"/>
          <w:szCs w:val="18"/>
          <w:color w:val="auto"/>
        </w:rPr>
        <w:t>For reference, the Company's 2023 Annual Meeting was held on May 11, 2023, and the Company expects the 2024 annual meeting to be held on May 9, 2024.</w:t>
      </w:r>
    </w:p>
    <w:p>
      <w:pPr>
        <w:spacing w:after="0" w:line="197" w:lineRule="exact"/>
        <w:rPr>
          <w:rFonts w:ascii="Arial" w:cs="Arial" w:eastAsia="Arial" w:hAnsi="Arial"/>
          <w:sz w:val="18"/>
          <w:szCs w:val="18"/>
          <w:color w:val="auto"/>
        </w:rPr>
      </w:pPr>
    </w:p>
    <w:p>
      <w:pPr>
        <w:jc w:val="both"/>
        <w:ind w:left="660"/>
        <w:spacing w:after="0" w:line="273" w:lineRule="auto"/>
        <w:rPr>
          <w:rFonts w:ascii="Arial" w:cs="Arial" w:eastAsia="Arial" w:hAnsi="Arial"/>
          <w:sz w:val="18"/>
          <w:szCs w:val="18"/>
          <w:color w:val="auto"/>
        </w:rPr>
      </w:pPr>
      <w:r>
        <w:rPr>
          <w:rFonts w:ascii="Arial" w:cs="Arial" w:eastAsia="Arial" w:hAnsi="Arial"/>
          <w:sz w:val="17"/>
          <w:szCs w:val="17"/>
          <w:color w:val="auto"/>
        </w:rPr>
        <w:t>Shareholders who wish to submit nominations for the election of directors or proposals that will not be included in our proxy materials must do so in accordance with the advance notice provisions and other applicable requirements set forth in our Amended and Restated Bylaws. Our Amended and Restated Bylaws provide that the notice of proposals to be considered at our annual meeting must be received by Itron at least 90 days and not more than 120 days prior to the anniversary date of the prior year's annual meeting. Accordingly, shareholders who intend to present proposals at the 2024 annual meeting that will not be included in our proxy materials must provide to our Corporate Secretary written notice of the business they wish to propose not later than February 11, 2024 and no sooner than January 12, 2024.</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left="660"/>
        <w:spacing w:after="0" w:line="293" w:lineRule="auto"/>
        <w:rPr>
          <w:sz w:val="20"/>
          <w:szCs w:val="20"/>
          <w:color w:val="auto"/>
        </w:rPr>
      </w:pPr>
      <w:r>
        <w:rPr>
          <w:rFonts w:ascii="Arial" w:cs="Arial" w:eastAsia="Arial" w:hAnsi="Arial"/>
          <w:sz w:val="16"/>
          <w:szCs w:val="16"/>
          <w:color w:val="auto"/>
        </w:rPr>
        <w:t>Additionally, our Amended and Restated Bylaws provide that the notice of nominations for election of directors must be received at least 90 days and not more than 120 days prior to the date of our annual meeting (or if less than 60 days' notice or prior public disclosure of the date of such annual meeting is given or made to the shareholders, not later than the tenth day following the day on which notice of the date of the annual meeting was mailed or public disclosure was made). Based on the expected date of the 2024 annual meeting, shareholders who intend to present notice of nominations for election of directors at the 2024 annual meeting that will not be included in our proxy materials must provide to our Corporate Secretary written notice of the business they wish to propose not later than February 9, 2024 and no sooner than January 10, 2024.</w:t>
      </w:r>
    </w:p>
    <w:p>
      <w:pPr>
        <w:spacing w:after="0" w:line="191" w:lineRule="exact"/>
        <w:rPr>
          <w:sz w:val="20"/>
          <w:szCs w:val="20"/>
          <w:color w:val="auto"/>
        </w:rPr>
      </w:pPr>
    </w:p>
    <w:p>
      <w:pPr>
        <w:jc w:val="both"/>
        <w:ind w:left="660"/>
        <w:spacing w:after="0" w:line="311" w:lineRule="auto"/>
        <w:rPr>
          <w:sz w:val="20"/>
          <w:szCs w:val="20"/>
          <w:color w:val="auto"/>
        </w:rPr>
      </w:pPr>
      <w:r>
        <w:rPr>
          <w:rFonts w:ascii="Arial" w:cs="Arial" w:eastAsia="Arial" w:hAnsi="Arial"/>
          <w:sz w:val="16"/>
          <w:szCs w:val="16"/>
          <w:color w:val="auto"/>
        </w:rPr>
        <w:t>Our timely receipt of a proposal or nomination by a qualified shareholder will not guarantee inclusion in our proxy materials or presentation at the 2024 annual meeting. We reserve the right to reject, rule out of order, or take other appropriate action with respect to any proposal or nomination that does not comply with all applicable requirements of the SEC's proxy rules, state law, and our Amended and Restated Bylaws.</w:t>
      </w:r>
    </w:p>
    <w:p>
      <w:pPr>
        <w:spacing w:after="0" w:line="176"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Shareholders who intend to solicit proxies in reliance on the SEC's universal proxy rule for director nominees submitted under the advance notice requirements of our Amended and Restated Bylaws must comply with the additional requirements of Rule 14a-19(b).</w:t>
      </w:r>
    </w:p>
    <w:p>
      <w:pPr>
        <w:spacing w:after="0" w:line="197"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Shareholder proposals should be directed to the attention of our Corporate Secretary, Itron, Inc., 2111 N. Molter Road, Liberty Lake, Washington 99019.</w:t>
      </w:r>
    </w:p>
    <w:p>
      <w:pPr>
        <w:spacing w:after="0" w:line="197"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07"/>
        </w:trPr>
        <w:tc>
          <w:tcPr>
            <w:tcW w:w="1420" w:type="dxa"/>
            <w:vAlign w:val="bottom"/>
            <w:gridSpan w:val="3"/>
          </w:tcPr>
          <w:p>
            <w:pPr>
              <w:jc w:val="center"/>
              <w:ind w:right="140"/>
              <w:spacing w:after="0"/>
              <w:rPr>
                <w:sz w:val="20"/>
                <w:szCs w:val="20"/>
                <w:color w:val="auto"/>
              </w:rPr>
            </w:pPr>
            <w:r>
              <w:rPr>
                <w:rFonts w:ascii="Arial" w:cs="Arial" w:eastAsia="Arial" w:hAnsi="Arial"/>
                <w:sz w:val="18"/>
                <w:szCs w:val="18"/>
                <w:color w:val="0000FF"/>
                <w:w w:val="90"/>
              </w:rPr>
              <w:t>Table of Contents</w:t>
            </w:r>
          </w:p>
        </w:tc>
        <w:tc>
          <w:tcPr>
            <w:tcW w:w="20" w:type="dxa"/>
            <w:vAlign w:val="bottom"/>
          </w:tcPr>
          <w:p>
            <w:pPr>
              <w:spacing w:after="0"/>
              <w:rPr>
                <w:sz w:val="17"/>
                <w:szCs w:val="17"/>
                <w:color w:val="auto"/>
              </w:rPr>
            </w:pPr>
          </w:p>
        </w:tc>
        <w:tc>
          <w:tcPr>
            <w:tcW w:w="522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0"/>
        </w:trPr>
        <w:tc>
          <w:tcPr>
            <w:tcW w:w="1420" w:type="dxa"/>
            <w:vAlign w:val="bottom"/>
            <w:gridSpan w:val="3"/>
          </w:tcPr>
          <w:p>
            <w:pPr>
              <w:spacing w:after="0"/>
              <w:rPr>
                <w:sz w:val="20"/>
                <w:szCs w:val="20"/>
                <w:color w:val="auto"/>
              </w:rPr>
            </w:pPr>
            <w:r>
              <w:rPr>
                <w:rFonts w:ascii="Arial" w:cs="Arial" w:eastAsia="Arial" w:hAnsi="Arial"/>
                <w:sz w:val="18"/>
                <w:szCs w:val="18"/>
                <w:b w:val="1"/>
                <w:bCs w:val="1"/>
                <w:color w:val="auto"/>
              </w:rPr>
              <w:t>Item 6:  Exhibits</w:t>
            </w:r>
          </w:p>
        </w:tc>
        <w:tc>
          <w:tcPr>
            <w:tcW w:w="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140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w:t>
            </w:r>
          </w:p>
        </w:tc>
        <w:tc>
          <w:tcPr>
            <w:tcW w:w="20" w:type="dxa"/>
            <w:vAlign w:val="bottom"/>
          </w:tcPr>
          <w:p>
            <w:pPr>
              <w:spacing w:after="0"/>
              <w:rPr>
                <w:sz w:val="24"/>
                <w:szCs w:val="24"/>
                <w:color w:val="auto"/>
              </w:rPr>
            </w:pPr>
          </w:p>
        </w:tc>
        <w:tc>
          <w:tcPr>
            <w:tcW w:w="9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Description of Exhibits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400" w:type="dxa"/>
            <w:vAlign w:val="bottom"/>
            <w:gridSpan w:val="2"/>
          </w:tcPr>
          <w:p>
            <w:pPr>
              <w:ind w:left="20"/>
              <w:spacing w:after="0"/>
              <w:rPr>
                <w:sz w:val="20"/>
                <w:szCs w:val="20"/>
                <w:color w:val="auto"/>
              </w:rPr>
            </w:pPr>
            <w:r>
              <w:rPr>
                <w:rFonts w:ascii="Arial" w:cs="Arial" w:eastAsia="Arial" w:hAnsi="Arial"/>
                <w:sz w:val="18"/>
                <w:szCs w:val="18"/>
                <w:b w:val="1"/>
                <w:bCs w:val="1"/>
                <w:color w:val="auto"/>
              </w:rPr>
              <w:t>Number</w:t>
            </w:r>
          </w:p>
        </w:tc>
        <w:tc>
          <w:tcPr>
            <w:tcW w:w="20" w:type="dxa"/>
            <w:vAlign w:val="bottom"/>
          </w:tcPr>
          <w:p>
            <w:pPr>
              <w:spacing w:after="0"/>
              <w:rPr>
                <w:sz w:val="19"/>
                <w:szCs w:val="19"/>
                <w:color w:val="auto"/>
              </w:rPr>
            </w:pPr>
          </w:p>
        </w:tc>
        <w:tc>
          <w:tcPr>
            <w:tcW w:w="97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8"/>
                <w:szCs w:val="18"/>
                <w:color w:val="auto"/>
                <w:w w:val="91"/>
              </w:rPr>
              <w:t>31.1</w:t>
            </w:r>
          </w:p>
        </w:tc>
        <w:tc>
          <w:tcPr>
            <w:tcW w:w="14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9780" w:type="dxa"/>
            <w:vAlign w:val="bottom"/>
            <w:tcBorders>
              <w:top w:val="single" w:sz="8" w:color="auto"/>
            </w:tcBorders>
            <w:gridSpan w:val="2"/>
          </w:tcPr>
          <w:p>
            <w:pPr>
              <w:spacing w:after="0" w:line="182" w:lineRule="exact"/>
              <w:rPr>
                <w:sz w:val="20"/>
                <w:szCs w:val="20"/>
                <w:color w:val="auto"/>
              </w:rPr>
            </w:pPr>
            <w:r>
              <w:rPr>
                <w:rFonts w:ascii="Arial" w:cs="Arial" w:eastAsia="Arial" w:hAnsi="Arial"/>
                <w:sz w:val="18"/>
                <w:szCs w:val="18"/>
                <w:color w:val="0000FF"/>
              </w:rPr>
              <w:t>Certification Pursuant to Section 302 of the Sarbanes-Oxley Act of 2002</w:t>
            </w:r>
          </w:p>
        </w:tc>
        <w:tc>
          <w:tcPr>
            <w:tcW w:w="0" w:type="dxa"/>
            <w:vAlign w:val="bottom"/>
          </w:tcPr>
          <w:p>
            <w:pPr>
              <w:spacing w:after="0"/>
              <w:rPr>
                <w:sz w:val="1"/>
                <w:szCs w:val="1"/>
                <w:color w:val="auto"/>
              </w:rPr>
            </w:pPr>
          </w:p>
        </w:tc>
      </w:tr>
      <w:tr>
        <w:trPr>
          <w:trHeight w:val="20"/>
        </w:trPr>
        <w:tc>
          <w:tcPr>
            <w:tcW w:w="1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20" w:type="dxa"/>
            <w:vAlign w:val="bottom"/>
            <w:shd w:val="clear" w:color="auto" w:fill="0000FF"/>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1280" w:type="dxa"/>
            <w:vAlign w:val="bottom"/>
            <w:gridSpan w:val="2"/>
          </w:tcPr>
          <w:p>
            <w:pPr>
              <w:jc w:val="center"/>
              <w:spacing w:after="0"/>
              <w:rPr>
                <w:sz w:val="20"/>
                <w:szCs w:val="20"/>
                <w:color w:val="auto"/>
              </w:rPr>
            </w:pPr>
            <w:r>
              <w:rPr>
                <w:rFonts w:ascii="Arial" w:cs="Arial" w:eastAsia="Arial" w:hAnsi="Arial"/>
                <w:sz w:val="18"/>
                <w:szCs w:val="18"/>
                <w:color w:val="auto"/>
                <w:w w:val="91"/>
              </w:rPr>
              <w:t>31.2</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0000FF"/>
              </w:rPr>
              <w:t>Certification Pursuant to Section 302 of the Sarbanes-Oxley Act of 2002</w:t>
            </w:r>
          </w:p>
        </w:tc>
        <w:tc>
          <w:tcPr>
            <w:tcW w:w="0" w:type="dxa"/>
            <w:vAlign w:val="bottom"/>
          </w:tcPr>
          <w:p>
            <w:pPr>
              <w:spacing w:after="0"/>
              <w:rPr>
                <w:sz w:val="1"/>
                <w:szCs w:val="1"/>
                <w:color w:val="auto"/>
              </w:rPr>
            </w:pPr>
          </w:p>
        </w:tc>
      </w:tr>
      <w:tr>
        <w:trPr>
          <w:trHeight w:val="20"/>
        </w:trPr>
        <w:tc>
          <w:tcPr>
            <w:tcW w:w="1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20" w:type="dxa"/>
            <w:vAlign w:val="bottom"/>
            <w:shd w:val="clear" w:color="auto" w:fill="0000FF"/>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1280" w:type="dxa"/>
            <w:vAlign w:val="bottom"/>
            <w:gridSpan w:val="2"/>
          </w:tcPr>
          <w:p>
            <w:pPr>
              <w:jc w:val="center"/>
              <w:spacing w:after="0"/>
              <w:rPr>
                <w:sz w:val="20"/>
                <w:szCs w:val="20"/>
                <w:color w:val="auto"/>
              </w:rPr>
            </w:pPr>
            <w:r>
              <w:rPr>
                <w:rFonts w:ascii="Arial" w:cs="Arial" w:eastAsia="Arial" w:hAnsi="Arial"/>
                <w:sz w:val="18"/>
                <w:szCs w:val="18"/>
                <w:color w:val="auto"/>
                <w:w w:val="91"/>
              </w:rPr>
              <w:t>32.1</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0000FF"/>
              </w:rPr>
              <w:t>Certification Pursuant to Section 906 of the Sarbanes-Oxley Act of 2002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20" w:type="dxa"/>
            <w:vAlign w:val="bottom"/>
            <w:shd w:val="clear" w:color="auto" w:fill="0000FF"/>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ind w:left="1440" w:hanging="935"/>
        <w:spacing w:after="0" w:line="236" w:lineRule="auto"/>
        <w:tabs>
          <w:tab w:leader="none" w:pos="14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following financial information from Itron, Inc.'s Quarterly Report on Form 10-Q for the quarter ended June 30, 2023 formatted in Inline XBRL (Extensible Business Reporting Language) includes: (i) the Consolidated Statements of Operations, (ii) the Consolidated Statements of Comprehensive Income (Loss), (iii) the Consolidated Balance Sheets, (iv) the Consolidated Statements of Equity, (v) the Consolidated Statements of Cash Flows, and (vi) Notes to the Consolidated Financial Statements.</w:t>
      </w:r>
    </w:p>
    <w:p>
      <w:pPr>
        <w:spacing w:after="0" w:line="271" w:lineRule="exact"/>
        <w:rPr>
          <w:sz w:val="20"/>
          <w:szCs w:val="20"/>
          <w:color w:val="auto"/>
        </w:rPr>
      </w:pPr>
    </w:p>
    <w:p>
      <w:pPr>
        <w:ind w:left="1440" w:hanging="935"/>
        <w:spacing w:after="0"/>
        <w:tabs>
          <w:tab w:leader="none" w:pos="1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108"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360" w:type="dxa"/>
            <w:vAlign w:val="bottom"/>
          </w:tcPr>
          <w:p>
            <w:pPr>
              <w:ind w:left="2300"/>
              <w:spacing w:after="0"/>
              <w:rPr>
                <w:sz w:val="20"/>
                <w:szCs w:val="20"/>
                <w:color w:val="auto"/>
              </w:rPr>
            </w:pPr>
            <w:r>
              <w:rPr>
                <w:rFonts w:ascii="Arial" w:cs="Arial" w:eastAsia="Arial" w:hAnsi="Arial"/>
                <w:sz w:val="18"/>
                <w:szCs w:val="18"/>
                <w:color w:val="auto"/>
              </w:rPr>
              <w:t>ITRON, INC.</w:t>
            </w:r>
          </w:p>
        </w:tc>
      </w:tr>
      <w:tr>
        <w:trPr>
          <w:trHeight w:val="486"/>
        </w:trPr>
        <w:tc>
          <w:tcPr>
            <w:tcW w:w="3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August 3, 2023</w:t>
            </w:r>
          </w:p>
        </w:tc>
        <w:tc>
          <w:tcPr>
            <w:tcW w:w="1280" w:type="dxa"/>
            <w:vAlign w:val="bottom"/>
          </w:tcPr>
          <w:p>
            <w:pPr>
              <w:ind w:left="520"/>
              <w:spacing w:after="0"/>
              <w:rPr>
                <w:sz w:val="20"/>
                <w:szCs w:val="20"/>
                <w:color w:val="auto"/>
              </w:rPr>
            </w:pPr>
            <w:r>
              <w:rPr>
                <w:rFonts w:ascii="Arial" w:cs="Arial" w:eastAsia="Arial" w:hAnsi="Arial"/>
                <w:sz w:val="18"/>
                <w:szCs w:val="18"/>
                <w:color w:val="auto"/>
              </w:rPr>
              <w:t>By:</w:t>
            </w:r>
          </w:p>
        </w:tc>
        <w:tc>
          <w:tcPr>
            <w:tcW w:w="6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JOAN S. HOOPER</w:t>
            </w:r>
          </w:p>
        </w:tc>
      </w:tr>
      <w:tr>
        <w:trPr>
          <w:trHeight w:val="218"/>
        </w:trPr>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c>
          <w:tcPr>
            <w:tcW w:w="1280" w:type="dxa"/>
            <w:vAlign w:val="bottom"/>
          </w:tcPr>
          <w:p>
            <w:pPr>
              <w:spacing w:after="0"/>
              <w:rPr>
                <w:sz w:val="18"/>
                <w:szCs w:val="18"/>
                <w:color w:val="auto"/>
              </w:rPr>
            </w:pPr>
          </w:p>
        </w:tc>
        <w:tc>
          <w:tcPr>
            <w:tcW w:w="6360" w:type="dxa"/>
            <w:vAlign w:val="bottom"/>
          </w:tcPr>
          <w:p>
            <w:pPr>
              <w:jc w:val="center"/>
              <w:spacing w:after="0"/>
              <w:rPr>
                <w:sz w:val="20"/>
                <w:szCs w:val="20"/>
                <w:color w:val="auto"/>
              </w:rPr>
            </w:pPr>
            <w:r>
              <w:rPr>
                <w:rFonts w:ascii="Arial" w:cs="Arial" w:eastAsia="Arial" w:hAnsi="Arial"/>
                <w:sz w:val="18"/>
                <w:szCs w:val="18"/>
                <w:b w:val="1"/>
                <w:bCs w:val="1"/>
                <w:color w:val="auto"/>
                <w:w w:val="89"/>
              </w:rPr>
              <w:t>Joan S. Hooper</w:t>
            </w:r>
          </w:p>
        </w:tc>
      </w:tr>
      <w:tr>
        <w:trPr>
          <w:trHeight w:val="234"/>
        </w:trPr>
        <w:tc>
          <w:tcPr>
            <w:tcW w:w="35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360" w:type="dxa"/>
            <w:vAlign w:val="bottom"/>
          </w:tcPr>
          <w:p>
            <w:pPr>
              <w:jc w:val="center"/>
              <w:spacing w:after="0"/>
              <w:rPr>
                <w:sz w:val="20"/>
                <w:szCs w:val="20"/>
                <w:color w:val="auto"/>
              </w:rPr>
            </w:pPr>
            <w:r>
              <w:rPr>
                <w:rFonts w:ascii="Arial" w:cs="Arial" w:eastAsia="Arial" w:hAnsi="Arial"/>
                <w:sz w:val="18"/>
                <w:szCs w:val="18"/>
                <w:b w:val="1"/>
                <w:bCs w:val="1"/>
                <w:color w:val="auto"/>
                <w:w w:val="90"/>
              </w:rPr>
              <w:t>Senior 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320" w:top="125" w:right="339" w:bottom="1440" w:gutter="0" w:footer="0" w:header="0"/>
        </w:sectPr>
      </w:pPr>
    </w:p>
    <w:bookmarkStart w:id="51" w:name="page52"/>
    <w:bookmarkEnd w:id="51"/>
    <w:p>
      <w:pPr>
        <w:ind w:left="10320"/>
        <w:spacing w:after="0"/>
        <w:rPr>
          <w:sz w:val="20"/>
          <w:szCs w:val="20"/>
          <w:color w:val="auto"/>
        </w:rPr>
      </w:pPr>
      <w:r>
        <w:rPr>
          <w:rFonts w:ascii="Arial" w:cs="Arial" w:eastAsia="Arial" w:hAnsi="Arial"/>
          <w:sz w:val="16"/>
          <w:szCs w:val="16"/>
          <w:b w:val="1"/>
          <w:bCs w:val="1"/>
          <w:color w:val="auto"/>
        </w:rPr>
        <w:t>Exhibit 31.1</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Thomas L. Deitrich, certify that:</w:t>
      </w:r>
    </w:p>
    <w:p>
      <w:pPr>
        <w:spacing w:after="0" w:line="252"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Itron, Inc.;</w:t>
      </w:r>
    </w:p>
    <w:p>
      <w:pPr>
        <w:spacing w:after="0" w:line="252"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1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980" w:hanging="324"/>
        <w:spacing w:after="0" w:line="308" w:lineRule="auto"/>
        <w:tabs>
          <w:tab w:leader="none" w:pos="980" w:val="left"/>
        </w:tabs>
        <w:numPr>
          <w:ilvl w:val="1"/>
          <w:numId w:val="1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8" w:lineRule="exact"/>
        <w:rPr>
          <w:sz w:val="20"/>
          <w:szCs w:val="20"/>
          <w:color w:val="auto"/>
        </w:rPr>
      </w:pPr>
    </w:p>
    <w:p>
      <w:pPr>
        <w:ind w:left="8920"/>
        <w:spacing w:after="0"/>
        <w:rPr>
          <w:sz w:val="20"/>
          <w:szCs w:val="20"/>
          <w:color w:val="auto"/>
        </w:rPr>
      </w:pPr>
      <w:r>
        <w:rPr>
          <w:rFonts w:ascii="Arial" w:cs="Arial" w:eastAsia="Arial" w:hAnsi="Arial"/>
          <w:sz w:val="18"/>
          <w:szCs w:val="18"/>
          <w:color w:val="auto"/>
        </w:rPr>
        <w:t>ITRON, INC.</w:t>
      </w:r>
    </w:p>
    <w:p>
      <w:pPr>
        <w:spacing w:after="0" w:line="131" w:lineRule="exact"/>
        <w:rPr>
          <w:sz w:val="20"/>
          <w:szCs w:val="20"/>
          <w:color w:val="auto"/>
        </w:rPr>
      </w:pPr>
    </w:p>
    <w:p>
      <w:pPr>
        <w:ind w:left="7600"/>
        <w:spacing w:after="0"/>
        <w:tabs>
          <w:tab w:leader="none" w:pos="8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THOMAS L. DEITRICH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5105400</wp:posOffset>
            </wp:positionH>
            <wp:positionV relativeFrom="paragraph">
              <wp:posOffset>23495</wp:posOffset>
            </wp:positionV>
            <wp:extent cx="203200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032000" cy="8255"/>
                    </a:xfrm>
                    <a:prstGeom prst="rect">
                      <a:avLst/>
                    </a:prstGeom>
                    <a:noFill/>
                  </pic:spPr>
                </pic:pic>
              </a:graphicData>
            </a:graphic>
          </wp:anchor>
        </w:drawing>
      </w:r>
    </w:p>
    <w:p>
      <w:pPr>
        <w:spacing w:after="0" w:line="14" w:lineRule="exact"/>
        <w:rPr>
          <w:sz w:val="20"/>
          <w:szCs w:val="20"/>
          <w:color w:val="auto"/>
        </w:rPr>
      </w:pPr>
    </w:p>
    <w:p>
      <w:pPr>
        <w:jc w:val="center"/>
        <w:ind w:left="8020"/>
        <w:spacing w:after="0"/>
        <w:rPr>
          <w:sz w:val="20"/>
          <w:szCs w:val="20"/>
          <w:color w:val="auto"/>
        </w:rPr>
      </w:pPr>
      <w:r>
        <w:rPr>
          <w:rFonts w:ascii="Arial" w:cs="Arial" w:eastAsia="Arial" w:hAnsi="Arial"/>
          <w:sz w:val="18"/>
          <w:szCs w:val="18"/>
          <w:b w:val="1"/>
          <w:bCs w:val="1"/>
          <w:color w:val="auto"/>
        </w:rPr>
        <w:t>Thomas L. Deitrich</w:t>
      </w:r>
    </w:p>
    <w:p>
      <w:pPr>
        <w:jc w:val="center"/>
        <w:ind w:left="8020"/>
        <w:spacing w:after="0"/>
        <w:rPr>
          <w:sz w:val="20"/>
          <w:szCs w:val="20"/>
          <w:color w:val="auto"/>
        </w:rPr>
      </w:pPr>
      <w:r>
        <w:rPr>
          <w:rFonts w:ascii="Arial" w:cs="Arial" w:eastAsia="Arial" w:hAnsi="Arial"/>
          <w:sz w:val="17"/>
          <w:szCs w:val="17"/>
          <w:b w:val="1"/>
          <w:bCs w:val="1"/>
          <w:color w:val="auto"/>
        </w:rPr>
        <w:t>President and Chief Executive Officer</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2023</w:t>
      </w:r>
    </w:p>
    <w:p>
      <w:pPr>
        <w:sectPr>
          <w:pgSz w:w="11900" w:h="16838" w:orient="portrait"/>
          <w:cols w:equalWidth="0" w:num="1">
            <w:col w:w="11240"/>
          </w:cols>
          <w:pgMar w:left="320" w:top="121" w:right="339" w:bottom="1440" w:gutter="0" w:footer="0" w:header="0"/>
        </w:sectPr>
      </w:pPr>
    </w:p>
    <w:bookmarkStart w:id="52" w:name="page53"/>
    <w:bookmarkEnd w:id="52"/>
    <w:p>
      <w:pPr>
        <w:ind w:left="10320"/>
        <w:spacing w:after="0"/>
        <w:rPr>
          <w:sz w:val="20"/>
          <w:szCs w:val="20"/>
          <w:color w:val="auto"/>
        </w:rPr>
      </w:pPr>
      <w:r>
        <w:rPr>
          <w:rFonts w:ascii="Arial" w:cs="Arial" w:eastAsia="Arial" w:hAnsi="Arial"/>
          <w:sz w:val="16"/>
          <w:szCs w:val="16"/>
          <w:b w:val="1"/>
          <w:bCs w:val="1"/>
          <w:color w:val="auto"/>
        </w:rPr>
        <w:t>Exhibit 31.2</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Joan S. Hooper, certify that:</w:t>
      </w:r>
    </w:p>
    <w:p>
      <w:pPr>
        <w:spacing w:after="0" w:line="252"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Itron, Inc.;</w:t>
      </w:r>
    </w:p>
    <w:p>
      <w:pPr>
        <w:spacing w:after="0" w:line="252"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1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980" w:hanging="324"/>
        <w:spacing w:after="0" w:line="308" w:lineRule="auto"/>
        <w:tabs>
          <w:tab w:leader="none" w:pos="980" w:val="left"/>
        </w:tabs>
        <w:numPr>
          <w:ilvl w:val="1"/>
          <w:numId w:val="1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76"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ITRON, INC.</w:t>
      </w:r>
    </w:p>
    <w:p>
      <w:pPr>
        <w:spacing w:after="0" w:line="144" w:lineRule="exact"/>
        <w:rPr>
          <w:sz w:val="20"/>
          <w:szCs w:val="20"/>
          <w:color w:val="auto"/>
        </w:rPr>
      </w:pPr>
    </w:p>
    <w:p>
      <w:pPr>
        <w:ind w:left="5400"/>
        <w:spacing w:after="0"/>
        <w:tabs>
          <w:tab w:leader="none" w:pos="78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JOAN S. HOOPER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3837305</wp:posOffset>
            </wp:positionH>
            <wp:positionV relativeFrom="paragraph">
              <wp:posOffset>14605</wp:posOffset>
            </wp:positionV>
            <wp:extent cx="330073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00730" cy="8255"/>
                    </a:xfrm>
                    <a:prstGeom prst="rect">
                      <a:avLst/>
                    </a:prstGeom>
                    <a:noFill/>
                  </pic:spPr>
                </pic:pic>
              </a:graphicData>
            </a:graphic>
          </wp:anchor>
        </w:drawing>
      </w:r>
    </w:p>
    <w:p>
      <w:pPr>
        <w:spacing w:after="0" w:line="1" w:lineRule="exact"/>
        <w:rPr>
          <w:sz w:val="20"/>
          <w:szCs w:val="20"/>
          <w:color w:val="auto"/>
        </w:rPr>
      </w:pPr>
    </w:p>
    <w:p>
      <w:pPr>
        <w:jc w:val="center"/>
        <w:ind w:left="6020"/>
        <w:spacing w:after="0"/>
        <w:rPr>
          <w:sz w:val="20"/>
          <w:szCs w:val="20"/>
          <w:color w:val="auto"/>
        </w:rPr>
      </w:pPr>
      <w:r>
        <w:rPr>
          <w:rFonts w:ascii="Arial" w:cs="Arial" w:eastAsia="Arial" w:hAnsi="Arial"/>
          <w:sz w:val="18"/>
          <w:szCs w:val="18"/>
          <w:b w:val="1"/>
          <w:bCs w:val="1"/>
          <w:color w:val="auto"/>
        </w:rPr>
        <w:t>Joan S. Hooper</w:t>
      </w:r>
    </w:p>
    <w:p>
      <w:pPr>
        <w:jc w:val="center"/>
        <w:ind w:left="6020"/>
        <w:spacing w:after="0"/>
        <w:rPr>
          <w:sz w:val="20"/>
          <w:szCs w:val="20"/>
          <w:color w:val="auto"/>
        </w:rPr>
      </w:pPr>
      <w:r>
        <w:rPr>
          <w:rFonts w:ascii="Arial" w:cs="Arial" w:eastAsia="Arial" w:hAnsi="Arial"/>
          <w:sz w:val="18"/>
          <w:szCs w:val="18"/>
          <w:b w:val="1"/>
          <w:bCs w:val="1"/>
          <w:color w:val="auto"/>
        </w:rPr>
        <w:t>Senior Vice President and Chief Financial Officer</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2023</w:t>
      </w:r>
    </w:p>
    <w:p>
      <w:pPr>
        <w:sectPr>
          <w:pgSz w:w="11900" w:h="16838" w:orient="portrait"/>
          <w:cols w:equalWidth="0" w:num="1">
            <w:col w:w="11240"/>
          </w:cols>
          <w:pgMar w:left="320" w:top="121" w:right="339" w:bottom="1440" w:gutter="0" w:footer="0" w:header="0"/>
        </w:sectPr>
      </w:pPr>
    </w:p>
    <w:bookmarkStart w:id="53" w:name="page54"/>
    <w:bookmarkEnd w:id="53"/>
    <w:p>
      <w:pPr>
        <w:ind w:left="10320"/>
        <w:spacing w:after="0"/>
        <w:rPr>
          <w:sz w:val="20"/>
          <w:szCs w:val="20"/>
          <w:color w:val="auto"/>
        </w:rPr>
      </w:pPr>
      <w:r>
        <w:rPr>
          <w:rFonts w:ascii="Arial" w:cs="Arial" w:eastAsia="Arial" w:hAnsi="Arial"/>
          <w:sz w:val="16"/>
          <w:szCs w:val="16"/>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certification set forth below is being submitted in connection with the Quarterly Report of Itron, Inc. (the Company) on Form 10-Q for the quarterly period ended June 30, 2023 (the Report) for the purpose of complying with Rule 13a-14(b) or Rule 15d-14(b) of the Securities Exchange Act of 1934 and Section 1350 of Chapter 63 of Title 18 of the United States Code.</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Thomas L. Deitrich, the Chief Executive Officer and Joan S. Hooper, the Chief Financial Officer of the Company, each certifies that to the best of his or her knowledge:</w:t>
      </w:r>
    </w:p>
    <w:p>
      <w:pPr>
        <w:spacing w:after="0" w:line="170" w:lineRule="exact"/>
        <w:rPr>
          <w:sz w:val="20"/>
          <w:szCs w:val="20"/>
          <w:color w:val="auto"/>
        </w:rPr>
      </w:pPr>
    </w:p>
    <w:p>
      <w:pPr>
        <w:ind w:left="840" w:hanging="386"/>
        <w:spacing w:after="0"/>
        <w:tabs>
          <w:tab w:leader="none" w:pos="8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860" w:right="740" w:hanging="406"/>
        <w:spacing w:after="0" w:line="277" w:lineRule="auto"/>
        <w:tabs>
          <w:tab w:leader="none" w:pos="84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38"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THOMAS L. DEITRICH</w:t>
            </w:r>
          </w:p>
        </w:tc>
        <w:tc>
          <w:tcPr>
            <w:tcW w:w="540" w:type="dxa"/>
            <w:vAlign w:val="bottom"/>
          </w:tcPr>
          <w:p>
            <w:pPr>
              <w:spacing w:after="0"/>
              <w:rPr>
                <w:sz w:val="20"/>
                <w:szCs w:val="20"/>
                <w:color w:val="auto"/>
              </w:rPr>
            </w:pPr>
          </w:p>
        </w:tc>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August 3, 2023</w:t>
            </w:r>
          </w:p>
        </w:tc>
      </w:tr>
      <w:tr>
        <w:trPr>
          <w:trHeight w:val="178"/>
        </w:trPr>
        <w:tc>
          <w:tcPr>
            <w:tcW w:w="5480" w:type="dxa"/>
            <w:vAlign w:val="bottom"/>
          </w:tcPr>
          <w:p>
            <w:pPr>
              <w:jc w:val="center"/>
              <w:spacing w:after="0" w:line="177" w:lineRule="exact"/>
              <w:rPr>
                <w:sz w:val="20"/>
                <w:szCs w:val="20"/>
                <w:color w:val="auto"/>
              </w:rPr>
            </w:pPr>
            <w:r>
              <w:rPr>
                <w:rFonts w:ascii="Arial" w:cs="Arial" w:eastAsia="Arial" w:hAnsi="Arial"/>
                <w:sz w:val="18"/>
                <w:szCs w:val="18"/>
                <w:b w:val="1"/>
                <w:bCs w:val="1"/>
                <w:color w:val="auto"/>
                <w:w w:val="92"/>
              </w:rPr>
              <w:t>Thomas L. Deitrich</w:t>
            </w:r>
          </w:p>
        </w:tc>
        <w:tc>
          <w:tcPr>
            <w:tcW w:w="540" w:type="dxa"/>
            <w:vAlign w:val="bottom"/>
          </w:tcPr>
          <w:p>
            <w:pPr>
              <w:spacing w:after="0"/>
              <w:rPr>
                <w:sz w:val="15"/>
                <w:szCs w:val="15"/>
                <w:color w:val="auto"/>
              </w:rPr>
            </w:pPr>
          </w:p>
        </w:tc>
        <w:tc>
          <w:tcPr>
            <w:tcW w:w="3360" w:type="dxa"/>
            <w:vAlign w:val="bottom"/>
          </w:tcPr>
          <w:p>
            <w:pPr>
              <w:spacing w:after="0"/>
              <w:rPr>
                <w:sz w:val="15"/>
                <w:szCs w:val="15"/>
                <w:color w:val="auto"/>
              </w:rPr>
            </w:pPr>
          </w:p>
        </w:tc>
      </w:tr>
      <w:tr>
        <w:trPr>
          <w:trHeight w:val="234"/>
        </w:trPr>
        <w:tc>
          <w:tcPr>
            <w:tcW w:w="5480" w:type="dxa"/>
            <w:vAlign w:val="bottom"/>
          </w:tcPr>
          <w:p>
            <w:pPr>
              <w:jc w:val="center"/>
              <w:spacing w:after="0"/>
              <w:rPr>
                <w:sz w:val="20"/>
                <w:szCs w:val="20"/>
                <w:color w:val="auto"/>
              </w:rPr>
            </w:pPr>
            <w:r>
              <w:rPr>
                <w:rFonts w:ascii="Arial" w:cs="Arial" w:eastAsia="Arial" w:hAnsi="Arial"/>
                <w:sz w:val="18"/>
                <w:szCs w:val="18"/>
                <w:b w:val="1"/>
                <w:bCs w:val="1"/>
                <w:color w:val="auto"/>
                <w:w w:val="90"/>
              </w:rPr>
              <w:t>President and Chief Executive Officer</w:t>
            </w:r>
          </w:p>
        </w:tc>
        <w:tc>
          <w:tcPr>
            <w:tcW w:w="540" w:type="dxa"/>
            <w:vAlign w:val="bottom"/>
          </w:tcPr>
          <w:p>
            <w:pPr>
              <w:spacing w:after="0"/>
              <w:rPr>
                <w:sz w:val="20"/>
                <w:szCs w:val="20"/>
                <w:color w:val="auto"/>
              </w:rPr>
            </w:pPr>
          </w:p>
        </w:tc>
        <w:tc>
          <w:tcPr>
            <w:tcW w:w="336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JOAN S. HOOPER</w:t>
            </w:r>
          </w:p>
        </w:tc>
        <w:tc>
          <w:tcPr>
            <w:tcW w:w="540" w:type="dxa"/>
            <w:vAlign w:val="bottom"/>
          </w:tcPr>
          <w:p>
            <w:pPr>
              <w:spacing w:after="0"/>
              <w:rPr>
                <w:sz w:val="20"/>
                <w:szCs w:val="20"/>
                <w:color w:val="auto"/>
              </w:rPr>
            </w:pPr>
          </w:p>
        </w:tc>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August 3, 2023</w:t>
            </w:r>
          </w:p>
        </w:tc>
        <w:tc>
          <w:tcPr>
            <w:tcW w:w="0" w:type="dxa"/>
            <w:vAlign w:val="bottom"/>
          </w:tcPr>
          <w:p>
            <w:pPr>
              <w:spacing w:after="0"/>
              <w:rPr>
                <w:sz w:val="1"/>
                <w:szCs w:val="1"/>
                <w:color w:val="auto"/>
              </w:rPr>
            </w:pPr>
          </w:p>
        </w:tc>
      </w:tr>
      <w:tr>
        <w:trPr>
          <w:trHeight w:val="169"/>
        </w:trPr>
        <w:tc>
          <w:tcPr>
            <w:tcW w:w="548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w w:val="89"/>
              </w:rPr>
              <w:t>Joan S. Hooper</w:t>
            </w:r>
          </w:p>
        </w:tc>
        <w:tc>
          <w:tcPr>
            <w:tcW w:w="540" w:type="dxa"/>
            <w:vAlign w:val="bottom"/>
          </w:tcPr>
          <w:p>
            <w:pPr>
              <w:spacing w:after="0"/>
              <w:rPr>
                <w:sz w:val="14"/>
                <w:szCs w:val="14"/>
                <w:color w:val="auto"/>
              </w:rPr>
            </w:pPr>
          </w:p>
        </w:tc>
        <w:tc>
          <w:tcPr>
            <w:tcW w:w="33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148"/>
        </w:trPr>
        <w:tc>
          <w:tcPr>
            <w:tcW w:w="54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Senior Vice President and Chief Financial Officer</w:t>
            </w:r>
          </w:p>
        </w:tc>
        <w:tc>
          <w:tcPr>
            <w:tcW w:w="540" w:type="dxa"/>
            <w:vAlign w:val="bottom"/>
          </w:tcPr>
          <w:p>
            <w:pPr>
              <w:spacing w:after="0"/>
              <w:rPr>
                <w:sz w:val="12"/>
                <w:szCs w:val="12"/>
                <w:color w:val="auto"/>
              </w:rPr>
            </w:pPr>
          </w:p>
        </w:tc>
        <w:tc>
          <w:tcPr>
            <w:tcW w:w="3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54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33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28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1)"/>
      <w:numFmt w:val="decimal"/>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1)"/>
      <w:numFmt w:val="decimal"/>
      <w:start w:val="1"/>
    </w:lvl>
  </w:abstractNum>
  <w:abstractNum w:abstractNumId="7">
    <w:nsid w:val="66EF438D"/>
    <w:multiLevelType w:val="hybridMultilevel"/>
    <w:lvl w:ilvl="0">
      <w:lvlJc w:val="left"/>
      <w:lvlText w:val="(%1)"/>
      <w:numFmt w:val="lowerLetter"/>
      <w:start w:val="1"/>
    </w:lvl>
  </w:abstractNum>
  <w:abstractNum w:abstractNumId="8">
    <w:nsid w:val="140E0F76"/>
    <w:multiLevelType w:val="hybridMultilevel"/>
    <w:lvl w:ilvl="0">
      <w:lvlJc w:val="left"/>
      <w:lvlText w:val="(%1)"/>
      <w:numFmt w:val="decimal"/>
      <w:start w:val="1"/>
    </w:lvl>
  </w:abstractNum>
  <w:abstractNum w:abstractNumId="9">
    <w:nsid w:val="3352255A"/>
    <w:multiLevelType w:val="hybridMultilevel"/>
    <w:lvl w:ilvl="0">
      <w:lvlJc w:val="left"/>
      <w:lvlText w:val="(%1)"/>
      <w:numFmt w:val="lowerLetter"/>
      <w:start w:val="1"/>
    </w:lvl>
  </w:abstractNum>
  <w:abstractNum w:abstractNumId="10">
    <w:nsid w:val="109CF92E"/>
    <w:multiLevelType w:val="hybridMultilevel"/>
    <w:lvl w:ilvl="0">
      <w:lvlJc w:val="left"/>
      <w:lvlText w:val="(%1)"/>
      <w:numFmt w:val="lowerLetter"/>
      <w:start w:val="2"/>
    </w:lvl>
  </w:abstractNum>
  <w:abstractNum w:abstractNumId="11">
    <w:nsid w:val="DED7263"/>
    <w:multiLevelType w:val="hybridMultilevel"/>
    <w:lvl w:ilvl="0">
      <w:lvlJc w:val="left"/>
      <w:lvlText w:val="%1"/>
      <w:numFmt w:val="decimal"/>
      <w:start w:val="101"/>
    </w:lvl>
  </w:abstractNum>
  <w:abstractNum w:abstractNumId="12">
    <w:nsid w:val="7FDCC233"/>
    <w:multiLevelType w:val="hybridMultilevel"/>
    <w:lvl w:ilvl="0">
      <w:lvlJc w:val="left"/>
      <w:lvlText w:val="%1"/>
      <w:numFmt w:val="decimal"/>
      <w:start w:val="104"/>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lvl w:ilvl="1">
      <w:lvlJc w:val="left"/>
      <w:lvlText w:val="%2)"/>
      <w:numFmt w:val="lowerLetter"/>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2023-08-03T13:35:00Z</dcterms:created>
  <dcterms:modified xsi:type="dcterms:W3CDTF">2023-08-03T13:35:00Z</dcterms:modified>
</cp:coreProperties>
</file>