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212" w:lineRule="exact"/>
        <w:rPr>
          <w:sz w:val="24"/>
          <w:szCs w:val="24"/>
          <w:color w:val="auto"/>
        </w:rPr>
      </w:pPr>
    </w:p>
    <w:p>
      <w:pPr>
        <w:ind w:left="3840"/>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 xml:space="preserve">(Amendment No. </w:t>
      </w:r>
      <w:r>
        <w:rPr>
          <w:rFonts w:ascii="Arial" w:cs="Arial" w:eastAsia="Arial" w:hAnsi="Arial"/>
          <w:sz w:val="22"/>
          <w:szCs w:val="22"/>
          <w:b w:val="1"/>
          <w:bCs w:val="1"/>
          <w:color w:val="auto"/>
        </w:rPr>
        <w:t>1</w:t>
      </w:r>
      <w:r>
        <w:rPr>
          <w:rFonts w:ascii="Arial" w:cs="Arial" w:eastAsia="Arial" w:hAnsi="Arial"/>
          <w:sz w:val="22"/>
          <w:szCs w:val="22"/>
          <w:color w:val="auto"/>
        </w:rPr>
        <w:t xml:space="preserve"> )*</w:t>
      </w:r>
    </w:p>
    <w:p>
      <w:pPr>
        <w:spacing w:after="0" w:line="182" w:lineRule="exact"/>
        <w:rPr>
          <w:sz w:val="24"/>
          <w:szCs w:val="24"/>
          <w:color w:val="auto"/>
        </w:rPr>
      </w:pPr>
    </w:p>
    <w:p>
      <w:pPr>
        <w:ind w:left="5280"/>
        <w:spacing w:after="0"/>
        <w:rPr>
          <w:sz w:val="20"/>
          <w:szCs w:val="20"/>
          <w:color w:val="auto"/>
        </w:rPr>
      </w:pPr>
      <w:r>
        <w:rPr>
          <w:rFonts w:ascii="Arial" w:cs="Arial" w:eastAsia="Arial" w:hAnsi="Arial"/>
          <w:sz w:val="22"/>
          <w:szCs w:val="22"/>
          <w:b w:val="1"/>
          <w:bCs w:val="1"/>
          <w:u w:val="single" w:color="auto"/>
          <w:color w:val="auto"/>
        </w:rPr>
        <w:t>Itron Inc.</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4340"/>
        <w:spacing w:after="0"/>
        <w:rPr>
          <w:sz w:val="20"/>
          <w:szCs w:val="20"/>
          <w:color w:val="auto"/>
        </w:rPr>
      </w:pPr>
      <w:r>
        <w:rPr>
          <w:rFonts w:ascii="Arial" w:cs="Arial" w:eastAsia="Arial" w:hAnsi="Arial"/>
          <w:sz w:val="22"/>
          <w:szCs w:val="22"/>
          <w:b w:val="1"/>
          <w:bCs w:val="1"/>
          <w:u w:val="single" w:color="auto"/>
          <w:color w:val="auto"/>
        </w:rPr>
        <w:t>Common Stock, No Par Value</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465741106</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ind w:right="40"/>
        <w:spacing w:after="0" w:line="238" w:lineRule="auto"/>
        <w:rPr>
          <w:sz w:val="20"/>
          <w:szCs w:val="20"/>
          <w:color w:val="auto"/>
        </w:rPr>
      </w:pPr>
      <w:r>
        <w:rPr>
          <w:rFonts w:ascii="Arial" w:cs="Arial" w:eastAsia="Arial" w:hAnsi="Arial"/>
          <w:sz w:val="22"/>
          <w:szCs w:val="22"/>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5" w:lineRule="exact"/>
        <w:rPr>
          <w:sz w:val="24"/>
          <w:szCs w:val="24"/>
          <w:color w:val="auto"/>
        </w:rPr>
      </w:pPr>
    </w:p>
    <w:p>
      <w:pPr>
        <w:ind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186" w:lineRule="exact"/>
        <w:rPr>
          <w:sz w:val="24"/>
          <w:szCs w:val="24"/>
          <w:color w:val="auto"/>
        </w:rPr>
      </w:pPr>
    </w:p>
    <w:p>
      <w:pPr>
        <w:ind w:right="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465741106</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S.S. or I.R.S. Identification Nos. of Persons</w:t>
      </w:r>
    </w:p>
    <w:p>
      <w:pPr>
        <w:spacing w:after="0" w:line="182"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Kopp Investment Advisors, Inc.</w:t>
      </w:r>
    </w:p>
    <w:p>
      <w:pPr>
        <w:spacing w:after="0" w:line="14"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I.D. No. 41-1663810</w:t>
      </w:r>
    </w:p>
    <w:p>
      <w:pPr>
        <w:spacing w:after="0" w:line="188"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Minnesota</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4"/>
          <w:szCs w:val="24"/>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1,179,900</w:t>
      </w:r>
    </w:p>
    <w:p>
      <w:pPr>
        <w:spacing w:after="0" w:line="212" w:lineRule="exact"/>
        <w:rPr>
          <w:rFonts w:ascii="Arial" w:cs="Arial" w:eastAsia="Arial" w:hAnsi="Arial"/>
          <w:sz w:val="22"/>
          <w:szCs w:val="22"/>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0" w:lineRule="exact"/>
        <w:rPr>
          <w:rFonts w:ascii="Arial" w:cs="Arial" w:eastAsia="Arial" w:hAnsi="Arial"/>
          <w:sz w:val="22"/>
          <w:szCs w:val="22"/>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820,000</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w:t>
      </w:r>
      <w:r>
        <w:rPr>
          <w:rFonts w:ascii="Arial" w:cs="Arial" w:eastAsia="Arial" w:hAnsi="Arial"/>
          <w:sz w:val="22"/>
          <w:szCs w:val="22"/>
          <w:b w:val="1"/>
          <w:bCs w:val="1"/>
          <w:color w:val="auto"/>
        </w:rPr>
        <w:t>1,554,300</w:t>
      </w:r>
    </w:p>
    <w:p>
      <w:pPr>
        <w:spacing w:after="0" w:line="212" w:lineRule="exact"/>
        <w:rPr>
          <w:rFonts w:ascii="Arial" w:cs="Arial" w:eastAsia="Arial" w:hAnsi="Arial"/>
          <w:sz w:val="22"/>
          <w:szCs w:val="22"/>
          <w:color w:val="auto"/>
        </w:rPr>
      </w:pP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2,374,300</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 [ ]</w:t>
      </w:r>
    </w:p>
    <w:p>
      <w:pPr>
        <w:sectPr>
          <w:pgSz w:w="11900" w:h="16838" w:orient="portrait"/>
          <w:cols w:equalWidth="0" w:num="1">
            <w:col w:w="11280"/>
          </w:cols>
          <w:pgMar w:left="240" w:top="220"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14.9%</w:t>
      </w:r>
    </w:p>
    <w:p>
      <w:pPr>
        <w:spacing w:after="0" w:line="21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IA</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*Although Kopp Investment Advisors, Inc. exercises investment discretion as to these shares, it is not the owner of them.</w:t>
      </w:r>
    </w:p>
    <w:p>
      <w:pPr>
        <w:spacing w:after="0" w:line="24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465741106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S.S. or I.R.S. Identification Nos. of Persons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Kopp Holding Company</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I.D. No. 41-1875362</w:t>
      </w:r>
    </w:p>
    <w:p>
      <w:pPr>
        <w:spacing w:after="0" w:line="18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Minnesota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6" w:lineRule="exact"/>
        <w:rPr>
          <w:sz w:val="20"/>
          <w:szCs w:val="20"/>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2,374,300</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 [ ]</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14.9%</w:t>
      </w:r>
    </w:p>
    <w:p>
      <w:pPr>
        <w:spacing w:after="0" w:line="21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HC</w:t>
      </w:r>
    </w:p>
    <w:p>
      <w:pPr>
        <w:spacing w:after="0" w:line="212" w:lineRule="exact"/>
        <w:rPr>
          <w:sz w:val="20"/>
          <w:szCs w:val="20"/>
          <w:color w:val="auto"/>
        </w:rPr>
      </w:pPr>
    </w:p>
    <w:p>
      <w:pPr>
        <w:jc w:val="center"/>
        <w:ind w:right="-91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jc w:val="center"/>
        <w:ind w:right="-919"/>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u w:val="single" w:color="auto"/>
          <w:color w:val="auto"/>
        </w:rPr>
        <w:t>465741106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S.S. or I.R.S. Identification Nos. of Persons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LeRoy C. Kopp</w:t>
      </w:r>
    </w:p>
    <w:p>
      <w:pPr>
        <w:spacing w:after="0" w:line="21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ectPr>
          <w:pgSz w:w="11900" w:h="16838" w:orient="portrait"/>
          <w:cols w:equalWidth="0" w:num="1">
            <w:col w:w="10500"/>
          </w:cols>
          <w:pgMar w:left="240" w:top="118" w:right="1159" w:bottom="0" w:gutter="0" w:footer="0" w:header="0"/>
        </w:sectPr>
      </w:pPr>
    </w:p>
    <w:bookmarkStart w:id="2" w:name="page3"/>
    <w:bookmarkEnd w:id="2"/>
    <w:p>
      <w:pPr>
        <w:ind w:left="540"/>
        <w:spacing w:after="0"/>
        <w:rPr>
          <w:sz w:val="20"/>
          <w:szCs w:val="20"/>
          <w:color w:val="auto"/>
        </w:rPr>
      </w:pPr>
      <w:r>
        <w:rPr>
          <w:rFonts w:ascii="Arial" w:cs="Arial" w:eastAsia="Arial" w:hAnsi="Arial"/>
          <w:sz w:val="22"/>
          <w:szCs w:val="22"/>
          <w:color w:val="auto"/>
        </w:rPr>
        <w:t>(b)</w:t>
      </w:r>
    </w:p>
    <w:p>
      <w:pPr>
        <w:spacing w:after="0" w:line="207"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0"/>
          <w:szCs w:val="20"/>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227,000</w:t>
      </w:r>
    </w:p>
    <w:p>
      <w:pPr>
        <w:spacing w:after="0" w:line="212" w:lineRule="exact"/>
        <w:rPr>
          <w:rFonts w:ascii="Arial" w:cs="Arial" w:eastAsia="Arial" w:hAnsi="Arial"/>
          <w:sz w:val="22"/>
          <w:szCs w:val="22"/>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0" w:lineRule="exact"/>
        <w:rPr>
          <w:rFonts w:ascii="Arial" w:cs="Arial" w:eastAsia="Arial" w:hAnsi="Arial"/>
          <w:sz w:val="22"/>
          <w:szCs w:val="22"/>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227,000</w:t>
      </w:r>
    </w:p>
    <w:p>
      <w:pPr>
        <w:spacing w:after="0" w:line="212" w:lineRule="exact"/>
        <w:rPr>
          <w:rFonts w:ascii="Arial" w:cs="Arial" w:eastAsia="Arial" w:hAnsi="Arial"/>
          <w:sz w:val="22"/>
          <w:szCs w:val="22"/>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2,601,300</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 [ ]</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16.3%</w:t>
      </w:r>
    </w:p>
    <w:p>
      <w:pPr>
        <w:spacing w:after="0" w:line="212"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1(a)</w:t>
      </w:r>
      <w:r>
        <w:rPr>
          <w:rFonts w:ascii="Arial" w:cs="Arial" w:eastAsia="Arial" w:hAnsi="Arial"/>
          <w:sz w:val="22"/>
          <w:szCs w:val="22"/>
          <w:color w:val="auto"/>
        </w:rPr>
        <w:t xml:space="preserve">. </w:t>
      </w:r>
      <w:r>
        <w:rPr>
          <w:rFonts w:ascii="Arial" w:cs="Arial" w:eastAsia="Arial" w:hAnsi="Arial"/>
          <w:sz w:val="22"/>
          <w:szCs w:val="22"/>
          <w:u w:val="single" w:color="auto"/>
          <w:color w:val="auto"/>
        </w:rPr>
        <w:t>Name of Issuer</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Itron,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 xml:space="preserve">. </w:t>
      </w:r>
      <w:r>
        <w:rPr>
          <w:rFonts w:ascii="Arial" w:cs="Arial" w:eastAsia="Arial" w:hAnsi="Arial"/>
          <w:sz w:val="22"/>
          <w:szCs w:val="22"/>
          <w:u w:val="single" w:color="auto"/>
          <w:color w:val="auto"/>
        </w:rPr>
        <w:t>Address of Issuer's Principal Executive Offices</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2818 N Sullivan Road</w:t>
      </w:r>
    </w:p>
    <w:p>
      <w:pPr>
        <w:spacing w:after="0" w:line="14" w:lineRule="exact"/>
        <w:rPr>
          <w:sz w:val="20"/>
          <w:szCs w:val="20"/>
          <w:color w:val="auto"/>
        </w:rPr>
      </w:pPr>
    </w:p>
    <w:p>
      <w:pPr>
        <w:jc w:val="center"/>
        <w:ind w:right="8480"/>
        <w:spacing w:after="0"/>
        <w:rPr>
          <w:sz w:val="20"/>
          <w:szCs w:val="20"/>
          <w:color w:val="auto"/>
        </w:rPr>
      </w:pPr>
      <w:r>
        <w:rPr>
          <w:rFonts w:ascii="Arial" w:cs="Arial" w:eastAsia="Arial" w:hAnsi="Arial"/>
          <w:sz w:val="22"/>
          <w:szCs w:val="22"/>
          <w:b w:val="1"/>
          <w:bCs w:val="1"/>
          <w:color w:val="auto"/>
        </w:rPr>
        <w:t>Spokane, WA 99216</w:t>
      </w:r>
    </w:p>
    <w:p>
      <w:pPr>
        <w:spacing w:after="0" w:line="188" w:lineRule="exact"/>
        <w:rPr>
          <w:sz w:val="20"/>
          <w:szCs w:val="20"/>
          <w:color w:val="auto"/>
        </w:rPr>
      </w:pPr>
    </w:p>
    <w:p>
      <w:pPr>
        <w:jc w:val="center"/>
        <w:ind w:right="8480"/>
        <w:spacing w:after="0"/>
        <w:rPr>
          <w:sz w:val="20"/>
          <w:szCs w:val="20"/>
          <w:color w:val="auto"/>
        </w:rPr>
      </w:pPr>
      <w:r>
        <w:rPr>
          <w:rFonts w:ascii="Arial" w:cs="Arial" w:eastAsia="Arial" w:hAnsi="Arial"/>
          <w:sz w:val="19"/>
          <w:szCs w:val="19"/>
          <w:u w:val="single" w:color="auto"/>
          <w:color w:val="auto"/>
        </w:rPr>
        <w:t>Item 2(a)</w:t>
      </w:r>
      <w:r>
        <w:rPr>
          <w:rFonts w:ascii="Arial" w:cs="Arial" w:eastAsia="Arial" w:hAnsi="Arial"/>
          <w:sz w:val="19"/>
          <w:szCs w:val="19"/>
          <w:color w:val="auto"/>
        </w:rPr>
        <w:t xml:space="preserve">. </w:t>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35"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Kopp Investment Advisors, Inc.</w:t>
      </w:r>
    </w:p>
    <w:p>
      <w:pPr>
        <w:spacing w:after="0" w:line="14" w:lineRule="exact"/>
        <w:rPr>
          <w:rFonts w:ascii="Arial" w:cs="Arial" w:eastAsia="Arial" w:hAnsi="Arial"/>
          <w:sz w:val="22"/>
          <w:szCs w:val="22"/>
          <w:b w:val="1"/>
          <w:bCs w:val="1"/>
          <w:color w:val="auto"/>
        </w:rPr>
      </w:pPr>
    </w:p>
    <w:p>
      <w:pPr>
        <w:ind w:left="760" w:hanging="212"/>
        <w:spacing w:after="0" w:line="230" w:lineRule="auto"/>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Kopp Holding Company</w:t>
      </w:r>
    </w:p>
    <w:p>
      <w:pPr>
        <w:ind w:left="760" w:hanging="21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LeRoy C. Kopp</w:t>
      </w:r>
    </w:p>
    <w:p>
      <w:pPr>
        <w:spacing w:after="0" w:line="182" w:lineRule="exact"/>
        <w:rPr>
          <w:sz w:val="20"/>
          <w:szCs w:val="20"/>
          <w:color w:val="auto"/>
        </w:rPr>
      </w:pPr>
    </w:p>
    <w:p>
      <w:pPr>
        <w:jc w:val="both"/>
        <w:ind w:left="540"/>
        <w:spacing w:after="0" w:line="254" w:lineRule="auto"/>
        <w:rPr>
          <w:sz w:val="20"/>
          <w:szCs w:val="20"/>
          <w:color w:val="auto"/>
        </w:rPr>
      </w:pPr>
      <w:r>
        <w:rPr>
          <w:rFonts w:ascii="Arial" w:cs="Arial" w:eastAsia="Arial" w:hAnsi="Arial"/>
          <w:sz w:val="21"/>
          <w:szCs w:val="21"/>
          <w:b w:val="1"/>
          <w:bCs w:val="1"/>
          <w:color w:val="auto"/>
        </w:rPr>
        <w:t>This Statement is filed by Kopp Investment Advisors, Inc., on behalf of all of the above persons pursuant to Rule 13d-1(k). Attached is an agreement in writing among the above persons that this Statement be so filed on behalf of each of them. KIA is an investment adviser registered under the Investment Advisers Act of 1940. It is wholly-owned by Kopp Holding Company, which is wholly-owned by Mr. Kopp.</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Item 2(b),2(c),2(d), and 2(e)</w:t>
      </w:r>
      <w:r>
        <w:rPr>
          <w:rFonts w:ascii="Arial" w:cs="Arial" w:eastAsia="Arial" w:hAnsi="Arial"/>
          <w:sz w:val="21"/>
          <w:szCs w:val="21"/>
          <w:color w:val="auto"/>
        </w:rPr>
        <w:t xml:space="preserve">. </w:t>
      </w:r>
      <w:r>
        <w:rPr>
          <w:rFonts w:ascii="Arial" w:cs="Arial" w:eastAsia="Arial" w:hAnsi="Arial"/>
          <w:sz w:val="21"/>
          <w:szCs w:val="21"/>
          <w:u w:val="single" w:color="auto"/>
          <w:color w:val="auto"/>
        </w:rPr>
        <w:t>Address of Principal Business Office; Citizenship; Title of Class of Securities; CUSIP Number.</w:t>
      </w:r>
    </w:p>
    <w:p>
      <w:pPr>
        <w:spacing w:after="0" w:line="212" w:lineRule="exact"/>
        <w:rPr>
          <w:sz w:val="20"/>
          <w:szCs w:val="20"/>
          <w:color w:val="auto"/>
        </w:rPr>
      </w:pPr>
    </w:p>
    <w:p>
      <w:pPr>
        <w:ind w:left="540" w:right="100"/>
        <w:spacing w:after="0" w:line="261" w:lineRule="auto"/>
        <w:rPr>
          <w:sz w:val="20"/>
          <w:szCs w:val="20"/>
          <w:color w:val="auto"/>
        </w:rPr>
      </w:pPr>
      <w:r>
        <w:rPr>
          <w:rFonts w:ascii="Arial" w:cs="Arial" w:eastAsia="Arial" w:hAnsi="Arial"/>
          <w:sz w:val="21"/>
          <w:szCs w:val="21"/>
          <w:b w:val="1"/>
          <w:bCs w:val="1"/>
          <w:color w:val="auto"/>
        </w:rPr>
        <w:t>All reporting persons may be contacted at 7701 France Avenue South, Suite 500, Edina, MN 55435. Kopp Investment Advisors, Inc. and Kopp Holding Company are Minnesota corporations. Mr. Kopp is a United States citizen. This report pertains to the Common Shares, No Par Value, of Itron, Inc., CUSIP #465741106.</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p>
    <w:p>
      <w:pPr>
        <w:spacing w:after="0" w:line="206" w:lineRule="exact"/>
        <w:rPr>
          <w:sz w:val="20"/>
          <w:szCs w:val="20"/>
          <w:color w:val="auto"/>
        </w:rPr>
      </w:pPr>
    </w:p>
    <w:p>
      <w:pPr>
        <w:jc w:val="both"/>
        <w:ind w:left="540" w:right="200"/>
        <w:spacing w:after="0"/>
        <w:rPr>
          <w:sz w:val="20"/>
          <w:szCs w:val="20"/>
          <w:color w:val="auto"/>
        </w:rPr>
      </w:pPr>
      <w:r>
        <w:rPr>
          <w:rFonts w:ascii="Arial" w:cs="Arial" w:eastAsia="Arial" w:hAnsi="Arial"/>
          <w:sz w:val="22"/>
          <w:szCs w:val="22"/>
          <w:color w:val="auto"/>
        </w:rPr>
        <w:t>This statement is filed pursuant to Rule 13d-1(b). The persons filing are an investment adviser registered under Section 203 of the Investment Advisors Act of 1940 and a parent holding company and control person in accordance with 13d-1 (b) (ii) (G).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as of</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12/31/01</w:t>
      </w:r>
      <w:r>
        <w:rPr>
          <w:rFonts w:ascii="Arial" w:cs="Arial" w:eastAsia="Arial" w:hAnsi="Arial"/>
          <w:sz w:val="22"/>
          <w:szCs w:val="22"/>
          <w:u w:val="single" w:color="auto"/>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The information contained in Items 5 - 11 on the cover pages is incorporated herein by reference.</w:t>
      </w:r>
    </w:p>
    <w:p>
      <w:pPr>
        <w:sectPr>
          <w:pgSz w:w="11900" w:h="16838" w:orient="portrait"/>
          <w:cols w:equalWidth="0" w:num="1">
            <w:col w:w="11420"/>
          </w:cols>
          <w:pgMar w:left="240" w:top="118" w:right="239" w:bottom="0" w:gutter="0" w:footer="0" w:header="0"/>
        </w:sectPr>
      </w:pPr>
    </w:p>
    <w:bookmarkStart w:id="3" w:name="page4"/>
    <w:bookmarkEnd w:id="3"/>
    <w:p>
      <w:pPr>
        <w:ind w:left="540" w:right="20"/>
        <w:spacing w:after="0" w:line="243" w:lineRule="auto"/>
        <w:rPr>
          <w:sz w:val="20"/>
          <w:szCs w:val="20"/>
          <w:color w:val="auto"/>
        </w:rPr>
      </w:pPr>
      <w:r>
        <w:rPr>
          <w:rFonts w:ascii="Arial" w:cs="Arial" w:eastAsia="Arial" w:hAnsi="Arial"/>
          <w:sz w:val="22"/>
          <w:szCs w:val="22"/>
          <w:color w:val="auto"/>
        </w:rPr>
        <w:t xml:space="preserve">The filing of this Statement shall be </w:t>
      </w:r>
      <w:r>
        <w:rPr>
          <w:rFonts w:ascii="Arial" w:cs="Arial" w:eastAsia="Arial" w:hAnsi="Arial"/>
          <w:sz w:val="22"/>
          <w:szCs w:val="22"/>
          <w:b w:val="1"/>
          <w:bCs w:val="1"/>
          <w:color w:val="auto"/>
        </w:rPr>
        <w:t>NOT</w:t>
      </w:r>
      <w:r>
        <w:rPr>
          <w:rFonts w:ascii="Arial" w:cs="Arial" w:eastAsia="Arial" w:hAnsi="Arial"/>
          <w:sz w:val="22"/>
          <w:szCs w:val="22"/>
          <w:color w:val="auto"/>
        </w:rPr>
        <w:t xml:space="preserve"> be construed as an admission that the persons filing are beneficial owners of the shares covered by this Statement for any purpose, including purposes of Sections 13, 14 or 16 of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of Five Percent or Less of a Class</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of More than Five Percent on Behalf of Another Person</w:t>
      </w:r>
      <w:r>
        <w:rPr>
          <w:rFonts w:ascii="Arial" w:cs="Arial" w:eastAsia="Arial" w:hAnsi="Arial"/>
          <w:sz w:val="22"/>
          <w:szCs w:val="22"/>
          <w:color w:val="auto"/>
        </w:rPr>
        <w:t>.</w:t>
      </w:r>
    </w:p>
    <w:p>
      <w:pPr>
        <w:spacing w:after="0" w:line="200" w:lineRule="exact"/>
        <w:rPr>
          <w:sz w:val="20"/>
          <w:szCs w:val="20"/>
          <w:color w:val="auto"/>
        </w:rPr>
      </w:pPr>
    </w:p>
    <w:p>
      <w:pPr>
        <w:ind w:left="540"/>
        <w:spacing w:after="0" w:line="301" w:lineRule="auto"/>
        <w:rPr>
          <w:sz w:val="20"/>
          <w:szCs w:val="20"/>
          <w:color w:val="auto"/>
        </w:rPr>
      </w:pPr>
      <w:r>
        <w:rPr>
          <w:rFonts w:ascii="Arial" w:cs="Arial" w:eastAsia="Arial" w:hAnsi="Arial"/>
          <w:sz w:val="19"/>
          <w:szCs w:val="19"/>
          <w:color w:val="auto"/>
        </w:rPr>
        <w:t xml:space="preserve">Of the shares covered by this Statement, </w:t>
      </w:r>
      <w:r>
        <w:rPr>
          <w:rFonts w:ascii="Arial" w:cs="Arial" w:eastAsia="Arial" w:hAnsi="Arial"/>
          <w:sz w:val="19"/>
          <w:szCs w:val="19"/>
          <w:b w:val="1"/>
          <w:bCs w:val="1"/>
          <w:color w:val="auto"/>
        </w:rPr>
        <w:t>2,387,000</w:t>
      </w:r>
      <w:r>
        <w:rPr>
          <w:rFonts w:ascii="Arial" w:cs="Arial" w:eastAsia="Arial" w:hAnsi="Arial"/>
          <w:sz w:val="19"/>
          <w:szCs w:val="19"/>
          <w:color w:val="auto"/>
        </w:rPr>
        <w:t xml:space="preserve"> are held in 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129"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and Classification of the Subsidiary which Acquired the Security Being Reported on By the Parent Holding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and Classification of Members of the Group</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of Dissolution of Group</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Certification</w:t>
      </w:r>
      <w:r>
        <w:rPr>
          <w:rFonts w:ascii="Arial" w:cs="Arial" w:eastAsia="Arial" w:hAnsi="Arial"/>
          <w:sz w:val="22"/>
          <w:szCs w:val="22"/>
          <w:color w:val="auto"/>
        </w:rPr>
        <w:t>.</w:t>
      </w:r>
    </w:p>
    <w:p>
      <w:pPr>
        <w:spacing w:after="0" w:line="20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Signature</w:t>
      </w:r>
      <w:r>
        <w:rPr>
          <w:rFonts w:ascii="Arial" w:cs="Arial" w:eastAsia="Arial" w:hAnsi="Arial"/>
          <w:sz w:val="22"/>
          <w:szCs w:val="22"/>
          <w:color w:val="auto"/>
        </w:rPr>
        <w:t>.</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b w:val="1"/>
          <w:bCs w:val="1"/>
          <w:color w:val="auto"/>
        </w:rPr>
        <w:t>01/22/02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185229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KOPP INVESTMENT ADVISORS,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403034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30345"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John P. Flakne, Chief Financial Officer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undersigned hereby agrees that the Statement on Schedule 13G to which this Agreement is attached be filed on behalf of Kopp Investment Advisors, Inc., a Minnesota corporation; Kopp Holding Company, a Minnesota corporation, of which Kopp Investment Advisors, Inc. is a wholly-owned subsidiary; and LeRoy C. Kopp, who holds 100% of the outstanding capital stock of Kopp Holding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01/22/02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KOPP INVESTMENT ADVISORS,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258127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LeRoy C. Kopp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258127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LeRoy C. Kopp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KOPP HOLDING COMPANY</w:t>
      </w:r>
    </w:p>
    <w:p>
      <w:pPr>
        <w:sectPr>
          <w:pgSz w:w="11900" w:h="16838" w:orient="portrait"/>
          <w:cols w:equalWidth="0" w:num="1">
            <w:col w:w="11400"/>
          </w:cols>
          <w:pgMar w:left="240" w:top="112" w:right="25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258127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LeRoy C. Kopp, President</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1"/>
    </w:lvl>
    <w:lvl w:ilvl="1">
      <w:lvlJc w:val="left"/>
      <w:lvlText w:val="%2)"/>
      <w:numFmt w:val="decimal"/>
      <w:start w:val="5"/>
    </w:lvl>
  </w:abstractNum>
  <w:abstractNum w:abstractNumId="3">
    <w:nsid w:val="12200854"/>
    <w:multiLevelType w:val="hybridMultilevel"/>
    <w:lvl w:ilvl="0">
      <w:lvlJc w:val="left"/>
      <w:lvlText w:val="%1)"/>
      <w:numFmt w:val="decimal"/>
      <w:start w:val="9"/>
    </w:lvl>
    <w:lvl w:ilvl="1">
      <w:lvlJc w:val="left"/>
      <w:lvlText w:val="%2"/>
      <w:numFmt w:val="decimal"/>
      <w:start w:val="1"/>
    </w:lvl>
  </w:abstractNum>
  <w:abstractNum w:abstractNumId="4">
    <w:nsid w:val="4DB127F8"/>
    <w:multiLevelType w:val="hybridMultilevel"/>
    <w:lvl w:ilvl="0">
      <w:lvlJc w:val="left"/>
      <w:lvlText w:val="%1)"/>
      <w:numFmt w:val="decimal"/>
      <w:start w:val="14"/>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lvl w:ilvl="1">
      <w:lvlJc w:val="left"/>
      <w:lvlText w:val="%2)"/>
      <w:numFmt w:val="decimal"/>
      <w:start w:val="5"/>
    </w:lvl>
  </w:abstractNum>
  <w:abstractNum w:abstractNumId="7">
    <w:nsid w:val="1190CDE7"/>
    <w:multiLevelType w:val="hybridMultilevel"/>
    <w:lvl w:ilvl="0">
      <w:lvlJc w:val="left"/>
      <w:lvlText w:val="%1)"/>
      <w:numFmt w:val="decimal"/>
      <w:start w:val="9"/>
    </w:lvl>
    <w:lvl w:ilvl="1">
      <w:lvlJc w:val="left"/>
      <w:lvlText w:val="%2"/>
      <w:numFmt w:val="decimal"/>
      <w:start w:val="1"/>
    </w:lvl>
  </w:abstractNum>
  <w:abstractNum w:abstractNumId="8">
    <w:nsid w:val="66EF438D"/>
    <w:multiLevelType w:val="hybridMultilevel"/>
    <w:lvl w:ilvl="0">
      <w:lvlJc w:val="left"/>
      <w:lvlText w:val="%1)"/>
      <w:numFmt w:val="decimal"/>
      <w:start w:val="14"/>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1"/>
    </w:lvl>
    <w:lvl w:ilvl="1">
      <w:lvlJc w:val="left"/>
      <w:lvlText w:val="%2)"/>
      <w:numFmt w:val="decimal"/>
      <w:start w:val="5"/>
    </w:lvl>
  </w:abstractNum>
  <w:abstractNum w:abstractNumId="12">
    <w:nsid w:val="DED7263"/>
    <w:multiLevelType w:val="hybridMultilevel"/>
    <w:lvl w:ilvl="0">
      <w:lvlJc w:val="left"/>
      <w:lvlText w:val="%1)"/>
      <w:numFmt w:val="decimal"/>
      <w:start w:val="9"/>
    </w:lvl>
    <w:lvl w:ilvl="1">
      <w:lvlJc w:val="left"/>
      <w:lvlText w:val="%2"/>
      <w:numFmt w:val="decimal"/>
      <w:start w:val="1"/>
    </w:lvl>
  </w:abstractNum>
  <w:abstractNum w:abstractNumId="13">
    <w:nsid w:val="7FDCC233"/>
    <w:multiLevelType w:val="hybridMultilevel"/>
    <w:lvl w:ilvl="0">
      <w:lvlJc w:val="left"/>
      <w:lvlText w:val="%1)"/>
      <w:numFmt w:val="decimal"/>
      <w:start w:val="14"/>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2019-12-13T15:41:57Z</dcterms:created>
  <dcterms:modified xsi:type="dcterms:W3CDTF">2019-12-13T15:41:57Z</dcterms:modified>
</cp:coreProperties>
</file>