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____________________________</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February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1771015</wp:posOffset>
            </wp:positionH>
            <wp:positionV relativeFrom="paragraph">
              <wp:posOffset>25400</wp:posOffset>
            </wp:positionV>
            <wp:extent cx="3600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25400</wp:posOffset>
            </wp:positionV>
            <wp:extent cx="3926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31" w:lineRule="exact"/>
        <w:rPr>
          <w:sz w:val="24"/>
          <w:szCs w:val="24"/>
          <w:color w:val="auto"/>
        </w:rPr>
      </w:pPr>
    </w:p>
    <w:tbl>
      <w:tblPr>
        <w:tblLayout w:type="fixed"/>
        <w:tblInd w:w="1200" w:type="dxa"/>
        <w:tblCellMar>
          <w:top w:w="0" w:type="dxa"/>
          <w:left w:w="0" w:type="dxa"/>
          <w:bottom w:w="0" w:type="dxa"/>
          <w:right w:w="0" w:type="dxa"/>
        </w:tblCellMar>
      </w:tblPr>
      <w:tr>
        <w:trPr>
          <w:trHeight w:val="266"/>
        </w:trPr>
        <w:tc>
          <w:tcPr>
            <w:tcW w:w="31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6"/>
              </w:rPr>
              <w:t>Washington</w:t>
            </w:r>
          </w:p>
        </w:tc>
        <w:tc>
          <w:tcPr>
            <w:tcW w:w="2680" w:type="dxa"/>
            <w:vAlign w:val="bottom"/>
          </w:tcPr>
          <w:p>
            <w:pPr>
              <w:jc w:val="right"/>
              <w:ind w:right="801"/>
              <w:spacing w:after="0"/>
              <w:rPr>
                <w:sz w:val="20"/>
                <w:szCs w:val="20"/>
                <w:color w:val="auto"/>
              </w:rPr>
            </w:pPr>
            <w:r>
              <w:rPr>
                <w:rFonts w:ascii="Times New Roman" w:cs="Times New Roman" w:eastAsia="Times New Roman" w:hAnsi="Times New Roman"/>
                <w:sz w:val="20"/>
                <w:szCs w:val="20"/>
                <w:b w:val="1"/>
                <w:bCs w:val="1"/>
                <w:color w:val="auto"/>
              </w:rPr>
              <w:t>000-22418</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80" w:type="dxa"/>
            <w:vAlign w:val="bottom"/>
          </w:tcPr>
          <w:p>
            <w:pPr>
              <w:jc w:val="center"/>
              <w:ind w:right="361"/>
              <w:spacing w:after="0"/>
              <w:rPr>
                <w:sz w:val="20"/>
                <w:szCs w:val="20"/>
                <w:color w:val="auto"/>
              </w:rPr>
            </w:pPr>
            <w:r>
              <w:rPr>
                <w:rFonts w:ascii="Times New Roman" w:cs="Times New Roman" w:eastAsia="Times New Roman" w:hAnsi="Times New Roman"/>
                <w:sz w:val="20"/>
                <w:szCs w:val="20"/>
                <w:b w:val="1"/>
                <w:bCs w:val="1"/>
                <w:color w:val="auto"/>
                <w:w w:val="97"/>
              </w:rPr>
              <w:t>91-1011792</w:t>
            </w:r>
          </w:p>
        </w:tc>
        <w:tc>
          <w:tcPr>
            <w:tcW w:w="0" w:type="dxa"/>
            <w:vAlign w:val="bottom"/>
          </w:tcPr>
          <w:p>
            <w:pPr>
              <w:spacing w:after="0"/>
              <w:rPr>
                <w:sz w:val="1"/>
                <w:szCs w:val="1"/>
                <w:color w:val="auto"/>
              </w:rPr>
            </w:pPr>
          </w:p>
        </w:tc>
      </w:tr>
      <w:tr>
        <w:trPr>
          <w:trHeight w:val="190"/>
        </w:trPr>
        <w:tc>
          <w:tcPr>
            <w:tcW w:w="284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8"/>
              </w:rPr>
              <w:t>(State or other jurisdiction</w:t>
            </w:r>
          </w:p>
        </w:tc>
        <w:tc>
          <w:tcPr>
            <w:tcW w:w="260" w:type="dxa"/>
            <w:vAlign w:val="bottom"/>
          </w:tcPr>
          <w:p>
            <w:pPr>
              <w:spacing w:after="0"/>
              <w:rPr>
                <w:sz w:val="16"/>
                <w:szCs w:val="16"/>
                <w:color w:val="auto"/>
              </w:rPr>
            </w:pPr>
          </w:p>
        </w:tc>
        <w:tc>
          <w:tcPr>
            <w:tcW w:w="2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3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jc w:val="center"/>
              <w:ind w:right="361"/>
              <w:spacing w:after="0" w:line="190" w:lineRule="exact"/>
              <w:rPr>
                <w:sz w:val="20"/>
                <w:szCs w:val="20"/>
                <w:color w:val="auto"/>
              </w:rPr>
            </w:pPr>
            <w:r>
              <w:rPr>
                <w:rFonts w:ascii="Times New Roman" w:cs="Times New Roman" w:eastAsia="Times New Roman" w:hAnsi="Times New Roman"/>
                <w:sz w:val="20"/>
                <w:szCs w:val="20"/>
                <w:color w:val="auto"/>
              </w:rPr>
              <w:t>(IRS Employer</w:t>
            </w:r>
          </w:p>
        </w:tc>
        <w:tc>
          <w:tcPr>
            <w:tcW w:w="0" w:type="dxa"/>
            <w:vAlign w:val="bottom"/>
          </w:tcPr>
          <w:p>
            <w:pPr>
              <w:spacing w:after="0"/>
              <w:rPr>
                <w:sz w:val="1"/>
                <w:szCs w:val="1"/>
                <w:color w:val="auto"/>
              </w:rPr>
            </w:pPr>
          </w:p>
        </w:tc>
      </w:tr>
      <w:tr>
        <w:trPr>
          <w:trHeight w:val="258"/>
        </w:trPr>
        <w:tc>
          <w:tcPr>
            <w:tcW w:w="310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color w:val="auto"/>
                <w:w w:val="99"/>
              </w:rPr>
              <w:t>of incorporation)</w:t>
            </w:r>
          </w:p>
        </w:tc>
        <w:tc>
          <w:tcPr>
            <w:tcW w:w="268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8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8"/>
              </w:rPr>
              <w:t>Identification No.)</w:t>
            </w:r>
          </w:p>
        </w:tc>
        <w:tc>
          <w:tcPr>
            <w:tcW w:w="0" w:type="dxa"/>
            <w:vAlign w:val="bottom"/>
          </w:tcPr>
          <w:p>
            <w:pPr>
              <w:spacing w:after="0"/>
              <w:rPr>
                <w:sz w:val="1"/>
                <w:szCs w:val="1"/>
                <w:color w:val="auto"/>
              </w:rPr>
            </w:pPr>
          </w:p>
        </w:tc>
      </w:tr>
      <w:tr>
        <w:trPr>
          <w:trHeight w:val="364"/>
        </w:trPr>
        <w:tc>
          <w:tcPr>
            <w:tcW w:w="3100" w:type="dxa"/>
            <w:vAlign w:val="bottom"/>
            <w:gridSpan w:val="2"/>
          </w:tcPr>
          <w:p>
            <w:pPr>
              <w:ind w:left="1280"/>
              <w:spacing w:after="0"/>
              <w:rPr>
                <w:sz w:val="20"/>
                <w:szCs w:val="20"/>
                <w:color w:val="auto"/>
              </w:rPr>
            </w:pPr>
            <w:r>
              <w:rPr>
                <w:rFonts w:ascii="Times New Roman" w:cs="Times New Roman" w:eastAsia="Times New Roman" w:hAnsi="Times New Roman"/>
                <w:sz w:val="20"/>
                <w:szCs w:val="20"/>
                <w:b w:val="1"/>
                <w:bCs w:val="1"/>
                <w:color w:val="auto"/>
                <w:w w:val="97"/>
              </w:rPr>
              <w:t>2111 N. Molter Road,</w:t>
            </w:r>
          </w:p>
        </w:tc>
        <w:tc>
          <w:tcPr>
            <w:tcW w:w="2680" w:type="dxa"/>
            <w:vAlign w:val="bottom"/>
          </w:tcPr>
          <w:p>
            <w:pPr>
              <w:ind w:left="1120"/>
              <w:spacing w:after="0"/>
              <w:rPr>
                <w:sz w:val="20"/>
                <w:szCs w:val="20"/>
                <w:color w:val="auto"/>
              </w:rPr>
            </w:pPr>
            <w:r>
              <w:rPr>
                <w:rFonts w:ascii="Times New Roman" w:cs="Times New Roman" w:eastAsia="Times New Roman" w:hAnsi="Times New Roman"/>
                <w:sz w:val="20"/>
                <w:szCs w:val="20"/>
                <w:b w:val="1"/>
                <w:bCs w:val="1"/>
                <w:color w:val="auto"/>
              </w:rPr>
              <w:t>Liberty Lake,</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20"/>
                <w:szCs w:val="20"/>
                <w:b w:val="1"/>
                <w:bCs w:val="1"/>
                <w:color w:val="auto"/>
              </w:rPr>
              <w:t>WA</w:t>
            </w:r>
          </w:p>
        </w:tc>
        <w:tc>
          <w:tcPr>
            <w:tcW w:w="2280" w:type="dxa"/>
            <w:vAlign w:val="bottom"/>
          </w:tcPr>
          <w:p>
            <w:pPr>
              <w:jc w:val="right"/>
              <w:ind w:right="901"/>
              <w:spacing w:after="0"/>
              <w:rPr>
                <w:sz w:val="20"/>
                <w:szCs w:val="20"/>
                <w:color w:val="auto"/>
              </w:rPr>
            </w:pPr>
            <w:r>
              <w:rPr>
                <w:rFonts w:ascii="Times New Roman" w:cs="Times New Roman" w:eastAsia="Times New Roman" w:hAnsi="Times New Roman"/>
                <w:sz w:val="20"/>
                <w:szCs w:val="20"/>
                <w:b w:val="1"/>
                <w:bCs w:val="1"/>
                <w:color w:val="auto"/>
              </w:rPr>
              <w:t>99019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5080</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ind w:left="360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144"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25400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331470</wp:posOffset>
            </wp:positionV>
            <wp:extent cx="5880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351" w:lineRule="exact"/>
        <w:rPr>
          <w:sz w:val="24"/>
          <w:szCs w:val="24"/>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rPr>
          <w:sz w:val="20"/>
          <w:szCs w:val="20"/>
          <w:color w:val="auto"/>
        </w:rPr>
      </w:pPr>
      <w:r>
        <w:rPr>
          <w:rFonts w:ascii="Webdings" w:cs="Webdings" w:eastAsia="Webdings" w:hAnsi="Webdings"/>
          <w:sz w:val="16"/>
          <w:szCs w:val="16"/>
          <w:b w:val="1"/>
          <w:bCs w:val="1"/>
          <w:color w:val="auto"/>
        </w:rPr>
        <w:t xml:space="preserve">c </w:t>
      </w:r>
      <w:r>
        <w:rPr>
          <w:rFonts w:ascii="Times New Roman" w:cs="Times New Roman" w:eastAsia="Times New Roman" w:hAnsi="Times New Roman"/>
          <w:sz w:val="19"/>
          <w:szCs w:val="19"/>
          <w:color w:val="auto"/>
        </w:rPr>
        <w:t>Written communications pursuant to Rule 425 under the Securities Act (17 CFR 230.425)</w:t>
      </w:r>
    </w:p>
    <w:p>
      <w:pPr>
        <w:spacing w:after="0" w:line="40" w:lineRule="exact"/>
        <w:rPr>
          <w:sz w:val="24"/>
          <w:szCs w:val="24"/>
          <w:color w:val="auto"/>
        </w:rPr>
      </w:pPr>
    </w:p>
    <w:p>
      <w:pPr>
        <w:spacing w:after="0"/>
        <w:rPr>
          <w:sz w:val="20"/>
          <w:szCs w:val="20"/>
          <w:color w:val="auto"/>
        </w:rPr>
      </w:pPr>
      <w:r>
        <w:rPr>
          <w:rFonts w:ascii="Webdings" w:cs="Webdings" w:eastAsia="Webdings" w:hAnsi="Webdings"/>
          <w:sz w:val="16"/>
          <w:szCs w:val="16"/>
          <w:b w:val="1"/>
          <w:bCs w:val="1"/>
          <w:color w:val="auto"/>
        </w:rPr>
        <w:t xml:space="preserve">c </w:t>
      </w:r>
      <w:r>
        <w:rPr>
          <w:rFonts w:ascii="Times New Roman" w:cs="Times New Roman" w:eastAsia="Times New Roman" w:hAnsi="Times New Roman"/>
          <w:sz w:val="19"/>
          <w:szCs w:val="19"/>
          <w:color w:val="auto"/>
        </w:rPr>
        <w:t>Soliciting material pursuant to Rule 14a-12 under the Exchange Act (17 CFR 240.14a-12)</w:t>
      </w:r>
    </w:p>
    <w:p>
      <w:pPr>
        <w:spacing w:after="0" w:line="18" w:lineRule="exact"/>
        <w:rPr>
          <w:sz w:val="24"/>
          <w:szCs w:val="24"/>
          <w:color w:val="auto"/>
        </w:rPr>
      </w:pPr>
    </w:p>
    <w:p>
      <w:pPr>
        <w:spacing w:after="0"/>
        <w:rPr>
          <w:sz w:val="20"/>
          <w:szCs w:val="20"/>
          <w:color w:val="auto"/>
        </w:rPr>
      </w:pPr>
      <w:r>
        <w:rPr>
          <w:rFonts w:ascii="Webdings" w:cs="Webdings" w:eastAsia="Webdings" w:hAnsi="Webdings"/>
          <w:sz w:val="16"/>
          <w:szCs w:val="16"/>
          <w:b w:val="1"/>
          <w:bCs w:val="1"/>
          <w:color w:val="auto"/>
        </w:rPr>
        <w:t xml:space="preserve">c </w:t>
      </w: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18" w:lineRule="exact"/>
        <w:rPr>
          <w:sz w:val="24"/>
          <w:szCs w:val="24"/>
          <w:color w:val="auto"/>
        </w:rPr>
      </w:pPr>
    </w:p>
    <w:p>
      <w:pPr>
        <w:spacing w:after="0"/>
        <w:rPr>
          <w:sz w:val="20"/>
          <w:szCs w:val="20"/>
          <w:color w:val="auto"/>
        </w:rPr>
      </w:pPr>
      <w:r>
        <w:rPr>
          <w:rFonts w:ascii="Webdings" w:cs="Webdings" w:eastAsia="Webdings" w:hAnsi="Webdings"/>
          <w:sz w:val="16"/>
          <w:szCs w:val="16"/>
          <w:b w:val="1"/>
          <w:bCs w:val="1"/>
          <w:color w:val="auto"/>
        </w:rPr>
        <w:t xml:space="preserve">c </w:t>
      </w:r>
      <w:r>
        <w:rPr>
          <w:rFonts w:ascii="Times New Roman" w:cs="Times New Roman" w:eastAsia="Times New Roman" w:hAnsi="Times New Roman"/>
          <w:sz w:val="19"/>
          <w:szCs w:val="19"/>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ITRI</w:t>
            </w:r>
          </w:p>
        </w:tc>
        <w:tc>
          <w:tcPr>
            <w:tcW w:w="100" w:type="dxa"/>
            <w:vAlign w:val="bottom"/>
          </w:tcPr>
          <w:p>
            <w:pPr>
              <w:spacing w:after="0"/>
              <w:rPr>
                <w:sz w:val="19"/>
                <w:szCs w:val="19"/>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1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Emerging growth company </w:t>
      </w:r>
      <w:r>
        <w:rPr>
          <w:rFonts w:ascii="Webdings" w:cs="Webdings" w:eastAsia="Webdings" w:hAnsi="Webdings"/>
          <w:sz w:val="16"/>
          <w:szCs w:val="16"/>
          <w:b w:val="1"/>
          <w:bCs w:val="1"/>
          <w:color w:val="auto"/>
        </w:rPr>
        <w:t>c</w:t>
      </w:r>
    </w:p>
    <w:p>
      <w:pPr>
        <w:spacing w:after="0" w:line="243"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ebdings" w:cs="Webdings" w:eastAsia="Webdings" w:hAnsi="Webdings"/>
          <w:sz w:val="16"/>
          <w:szCs w:val="16"/>
          <w:b w:val="1"/>
          <w:bCs w:val="1"/>
          <w:color w:val="auto"/>
        </w:rPr>
        <w:t>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6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On February 26, 2024, Itron, Inc. issued a press release announcing its financial results for the three months and full year ended December 31, 2023. A copy of this press release and accompanying financial statements are attached as Exhibit 99.1.</w:t>
      </w:r>
    </w:p>
    <w:p>
      <w:pPr>
        <w:spacing w:after="0" w:line="1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(d)</w:t>
            </w:r>
          </w:p>
        </w:tc>
        <w:tc>
          <w:tcPr>
            <w:tcW w:w="2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6640" w:type="dxa"/>
            <w:vAlign w:val="bottom"/>
            <w:gridSpan w:val="2"/>
          </w:tcPr>
          <w:p>
            <w:pPr>
              <w:ind w:left="5920"/>
              <w:spacing w:after="0"/>
              <w:rPr>
                <w:sz w:val="20"/>
                <w:szCs w:val="20"/>
                <w:color w:val="auto"/>
              </w:rPr>
            </w:pPr>
            <w:r>
              <w:rPr>
                <w:rFonts w:ascii="Times New Roman" w:cs="Times New Roman" w:eastAsia="Times New Roman" w:hAnsi="Times New Roman"/>
                <w:sz w:val="20"/>
                <w:szCs w:val="20"/>
                <w:color w:val="auto"/>
                <w:w w:val="97"/>
              </w:rPr>
              <w:t>Exhibits.</w:t>
            </w:r>
          </w:p>
        </w:tc>
      </w:tr>
      <w:tr>
        <w:trPr>
          <w:trHeight w:val="21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40" w:type="dxa"/>
            <w:vAlign w:val="bottom"/>
          </w:tcPr>
          <w:p>
            <w:pPr>
              <w:spacing w:after="0"/>
              <w:rPr>
                <w:sz w:val="21"/>
                <w:szCs w:val="21"/>
                <w:color w:val="auto"/>
              </w:rPr>
            </w:pPr>
          </w:p>
        </w:tc>
      </w:tr>
      <w:tr>
        <w:trPr>
          <w:trHeight w:val="425"/>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February 26, 2024. *</w:t>
            </w:r>
          </w:p>
        </w:tc>
        <w:tc>
          <w:tcPr>
            <w:tcW w:w="6640" w:type="dxa"/>
            <w:vAlign w:val="bottom"/>
            <w:gridSpan w:val="2"/>
          </w:tcPr>
          <w:p>
            <w:pPr>
              <w:spacing w:after="0"/>
              <w:rPr>
                <w:sz w:val="24"/>
                <w:szCs w:val="24"/>
                <w:color w:val="auto"/>
              </w:rPr>
            </w:pPr>
          </w:p>
        </w:tc>
      </w:tr>
      <w:tr>
        <w:trPr>
          <w:trHeight w:val="25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86"/>
        </w:trPr>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December 31, 2022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ITRON, INC.</w:t>
            </w:r>
          </w:p>
        </w:tc>
        <w:tc>
          <w:tcPr>
            <w:tcW w:w="5540" w:type="dxa"/>
            <w:vAlign w:val="bottom"/>
          </w:tcPr>
          <w:p>
            <w:pPr>
              <w:spacing w:after="0"/>
              <w:rPr>
                <w:sz w:val="20"/>
                <w:szCs w:val="20"/>
                <w:color w:val="auto"/>
              </w:rPr>
            </w:pPr>
          </w:p>
        </w:tc>
      </w:tr>
      <w:tr>
        <w:trPr>
          <w:trHeight w:val="486"/>
        </w:trPr>
        <w:tc>
          <w:tcPr>
            <w:tcW w:w="3560" w:type="dxa"/>
            <w:vAlign w:val="bottom"/>
          </w:tcPr>
          <w:p>
            <w:pPr>
              <w:spacing w:after="0"/>
              <w:rPr>
                <w:sz w:val="24"/>
                <w:szCs w:val="24"/>
                <w:color w:val="auto"/>
              </w:rPr>
            </w:pP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/s/ JOAN S. HOOPER</w:t>
            </w:r>
          </w:p>
        </w:tc>
      </w:tr>
      <w:tr>
        <w:trPr>
          <w:trHeight w:val="223"/>
        </w:trPr>
        <w:tc>
          <w:tcPr>
            <w:tcW w:w="484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9"/>
              </w:rPr>
              <w:t>February 26, 2024</w:t>
            </w:r>
          </w:p>
        </w:tc>
        <w:tc>
          <w:tcPr>
            <w:tcW w:w="820" w:type="dxa"/>
            <w:vAlign w:val="bottom"/>
            <w:tcBorders>
              <w:top w:val="single" w:sz="8" w:color="auto"/>
            </w:tcBorders>
          </w:tcPr>
          <w:p>
            <w:pPr>
              <w:spacing w:after="0"/>
              <w:rPr>
                <w:sz w:val="19"/>
                <w:szCs w:val="19"/>
                <w:color w:val="auto"/>
              </w:rPr>
            </w:pPr>
          </w:p>
        </w:tc>
        <w:tc>
          <w:tcPr>
            <w:tcW w:w="554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Joan S. Hooper</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5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06299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Itron Announces Fourth Quarter and Full Year 2023 Financial Results</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LIBERTY LAKE, Wash.--(BUSINESS WIRE)--February 26, 2024 --Itron, Inc. (NASDAQ:ITRI), which is innovating new ways for utilities and cities to manage energy and water, announced financial results for its fourth quarter and full year ended Dec. 31,</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2023. Key results for the quarter and full year include (compared with the fourth quarter and full year of 2022):</w:t>
      </w:r>
    </w:p>
    <w:p>
      <w:pPr>
        <w:spacing w:after="0" w:line="238" w:lineRule="exact"/>
        <w:rPr>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Revenue of $577 million and $2.2 billion, increased 23% and 21%;</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Gross profit of $196 million and $714 million, increased 39% and 37%;</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GAAP net income attributable to Itron, Inc. of $44 million and $97 million, increased $22 million and $107 million;</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GAAP diluted earnings per share of $0.96 and $2.11, increased $0.47 and $2.33;</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Non-GAAP diluted EPS of $1.23 and $3.36, increased $0.52 and $2.23;</w:t>
      </w:r>
    </w:p>
    <w:p>
      <w:pPr>
        <w:spacing w:after="0" w:line="67"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Adjusted EBITDA of $68 million and $226 million, increased 99% and 137%; and</w:t>
      </w:r>
    </w:p>
    <w:p>
      <w:pPr>
        <w:spacing w:after="0" w:line="53"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Free cash flow of $39 million and $98 million, increased $57 million and $93 million</w:t>
      </w:r>
    </w:p>
    <w:p>
      <w:pPr>
        <w:spacing w:after="0" w:line="200" w:lineRule="exact"/>
        <w:rPr>
          <w:sz w:val="20"/>
          <w:szCs w:val="20"/>
          <w:color w:val="auto"/>
        </w:rPr>
      </w:pPr>
    </w:p>
    <w:p>
      <w:pPr>
        <w:spacing w:after="0" w:line="35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“Itron’s fourth quarter results were very strong, and we concluded 2023 with good operational momentum.” said Tom Deitrich, Itron’s president and CEO. “Our operations remained efficient and critical supply availability continued to improve resulting in record quarterly revenue levels for our Networked Solutions and Outcomes segments.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have entered a new era of complexity for the responsible, reliable management of energy and water resources, and Itron’s leadership in providing grid edge intelligence, data insights, analytics and automation are essential to our customers' success. Our solutions address this complexity head on and support our customers' efforts to modernize critical infrastructure.”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Fourth Quarter Consolidated Financial Results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(All comparisons made are against the prior year period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Total fourth quarter revenue increased 23%, to $577 million. The increase was due to strong operational execution and improved supply chain conditions, which enabled higher customer deliveries.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Device Solutions revenue increased 13%, or 9% in constant currency, due primarily to increased demand for smart water meters and communication modules.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Networked Solutions revenue increased 30%, due to higher activity levels associated with ongoing and new deployments enabled by improved supply chain conditions.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Outcomes revenue increased 10%, or 9% in constant currency, due primarily to increased recurring and one-time services, partially offset by decreased software license activity during the quarter.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ectPr>
          <w:pgSz w:w="11900" w:h="16838" w:orient="portrait"/>
          <w:cols w:equalWidth="0" w:num="1">
            <w:col w:w="11240"/>
          </w:cols>
          <w:pgMar w:left="320" w:top="117" w:right="3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u w:val="single" w:color="auto"/>
          <w:color w:val="auto"/>
        </w:rPr>
        <w:t>Gross Margin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Total company gross margin of 34.0% increased 390 basis points due to cost efficiencies and a higher margin product mix.</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Operating Expenses and Operating Income</w:t>
      </w:r>
    </w:p>
    <w:p>
      <w:pPr>
        <w:spacing w:after="0" w:line="31"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GAAP operating expenses of $147 million increased $19 million from the prior year, and Non-GAAP operating expenses of $135 million increased $20 million from the prior year.</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GAAP operating income of $49 million was $37 million higher than the prior year, and Non-GAAP operating income of $61 million was $36 million higher than the prior year. Both GAAP and Non-GAAP increases were due primarily to higher gross profit, partially offset by higher operating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Income and Earnings per Share (EPS)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income attributable to Itron, Inc. for the quarter was $44 million, or $0.96 per diluted share, compared with a net income of $22 million, or $0.49 per diluted share in 2022. The increase was driven by higher GAAP operating income, partially offset by higher tax expense.</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Non-GAAP net income, which excludes the expenses associated with amortization of intangible assets, amortization of debt placement fees, restructuring, loss on sale of businesses, strategic initiative expenses, currency translation write-off, goodwill impairment, acquisition and integration, and the tax effect of excluding these expenses, was $ 57 million, or $1.23 per diluted share, compared with $32 million, or $0.71 per diluted share in 2022. The increase was due to higher non-GAAP operating income, partially offset by higher tax expense.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Flow</w:t>
      </w:r>
    </w:p>
    <w:p>
      <w:pPr>
        <w:ind w:right="80"/>
        <w:spacing w:after="0" w:line="239" w:lineRule="auto"/>
        <w:rPr>
          <w:sz w:val="20"/>
          <w:szCs w:val="20"/>
          <w:color w:val="auto"/>
        </w:rPr>
      </w:pPr>
      <w:r>
        <w:rPr>
          <w:rFonts w:ascii="Arial" w:cs="Arial" w:eastAsia="Arial" w:hAnsi="Arial"/>
          <w:sz w:val="20"/>
          <w:szCs w:val="20"/>
          <w:color w:val="auto"/>
        </w:rPr>
        <w:t>Net cash provided by operating activities was $48 million in the fourth quarter compared with $(13) million in the prior year. Free cash flow was $39 million in the fourth quarter compared with $(18) million in the prior year. The increase in cash flow was due primarily to higher earnings, partially offset by increased cash taxes paid.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Measures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After bookings of $839 million during the fourth quarter, total backlog at quarter end was $4.5 billion.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2024 Outlook and Full Year 2024 Guidance Update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First quarter 2024 financial outlook:</w:t>
      </w:r>
    </w:p>
    <w:p>
      <w:pPr>
        <w:spacing w:after="0" w:line="243"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Revenue between $575 and $585 million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Non-GAAP diluted EPS between $0.80 and $0.90</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Full year 2024 financial guidance:</w:t>
      </w:r>
    </w:p>
    <w:p>
      <w:pPr>
        <w:spacing w:after="0" w:line="2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between $2.275 to $2.375 billion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Non-GAAP diluted EPS between $3.40 to $3.80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52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Conference Call</w:t>
      </w:r>
    </w:p>
    <w:p>
      <w:pPr>
        <w:spacing w:after="0" w:line="33" w:lineRule="exact"/>
        <w:rPr>
          <w:sz w:val="20"/>
          <w:szCs w:val="20"/>
          <w:color w:val="auto"/>
        </w:rPr>
      </w:pPr>
    </w:p>
    <w:p>
      <w:pPr>
        <w:ind w:right="60"/>
        <w:spacing w:after="0"/>
        <w:rPr>
          <w:sz w:val="20"/>
          <w:szCs w:val="20"/>
          <w:color w:val="auto"/>
        </w:rPr>
      </w:pPr>
      <w:r>
        <w:rPr>
          <w:rFonts w:ascii="Arial" w:cs="Arial" w:eastAsia="Arial" w:hAnsi="Arial"/>
          <w:sz w:val="19"/>
          <w:szCs w:val="19"/>
          <w:color w:val="auto"/>
        </w:rPr>
        <w:t xml:space="preserve">Itron will host a conference call to discuss the financial results contained in this release at 10 a.m. EST on February 26, 2024. Interested parties may listen to the conference call on a live webcast. The webcast, along with a supplemental presentation, may be accessed from the company’s website at </w:t>
      </w:r>
      <w:r>
        <w:rPr>
          <w:rFonts w:ascii="Arial" w:cs="Arial" w:eastAsia="Arial" w:hAnsi="Arial"/>
          <w:sz w:val="19"/>
          <w:szCs w:val="19"/>
          <w:u w:val="single" w:color="auto"/>
          <w:color w:val="auto"/>
        </w:rPr>
        <w:t>https://investors.itron.com/events.cfm</w:t>
      </w:r>
      <w:r>
        <w:rPr>
          <w:rFonts w:ascii="Arial" w:cs="Arial" w:eastAsia="Arial" w:hAnsi="Arial"/>
          <w:sz w:val="19"/>
          <w:szCs w:val="19"/>
          <w:color w:val="auto"/>
        </w:rPr>
        <w:t>. Participants should access the webcast 10 minutes prior to the start of the call. A webcast replay of the conference call will be available through March 5, 2024 and may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be accessed on the company's website at </w:t>
      </w:r>
      <w:r>
        <w:rPr>
          <w:rFonts w:ascii="Arial" w:cs="Arial" w:eastAsia="Arial" w:hAnsi="Arial"/>
          <w:sz w:val="20"/>
          <w:szCs w:val="20"/>
          <w:u w:val="single" w:color="auto"/>
          <w:color w:val="auto"/>
        </w:rPr>
        <w:t>http://investors.itron.com/events.cfm</w:t>
      </w:r>
      <w:r>
        <w:rPr>
          <w:rFonts w:ascii="Arial" w:cs="Arial" w:eastAsia="Arial" w:hAnsi="Arial"/>
          <w:sz w:val="20"/>
          <w:szCs w:val="20"/>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Itron</w:t>
      </w:r>
    </w:p>
    <w:p>
      <w:pPr>
        <w:spacing w:after="0" w:line="20"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 xml:space="preserve">Itron is a proven global leader in energy, water, smart city, IIoT and intelligent infrastructure services. For utilities, cities and society, we build innovative systems, create new efficiencies, connect communities, encourage conservation and increase resourcefulness. By safeguarding our invaluable natural resources today and tomorrow, we improve the quality of life for people around the world. Join us: </w:t>
      </w:r>
      <w:r>
        <w:rPr>
          <w:rFonts w:ascii="Arial" w:cs="Arial" w:eastAsia="Arial" w:hAnsi="Arial"/>
          <w:sz w:val="20"/>
          <w:szCs w:val="20"/>
          <w:color w:val="0000FF"/>
        </w:rPr>
        <w:t>www.itron.com</w:t>
      </w:r>
      <w:r>
        <w:rPr>
          <w:rFonts w:ascii="Arial" w:cs="Arial" w:eastAsia="Arial" w:hAnsi="Arial"/>
          <w:sz w:val="20"/>
          <w:szCs w:val="20"/>
          <w:color w:val="auto"/>
        </w:rPr>
        <w:t>.</w:t>
      </w:r>
    </w:p>
    <w:p>
      <w:pPr>
        <w:spacing w:after="0" w:line="200" w:lineRule="exact"/>
        <w:rPr>
          <w:sz w:val="20"/>
          <w:szCs w:val="20"/>
          <w:color w:val="auto"/>
        </w:rPr>
      </w:pPr>
    </w:p>
    <w:p>
      <w:pPr>
        <w:ind w:right="340"/>
        <w:spacing w:after="0" w:line="221" w:lineRule="auto"/>
        <w:rPr>
          <w:sz w:val="20"/>
          <w:szCs w:val="20"/>
          <w:color w:val="auto"/>
        </w:rPr>
      </w:pPr>
      <w:r>
        <w:rPr>
          <w:rFonts w:ascii="Arial" w:cs="Arial" w:eastAsia="Arial" w:hAnsi="Arial"/>
          <w:sz w:val="20"/>
          <w:szCs w:val="20"/>
          <w:color w:val="auto"/>
        </w:rPr>
        <w:t>Itron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 Looking Statements</w:t>
      </w:r>
    </w:p>
    <w:p>
      <w:pPr>
        <w:spacing w:after="0" w:line="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This release </w:t>
      </w:r>
      <w:r>
        <w:rPr>
          <w:rFonts w:ascii="Arial" w:cs="Arial" w:eastAsia="Arial" w:hAnsi="Arial"/>
          <w:sz w:val="19"/>
          <w:szCs w:val="19"/>
          <w:color w:val="222222"/>
        </w:rPr>
        <w:t>contains, and our officers and representatives may from time to time make, "forward-looking statements" within the</w:t>
      </w:r>
      <w:r>
        <w:rPr>
          <w:rFonts w:ascii="Arial" w:cs="Arial" w:eastAsia="Arial" w:hAnsi="Arial"/>
          <w:sz w:val="19"/>
          <w:szCs w:val="19"/>
          <w:color w:val="auto"/>
        </w:rPr>
        <w:t xml:space="preserve"> </w:t>
      </w:r>
      <w:r>
        <w:rPr>
          <w:rFonts w:ascii="Arial" w:cs="Arial" w:eastAsia="Arial" w:hAnsi="Arial"/>
          <w:sz w:val="19"/>
          <w:szCs w:val="19"/>
          <w:color w:val="222222"/>
        </w:rPr>
        <w:t>meaning of the safe harbor provisions of the U.S. Private Securities Litigation Reform Act of 1995. Forward-looking statements</w:t>
      </w:r>
    </w:p>
    <w:p>
      <w:pPr>
        <w:jc w:val="both"/>
        <w:ind w:right="20"/>
        <w:spacing w:after="0" w:line="229" w:lineRule="auto"/>
        <w:rPr>
          <w:sz w:val="20"/>
          <w:szCs w:val="20"/>
          <w:color w:val="auto"/>
        </w:rPr>
      </w:pPr>
      <w:r>
        <w:rPr>
          <w:rFonts w:ascii="Arial" w:cs="Arial" w:eastAsia="Arial" w:hAnsi="Arial"/>
          <w:sz w:val="19"/>
          <w:szCs w:val="19"/>
          <w:color w:val="222222"/>
        </w:rPr>
        <w:t>are neither historical factors nor assurances of future performance. These statements are based on our expectations about, among others, revenues, operations, financial performance, earnings, liquidity, earnings per share, cash flows and restructuring</w:t>
      </w:r>
    </w:p>
    <w:p>
      <w:pPr>
        <w:spacing w:after="0" w:line="2" w:lineRule="exact"/>
        <w:rPr>
          <w:sz w:val="20"/>
          <w:szCs w:val="20"/>
          <w:color w:val="auto"/>
        </w:rPr>
      </w:pPr>
    </w:p>
    <w:p>
      <w:pPr>
        <w:jc w:val="both"/>
        <w:ind w:right="20"/>
        <w:spacing w:after="0" w:line="225" w:lineRule="auto"/>
        <w:rPr>
          <w:sz w:val="20"/>
          <w:szCs w:val="20"/>
          <w:color w:val="auto"/>
        </w:rPr>
      </w:pPr>
      <w:r>
        <w:rPr>
          <w:rFonts w:ascii="Arial" w:cs="Arial" w:eastAsia="Arial" w:hAnsi="Arial"/>
          <w:sz w:val="20"/>
          <w:szCs w:val="20"/>
          <w:color w:val="222222"/>
        </w:rPr>
        <w:t xml:space="preserve">activities including headcount reductions and other cost savings initiatives. This document reflects our current strategy, plans and expectations and is based on information currently available as of the date of this </w:t>
      </w:r>
      <w:r>
        <w:rPr>
          <w:rFonts w:ascii="Arial" w:cs="Arial" w:eastAsia="Arial" w:hAnsi="Arial"/>
          <w:sz w:val="20"/>
          <w:szCs w:val="20"/>
          <w:color w:val="000000"/>
        </w:rPr>
        <w:t>release.</w:t>
      </w:r>
      <w:r>
        <w:rPr>
          <w:rFonts w:ascii="Arial" w:cs="Arial" w:eastAsia="Arial" w:hAnsi="Arial"/>
          <w:sz w:val="20"/>
          <w:szCs w:val="20"/>
          <w:color w:val="222222"/>
        </w:rPr>
        <w:t xml:space="preserve"> When we use words such as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222222"/>
        </w:rPr>
        <w:t>"expect", "intend", "anticipate", "believe", "plan", "goal", "seek", "project", "estimate", "future", "strategy", "objective", "may", "likely", "should", "will", "will continue", and similar expressions, including related to future periods, they are intended to identify</w:t>
      </w:r>
    </w:p>
    <w:p>
      <w:pPr>
        <w:spacing w:after="0" w:line="226" w:lineRule="auto"/>
        <w:rPr>
          <w:sz w:val="20"/>
          <w:szCs w:val="20"/>
          <w:color w:val="auto"/>
        </w:rPr>
      </w:pPr>
      <w:r>
        <w:rPr>
          <w:rFonts w:ascii="Arial" w:cs="Arial" w:eastAsia="Arial" w:hAnsi="Arial"/>
          <w:sz w:val="20"/>
          <w:szCs w:val="20"/>
          <w:color w:val="222222"/>
        </w:rPr>
        <w:t>forward-looking statements. Forward-looking statements rely on a number of assumptions and estimates. Although we believe</w:t>
      </w:r>
    </w:p>
    <w:p>
      <w:pPr>
        <w:jc w:val="both"/>
        <w:spacing w:after="0" w:line="229" w:lineRule="auto"/>
        <w:rPr>
          <w:sz w:val="20"/>
          <w:szCs w:val="20"/>
          <w:color w:val="auto"/>
        </w:rPr>
      </w:pPr>
      <w:r>
        <w:rPr>
          <w:rFonts w:ascii="Arial" w:cs="Arial" w:eastAsia="Arial" w:hAnsi="Arial"/>
          <w:sz w:val="19"/>
          <w:szCs w:val="19"/>
          <w:color w:val="222222"/>
        </w:rPr>
        <w:t>the estimates and assumptions upon which these forward-looking statements are based are reasonable, any of these estimates or assumptions could prove to be inaccurate and the forward-looking statements based on these estimates and assumptions</w:t>
      </w:r>
    </w:p>
    <w:p>
      <w:pPr>
        <w:spacing w:after="0" w:line="227" w:lineRule="auto"/>
        <w:rPr>
          <w:sz w:val="20"/>
          <w:szCs w:val="20"/>
          <w:color w:val="auto"/>
        </w:rPr>
      </w:pPr>
      <w:r>
        <w:rPr>
          <w:rFonts w:ascii="Arial" w:cs="Arial" w:eastAsia="Arial" w:hAnsi="Arial"/>
          <w:sz w:val="20"/>
          <w:szCs w:val="20"/>
          <w:color w:val="222222"/>
        </w:rPr>
        <w:t>could be incorrect. Our operations involve risks and uncertainties, many of which are outside our control, and any one of which,</w:t>
      </w:r>
    </w:p>
    <w:p>
      <w:pPr>
        <w:jc w:val="both"/>
        <w:spacing w:after="0" w:line="229" w:lineRule="auto"/>
        <w:rPr>
          <w:sz w:val="20"/>
          <w:szCs w:val="20"/>
          <w:color w:val="auto"/>
        </w:rPr>
      </w:pPr>
      <w:r>
        <w:rPr>
          <w:rFonts w:ascii="Arial" w:cs="Arial" w:eastAsia="Arial" w:hAnsi="Arial"/>
          <w:sz w:val="19"/>
          <w:szCs w:val="19"/>
          <w:color w:val="222222"/>
        </w:rPr>
        <w:t>or a combination of which, could materially affect our results of operations and whether the forward-looking statements ultimately prove to be correct. Actual results and trends in the future may differ materially from those suggested or implied by the</w:t>
      </w:r>
    </w:p>
    <w:p>
      <w:pPr>
        <w:spacing w:after="0" w:line="227" w:lineRule="auto"/>
        <w:rPr>
          <w:sz w:val="20"/>
          <w:szCs w:val="20"/>
          <w:color w:val="auto"/>
        </w:rPr>
      </w:pPr>
      <w:r>
        <w:rPr>
          <w:rFonts w:ascii="Arial" w:cs="Arial" w:eastAsia="Arial" w:hAnsi="Arial"/>
          <w:sz w:val="20"/>
          <w:szCs w:val="20"/>
          <w:color w:val="222222"/>
        </w:rPr>
        <w:t>forward-looking statements depending on a variety of factors. Therefore, you should not rely on any of these forward-looking</w:t>
      </w:r>
    </w:p>
    <w:p>
      <w:pPr>
        <w:jc w:val="both"/>
        <w:spacing w:after="0" w:line="218" w:lineRule="auto"/>
        <w:rPr>
          <w:sz w:val="20"/>
          <w:szCs w:val="20"/>
          <w:color w:val="auto"/>
        </w:rPr>
      </w:pPr>
      <w:r>
        <w:rPr>
          <w:rFonts w:ascii="Arial" w:cs="Arial" w:eastAsia="Arial" w:hAnsi="Arial"/>
          <w:sz w:val="20"/>
          <w:szCs w:val="20"/>
          <w:color w:val="222222"/>
        </w:rPr>
        <w:t>statements. Some of the factors that we believe could affect our results include our ability to execute on our restructuring plans, our ability to achieve estimated cost savings, the rate and timing of customer demand for our products, rescheduling of current</w:t>
      </w:r>
    </w:p>
    <w:p>
      <w:pPr>
        <w:spacing w:after="0" w:line="226" w:lineRule="auto"/>
        <w:rPr>
          <w:sz w:val="20"/>
          <w:szCs w:val="20"/>
          <w:color w:val="auto"/>
        </w:rPr>
      </w:pPr>
      <w:r>
        <w:rPr>
          <w:rFonts w:ascii="Arial" w:cs="Arial" w:eastAsia="Arial" w:hAnsi="Arial"/>
          <w:sz w:val="20"/>
          <w:szCs w:val="20"/>
          <w:color w:val="222222"/>
        </w:rPr>
        <w:t>customer orders, changes in estimated liabilities for product warranties, adverse impacts of litigation, changes in laws and</w:t>
      </w:r>
    </w:p>
    <w:p>
      <w:pPr>
        <w:jc w:val="both"/>
        <w:spacing w:after="0" w:line="229" w:lineRule="auto"/>
        <w:rPr>
          <w:sz w:val="20"/>
          <w:szCs w:val="20"/>
          <w:color w:val="auto"/>
        </w:rPr>
      </w:pPr>
      <w:r>
        <w:rPr>
          <w:rFonts w:ascii="Arial" w:cs="Arial" w:eastAsia="Arial" w:hAnsi="Arial"/>
          <w:sz w:val="19"/>
          <w:szCs w:val="19"/>
          <w:color w:val="222222"/>
        </w:rPr>
        <w:t>regulations, our dependence on new product development and intellectual property, future acquisitions, changes in estimates for stock-based and bonus compensation, increasing volatility in foreign exchange rates, international business risks, uncertainties</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222222"/>
        </w:rPr>
        <w:t xml:space="preserve">caused by adverse economic conditions, including without limitation those resulting from extraordinary events or circumstances and other factors that are more fully described in </w:t>
      </w:r>
      <w:r>
        <w:rPr>
          <w:rFonts w:ascii="Arial" w:cs="Arial" w:eastAsia="Arial" w:hAnsi="Arial"/>
          <w:sz w:val="20"/>
          <w:szCs w:val="20"/>
          <w:color w:val="000000"/>
        </w:rPr>
        <w:t>Part I, Item 1A: Risk Factors included in our Annual Report on Form 10-K for</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 year ended Dec. 31, 2022 and other reports on file with the Securities and Exchange Commission. Itron undertakes no obligation to update or revise any information in this press release.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25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 -GAAP diluted earnings per share (EPS), adjusted EBITDA, free cash flow, and constant currency. We provide these non-GAAP financial measures because we believe they provide greater</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521" w:right="3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9"/>
          <w:szCs w:val="19"/>
          <w:color w:val="auto"/>
        </w:rPr>
        <w:t>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When providing future outlooks and/or earnings guidance, a reconciliation of forward-looking non-GAAP diluted EPS to the GAAP diluted EPS has not been provided because we are unable to predict with reasonable certainty the potential amount or timing of restructuring related expenses and their related tax effects without unreasonable effort. These costs are uncertain, depend on various factors and could have a material impact on GAAP results for the guidance period</w:t>
      </w:r>
      <w:r>
        <w:rPr>
          <w:rFonts w:ascii="Arial" w:cs="Arial" w:eastAsia="Arial" w:hAnsi="Arial"/>
          <w:sz w:val="16"/>
          <w:szCs w:val="16"/>
          <w:color w:val="auto"/>
        </w:rPr>
        <w:t>.</w:t>
      </w:r>
      <w:r>
        <w:rPr>
          <w:rFonts w:ascii="Arial" w:cs="Arial" w:eastAsia="Arial" w:hAnsi="Arial"/>
          <w:sz w:val="19"/>
          <w:szCs w:val="19"/>
          <w:color w:val="auto"/>
        </w:rPr>
        <w:t xml:space="preserve"> A more detailed discussion of why we use non-GAAP financial measures, the limitations of using such measures, and reconciliations between non-GAAP and the nearest GAAP financial measures are included in this press release.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contact: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Paul Vincent</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(512) 560-1172</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David Means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Director, Investor Relations</w:t>
      </w:r>
    </w:p>
    <w:p>
      <w:pPr>
        <w:ind w:right="9420" w:firstLine="8"/>
        <w:spacing w:after="0" w:line="264"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242-8448 Investors@itron.com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LinkedIn: </w:t>
      </w:r>
      <w:r>
        <w:rPr>
          <w:rFonts w:ascii="Arial" w:cs="Arial" w:eastAsia="Arial" w:hAnsi="Arial"/>
          <w:sz w:val="20"/>
          <w:szCs w:val="20"/>
          <w:color w:val="0000FF"/>
        </w:rPr>
        <w:t>www.linkedin.com/company/itroninc</w:t>
      </w:r>
    </w:p>
    <w:p>
      <w:pPr>
        <w:ind w:left="640" w:hanging="308"/>
        <w:spacing w:after="0" w:line="225"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X: </w:t>
      </w:r>
      <w:r>
        <w:rPr>
          <w:rFonts w:ascii="Arial" w:cs="Arial" w:eastAsia="Arial" w:hAnsi="Arial"/>
          <w:sz w:val="20"/>
          <w:szCs w:val="20"/>
          <w:color w:val="0000FF"/>
        </w:rPr>
        <w:t>https://twitter.com/ItronInc</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Newsroom: </w:t>
      </w:r>
      <w:r>
        <w:rPr>
          <w:rFonts w:ascii="Arial" w:cs="Arial" w:eastAsia="Arial" w:hAnsi="Arial"/>
          <w:sz w:val="20"/>
          <w:szCs w:val="20"/>
          <w:color w:val="0000FF"/>
        </w:rPr>
        <w:t>www.itron.com/company/newsroom</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Blog: </w:t>
      </w:r>
      <w:r>
        <w:rPr>
          <w:rFonts w:ascii="Arial" w:cs="Arial" w:eastAsia="Arial" w:hAnsi="Arial"/>
          <w:sz w:val="20"/>
          <w:szCs w:val="20"/>
          <w:color w:val="0000FF"/>
        </w:rPr>
        <w:t>https://blogs.itron.com</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5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ITRON,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4060" w:type="dxa"/>
            <w:vAlign w:val="bottom"/>
          </w:tcPr>
          <w:p>
            <w:pPr>
              <w:spacing w:after="0"/>
              <w:rPr>
                <w:sz w:val="20"/>
                <w:szCs w:val="20"/>
                <w:color w:val="auto"/>
              </w:rPr>
            </w:pPr>
            <w:r>
              <w:rPr>
                <w:rFonts w:ascii="Arial" w:cs="Arial" w:eastAsia="Arial" w:hAnsi="Arial"/>
                <w:sz w:val="18"/>
                <w:szCs w:val="18"/>
                <w:color w:val="auto"/>
              </w:rPr>
              <w:t>(Unaudited, in thousands, except per share data)</w:t>
            </w:r>
          </w:p>
        </w:tc>
        <w:tc>
          <w:tcPr>
            <w:tcW w:w="380" w:type="dxa"/>
            <w:vAlign w:val="bottom"/>
          </w:tcPr>
          <w:p>
            <w:pPr>
              <w:spacing w:after="0"/>
              <w:rPr>
                <w:sz w:val="20"/>
                <w:szCs w:val="20"/>
                <w:color w:val="auto"/>
              </w:rPr>
            </w:pPr>
          </w:p>
        </w:tc>
        <w:tc>
          <w:tcPr>
            <w:tcW w:w="3220" w:type="dxa"/>
            <w:vAlign w:val="bottom"/>
            <w:gridSpan w:val="4"/>
            <w:vMerge w:val="restart"/>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3140" w:type="dxa"/>
            <w:vAlign w:val="bottom"/>
            <w:gridSpan w:val="3"/>
            <w:vMerge w:val="restart"/>
          </w:tcPr>
          <w:p>
            <w:pPr>
              <w:jc w:val="right"/>
              <w:ind w:right="75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2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4"/>
        </w:trPr>
        <w:tc>
          <w:tcPr>
            <w:tcW w:w="40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502,007</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392,744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1,863,489</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1,500,243</w:t>
            </w:r>
          </w:p>
        </w:tc>
        <w:tc>
          <w:tcPr>
            <w:tcW w:w="0" w:type="dxa"/>
            <w:vAlign w:val="bottom"/>
          </w:tcPr>
          <w:p>
            <w:pPr>
              <w:spacing w:after="0"/>
              <w:rPr>
                <w:sz w:val="1"/>
                <w:szCs w:val="1"/>
                <w:color w:val="auto"/>
              </w:rPr>
            </w:pPr>
          </w:p>
        </w:tc>
      </w:tr>
      <w:tr>
        <w:trPr>
          <w:trHeight w:val="235"/>
        </w:trPr>
        <w:tc>
          <w:tcPr>
            <w:tcW w:w="4060" w:type="dxa"/>
            <w:vAlign w:val="bottom"/>
          </w:tcPr>
          <w:p>
            <w:pPr>
              <w:ind w:left="420"/>
              <w:spacing w:after="0"/>
              <w:rPr>
                <w:sz w:val="20"/>
                <w:szCs w:val="20"/>
                <w:color w:val="auto"/>
              </w:rPr>
            </w:pPr>
            <w:r>
              <w:rPr>
                <w:rFonts w:ascii="Arial" w:cs="Arial" w:eastAsia="Arial" w:hAnsi="Arial"/>
                <w:sz w:val="18"/>
                <w:szCs w:val="18"/>
                <w:color w:val="auto"/>
              </w:rPr>
              <w:t>Service revenues</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75,166</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310,144</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295,321</w:t>
            </w:r>
          </w:p>
        </w:tc>
        <w:tc>
          <w:tcPr>
            <w:tcW w:w="0" w:type="dxa"/>
            <w:vAlign w:val="bottom"/>
          </w:tcPr>
          <w:p>
            <w:pPr>
              <w:spacing w:after="0"/>
              <w:rPr>
                <w:sz w:val="1"/>
                <w:szCs w:val="1"/>
                <w:color w:val="auto"/>
              </w:rPr>
            </w:pPr>
          </w:p>
        </w:tc>
      </w:tr>
      <w:tr>
        <w:trPr>
          <w:trHeight w:val="223"/>
        </w:trPr>
        <w:tc>
          <w:tcPr>
            <w:tcW w:w="406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577,173</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467,491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2,173,633</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1,795,564</w:t>
            </w:r>
          </w:p>
        </w:tc>
        <w:tc>
          <w:tcPr>
            <w:tcW w:w="0" w:type="dxa"/>
            <w:vAlign w:val="bottom"/>
          </w:tcPr>
          <w:p>
            <w:pPr>
              <w:spacing w:after="0"/>
              <w:rPr>
                <w:sz w:val="1"/>
                <w:szCs w:val="1"/>
                <w:color w:val="auto"/>
              </w:rPr>
            </w:pPr>
          </w:p>
        </w:tc>
      </w:tr>
      <w:tr>
        <w:trPr>
          <w:trHeight w:val="204"/>
        </w:trPr>
        <w:tc>
          <w:tcPr>
            <w:tcW w:w="4060" w:type="dxa"/>
            <w:vAlign w:val="bottom"/>
          </w:tcPr>
          <w:p>
            <w:pPr>
              <w:spacing w:after="0" w:line="204" w:lineRule="exact"/>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420"/>
              <w:spacing w:after="0"/>
              <w:rPr>
                <w:sz w:val="20"/>
                <w:szCs w:val="20"/>
                <w:color w:val="auto"/>
              </w:rPr>
            </w:pPr>
            <w:r>
              <w:rPr>
                <w:rFonts w:ascii="Arial" w:cs="Arial" w:eastAsia="Arial" w:hAnsi="Arial"/>
                <w:sz w:val="18"/>
                <w:szCs w:val="18"/>
                <w:color w:val="auto"/>
              </w:rPr>
              <w:t>Product cost of revenues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340,504</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283,836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1,292,170</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1,102,475</w:t>
            </w:r>
          </w:p>
        </w:tc>
        <w:tc>
          <w:tcPr>
            <w:tcW w:w="0" w:type="dxa"/>
            <w:vAlign w:val="bottom"/>
          </w:tcPr>
          <w:p>
            <w:pPr>
              <w:spacing w:after="0"/>
              <w:rPr>
                <w:sz w:val="1"/>
                <w:szCs w:val="1"/>
                <w:color w:val="auto"/>
              </w:rPr>
            </w:pPr>
          </w:p>
        </w:tc>
      </w:tr>
      <w:tr>
        <w:trPr>
          <w:trHeight w:val="235"/>
        </w:trPr>
        <w:tc>
          <w:tcPr>
            <w:tcW w:w="4060" w:type="dxa"/>
            <w:vAlign w:val="bottom"/>
          </w:tcPr>
          <w:p>
            <w:pPr>
              <w:ind w:left="420"/>
              <w:spacing w:after="0"/>
              <w:rPr>
                <w:sz w:val="20"/>
                <w:szCs w:val="20"/>
                <w:color w:val="auto"/>
              </w:rPr>
            </w:pPr>
            <w:r>
              <w:rPr>
                <w:rFonts w:ascii="Arial" w:cs="Arial" w:eastAsia="Arial" w:hAnsi="Arial"/>
                <w:sz w:val="18"/>
                <w:szCs w:val="18"/>
                <w:color w:val="auto"/>
              </w:rPr>
              <w:t>Services cost of revenues</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40,279</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42,857</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167,555</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170,900</w:t>
            </w:r>
          </w:p>
        </w:tc>
        <w:tc>
          <w:tcPr>
            <w:tcW w:w="0" w:type="dxa"/>
            <w:vAlign w:val="bottom"/>
          </w:tcPr>
          <w:p>
            <w:pPr>
              <w:spacing w:after="0"/>
              <w:rPr>
                <w:sz w:val="1"/>
                <w:szCs w:val="1"/>
                <w:color w:val="auto"/>
              </w:rPr>
            </w:pPr>
          </w:p>
        </w:tc>
      </w:tr>
      <w:tr>
        <w:trPr>
          <w:trHeight w:val="223"/>
        </w:trPr>
        <w:tc>
          <w:tcPr>
            <w:tcW w:w="4060" w:type="dxa"/>
            <w:vAlign w:val="bottom"/>
          </w:tcPr>
          <w:p>
            <w:pPr>
              <w:ind w:left="88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380,783</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326,693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1,459,725</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1,273,375</w:t>
            </w:r>
          </w:p>
        </w:tc>
        <w:tc>
          <w:tcPr>
            <w:tcW w:w="0" w:type="dxa"/>
            <w:vAlign w:val="bottom"/>
          </w:tcPr>
          <w:p>
            <w:pPr>
              <w:spacing w:after="0"/>
              <w:rPr>
                <w:sz w:val="1"/>
                <w:szCs w:val="1"/>
                <w:color w:val="auto"/>
              </w:rPr>
            </w:pPr>
          </w:p>
        </w:tc>
      </w:tr>
      <w:tr>
        <w:trPr>
          <w:trHeight w:val="430"/>
        </w:trPr>
        <w:tc>
          <w:tcPr>
            <w:tcW w:w="4060" w:type="dxa"/>
            <w:vAlign w:val="bottom"/>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196,390</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140,798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713,908</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522,189</w:t>
            </w:r>
          </w:p>
        </w:tc>
        <w:tc>
          <w:tcPr>
            <w:tcW w:w="0" w:type="dxa"/>
            <w:vAlign w:val="bottom"/>
          </w:tcPr>
          <w:p>
            <w:pPr>
              <w:spacing w:after="0"/>
              <w:rPr>
                <w:sz w:val="1"/>
                <w:szCs w:val="1"/>
                <w:color w:val="auto"/>
              </w:rPr>
            </w:pPr>
          </w:p>
        </w:tc>
      </w:tr>
      <w:tr>
        <w:trPr>
          <w:trHeight w:val="436"/>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20"/>
              <w:spacing w:after="0"/>
              <w:rPr>
                <w:sz w:val="20"/>
                <w:szCs w:val="20"/>
                <w:color w:val="auto"/>
              </w:rPr>
            </w:pPr>
            <w:r>
              <w:rPr>
                <w:rFonts w:ascii="Arial" w:cs="Arial" w:eastAsia="Arial" w:hAnsi="Arial"/>
                <w:sz w:val="18"/>
                <w:szCs w:val="18"/>
                <w:color w:val="auto"/>
              </w:rPr>
              <w:t>Sales, general and administrative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81,603</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312,779</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290,453</w:t>
            </w:r>
          </w:p>
        </w:tc>
        <w:tc>
          <w:tcPr>
            <w:tcW w:w="0" w:type="dxa"/>
            <w:vAlign w:val="bottom"/>
          </w:tcPr>
          <w:p>
            <w:pPr>
              <w:spacing w:after="0"/>
              <w:rPr>
                <w:sz w:val="1"/>
                <w:szCs w:val="1"/>
                <w:color w:val="auto"/>
              </w:rPr>
            </w:pPr>
          </w:p>
        </w:tc>
      </w:tr>
      <w:tr>
        <w:trPr>
          <w:trHeight w:val="229"/>
        </w:trPr>
        <w:tc>
          <w:tcPr>
            <w:tcW w:w="40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53,919</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208,688</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185,098</w:t>
            </w:r>
          </w:p>
        </w:tc>
        <w:tc>
          <w:tcPr>
            <w:tcW w:w="0" w:type="dxa"/>
            <w:vAlign w:val="bottom"/>
          </w:tcPr>
          <w:p>
            <w:pPr>
              <w:spacing w:after="0"/>
              <w:rPr>
                <w:sz w:val="1"/>
                <w:szCs w:val="1"/>
                <w:color w:val="auto"/>
              </w:rPr>
            </w:pPr>
          </w:p>
        </w:tc>
      </w:tr>
      <w:tr>
        <w:trPr>
          <w:trHeight w:val="229"/>
        </w:trPr>
        <w:tc>
          <w:tcPr>
            <w:tcW w:w="40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4,485</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18,918</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25,717</w:t>
            </w:r>
          </w:p>
        </w:tc>
        <w:tc>
          <w:tcPr>
            <w:tcW w:w="0" w:type="dxa"/>
            <w:vAlign w:val="bottom"/>
          </w:tcPr>
          <w:p>
            <w:pPr>
              <w:spacing w:after="0"/>
              <w:rPr>
                <w:sz w:val="1"/>
                <w:szCs w:val="1"/>
                <w:color w:val="auto"/>
              </w:rPr>
            </w:pPr>
          </w:p>
        </w:tc>
      </w:tr>
      <w:tr>
        <w:trPr>
          <w:trHeight w:val="230"/>
        </w:trPr>
        <w:tc>
          <w:tcPr>
            <w:tcW w:w="40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7,121</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43,989</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(13,625)</w:t>
            </w:r>
          </w:p>
        </w:tc>
        <w:tc>
          <w:tcPr>
            <w:tcW w:w="0" w:type="dxa"/>
            <w:vAlign w:val="bottom"/>
          </w:tcPr>
          <w:p>
            <w:pPr>
              <w:spacing w:after="0"/>
              <w:rPr>
                <w:sz w:val="1"/>
                <w:szCs w:val="1"/>
                <w:color w:val="auto"/>
              </w:rPr>
            </w:pPr>
          </w:p>
        </w:tc>
      </w:tr>
      <w:tr>
        <w:trPr>
          <w:trHeight w:val="229"/>
        </w:trPr>
        <w:tc>
          <w:tcPr>
            <w:tcW w:w="4060" w:type="dxa"/>
            <w:vAlign w:val="bottom"/>
          </w:tcPr>
          <w:p>
            <w:pPr>
              <w:ind w:left="420"/>
              <w:spacing w:after="0"/>
              <w:rPr>
                <w:sz w:val="20"/>
                <w:szCs w:val="20"/>
                <w:color w:val="auto"/>
              </w:rPr>
            </w:pPr>
            <w:r>
              <w:rPr>
                <w:rFonts w:ascii="Arial" w:cs="Arial" w:eastAsia="Arial" w:hAnsi="Arial"/>
                <w:sz w:val="18"/>
                <w:szCs w:val="18"/>
                <w:color w:val="auto"/>
              </w:rPr>
              <w:t>Loss on sale of businesses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667</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35"/>
        </w:trPr>
        <w:tc>
          <w:tcPr>
            <w:tcW w:w="406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38,480</w:t>
            </w:r>
          </w:p>
        </w:tc>
        <w:tc>
          <w:tcPr>
            <w:tcW w:w="0" w:type="dxa"/>
            <w:vAlign w:val="bottom"/>
          </w:tcPr>
          <w:p>
            <w:pPr>
              <w:spacing w:after="0"/>
              <w:rPr>
                <w:sz w:val="1"/>
                <w:szCs w:val="1"/>
                <w:color w:val="auto"/>
              </w:rPr>
            </w:pPr>
          </w:p>
        </w:tc>
      </w:tr>
      <w:tr>
        <w:trPr>
          <w:trHeight w:val="232"/>
        </w:trPr>
        <w:tc>
          <w:tcPr>
            <w:tcW w:w="406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147,120</w:t>
            </w:r>
          </w:p>
        </w:tc>
        <w:tc>
          <w:tcPr>
            <w:tcW w:w="6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585,041</w:t>
            </w: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529,628</w:t>
            </w:r>
          </w:p>
        </w:tc>
        <w:tc>
          <w:tcPr>
            <w:tcW w:w="0" w:type="dxa"/>
            <w:vAlign w:val="bottom"/>
          </w:tcPr>
          <w:p>
            <w:pPr>
              <w:spacing w:after="0"/>
              <w:rPr>
                <w:sz w:val="1"/>
                <w:szCs w:val="1"/>
                <w:color w:val="auto"/>
              </w:rPr>
            </w:pPr>
          </w:p>
        </w:tc>
      </w:tr>
      <w:tr>
        <w:trPr>
          <w:trHeight w:val="431"/>
        </w:trPr>
        <w:tc>
          <w:tcPr>
            <w:tcW w:w="4060" w:type="dxa"/>
            <w:vAlign w:val="bottom"/>
          </w:tcPr>
          <w:p>
            <w:pPr>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49,270</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128,867</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3,346</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9,314</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29"/>
        </w:trPr>
        <w:tc>
          <w:tcPr>
            <w:tcW w:w="4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(1,870)</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(8,349)</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35"/>
        </w:trPr>
        <w:tc>
          <w:tcPr>
            <w:tcW w:w="40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23"/>
        </w:trPr>
        <w:tc>
          <w:tcPr>
            <w:tcW w:w="4060" w:type="dxa"/>
            <w:vAlign w:val="bottom"/>
          </w:tcPr>
          <w:p>
            <w:pPr>
              <w:ind w:left="88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420"/>
        </w:trPr>
        <w:tc>
          <w:tcPr>
            <w:tcW w:w="40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49,462</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127,386</w:t>
            </w:r>
          </w:p>
        </w:tc>
        <w:tc>
          <w:tcPr>
            <w:tcW w:w="6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(15,743)</w:t>
            </w:r>
          </w:p>
        </w:tc>
        <w:tc>
          <w:tcPr>
            <w:tcW w:w="0" w:type="dxa"/>
            <w:vAlign w:val="bottom"/>
          </w:tcPr>
          <w:p>
            <w:pPr>
              <w:spacing w:after="0"/>
              <w:rPr>
                <w:sz w:val="1"/>
                <w:szCs w:val="1"/>
                <w:color w:val="auto"/>
              </w:rPr>
            </w:pPr>
          </w:p>
        </w:tc>
      </w:tr>
      <w:tr>
        <w:trPr>
          <w:trHeight w:val="235"/>
        </w:trPr>
        <w:tc>
          <w:tcPr>
            <w:tcW w:w="406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(29,068)</w:t>
            </w: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44,907</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98,318</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(9,547)</w:t>
            </w:r>
          </w:p>
        </w:tc>
        <w:tc>
          <w:tcPr>
            <w:tcW w:w="0" w:type="dxa"/>
            <w:vAlign w:val="bottom"/>
          </w:tcPr>
          <w:p>
            <w:pPr>
              <w:spacing w:after="0"/>
              <w:rPr>
                <w:sz w:val="1"/>
                <w:szCs w:val="1"/>
                <w:color w:val="auto"/>
              </w:rPr>
            </w:pPr>
          </w:p>
        </w:tc>
      </w:tr>
      <w:tr>
        <w:trPr>
          <w:trHeight w:val="181"/>
        </w:trPr>
        <w:tc>
          <w:tcPr>
            <w:tcW w:w="4060" w:type="dxa"/>
            <w:vAlign w:val="bottom"/>
          </w:tcPr>
          <w:p>
            <w:pPr>
              <w:ind w:left="420"/>
              <w:spacing w:after="0" w:line="181" w:lineRule="exact"/>
              <w:rPr>
                <w:sz w:val="20"/>
                <w:szCs w:val="20"/>
                <w:color w:val="auto"/>
              </w:rPr>
            </w:pPr>
            <w:r>
              <w:rPr>
                <w:rFonts w:ascii="Arial" w:cs="Arial" w:eastAsia="Arial" w:hAnsi="Arial"/>
                <w:sz w:val="18"/>
                <w:szCs w:val="18"/>
                <w:color w:val="auto"/>
              </w:rPr>
              <w:t>Net income (loss) attributable to</w:t>
            </w:r>
          </w:p>
        </w:tc>
        <w:tc>
          <w:tcPr>
            <w:tcW w:w="3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521</w:t>
            </w:r>
          </w:p>
        </w:tc>
        <w:tc>
          <w:tcPr>
            <w:tcW w:w="6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1,395</w:t>
            </w:r>
          </w:p>
        </w:tc>
        <w:tc>
          <w:tcPr>
            <w:tcW w:w="6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06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Net income (loss) attributable to Itron, Inc.</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44,386</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96,923</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60" w:type="dxa"/>
            <w:vAlign w:val="bottom"/>
          </w:tcPr>
          <w:p>
            <w:pPr>
              <w:spacing w:after="0"/>
              <w:rPr>
                <w:sz w:val="20"/>
                <w:szCs w:val="20"/>
                <w:color w:val="auto"/>
              </w:rPr>
            </w:pPr>
            <w:r>
              <w:rPr>
                <w:rFonts w:ascii="Arial" w:cs="Arial" w:eastAsia="Arial" w:hAnsi="Arial"/>
                <w:sz w:val="18"/>
                <w:szCs w:val="18"/>
                <w:color w:val="auto"/>
              </w:rPr>
              <w:t>Net income (loss) per common share - Basic</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Net income (loss) per common share - Diluted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485" w:right="339" w:bottom="1440" w:gutter="0" w:footer="0" w:header="0"/>
        </w:sectPr>
      </w:pPr>
    </w:p>
    <w:p>
      <w:pPr>
        <w:ind w:left="20" w:right="580"/>
        <w:spacing w:after="0"/>
        <w:rPr>
          <w:sz w:val="20"/>
          <w:szCs w:val="20"/>
          <w:color w:val="auto"/>
        </w:rPr>
      </w:pPr>
      <w:r>
        <w:rPr>
          <w:rFonts w:ascii="Arial" w:cs="Arial" w:eastAsia="Arial" w:hAnsi="Arial"/>
          <w:sz w:val="18"/>
          <w:szCs w:val="18"/>
          <w:color w:val="auto"/>
        </w:rPr>
        <w:t>Weighted average common shares outstanding - Basic</w:t>
      </w:r>
    </w:p>
    <w:p>
      <w:pPr>
        <w:spacing w:after="0" w:line="5" w:lineRule="exact"/>
        <w:rPr>
          <w:sz w:val="20"/>
          <w:szCs w:val="20"/>
          <w:color w:val="auto"/>
        </w:rPr>
      </w:pPr>
    </w:p>
    <w:p>
      <w:pPr>
        <w:ind w:left="20" w:right="580"/>
        <w:spacing w:after="0"/>
        <w:rPr>
          <w:sz w:val="20"/>
          <w:szCs w:val="20"/>
          <w:color w:val="auto"/>
        </w:rPr>
      </w:pPr>
      <w:r>
        <w:rPr>
          <w:rFonts w:ascii="Arial" w:cs="Arial" w:eastAsia="Arial" w:hAnsi="Arial"/>
          <w:sz w:val="18"/>
          <w:szCs w:val="18"/>
          <w:color w:val="auto"/>
        </w:rPr>
        <w:t>Weighted average common shares outstanding - Diluted</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jc w:val="right"/>
              <w:ind w:right="530"/>
              <w:spacing w:after="0"/>
              <w:rPr>
                <w:sz w:val="20"/>
                <w:szCs w:val="20"/>
                <w:color w:val="auto"/>
              </w:rPr>
            </w:pPr>
            <w:r>
              <w:rPr>
                <w:rFonts w:ascii="Arial" w:cs="Arial" w:eastAsia="Arial" w:hAnsi="Arial"/>
                <w:sz w:val="18"/>
                <w:szCs w:val="18"/>
                <w:color w:val="auto"/>
                <w:w w:val="94"/>
              </w:rPr>
              <w:t>45,501</w:t>
            </w: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45,179</w:t>
            </w: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45,421</w:t>
            </w:r>
          </w:p>
        </w:tc>
        <w:tc>
          <w:tcPr>
            <w:tcW w:w="1160" w:type="dxa"/>
            <w:vAlign w:val="bottom"/>
          </w:tcPr>
          <w:p>
            <w:pPr>
              <w:jc w:val="right"/>
              <w:spacing w:after="0"/>
              <w:rPr>
                <w:sz w:val="20"/>
                <w:szCs w:val="20"/>
                <w:color w:val="auto"/>
              </w:rPr>
            </w:pPr>
            <w:r>
              <w:rPr>
                <w:rFonts w:ascii="Arial" w:cs="Arial" w:eastAsia="Arial" w:hAnsi="Arial"/>
                <w:sz w:val="18"/>
                <w:szCs w:val="18"/>
                <w:color w:val="auto"/>
              </w:rPr>
              <w:t>45,101</w:t>
            </w:r>
          </w:p>
        </w:tc>
      </w:tr>
      <w:tr>
        <w:trPr>
          <w:trHeight w:val="419"/>
        </w:trPr>
        <w:tc>
          <w:tcPr>
            <w:tcW w:w="1160" w:type="dxa"/>
            <w:vAlign w:val="bottom"/>
          </w:tcPr>
          <w:p>
            <w:pPr>
              <w:jc w:val="right"/>
              <w:ind w:right="530"/>
              <w:spacing w:after="0"/>
              <w:rPr>
                <w:sz w:val="20"/>
                <w:szCs w:val="20"/>
                <w:color w:val="auto"/>
              </w:rPr>
            </w:pPr>
            <w:r>
              <w:rPr>
                <w:rFonts w:ascii="Arial" w:cs="Arial" w:eastAsia="Arial" w:hAnsi="Arial"/>
                <w:sz w:val="18"/>
                <w:szCs w:val="18"/>
                <w:color w:val="auto"/>
                <w:w w:val="94"/>
              </w:rPr>
              <w:t>46,039</w:t>
            </w:r>
          </w:p>
        </w:tc>
        <w:tc>
          <w:tcPr>
            <w:tcW w:w="1800" w:type="dxa"/>
            <w:vAlign w:val="bottom"/>
          </w:tcPr>
          <w:p>
            <w:pPr>
              <w:jc w:val="right"/>
              <w:ind w:right="570"/>
              <w:spacing w:after="0"/>
              <w:rPr>
                <w:sz w:val="20"/>
                <w:szCs w:val="20"/>
                <w:color w:val="auto"/>
              </w:rPr>
            </w:pPr>
            <w:r>
              <w:rPr>
                <w:rFonts w:ascii="Arial" w:cs="Arial" w:eastAsia="Arial" w:hAnsi="Arial"/>
                <w:sz w:val="18"/>
                <w:szCs w:val="18"/>
                <w:color w:val="auto"/>
              </w:rPr>
              <w:t>45,419</w:t>
            </w: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45,836</w:t>
            </w:r>
          </w:p>
        </w:tc>
        <w:tc>
          <w:tcPr>
            <w:tcW w:w="1160" w:type="dxa"/>
            <w:vAlign w:val="bottom"/>
          </w:tcPr>
          <w:p>
            <w:pPr>
              <w:jc w:val="right"/>
              <w:spacing w:after="0"/>
              <w:rPr>
                <w:sz w:val="20"/>
                <w:szCs w:val="20"/>
                <w:color w:val="auto"/>
              </w:rPr>
            </w:pPr>
            <w:r>
              <w:rPr>
                <w:rFonts w:ascii="Arial" w:cs="Arial" w:eastAsia="Arial" w:hAnsi="Arial"/>
                <w:sz w:val="18"/>
                <w:szCs w:val="18"/>
                <w:color w:val="auto"/>
              </w:rPr>
              <w:t>45,101</w:t>
            </w:r>
          </w:p>
        </w:tc>
      </w:tr>
    </w:tbl>
    <w:p>
      <w:pPr>
        <w:sectPr>
          <w:pgSz w:w="11900" w:h="16838" w:orient="portrait"/>
          <w:cols w:equalWidth="0" w:num="2">
            <w:col w:w="4480" w:space="720"/>
            <w:col w:w="6040"/>
          </w:cols>
          <w:pgMar w:left="320" w:top="48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ITRON,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80" w:type="dxa"/>
            <w:vAlign w:val="bottom"/>
          </w:tcPr>
          <w:p>
            <w:pPr>
              <w:spacing w:after="0"/>
              <w:rPr>
                <w:sz w:val="20"/>
                <w:szCs w:val="20"/>
                <w:color w:val="auto"/>
              </w:rPr>
            </w:pPr>
            <w:r>
              <w:rPr>
                <w:rFonts w:ascii="Arial" w:cs="Arial" w:eastAsia="Arial" w:hAnsi="Arial"/>
                <w:sz w:val="18"/>
                <w:szCs w:val="18"/>
                <w:color w:val="auto"/>
              </w:rPr>
              <w:t>(Unaudited, in thousands)</w:t>
            </w:r>
          </w:p>
        </w:tc>
        <w:tc>
          <w:tcPr>
            <w:tcW w:w="420" w:type="dxa"/>
            <w:vAlign w:val="bottom"/>
          </w:tcPr>
          <w:p>
            <w:pPr>
              <w:spacing w:after="0"/>
              <w:rPr>
                <w:sz w:val="20"/>
                <w:szCs w:val="20"/>
                <w:color w:val="auto"/>
              </w:rPr>
            </w:pPr>
          </w:p>
        </w:tc>
        <w:tc>
          <w:tcPr>
            <w:tcW w:w="3340" w:type="dxa"/>
            <w:vAlign w:val="bottom"/>
            <w:gridSpan w:val="4"/>
            <w:vMerge w:val="restart"/>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3260" w:type="dxa"/>
            <w:vAlign w:val="bottom"/>
            <w:gridSpan w:val="3"/>
            <w:vMerge w:val="restart"/>
          </w:tcPr>
          <w:p>
            <w:pPr>
              <w:jc w:val="right"/>
              <w:ind w:right="810"/>
              <w:spacing w:after="0"/>
              <w:rPr>
                <w:sz w:val="20"/>
                <w:szCs w:val="20"/>
                <w:color w:val="auto"/>
              </w:rPr>
            </w:pPr>
            <w:r>
              <w:rPr>
                <w:rFonts w:ascii="Arial" w:cs="Arial" w:eastAsia="Arial" w:hAnsi="Arial"/>
                <w:sz w:val="18"/>
                <w:szCs w:val="18"/>
                <w:b w:val="1"/>
                <w:bCs w:val="1"/>
                <w:color w:val="auto"/>
              </w:rPr>
              <w:t>Twelve Months Ended</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3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Product revenues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Device Solutions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112,620</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99,142</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452,718</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433,354</w:t>
            </w:r>
          </w:p>
        </w:tc>
        <w:tc>
          <w:tcPr>
            <w:tcW w:w="0" w:type="dxa"/>
            <w:vAlign w:val="bottom"/>
          </w:tcPr>
          <w:p>
            <w:pPr>
              <w:spacing w:after="0"/>
              <w:rPr>
                <w:sz w:val="1"/>
                <w:szCs w:val="1"/>
                <w:color w:val="auto"/>
              </w:rPr>
            </w:pPr>
          </w:p>
        </w:tc>
      </w:tr>
      <w:tr>
        <w:trPr>
          <w:trHeight w:val="229"/>
        </w:trPr>
        <w:tc>
          <w:tcPr>
            <w:tcW w:w="3780" w:type="dxa"/>
            <w:vAlign w:val="bottom"/>
          </w:tcPr>
          <w:p>
            <w:pPr>
              <w:ind w:left="380"/>
              <w:spacing w:after="0"/>
              <w:rPr>
                <w:sz w:val="20"/>
                <w:szCs w:val="20"/>
                <w:color w:val="auto"/>
              </w:rPr>
            </w:pPr>
            <w:r>
              <w:rPr>
                <w:rFonts w:ascii="Arial" w:cs="Arial" w:eastAsia="Arial" w:hAnsi="Arial"/>
                <w:sz w:val="18"/>
                <w:szCs w:val="18"/>
                <w:color w:val="auto"/>
              </w:rPr>
              <w:t>Networked Solutions</w:t>
            </w:r>
          </w:p>
        </w:tc>
        <w:tc>
          <w:tcPr>
            <w:tcW w:w="4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366,637</w:t>
            </w:r>
          </w:p>
        </w:tc>
        <w:tc>
          <w:tcPr>
            <w:tcW w:w="7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270,798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1,331,546</w:t>
            </w:r>
          </w:p>
        </w:tc>
        <w:tc>
          <w:tcPr>
            <w:tcW w:w="7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1,002,156</w:t>
            </w:r>
          </w:p>
        </w:tc>
        <w:tc>
          <w:tcPr>
            <w:tcW w:w="0" w:type="dxa"/>
            <w:vAlign w:val="bottom"/>
          </w:tcPr>
          <w:p>
            <w:pPr>
              <w:spacing w:after="0"/>
              <w:rPr>
                <w:sz w:val="1"/>
                <w:szCs w:val="1"/>
                <w:color w:val="auto"/>
              </w:rPr>
            </w:pPr>
          </w:p>
        </w:tc>
      </w:tr>
      <w:tr>
        <w:trPr>
          <w:trHeight w:val="235"/>
        </w:trPr>
        <w:tc>
          <w:tcPr>
            <w:tcW w:w="3780" w:type="dxa"/>
            <w:vAlign w:val="bottom"/>
          </w:tcPr>
          <w:p>
            <w:pPr>
              <w:ind w:left="380"/>
              <w:spacing w:after="0"/>
              <w:rPr>
                <w:sz w:val="20"/>
                <w:szCs w:val="20"/>
                <w:color w:val="auto"/>
              </w:rPr>
            </w:pPr>
            <w:r>
              <w:rPr>
                <w:rFonts w:ascii="Arial" w:cs="Arial" w:eastAsia="Arial" w:hAnsi="Arial"/>
                <w:sz w:val="18"/>
                <w:szCs w:val="18"/>
                <w:color w:val="auto"/>
              </w:rPr>
              <w:t>Outcomes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22,750</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22,804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79,225</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64,733</w:t>
            </w:r>
          </w:p>
        </w:tc>
        <w:tc>
          <w:tcPr>
            <w:tcW w:w="0" w:type="dxa"/>
            <w:vAlign w:val="bottom"/>
          </w:tcPr>
          <w:p>
            <w:pPr>
              <w:spacing w:after="0"/>
              <w:rPr>
                <w:sz w:val="1"/>
                <w:szCs w:val="1"/>
                <w:color w:val="auto"/>
              </w:rPr>
            </w:pPr>
          </w:p>
        </w:tc>
      </w:tr>
      <w:tr>
        <w:trPr>
          <w:trHeight w:val="223"/>
        </w:trPr>
        <w:tc>
          <w:tcPr>
            <w:tcW w:w="3780" w:type="dxa"/>
            <w:vAlign w:val="bottom"/>
          </w:tcPr>
          <w:p>
            <w:pPr>
              <w:ind w:left="80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502,007</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392,744</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1,863,489</w:t>
            </w:r>
          </w:p>
        </w:tc>
        <w:tc>
          <w:tcPr>
            <w:tcW w:w="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1,500,243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3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80"/>
              <w:spacing w:after="0"/>
              <w:rPr>
                <w:sz w:val="20"/>
                <w:szCs w:val="20"/>
                <w:color w:val="auto"/>
              </w:rPr>
            </w:pPr>
            <w:r>
              <w:rPr>
                <w:rFonts w:ascii="Arial" w:cs="Arial" w:eastAsia="Arial" w:hAnsi="Arial"/>
                <w:sz w:val="18"/>
                <w:szCs w:val="18"/>
                <w:color w:val="auto"/>
              </w:rPr>
              <w:t>Device Solutions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923</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3,008</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Networked Solutions</w:t>
            </w:r>
          </w:p>
        </w:tc>
        <w:tc>
          <w:tcPr>
            <w:tcW w:w="4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24,285</w:t>
            </w:r>
          </w:p>
        </w:tc>
        <w:tc>
          <w:tcPr>
            <w:tcW w:w="7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30,316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118,745</w:t>
            </w:r>
          </w:p>
        </w:tc>
        <w:tc>
          <w:tcPr>
            <w:tcW w:w="7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117,112</w:t>
            </w:r>
          </w:p>
        </w:tc>
        <w:tc>
          <w:tcPr>
            <w:tcW w:w="0" w:type="dxa"/>
            <w:vAlign w:val="bottom"/>
          </w:tcPr>
          <w:p>
            <w:pPr>
              <w:spacing w:after="0"/>
              <w:rPr>
                <w:sz w:val="1"/>
                <w:szCs w:val="1"/>
                <w:color w:val="auto"/>
              </w:rPr>
            </w:pPr>
          </w:p>
        </w:tc>
      </w:tr>
      <w:tr>
        <w:trPr>
          <w:trHeight w:val="235"/>
        </w:trPr>
        <w:tc>
          <w:tcPr>
            <w:tcW w:w="3780" w:type="dxa"/>
            <w:vAlign w:val="bottom"/>
          </w:tcPr>
          <w:p>
            <w:pPr>
              <w:ind w:left="380"/>
              <w:spacing w:after="0"/>
              <w:rPr>
                <w:sz w:val="20"/>
                <w:szCs w:val="20"/>
                <w:color w:val="auto"/>
              </w:rPr>
            </w:pPr>
            <w:r>
              <w:rPr>
                <w:rFonts w:ascii="Arial" w:cs="Arial" w:eastAsia="Arial" w:hAnsi="Arial"/>
                <w:sz w:val="18"/>
                <w:szCs w:val="18"/>
                <w:color w:val="auto"/>
              </w:rPr>
              <w:t>Outcomes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49,958</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43,241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188,391</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172,853</w:t>
            </w:r>
          </w:p>
        </w:tc>
        <w:tc>
          <w:tcPr>
            <w:tcW w:w="0" w:type="dxa"/>
            <w:vAlign w:val="bottom"/>
          </w:tcPr>
          <w:p>
            <w:pPr>
              <w:spacing w:after="0"/>
              <w:rPr>
                <w:sz w:val="1"/>
                <w:szCs w:val="1"/>
                <w:color w:val="auto"/>
              </w:rPr>
            </w:pPr>
          </w:p>
        </w:tc>
      </w:tr>
      <w:tr>
        <w:trPr>
          <w:trHeight w:val="223"/>
        </w:trPr>
        <w:tc>
          <w:tcPr>
            <w:tcW w:w="3780" w:type="dxa"/>
            <w:vAlign w:val="bottom"/>
          </w:tcPr>
          <w:p>
            <w:pPr>
              <w:ind w:left="80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75,166</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74,747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310,144</w:t>
            </w:r>
          </w:p>
        </w:tc>
        <w:tc>
          <w:tcPr>
            <w:tcW w:w="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295,321</w:t>
            </w:r>
          </w:p>
        </w:tc>
        <w:tc>
          <w:tcPr>
            <w:tcW w:w="0" w:type="dxa"/>
            <w:vAlign w:val="bottom"/>
          </w:tcPr>
          <w:p>
            <w:pPr>
              <w:spacing w:after="0"/>
              <w:rPr>
                <w:sz w:val="1"/>
                <w:szCs w:val="1"/>
                <w:color w:val="auto"/>
              </w:rPr>
            </w:pPr>
          </w:p>
        </w:tc>
      </w:tr>
      <w:tr>
        <w:trPr>
          <w:trHeight w:val="21"/>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3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Device Solutions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113,543</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100,332</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455,726</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438,710</w:t>
            </w:r>
          </w:p>
        </w:tc>
        <w:tc>
          <w:tcPr>
            <w:tcW w:w="0" w:type="dxa"/>
            <w:vAlign w:val="bottom"/>
          </w:tcPr>
          <w:p>
            <w:pPr>
              <w:spacing w:after="0"/>
              <w:rPr>
                <w:sz w:val="1"/>
                <w:szCs w:val="1"/>
                <w:color w:val="auto"/>
              </w:rPr>
            </w:pPr>
          </w:p>
        </w:tc>
      </w:tr>
      <w:tr>
        <w:trPr>
          <w:trHeight w:val="229"/>
        </w:trPr>
        <w:tc>
          <w:tcPr>
            <w:tcW w:w="3780" w:type="dxa"/>
            <w:vAlign w:val="bottom"/>
          </w:tcPr>
          <w:p>
            <w:pPr>
              <w:ind w:left="380"/>
              <w:spacing w:after="0"/>
              <w:rPr>
                <w:sz w:val="20"/>
                <w:szCs w:val="20"/>
                <w:color w:val="auto"/>
              </w:rPr>
            </w:pPr>
            <w:r>
              <w:rPr>
                <w:rFonts w:ascii="Arial" w:cs="Arial" w:eastAsia="Arial" w:hAnsi="Arial"/>
                <w:sz w:val="18"/>
                <w:szCs w:val="18"/>
                <w:color w:val="auto"/>
              </w:rPr>
              <w:t>Networked Solutions</w:t>
            </w:r>
          </w:p>
        </w:tc>
        <w:tc>
          <w:tcPr>
            <w:tcW w:w="4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390,922</w:t>
            </w:r>
          </w:p>
        </w:tc>
        <w:tc>
          <w:tcPr>
            <w:tcW w:w="7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301,114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1,450,291</w:t>
            </w:r>
          </w:p>
        </w:tc>
        <w:tc>
          <w:tcPr>
            <w:tcW w:w="7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1,119,268</w:t>
            </w:r>
          </w:p>
        </w:tc>
        <w:tc>
          <w:tcPr>
            <w:tcW w:w="0" w:type="dxa"/>
            <w:vAlign w:val="bottom"/>
          </w:tcPr>
          <w:p>
            <w:pPr>
              <w:spacing w:after="0"/>
              <w:rPr>
                <w:sz w:val="1"/>
                <w:szCs w:val="1"/>
                <w:color w:val="auto"/>
              </w:rPr>
            </w:pPr>
          </w:p>
        </w:tc>
      </w:tr>
      <w:tr>
        <w:trPr>
          <w:trHeight w:val="235"/>
        </w:trPr>
        <w:tc>
          <w:tcPr>
            <w:tcW w:w="3780" w:type="dxa"/>
            <w:vAlign w:val="bottom"/>
          </w:tcPr>
          <w:p>
            <w:pPr>
              <w:ind w:left="380"/>
              <w:spacing w:after="0"/>
              <w:rPr>
                <w:sz w:val="20"/>
                <w:szCs w:val="20"/>
                <w:color w:val="auto"/>
              </w:rPr>
            </w:pPr>
            <w:r>
              <w:rPr>
                <w:rFonts w:ascii="Arial" w:cs="Arial" w:eastAsia="Arial" w:hAnsi="Arial"/>
                <w:sz w:val="18"/>
                <w:szCs w:val="18"/>
                <w:color w:val="auto"/>
              </w:rPr>
              <w:t>Outcomes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72,708</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66,045</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267,616</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237,586</w:t>
            </w:r>
          </w:p>
        </w:tc>
        <w:tc>
          <w:tcPr>
            <w:tcW w:w="0" w:type="dxa"/>
            <w:vAlign w:val="bottom"/>
          </w:tcPr>
          <w:p>
            <w:pPr>
              <w:spacing w:after="0"/>
              <w:rPr>
                <w:sz w:val="1"/>
                <w:szCs w:val="1"/>
                <w:color w:val="auto"/>
              </w:rPr>
            </w:pPr>
          </w:p>
        </w:tc>
      </w:tr>
      <w:tr>
        <w:trPr>
          <w:trHeight w:val="223"/>
        </w:trPr>
        <w:tc>
          <w:tcPr>
            <w:tcW w:w="3780" w:type="dxa"/>
            <w:vAlign w:val="bottom"/>
          </w:tcPr>
          <w:p>
            <w:pPr>
              <w:ind w:left="80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577,173</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467,491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2,173,633</w:t>
            </w:r>
          </w:p>
        </w:tc>
        <w:tc>
          <w:tcPr>
            <w:tcW w:w="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1,795,564</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3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80"/>
              <w:spacing w:after="0"/>
              <w:rPr>
                <w:sz w:val="20"/>
                <w:szCs w:val="20"/>
                <w:color w:val="auto"/>
              </w:rPr>
            </w:pPr>
            <w:r>
              <w:rPr>
                <w:rFonts w:ascii="Arial" w:cs="Arial" w:eastAsia="Arial" w:hAnsi="Arial"/>
                <w:sz w:val="18"/>
                <w:szCs w:val="18"/>
                <w:color w:val="auto"/>
              </w:rPr>
              <w:t>Device Solutions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30,566</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11,289</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105,917</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Networked Solutions</w:t>
            </w:r>
          </w:p>
        </w:tc>
        <w:tc>
          <w:tcPr>
            <w:tcW w:w="4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136,873</w:t>
            </w:r>
          </w:p>
        </w:tc>
        <w:tc>
          <w:tcPr>
            <w:tcW w:w="7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98,820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499,725</w:t>
            </w:r>
          </w:p>
        </w:tc>
        <w:tc>
          <w:tcPr>
            <w:tcW w:w="7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361,975</w:t>
            </w:r>
          </w:p>
        </w:tc>
        <w:tc>
          <w:tcPr>
            <w:tcW w:w="0" w:type="dxa"/>
            <w:vAlign w:val="bottom"/>
          </w:tcPr>
          <w:p>
            <w:pPr>
              <w:spacing w:after="0"/>
              <w:rPr>
                <w:sz w:val="1"/>
                <w:szCs w:val="1"/>
                <w:color w:val="auto"/>
              </w:rPr>
            </w:pPr>
          </w:p>
        </w:tc>
      </w:tr>
      <w:tr>
        <w:trPr>
          <w:trHeight w:val="235"/>
        </w:trPr>
        <w:tc>
          <w:tcPr>
            <w:tcW w:w="3780" w:type="dxa"/>
            <w:vAlign w:val="bottom"/>
          </w:tcPr>
          <w:p>
            <w:pPr>
              <w:ind w:left="380"/>
              <w:spacing w:after="0"/>
              <w:rPr>
                <w:sz w:val="20"/>
                <w:szCs w:val="20"/>
                <w:color w:val="auto"/>
              </w:rPr>
            </w:pPr>
            <w:r>
              <w:rPr>
                <w:rFonts w:ascii="Arial" w:cs="Arial" w:eastAsia="Arial" w:hAnsi="Arial"/>
                <w:sz w:val="18"/>
                <w:szCs w:val="18"/>
                <w:color w:val="auto"/>
              </w:rPr>
              <w:t>Outcomes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28,951</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30,689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108,266</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98,436</w:t>
            </w:r>
          </w:p>
        </w:tc>
        <w:tc>
          <w:tcPr>
            <w:tcW w:w="0" w:type="dxa"/>
            <w:vAlign w:val="bottom"/>
          </w:tcPr>
          <w:p>
            <w:pPr>
              <w:spacing w:after="0"/>
              <w:rPr>
                <w:sz w:val="1"/>
                <w:szCs w:val="1"/>
                <w:color w:val="auto"/>
              </w:rPr>
            </w:pPr>
          </w:p>
        </w:tc>
      </w:tr>
      <w:tr>
        <w:trPr>
          <w:trHeight w:val="223"/>
        </w:trPr>
        <w:tc>
          <w:tcPr>
            <w:tcW w:w="3780" w:type="dxa"/>
            <w:vAlign w:val="bottom"/>
          </w:tcPr>
          <w:p>
            <w:pPr>
              <w:ind w:left="80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196,390</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140,798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713,908</w:t>
            </w:r>
          </w:p>
        </w:tc>
        <w:tc>
          <w:tcPr>
            <w:tcW w:w="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522,189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37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80"/>
              <w:spacing w:after="0"/>
              <w:rPr>
                <w:sz w:val="20"/>
                <w:szCs w:val="20"/>
                <w:color w:val="auto"/>
              </w:rPr>
            </w:pPr>
            <w:r>
              <w:rPr>
                <w:rFonts w:ascii="Arial" w:cs="Arial" w:eastAsia="Arial" w:hAnsi="Arial"/>
                <w:sz w:val="18"/>
                <w:szCs w:val="18"/>
                <w:color w:val="auto"/>
              </w:rPr>
              <w:t>Device Solutions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19,853</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65,690</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26,703</w:t>
            </w:r>
          </w:p>
        </w:tc>
        <w:tc>
          <w:tcPr>
            <w:tcW w:w="0" w:type="dxa"/>
            <w:vAlign w:val="bottom"/>
          </w:tcPr>
          <w:p>
            <w:pPr>
              <w:spacing w:after="0"/>
              <w:rPr>
                <w:sz w:val="1"/>
                <w:szCs w:val="1"/>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Networked Solutions</w:t>
            </w:r>
          </w:p>
        </w:tc>
        <w:tc>
          <w:tcPr>
            <w:tcW w:w="4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102,869</w:t>
            </w:r>
          </w:p>
        </w:tc>
        <w:tc>
          <w:tcPr>
            <w:tcW w:w="7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70,339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368,921</w:t>
            </w:r>
          </w:p>
        </w:tc>
        <w:tc>
          <w:tcPr>
            <w:tcW w:w="7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248,268</w:t>
            </w:r>
          </w:p>
        </w:tc>
        <w:tc>
          <w:tcPr>
            <w:tcW w:w="0" w:type="dxa"/>
            <w:vAlign w:val="bottom"/>
          </w:tcPr>
          <w:p>
            <w:pPr>
              <w:spacing w:after="0"/>
              <w:rPr>
                <w:sz w:val="1"/>
                <w:szCs w:val="1"/>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Outcomes</w:t>
            </w:r>
          </w:p>
        </w:tc>
        <w:tc>
          <w:tcPr>
            <w:tcW w:w="42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14,479</w:t>
            </w:r>
          </w:p>
        </w:tc>
        <w:tc>
          <w:tcPr>
            <w:tcW w:w="7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17,458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50,346</w:t>
            </w:r>
          </w:p>
        </w:tc>
        <w:tc>
          <w:tcPr>
            <w:tcW w:w="72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46,247</w:t>
            </w:r>
          </w:p>
        </w:tc>
        <w:tc>
          <w:tcPr>
            <w:tcW w:w="0" w:type="dxa"/>
            <w:vAlign w:val="bottom"/>
          </w:tcPr>
          <w:p>
            <w:pPr>
              <w:spacing w:after="0"/>
              <w:rPr>
                <w:sz w:val="1"/>
                <w:szCs w:val="1"/>
                <w:color w:val="auto"/>
              </w:rPr>
            </w:pPr>
          </w:p>
        </w:tc>
      </w:tr>
      <w:tr>
        <w:trPr>
          <w:trHeight w:val="235"/>
        </w:trPr>
        <w:tc>
          <w:tcPr>
            <w:tcW w:w="3780" w:type="dxa"/>
            <w:vAlign w:val="bottom"/>
          </w:tcPr>
          <w:p>
            <w:pPr>
              <w:ind w:left="380"/>
              <w:spacing w:after="0"/>
              <w:rPr>
                <w:sz w:val="20"/>
                <w:szCs w:val="20"/>
                <w:color w:val="auto"/>
              </w:rPr>
            </w:pPr>
            <w:r>
              <w:rPr>
                <w:rFonts w:ascii="Arial" w:cs="Arial" w:eastAsia="Arial" w:hAnsi="Arial"/>
                <w:sz w:val="18"/>
                <w:szCs w:val="18"/>
                <w:color w:val="auto"/>
              </w:rPr>
              <w:t>Corporate unallocated</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(87,931)</w:t>
            </w:r>
          </w:p>
        </w:tc>
        <w:tc>
          <w:tcPr>
            <w:tcW w:w="7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(78,016)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(356,090)</w:t>
            </w: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(328,657)</w:t>
            </w:r>
          </w:p>
        </w:tc>
        <w:tc>
          <w:tcPr>
            <w:tcW w:w="0" w:type="dxa"/>
            <w:vAlign w:val="bottom"/>
          </w:tcPr>
          <w:p>
            <w:pPr>
              <w:spacing w:after="0"/>
              <w:rPr>
                <w:sz w:val="1"/>
                <w:szCs w:val="1"/>
                <w:color w:val="auto"/>
              </w:rPr>
            </w:pPr>
          </w:p>
        </w:tc>
      </w:tr>
      <w:tr>
        <w:trPr>
          <w:trHeight w:val="223"/>
        </w:trPr>
        <w:tc>
          <w:tcPr>
            <w:tcW w:w="3780" w:type="dxa"/>
            <w:vAlign w:val="bottom"/>
          </w:tcPr>
          <w:p>
            <w:pPr>
              <w:ind w:left="80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49,270</w:t>
            </w:r>
          </w:p>
        </w:tc>
        <w:tc>
          <w:tcPr>
            <w:tcW w:w="7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12,381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128,867</w:t>
            </w:r>
          </w:p>
        </w:tc>
        <w:tc>
          <w:tcPr>
            <w:tcW w:w="7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360" w:type="dxa"/>
            <w:vAlign w:val="bottom"/>
          </w:tcPr>
          <w:p>
            <w:pPr>
              <w:spacing w:after="0"/>
              <w:rPr>
                <w:sz w:val="20"/>
                <w:szCs w:val="20"/>
                <w:color w:val="auto"/>
              </w:rPr>
            </w:pPr>
            <w:r>
              <w:rPr>
                <w:rFonts w:ascii="Arial" w:cs="Arial" w:eastAsia="Arial" w:hAnsi="Arial"/>
                <w:sz w:val="18"/>
                <w:szCs w:val="18"/>
                <w:b w:val="1"/>
                <w:bCs w:val="1"/>
                <w:color w:val="auto"/>
              </w:rPr>
              <w:t>Total Gross Margin</w:t>
            </w:r>
          </w:p>
        </w:tc>
        <w:tc>
          <w:tcPr>
            <w:tcW w:w="2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34.0 %</w:t>
            </w:r>
          </w:p>
        </w:tc>
        <w:tc>
          <w:tcPr>
            <w:tcW w:w="18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30.1 %</w:t>
            </w: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32.8 %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566"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6780" w:type="dxa"/>
            <w:vAlign w:val="bottom"/>
          </w:tcPr>
          <w:p>
            <w:pPr>
              <w:spacing w:after="0"/>
              <w:rPr>
                <w:sz w:val="20"/>
                <w:szCs w:val="20"/>
                <w:color w:val="auto"/>
              </w:rPr>
            </w:pPr>
            <w:r>
              <w:rPr>
                <w:rFonts w:ascii="Arial" w:cs="Arial" w:eastAsia="Arial" w:hAnsi="Arial"/>
                <w:sz w:val="18"/>
                <w:szCs w:val="18"/>
                <w:color w:val="auto"/>
              </w:rPr>
              <w:t>(Unaudited, in thousands)</w:t>
            </w:r>
          </w:p>
        </w:tc>
        <w:tc>
          <w:tcPr>
            <w:tcW w:w="200" w:type="dxa"/>
            <w:vAlign w:val="bottom"/>
          </w:tcPr>
          <w:p>
            <w:pPr>
              <w:spacing w:after="0"/>
              <w:rPr>
                <w:sz w:val="20"/>
                <w:szCs w:val="20"/>
                <w:color w:val="auto"/>
              </w:rPr>
            </w:pPr>
          </w:p>
        </w:tc>
        <w:tc>
          <w:tcPr>
            <w:tcW w:w="20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December 31, 2023</w:t>
            </w:r>
          </w:p>
        </w:tc>
        <w:tc>
          <w:tcPr>
            <w:tcW w:w="220" w:type="dxa"/>
            <w:vAlign w:val="bottom"/>
          </w:tcPr>
          <w:p>
            <w:pPr>
              <w:spacing w:after="0"/>
              <w:rPr>
                <w:sz w:val="20"/>
                <w:szCs w:val="20"/>
                <w:color w:val="auto"/>
              </w:rPr>
            </w:pPr>
          </w:p>
        </w:tc>
        <w:tc>
          <w:tcPr>
            <w:tcW w:w="19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5"/>
        </w:trPr>
        <w:tc>
          <w:tcPr>
            <w:tcW w:w="6780" w:type="dxa"/>
            <w:vAlign w:val="bottom"/>
            <w:vMerge w:val="restart"/>
          </w:tcPr>
          <w:p>
            <w:pPr>
              <w:ind w:left="30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302,049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202,007</w:t>
            </w:r>
          </w:p>
        </w:tc>
        <w:tc>
          <w:tcPr>
            <w:tcW w:w="0" w:type="dxa"/>
            <w:vAlign w:val="bottom"/>
          </w:tcPr>
          <w:p>
            <w:pPr>
              <w:spacing w:after="0"/>
              <w:rPr>
                <w:sz w:val="1"/>
                <w:szCs w:val="1"/>
                <w:color w:val="auto"/>
              </w:rPr>
            </w:pPr>
          </w:p>
        </w:tc>
      </w:tr>
      <w:tr>
        <w:trPr>
          <w:trHeight w:val="229"/>
        </w:trPr>
        <w:tc>
          <w:tcPr>
            <w:tcW w:w="67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303,821</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280,435</w:t>
            </w:r>
          </w:p>
        </w:tc>
        <w:tc>
          <w:tcPr>
            <w:tcW w:w="0" w:type="dxa"/>
            <w:vAlign w:val="bottom"/>
          </w:tcPr>
          <w:p>
            <w:pPr>
              <w:spacing w:after="0"/>
              <w:rPr>
                <w:sz w:val="1"/>
                <w:szCs w:val="1"/>
                <w:color w:val="auto"/>
              </w:rPr>
            </w:pPr>
          </w:p>
        </w:tc>
      </w:tr>
      <w:tr>
        <w:trPr>
          <w:trHeight w:val="229"/>
        </w:trPr>
        <w:tc>
          <w:tcPr>
            <w:tcW w:w="67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283,686</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228,701</w:t>
            </w:r>
          </w:p>
        </w:tc>
        <w:tc>
          <w:tcPr>
            <w:tcW w:w="0" w:type="dxa"/>
            <w:vAlign w:val="bottom"/>
          </w:tcPr>
          <w:p>
            <w:pPr>
              <w:spacing w:after="0"/>
              <w:rPr>
                <w:sz w:val="1"/>
                <w:szCs w:val="1"/>
                <w:color w:val="auto"/>
              </w:rPr>
            </w:pPr>
          </w:p>
        </w:tc>
      </w:tr>
      <w:tr>
        <w:trPr>
          <w:trHeight w:val="235"/>
        </w:trPr>
        <w:tc>
          <w:tcPr>
            <w:tcW w:w="67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159,882</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118,441</w:t>
            </w:r>
          </w:p>
        </w:tc>
        <w:tc>
          <w:tcPr>
            <w:tcW w:w="0" w:type="dxa"/>
            <w:vAlign w:val="bottom"/>
          </w:tcPr>
          <w:p>
            <w:pPr>
              <w:spacing w:after="0"/>
              <w:rPr>
                <w:sz w:val="1"/>
                <w:szCs w:val="1"/>
                <w:color w:val="auto"/>
              </w:rPr>
            </w:pPr>
          </w:p>
        </w:tc>
      </w:tr>
      <w:tr>
        <w:trPr>
          <w:trHeight w:val="232"/>
        </w:trPr>
        <w:tc>
          <w:tcPr>
            <w:tcW w:w="678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1,049,438</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829,584</w:t>
            </w:r>
          </w:p>
        </w:tc>
        <w:tc>
          <w:tcPr>
            <w:tcW w:w="0" w:type="dxa"/>
            <w:vAlign w:val="bottom"/>
          </w:tcPr>
          <w:p>
            <w:pPr>
              <w:spacing w:after="0"/>
              <w:rPr>
                <w:sz w:val="1"/>
                <w:szCs w:val="1"/>
                <w:color w:val="auto"/>
              </w:rPr>
            </w:pPr>
          </w:p>
        </w:tc>
      </w:tr>
      <w:tr>
        <w:trPr>
          <w:trHeight w:val="377"/>
        </w:trPr>
        <w:tc>
          <w:tcPr>
            <w:tcW w:w="6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128,806</w:t>
            </w:r>
          </w:p>
        </w:tc>
        <w:tc>
          <w:tcPr>
            <w:tcW w:w="2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140,123</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247,211</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211,982</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38,836</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39,901</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41,186</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52,826</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46,282</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64,941</w:t>
            </w:r>
          </w:p>
        </w:tc>
        <w:tc>
          <w:tcPr>
            <w:tcW w:w="0" w:type="dxa"/>
            <w:vAlign w:val="bottom"/>
          </w:tcPr>
          <w:p>
            <w:pPr>
              <w:spacing w:after="0"/>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1,052,504</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1,038,721</w:t>
            </w:r>
          </w:p>
        </w:tc>
        <w:tc>
          <w:tcPr>
            <w:tcW w:w="0" w:type="dxa"/>
            <w:vAlign w:val="bottom"/>
          </w:tcPr>
          <w:p>
            <w:pPr>
              <w:spacing w:after="0"/>
              <w:rPr>
                <w:sz w:val="1"/>
                <w:szCs w:val="1"/>
                <w:color w:val="auto"/>
              </w:rPr>
            </w:pPr>
          </w:p>
        </w:tc>
      </w:tr>
      <w:tr>
        <w:trPr>
          <w:trHeight w:val="223"/>
        </w:trPr>
        <w:tc>
          <w:tcPr>
            <w:tcW w:w="67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2,604,263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2,378,078</w:t>
            </w:r>
          </w:p>
        </w:tc>
        <w:tc>
          <w:tcPr>
            <w:tcW w:w="0" w:type="dxa"/>
            <w:vAlign w:val="bottom"/>
          </w:tcPr>
          <w:p>
            <w:pPr>
              <w:spacing w:after="0"/>
              <w:rPr>
                <w:sz w:val="1"/>
                <w:szCs w:val="1"/>
                <w:color w:val="auto"/>
              </w:rPr>
            </w:pPr>
          </w:p>
        </w:tc>
      </w:tr>
      <w:tr>
        <w:trPr>
          <w:trHeight w:val="21"/>
        </w:trPr>
        <w:tc>
          <w:tcPr>
            <w:tcW w:w="6780" w:type="dxa"/>
            <w:vAlign w:val="bottom"/>
            <w:vMerge w:val="restart"/>
          </w:tcPr>
          <w:p>
            <w:pPr>
              <w:ind w:left="228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6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199,520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237,178</w:t>
            </w:r>
          </w:p>
        </w:tc>
        <w:tc>
          <w:tcPr>
            <w:tcW w:w="0" w:type="dxa"/>
            <w:vAlign w:val="bottom"/>
          </w:tcPr>
          <w:p>
            <w:pPr>
              <w:spacing w:after="0"/>
              <w:rPr>
                <w:sz w:val="1"/>
                <w:szCs w:val="1"/>
                <w:color w:val="auto"/>
              </w:rPr>
            </w:pPr>
          </w:p>
        </w:tc>
      </w:tr>
      <w:tr>
        <w:trPr>
          <w:trHeight w:val="229"/>
        </w:trPr>
        <w:tc>
          <w:tcPr>
            <w:tcW w:w="678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54,407</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42,869</w:t>
            </w:r>
          </w:p>
        </w:tc>
        <w:tc>
          <w:tcPr>
            <w:tcW w:w="0" w:type="dxa"/>
            <w:vAlign w:val="bottom"/>
          </w:tcPr>
          <w:p>
            <w:pPr>
              <w:spacing w:after="0"/>
              <w:rPr>
                <w:sz w:val="1"/>
                <w:szCs w:val="1"/>
                <w:color w:val="auto"/>
              </w:rPr>
            </w:pPr>
          </w:p>
        </w:tc>
      </w:tr>
      <w:tr>
        <w:trPr>
          <w:trHeight w:val="229"/>
        </w:trPr>
        <w:tc>
          <w:tcPr>
            <w:tcW w:w="678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135,803</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89,431</w:t>
            </w:r>
          </w:p>
        </w:tc>
        <w:tc>
          <w:tcPr>
            <w:tcW w:w="0" w:type="dxa"/>
            <w:vAlign w:val="bottom"/>
          </w:tcPr>
          <w:p>
            <w:pPr>
              <w:spacing w:after="0"/>
              <w:rPr>
                <w:sz w:val="1"/>
                <w:szCs w:val="1"/>
                <w:color w:val="auto"/>
              </w:rPr>
            </w:pP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Taxes payable</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8,636</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Current portion of warranty</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14,663</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18,203</w:t>
            </w:r>
          </w:p>
        </w:tc>
        <w:tc>
          <w:tcPr>
            <w:tcW w:w="0" w:type="dxa"/>
            <w:vAlign w:val="bottom"/>
          </w:tcPr>
          <w:p>
            <w:pPr>
              <w:spacing w:after="0"/>
              <w:rPr>
                <w:sz w:val="1"/>
                <w:szCs w:val="1"/>
                <w:color w:val="auto"/>
              </w:rPr>
            </w:pPr>
          </w:p>
        </w:tc>
      </w:tr>
      <w:tr>
        <w:trPr>
          <w:trHeight w:val="235"/>
        </w:trPr>
        <w:tc>
          <w:tcPr>
            <w:tcW w:w="678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124,207</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95,567</w:t>
            </w:r>
          </w:p>
        </w:tc>
        <w:tc>
          <w:tcPr>
            <w:tcW w:w="0" w:type="dxa"/>
            <w:vAlign w:val="bottom"/>
          </w:tcPr>
          <w:p>
            <w:pPr>
              <w:spacing w:after="0"/>
              <w:rPr>
                <w:sz w:val="1"/>
                <w:szCs w:val="1"/>
                <w:color w:val="auto"/>
              </w:rPr>
            </w:pPr>
          </w:p>
        </w:tc>
      </w:tr>
      <w:tr>
        <w:trPr>
          <w:trHeight w:val="232"/>
        </w:trPr>
        <w:tc>
          <w:tcPr>
            <w:tcW w:w="678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537,236</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498,572</w:t>
            </w:r>
          </w:p>
        </w:tc>
        <w:tc>
          <w:tcPr>
            <w:tcW w:w="0" w:type="dxa"/>
            <w:vAlign w:val="bottom"/>
          </w:tcPr>
          <w:p>
            <w:pPr>
              <w:spacing w:after="0"/>
              <w:rPr>
                <w:sz w:val="1"/>
                <w:szCs w:val="1"/>
                <w:color w:val="auto"/>
              </w:rPr>
            </w:pPr>
          </w:p>
        </w:tc>
      </w:tr>
      <w:tr>
        <w:trPr>
          <w:trHeight w:val="377"/>
        </w:trPr>
        <w:tc>
          <w:tcPr>
            <w:tcW w:w="6780" w:type="dxa"/>
            <w:vAlign w:val="bottom"/>
          </w:tcPr>
          <w:p>
            <w:pPr>
              <w:spacing w:after="0"/>
              <w:rPr>
                <w:sz w:val="20"/>
                <w:szCs w:val="20"/>
                <w:color w:val="auto"/>
              </w:rPr>
            </w:pPr>
            <w:r>
              <w:rPr>
                <w:rFonts w:ascii="Arial" w:cs="Arial" w:eastAsia="Arial" w:hAnsi="Arial"/>
                <w:sz w:val="18"/>
                <w:szCs w:val="18"/>
                <w:color w:val="auto"/>
              </w:rPr>
              <w:t>Long-term debt, net</w:t>
            </w:r>
          </w:p>
        </w:tc>
        <w:tc>
          <w:tcPr>
            <w:tcW w:w="20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454,827</w:t>
            </w:r>
          </w:p>
        </w:tc>
        <w:tc>
          <w:tcPr>
            <w:tcW w:w="22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452,526</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Long-term warranty</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7,501</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63,887</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57,839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32,656</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44,370</w:t>
            </w:r>
          </w:p>
        </w:tc>
        <w:tc>
          <w:tcPr>
            <w:tcW w:w="0" w:type="dxa"/>
            <w:vAlign w:val="bottom"/>
          </w:tcPr>
          <w:p>
            <w:pPr>
              <w:spacing w:after="0"/>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176,028</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124,887</w:t>
            </w:r>
          </w:p>
        </w:tc>
        <w:tc>
          <w:tcPr>
            <w:tcW w:w="0" w:type="dxa"/>
            <w:vAlign w:val="bottom"/>
          </w:tcPr>
          <w:p>
            <w:pPr>
              <w:spacing w:after="0"/>
              <w:rPr>
                <w:sz w:val="1"/>
                <w:szCs w:val="1"/>
                <w:color w:val="auto"/>
              </w:rPr>
            </w:pPr>
          </w:p>
        </w:tc>
      </w:tr>
      <w:tr>
        <w:trPr>
          <w:trHeight w:val="232"/>
        </w:trPr>
        <w:tc>
          <w:tcPr>
            <w:tcW w:w="6780" w:type="dxa"/>
            <w:vAlign w:val="bottom"/>
          </w:tcPr>
          <w:p>
            <w:pPr>
              <w:ind w:left="8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1,272,832</w:t>
            </w:r>
          </w:p>
        </w:tc>
        <w:tc>
          <w:tcPr>
            <w:tcW w:w="2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1,186,522</w:t>
            </w:r>
          </w:p>
        </w:tc>
        <w:tc>
          <w:tcPr>
            <w:tcW w:w="0" w:type="dxa"/>
            <w:vAlign w:val="bottom"/>
          </w:tcPr>
          <w:p>
            <w:pPr>
              <w:spacing w:after="0"/>
              <w:rPr>
                <w:sz w:val="1"/>
                <w:szCs w:val="1"/>
                <w:color w:val="auto"/>
              </w:rPr>
            </w:pPr>
          </w:p>
        </w:tc>
      </w:tr>
      <w:tr>
        <w:trPr>
          <w:trHeight w:val="377"/>
        </w:trPr>
        <w:tc>
          <w:tcPr>
            <w:tcW w:w="678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1,820,510</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1,788,479</w:t>
            </w:r>
          </w:p>
        </w:tc>
        <w:tc>
          <w:tcPr>
            <w:tcW w:w="0" w:type="dxa"/>
            <w:vAlign w:val="bottom"/>
          </w:tcPr>
          <w:p>
            <w:pPr>
              <w:spacing w:after="0"/>
              <w:rPr>
                <w:sz w:val="1"/>
                <w:szCs w:val="1"/>
                <w:color w:val="auto"/>
              </w:rPr>
            </w:pPr>
          </w:p>
        </w:tc>
      </w:tr>
      <w:tr>
        <w:trPr>
          <w:trHeight w:val="230"/>
        </w:trPr>
        <w:tc>
          <w:tcPr>
            <w:tcW w:w="6780" w:type="dxa"/>
            <w:vAlign w:val="bottom"/>
          </w:tcPr>
          <w:p>
            <w:pPr>
              <w:ind w:left="44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(81,190)</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(94,674)</w:t>
            </w:r>
          </w:p>
        </w:tc>
        <w:tc>
          <w:tcPr>
            <w:tcW w:w="0" w:type="dxa"/>
            <w:vAlign w:val="bottom"/>
          </w:tcPr>
          <w:p>
            <w:pPr>
              <w:spacing w:after="0"/>
              <w:rPr>
                <w:sz w:val="1"/>
                <w:szCs w:val="1"/>
                <w:color w:val="auto"/>
              </w:rPr>
            </w:pPr>
          </w:p>
        </w:tc>
      </w:tr>
      <w:tr>
        <w:trPr>
          <w:trHeight w:val="235"/>
        </w:trPr>
        <w:tc>
          <w:tcPr>
            <w:tcW w:w="678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(428,409)</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(525,332)</w:t>
            </w:r>
          </w:p>
        </w:tc>
        <w:tc>
          <w:tcPr>
            <w:tcW w:w="0" w:type="dxa"/>
            <w:vAlign w:val="bottom"/>
          </w:tcPr>
          <w:p>
            <w:pPr>
              <w:spacing w:after="0"/>
              <w:rPr>
                <w:sz w:val="1"/>
                <w:szCs w:val="1"/>
                <w:color w:val="auto"/>
              </w:rPr>
            </w:pPr>
          </w:p>
        </w:tc>
      </w:tr>
      <w:tr>
        <w:trPr>
          <w:trHeight w:val="218"/>
        </w:trPr>
        <w:tc>
          <w:tcPr>
            <w:tcW w:w="6780" w:type="dxa"/>
            <w:vAlign w:val="bottom"/>
          </w:tcPr>
          <w:p>
            <w:pPr>
              <w:ind w:left="880"/>
              <w:spacing w:after="0"/>
              <w:rPr>
                <w:sz w:val="20"/>
                <w:szCs w:val="20"/>
                <w:color w:val="auto"/>
              </w:rPr>
            </w:pPr>
            <w:r>
              <w:rPr>
                <w:rFonts w:ascii="Arial" w:cs="Arial" w:eastAsia="Arial" w:hAnsi="Arial"/>
                <w:sz w:val="18"/>
                <w:szCs w:val="18"/>
                <w:color w:val="auto"/>
              </w:rPr>
              <w:t>Total Itron, Inc. shareholders' equity</w:t>
            </w:r>
          </w:p>
        </w:tc>
        <w:tc>
          <w:tcPr>
            <w:tcW w:w="2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1,310,911</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1,168,473</w:t>
            </w:r>
          </w:p>
        </w:tc>
        <w:tc>
          <w:tcPr>
            <w:tcW w:w="0" w:type="dxa"/>
            <w:vAlign w:val="bottom"/>
          </w:tcPr>
          <w:p>
            <w:pPr>
              <w:spacing w:after="0"/>
              <w:rPr>
                <w:sz w:val="1"/>
                <w:szCs w:val="1"/>
                <w:color w:val="auto"/>
              </w:rPr>
            </w:pPr>
          </w:p>
        </w:tc>
      </w:tr>
      <w:tr>
        <w:trPr>
          <w:trHeight w:val="235"/>
        </w:trPr>
        <w:tc>
          <w:tcPr>
            <w:tcW w:w="678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20,520</w:t>
            </w: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23,083</w:t>
            </w:r>
          </w:p>
        </w:tc>
        <w:tc>
          <w:tcPr>
            <w:tcW w:w="0" w:type="dxa"/>
            <w:vAlign w:val="bottom"/>
          </w:tcPr>
          <w:p>
            <w:pPr>
              <w:spacing w:after="0"/>
              <w:rPr>
                <w:sz w:val="1"/>
                <w:szCs w:val="1"/>
                <w:color w:val="auto"/>
              </w:rPr>
            </w:pPr>
          </w:p>
        </w:tc>
      </w:tr>
      <w:tr>
        <w:trPr>
          <w:trHeight w:val="223"/>
        </w:trPr>
        <w:tc>
          <w:tcPr>
            <w:tcW w:w="6780" w:type="dxa"/>
            <w:vAlign w:val="bottom"/>
          </w:tcPr>
          <w:p>
            <w:pPr>
              <w:ind w:left="8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1,331,431</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1,191,556</w:t>
            </w:r>
          </w:p>
        </w:tc>
        <w:tc>
          <w:tcPr>
            <w:tcW w:w="0" w:type="dxa"/>
            <w:vAlign w:val="bottom"/>
          </w:tcPr>
          <w:p>
            <w:pPr>
              <w:spacing w:after="0"/>
              <w:rPr>
                <w:sz w:val="1"/>
                <w:szCs w:val="1"/>
                <w:color w:val="auto"/>
              </w:rPr>
            </w:pPr>
          </w:p>
        </w:tc>
      </w:tr>
      <w:tr>
        <w:trPr>
          <w:trHeight w:val="223"/>
        </w:trPr>
        <w:tc>
          <w:tcPr>
            <w:tcW w:w="6780" w:type="dxa"/>
            <w:vAlign w:val="bottom"/>
          </w:tcPr>
          <w:p>
            <w:pPr>
              <w:ind w:left="88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2,604,263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2,378,078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20"/>
          </w:cols>
          <w:pgMar w:left="320" w:top="566"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ITRON,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340" w:type="dxa"/>
            <w:vAlign w:val="bottom"/>
            <w:vMerge w:val="restart"/>
          </w:tcPr>
          <w:p>
            <w:pPr>
              <w:spacing w:after="0"/>
              <w:rPr>
                <w:sz w:val="20"/>
                <w:szCs w:val="20"/>
                <w:color w:val="auto"/>
              </w:rPr>
            </w:pPr>
            <w:r>
              <w:rPr>
                <w:rFonts w:ascii="Arial" w:cs="Arial" w:eastAsia="Arial" w:hAnsi="Arial"/>
                <w:sz w:val="16"/>
                <w:szCs w:val="16"/>
                <w:color w:val="auto"/>
              </w:rPr>
              <w:t>(Unaudited, in thousands)</w:t>
            </w:r>
          </w:p>
        </w:tc>
        <w:tc>
          <w:tcPr>
            <w:tcW w:w="1180" w:type="dxa"/>
            <w:vAlign w:val="bottom"/>
          </w:tcPr>
          <w:p>
            <w:pPr>
              <w:spacing w:after="0"/>
              <w:rPr>
                <w:sz w:val="16"/>
                <w:szCs w:val="16"/>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Year Ended</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40" w:type="dxa"/>
            <w:vAlign w:val="bottom"/>
            <w:vMerge w:val="continue"/>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vMerge w:val="restart"/>
          </w:tcPr>
          <w:p>
            <w:pPr>
              <w:spacing w:after="0"/>
              <w:rPr>
                <w:sz w:val="20"/>
                <w:szCs w:val="20"/>
                <w:color w:val="auto"/>
              </w:rPr>
            </w:pPr>
            <w:r>
              <w:rPr>
                <w:rFonts w:ascii="Arial" w:cs="Arial" w:eastAsia="Arial" w:hAnsi="Arial"/>
                <w:sz w:val="16"/>
                <w:szCs w:val="16"/>
                <w:color w:val="auto"/>
              </w:rPr>
              <w:t>Operating activities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4"/>
        </w:trPr>
        <w:tc>
          <w:tcPr>
            <w:tcW w:w="734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98,318</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(9,547)</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Depreciation and amortization of intangible assets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55,763</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66,763</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Non-cash operating lease expense</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16,454</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16,257</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28,357</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21,881</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Amortization of prepaid debt fees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3,664</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Deferred taxes, net</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(34,646)</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(32,635)</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Loss on sale of businesses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667</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Goodwill impairment</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Restructuring, non-cash</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385</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16"/>
        </w:trPr>
        <w:tc>
          <w:tcPr>
            <w:tcW w:w="7340" w:type="dxa"/>
            <w:vAlign w:val="bottom"/>
          </w:tcPr>
          <w:p>
            <w:pPr>
              <w:ind w:left="580"/>
              <w:spacing w:after="0"/>
              <w:rPr>
                <w:sz w:val="20"/>
                <w:szCs w:val="20"/>
                <w:color w:val="auto"/>
              </w:rPr>
            </w:pPr>
            <w:r>
              <w:rPr>
                <w:rFonts w:ascii="Arial" w:cs="Arial" w:eastAsia="Arial" w:hAnsi="Arial"/>
                <w:sz w:val="16"/>
                <w:szCs w:val="16"/>
                <w:color w:val="auto"/>
              </w:rPr>
              <w:t>Other adjustments, net</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11,678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Changes in operating assets and liabilities, net of acquisitions and sale of businesses:</w:t>
            </w: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(19,494)</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5,064</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(52,118)</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(68,124)</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(42,410)</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(16,695)</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Other long-term assets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2,317</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(5,436)</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Accounts payable, other current liabilities, and taxes payable</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(43,657)</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45,085</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Wages and benefits payable</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44,700</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(21,749)</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Unearned revenue</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28,329</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18,466</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Warranty</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(3,778)</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(5,497)</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Restructuring</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29,866</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(40,981)</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Other operating, net</w:t>
            </w: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12,423</w:t>
            </w: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w:t>
            </w:r>
          </w:p>
        </w:tc>
        <w:tc>
          <w:tcPr>
            <w:tcW w:w="0" w:type="dxa"/>
            <w:vAlign w:val="bottom"/>
          </w:tcPr>
          <w:p>
            <w:pPr>
              <w:spacing w:after="0"/>
              <w:rPr>
                <w:sz w:val="1"/>
                <w:szCs w:val="1"/>
                <w:color w:val="auto"/>
              </w:rPr>
            </w:pPr>
          </w:p>
        </w:tc>
      </w:tr>
      <w:tr>
        <w:trPr>
          <w:trHeight w:val="210"/>
        </w:trPr>
        <w:tc>
          <w:tcPr>
            <w:tcW w:w="7340" w:type="dxa"/>
            <w:vAlign w:val="bottom"/>
          </w:tcPr>
          <w:p>
            <w:pPr>
              <w:ind w:left="580"/>
              <w:spacing w:after="0"/>
              <w:rPr>
                <w:sz w:val="20"/>
                <w:szCs w:val="20"/>
                <w:color w:val="auto"/>
              </w:rPr>
            </w:pPr>
            <w:r>
              <w:rPr>
                <w:rFonts w:ascii="Arial" w:cs="Arial" w:eastAsia="Arial" w:hAnsi="Arial"/>
                <w:sz w:val="16"/>
                <w:szCs w:val="16"/>
                <w:color w:val="auto"/>
              </w:rPr>
              <w:t>Net cash provided by operating activities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124,971</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24,500</w:t>
            </w:r>
          </w:p>
        </w:tc>
        <w:tc>
          <w:tcPr>
            <w:tcW w:w="0" w:type="dxa"/>
            <w:vAlign w:val="bottom"/>
          </w:tcPr>
          <w:p>
            <w:pPr>
              <w:spacing w:after="0"/>
              <w:rPr>
                <w:sz w:val="1"/>
                <w:szCs w:val="1"/>
                <w:color w:val="auto"/>
              </w:rPr>
            </w:pPr>
          </w:p>
        </w:tc>
      </w:tr>
      <w:tr>
        <w:trPr>
          <w:trHeight w:val="431"/>
        </w:trPr>
        <w:tc>
          <w:tcPr>
            <w:tcW w:w="7340" w:type="dxa"/>
            <w:vAlign w:val="bottom"/>
          </w:tcPr>
          <w:p>
            <w:pPr>
              <w:spacing w:after="0"/>
              <w:rPr>
                <w:sz w:val="20"/>
                <w:szCs w:val="20"/>
                <w:color w:val="auto"/>
              </w:rPr>
            </w:pPr>
            <w:r>
              <w:rPr>
                <w:rFonts w:ascii="Arial" w:cs="Arial" w:eastAsia="Arial" w:hAnsi="Arial"/>
                <w:sz w:val="16"/>
                <w:szCs w:val="16"/>
                <w:color w:val="auto"/>
              </w:rPr>
              <w:t>Investing activities</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Net proceeds (payments) related to the sale of businesses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(772)</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55,933</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Acquisitions of property, plant, and equipment</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(26,884)</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(19,747)</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Business acquisitions, net of cash and cash equivalents acquired</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Other investing, net</w:t>
            </w: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4,348</w:t>
            </w: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0"/>
        </w:trPr>
        <w:tc>
          <w:tcPr>
            <w:tcW w:w="7340" w:type="dxa"/>
            <w:vAlign w:val="bottom"/>
          </w:tcPr>
          <w:p>
            <w:pPr>
              <w:ind w:left="580"/>
              <w:spacing w:after="0"/>
              <w:rPr>
                <w:sz w:val="20"/>
                <w:szCs w:val="20"/>
                <w:color w:val="auto"/>
              </w:rPr>
            </w:pPr>
            <w:r>
              <w:rPr>
                <w:rFonts w:ascii="Arial" w:cs="Arial" w:eastAsia="Arial" w:hAnsi="Arial"/>
                <w:sz w:val="16"/>
                <w:szCs w:val="16"/>
                <w:color w:val="auto"/>
              </w:rPr>
              <w:t>Net cash provided by (used in) investing activities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(23,308)</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40,516</w:t>
            </w:r>
          </w:p>
        </w:tc>
        <w:tc>
          <w:tcPr>
            <w:tcW w:w="0" w:type="dxa"/>
            <w:vAlign w:val="bottom"/>
          </w:tcPr>
          <w:p>
            <w:pPr>
              <w:spacing w:after="0"/>
              <w:rPr>
                <w:sz w:val="1"/>
                <w:szCs w:val="1"/>
                <w:color w:val="auto"/>
              </w:rPr>
            </w:pPr>
          </w:p>
        </w:tc>
      </w:tr>
      <w:tr>
        <w:trPr>
          <w:trHeight w:val="431"/>
        </w:trPr>
        <w:tc>
          <w:tcPr>
            <w:tcW w:w="7340" w:type="dxa"/>
            <w:vAlign w:val="bottom"/>
          </w:tcPr>
          <w:p>
            <w:pPr>
              <w:spacing w:after="0"/>
              <w:rPr>
                <w:sz w:val="20"/>
                <w:szCs w:val="20"/>
                <w:color w:val="auto"/>
              </w:rPr>
            </w:pPr>
            <w:r>
              <w:rPr>
                <w:rFonts w:ascii="Arial" w:cs="Arial" w:eastAsia="Arial" w:hAnsi="Arial"/>
                <w:sz w:val="16"/>
                <w:szCs w:val="16"/>
                <w:color w:val="auto"/>
              </w:rPr>
              <w:t>Financing activities</w:t>
            </w: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3,674</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(16,972)</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Prepaid debt fees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(2,471)</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6"/>
                <w:szCs w:val="16"/>
                <w:color w:val="auto"/>
              </w:rPr>
              <w:t>Other financing, net</w:t>
            </w: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w:t>
            </w: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(4,520)</w:t>
            </w:r>
          </w:p>
        </w:tc>
        <w:tc>
          <w:tcPr>
            <w:tcW w:w="0" w:type="dxa"/>
            <w:vAlign w:val="bottom"/>
          </w:tcPr>
          <w:p>
            <w:pPr>
              <w:spacing w:after="0"/>
              <w:rPr>
                <w:sz w:val="1"/>
                <w:szCs w:val="1"/>
                <w:color w:val="auto"/>
              </w:rPr>
            </w:pPr>
          </w:p>
        </w:tc>
      </w:tr>
      <w:tr>
        <w:trPr>
          <w:trHeight w:val="210"/>
        </w:trPr>
        <w:tc>
          <w:tcPr>
            <w:tcW w:w="7340" w:type="dxa"/>
            <w:vAlign w:val="bottom"/>
          </w:tcPr>
          <w:p>
            <w:pPr>
              <w:ind w:left="580"/>
              <w:spacing w:after="0"/>
              <w:rPr>
                <w:sz w:val="20"/>
                <w:szCs w:val="20"/>
                <w:color w:val="auto"/>
              </w:rPr>
            </w:pPr>
            <w:r>
              <w:rPr>
                <w:rFonts w:ascii="Arial" w:cs="Arial" w:eastAsia="Arial" w:hAnsi="Arial"/>
                <w:sz w:val="16"/>
                <w:szCs w:val="16"/>
                <w:color w:val="auto"/>
              </w:rPr>
              <w:t>Net cash used in financing activities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(3,508)</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(18,737)</w:t>
            </w:r>
          </w:p>
        </w:tc>
        <w:tc>
          <w:tcPr>
            <w:tcW w:w="0" w:type="dxa"/>
            <w:vAlign w:val="bottom"/>
          </w:tcPr>
          <w:p>
            <w:pPr>
              <w:spacing w:after="0"/>
              <w:rPr>
                <w:sz w:val="1"/>
                <w:szCs w:val="1"/>
                <w:color w:val="auto"/>
              </w:rPr>
            </w:pPr>
          </w:p>
        </w:tc>
      </w:tr>
      <w:tr>
        <w:trPr>
          <w:trHeight w:val="431"/>
        </w:trPr>
        <w:tc>
          <w:tcPr>
            <w:tcW w:w="7340" w:type="dxa"/>
            <w:vAlign w:val="bottom"/>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(6,851)</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6"/>
                <w:szCs w:val="16"/>
                <w:color w:val="auto"/>
              </w:rPr>
              <w:t>Increase in cash and cash equivalents</w:t>
            </w:r>
          </w:p>
        </w:tc>
        <w:tc>
          <w:tcPr>
            <w:tcW w:w="1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100,042</w:t>
            </w: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39,428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1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202,007</w:t>
            </w: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162,579</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302,049</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202,007</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20"/>
          </w:cols>
          <w:pgMar w:left="320" w:top="57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About Non-GAAP Financial Measures</w:t>
      </w:r>
    </w:p>
    <w:p>
      <w:pPr>
        <w:spacing w:after="0" w:line="25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businesses, strategic initiative expenses, software project impairment, Russian currency translation write-off, goodwill impairment, or acquisition and integration related expenses. We believe that both management and investors benefit from referring to these non-GAAP financial measures in assessing our performance and when planning, forecasting and analyzing future periods. We believe these non -GAAP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u w:val="single" w:color="auto"/>
          <w:color w:val="auto"/>
        </w:rPr>
        <w:t>Non-GAAP operating expenses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and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non-GAAP operating income</w:t>
      </w:r>
      <w:r>
        <w:rPr>
          <w:rFonts w:ascii="Arial" w:cs="Arial" w:eastAsia="Arial" w:hAnsi="Arial"/>
          <w:sz w:val="20"/>
          <w:szCs w:val="20"/>
          <w:i w:val="1"/>
          <w:iCs w:val="1"/>
          <w:color w:val="auto"/>
        </w:rPr>
        <w:t xml:space="preserve"> </w:t>
      </w:r>
      <w:r>
        <w:rPr>
          <w:rFonts w:ascii="Arial" w:cs="Arial" w:eastAsia="Arial" w:hAnsi="Arial"/>
          <w:sz w:val="20"/>
          <w:szCs w:val="20"/>
          <w:color w:val="auto"/>
        </w:rPr>
        <w:t>– We define non-GAAP operating expenses as operating</w:t>
      </w:r>
      <w:r>
        <w:rPr>
          <w:rFonts w:ascii="Arial" w:cs="Arial" w:eastAsia="Arial" w:hAnsi="Arial"/>
          <w:sz w:val="20"/>
          <w:szCs w:val="20"/>
          <w:i w:val="1"/>
          <w:iCs w:val="1"/>
          <w:color w:val="auto"/>
        </w:rPr>
        <w:t xml:space="preserve"> </w:t>
      </w:r>
      <w:r>
        <w:rPr>
          <w:rFonts w:ascii="Arial" w:cs="Arial" w:eastAsia="Arial" w:hAnsi="Arial"/>
          <w:sz w:val="20"/>
          <w:szCs w:val="20"/>
          <w:color w:val="auto"/>
        </w:rPr>
        <w:t>expenses excluding certain expenses related to the amortization of intangible assets, restructuring, loss on sale of businesses, strategic initiative expenses, software project impairment, Russian currency translation write-off, goodwill impairment, and acquisition and integration related expenses. We define non-GAAP operating income as operating income (loss) excluding the expenses related to the amortization of intangible assets, restructuring, loss on sale of businesses, strategic initiative expenses, software project impairment, Russian currency translation write-off, goodwill impairment,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 -GAAP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(loss)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 (loss).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521" w:right="339" w:bottom="1440" w:gutter="0" w:footer="0" w:header="0"/>
        </w:sectPr>
      </w:pPr>
    </w:p>
    <w:bookmarkStart w:id="12" w:name="page13"/>
    <w:bookmarkEnd w:id="12"/>
    <w:p>
      <w:pPr>
        <w:jc w:val="both"/>
        <w:spacing w:after="0" w:line="251" w:lineRule="auto"/>
        <w:rPr>
          <w:sz w:val="20"/>
          <w:szCs w:val="20"/>
          <w:color w:val="auto"/>
        </w:rPr>
      </w:pPr>
      <w:r>
        <w:rPr>
          <w:rFonts w:ascii="Arial" w:cs="Arial" w:eastAsia="Arial" w:hAnsi="Arial"/>
          <w:sz w:val="20"/>
          <w:szCs w:val="20"/>
          <w:i w:val="1"/>
          <w:iCs w:val="1"/>
          <w:u w:val="single" w:color="auto"/>
          <w:color w:val="auto"/>
        </w:rPr>
        <w:t>Non-GAAP net income</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and</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non-GAAP diluted EPS</w:t>
      </w:r>
      <w:r>
        <w:rPr>
          <w:rFonts w:ascii="Arial" w:cs="Arial" w:eastAsia="Arial" w:hAnsi="Arial"/>
          <w:sz w:val="20"/>
          <w:szCs w:val="20"/>
          <w:i w:val="1"/>
          <w:iCs w:val="1"/>
          <w:color w:val="auto"/>
        </w:rPr>
        <w:t xml:space="preserve"> </w:t>
      </w:r>
      <w:r>
        <w:rPr>
          <w:rFonts w:ascii="Arial" w:cs="Arial" w:eastAsia="Arial" w:hAnsi="Arial"/>
          <w:sz w:val="20"/>
          <w:szCs w:val="20"/>
          <w:color w:val="auto"/>
        </w:rPr>
        <w:t>– We define non-GAAP net income as net income (loss) attributable to Itron,</w:t>
      </w:r>
      <w:r>
        <w:rPr>
          <w:rFonts w:ascii="Arial" w:cs="Arial" w:eastAsia="Arial" w:hAnsi="Arial"/>
          <w:sz w:val="20"/>
          <w:szCs w:val="20"/>
          <w:i w:val="1"/>
          <w:iCs w:val="1"/>
          <w:color w:val="auto"/>
        </w:rPr>
        <w:t xml:space="preserve"> </w:t>
      </w:r>
      <w:r>
        <w:rPr>
          <w:rFonts w:ascii="Arial" w:cs="Arial" w:eastAsia="Arial" w:hAnsi="Arial"/>
          <w:sz w:val="20"/>
          <w:szCs w:val="20"/>
          <w:color w:val="auto"/>
        </w:rPr>
        <w:t>Inc. excluding the expenses associated with amortization of intangible assets, amortization of debt placement fees, restructuring, loss on sale of businesses, strategic initiative expenses, software project impairment, Russian currency translation write-off, goodwill impairment, acquisition and integration related expenses,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i w:val="1"/>
          <w:iCs w:val="1"/>
          <w:u w:val="single" w:color="auto"/>
          <w:color w:val="auto"/>
        </w:rPr>
        <w:t>Adjusted EBITDA</w:t>
      </w:r>
      <w:r>
        <w:rPr>
          <w:rFonts w:ascii="Arial" w:cs="Arial" w:eastAsia="Arial" w:hAnsi="Arial"/>
          <w:sz w:val="20"/>
          <w:szCs w:val="20"/>
          <w:i w:val="1"/>
          <w:iCs w:val="1"/>
          <w:color w:val="auto"/>
        </w:rPr>
        <w:t xml:space="preserve"> </w:t>
      </w:r>
      <w:r>
        <w:rPr>
          <w:rFonts w:ascii="Arial" w:cs="Arial" w:eastAsia="Arial" w:hAnsi="Arial"/>
          <w:sz w:val="20"/>
          <w:szCs w:val="20"/>
          <w:color w:val="auto"/>
        </w:rPr>
        <w:t>– We define adjusted EBITDA as net income (loss) (a) minus interest income, (b) plus interest expense,</w:t>
      </w:r>
      <w:r>
        <w:rPr>
          <w:rFonts w:ascii="Arial" w:cs="Arial" w:eastAsia="Arial" w:hAnsi="Arial"/>
          <w:sz w:val="20"/>
          <w:szCs w:val="20"/>
          <w:i w:val="1"/>
          <w:iCs w:val="1"/>
          <w:color w:val="auto"/>
        </w:rPr>
        <w:t xml:space="preserve"> </w:t>
      </w:r>
      <w:r>
        <w:rPr>
          <w:rFonts w:ascii="Arial" w:cs="Arial" w:eastAsia="Arial" w:hAnsi="Arial"/>
          <w:sz w:val="20"/>
          <w:szCs w:val="20"/>
          <w:color w:val="auto"/>
        </w:rPr>
        <w:t>depreciation and amortization, restructuring, loss on sale of businesses, strategic initiative expenses, software project impairment, Russian currency translation write-off, goodwill impairment,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20"/>
          <w:szCs w:val="20"/>
          <w:i w:val="1"/>
          <w:iCs w:val="1"/>
          <w:u w:val="single" w:color="auto"/>
          <w:color w:val="auto"/>
        </w:rPr>
        <w:t>Free cash flow</w:t>
      </w:r>
      <w:r>
        <w:rPr>
          <w:rFonts w:ascii="Arial" w:cs="Arial" w:eastAsia="Arial" w:hAnsi="Arial"/>
          <w:sz w:val="20"/>
          <w:szCs w:val="20"/>
          <w:i w:val="1"/>
          <w:iCs w:val="1"/>
          <w:color w:val="auto"/>
        </w:rPr>
        <w:t xml:space="preserve"> </w:t>
      </w:r>
      <w:r>
        <w:rPr>
          <w:rFonts w:ascii="Arial" w:cs="Arial" w:eastAsia="Arial" w:hAnsi="Arial"/>
          <w:sz w:val="20"/>
          <w:szCs w:val="20"/>
          <w:color w:val="auto"/>
        </w:rPr>
        <w:t>– We define free cash flow as net cash provided by operating activities less cash used for acquisitions of</w:t>
      </w:r>
      <w:r>
        <w:rPr>
          <w:rFonts w:ascii="Arial" w:cs="Arial" w:eastAsia="Arial" w:hAnsi="Arial"/>
          <w:sz w:val="20"/>
          <w:szCs w:val="20"/>
          <w:i w:val="1"/>
          <w:iCs w:val="1"/>
          <w:color w:val="auto"/>
        </w:rPr>
        <w:t xml:space="preserve"> </w:t>
      </w:r>
      <w:r>
        <w:rPr>
          <w:rFonts w:ascii="Arial" w:cs="Arial" w:eastAsia="Arial" w:hAnsi="Arial"/>
          <w:sz w:val="20"/>
          <w:szCs w:val="20"/>
          <w:color w:val="auto"/>
        </w:rPr>
        <w:t>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i w:val="1"/>
          <w:iCs w:val="1"/>
          <w:u w:val="single" w:color="auto"/>
          <w:color w:val="auto"/>
        </w:rPr>
        <w:t>Constant currency</w:t>
      </w:r>
      <w:r>
        <w:rPr>
          <w:rFonts w:ascii="Arial" w:cs="Arial" w:eastAsia="Arial" w:hAnsi="Arial"/>
          <w:sz w:val="20"/>
          <w:szCs w:val="20"/>
          <w:i w:val="1"/>
          <w:iCs w:val="1"/>
          <w:color w:val="auto"/>
        </w:rPr>
        <w:t xml:space="preserve"> </w:t>
      </w:r>
      <w:r>
        <w:rPr>
          <w:rFonts w:ascii="Arial" w:cs="Arial" w:eastAsia="Arial" w:hAnsi="Arial"/>
          <w:sz w:val="20"/>
          <w:szCs w:val="20"/>
          <w:color w:val="auto"/>
        </w:rPr>
        <w:t>– We refer to the impact of foreign currency exchange rate fluctuations in our discussions of financial results,</w:t>
      </w:r>
      <w:r>
        <w:rPr>
          <w:rFonts w:ascii="Arial" w:cs="Arial" w:eastAsia="Arial" w:hAnsi="Arial"/>
          <w:sz w:val="20"/>
          <w:szCs w:val="20"/>
          <w:i w:val="1"/>
          <w:iCs w:val="1"/>
          <w:color w:val="auto"/>
        </w:rPr>
        <w:t xml:space="preserve"> </w:t>
      </w:r>
      <w:r>
        <w:rPr>
          <w:rFonts w:ascii="Arial" w:cs="Arial" w:eastAsia="Arial" w:hAnsi="Arial"/>
          <w:sz w:val="20"/>
          <w:szCs w:val="20"/>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tables below reconcile the non-GAAP financial measures of operating expenses, operating income, net income, diluted EPS, adjusted EBITDA, and free cash flow with the most directly comparable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52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ITRON,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ind w:left="20"/>
              <w:spacing w:after="0"/>
              <w:rPr>
                <w:sz w:val="20"/>
                <w:szCs w:val="20"/>
                <w:color w:val="auto"/>
              </w:rPr>
            </w:pPr>
            <w:r>
              <w:rPr>
                <w:rFonts w:ascii="Arial" w:cs="Arial" w:eastAsia="Arial" w:hAnsi="Arial"/>
                <w:sz w:val="14"/>
                <w:szCs w:val="14"/>
                <w:color w:val="auto"/>
              </w:rPr>
              <w:t>(Unaudited, in thousands, except per share data)</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TOTAL COMPANY RECONCILIATIONS</w:t>
            </w:r>
          </w:p>
        </w:tc>
        <w:tc>
          <w:tcPr>
            <w:tcW w:w="320" w:type="dxa"/>
            <w:vAlign w:val="bottom"/>
          </w:tcPr>
          <w:p>
            <w:pPr>
              <w:spacing w:after="0"/>
              <w:rPr>
                <w:sz w:val="22"/>
                <w:szCs w:val="22"/>
                <w:color w:val="auto"/>
              </w:rPr>
            </w:pPr>
          </w:p>
        </w:tc>
        <w:tc>
          <w:tcPr>
            <w:tcW w:w="32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22"/>
                <w:szCs w:val="22"/>
                <w:color w:val="auto"/>
              </w:rPr>
            </w:pPr>
          </w:p>
        </w:tc>
        <w:tc>
          <w:tcPr>
            <w:tcW w:w="32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5"/>
        </w:trPr>
        <w:tc>
          <w:tcPr>
            <w:tcW w:w="416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4160" w:type="dxa"/>
            <w:vAlign w:val="bottom"/>
          </w:tcPr>
          <w:p>
            <w:pPr>
              <w:ind w:left="120"/>
              <w:spacing w:after="0"/>
              <w:rPr>
                <w:sz w:val="20"/>
                <w:szCs w:val="20"/>
                <w:color w:val="auto"/>
              </w:rPr>
            </w:pPr>
            <w:r>
              <w:rPr>
                <w:rFonts w:ascii="Arial" w:cs="Arial" w:eastAsia="Arial" w:hAnsi="Arial"/>
                <w:sz w:val="14"/>
                <w:szCs w:val="14"/>
                <w:b w:val="1"/>
                <w:bCs w:val="1"/>
                <w:color w:val="auto"/>
              </w:rPr>
              <w:t>NON-GAAP OPERATING EXPENSES</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280"/>
              <w:spacing w:after="0"/>
              <w:rPr>
                <w:sz w:val="20"/>
                <w:szCs w:val="20"/>
                <w:color w:val="auto"/>
              </w:rPr>
            </w:pPr>
            <w:r>
              <w:rPr>
                <w:rFonts w:ascii="Arial" w:cs="Arial" w:eastAsia="Arial" w:hAnsi="Arial"/>
                <w:sz w:val="14"/>
                <w:szCs w:val="14"/>
                <w:color w:val="auto"/>
              </w:rPr>
              <w:t>GAAP operating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147,120</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128,417</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585,041</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529,628</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(4,485)</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(18,918)</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(25,717)</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(7,121)</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(43,989)</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Loss on sale of businesses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(667)</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Strategic initiative</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Software project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(8,719)</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Russian currency translation write-off</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(38,480)</w:t>
            </w:r>
          </w:p>
        </w:tc>
        <w:tc>
          <w:tcPr>
            <w:tcW w:w="0" w:type="dxa"/>
            <w:vAlign w:val="bottom"/>
          </w:tcPr>
          <w:p>
            <w:pPr>
              <w:spacing w:after="0"/>
              <w:rPr>
                <w:sz w:val="1"/>
                <w:szCs w:val="1"/>
                <w:color w:val="auto"/>
              </w:rPr>
            </w:pPr>
          </w:p>
        </w:tc>
      </w:tr>
      <w:tr>
        <w:trPr>
          <w:trHeight w:val="207"/>
        </w:trPr>
        <w:tc>
          <w:tcPr>
            <w:tcW w:w="4160" w:type="dxa"/>
            <w:vAlign w:val="bottom"/>
          </w:tcPr>
          <w:p>
            <w:pPr>
              <w:ind w:left="500"/>
              <w:spacing w:after="0"/>
              <w:rPr>
                <w:sz w:val="20"/>
                <w:szCs w:val="20"/>
                <w:color w:val="auto"/>
              </w:rPr>
            </w:pPr>
            <w:r>
              <w:rPr>
                <w:rFonts w:ascii="Arial" w:cs="Arial" w:eastAsia="Arial" w:hAnsi="Arial"/>
                <w:sz w:val="14"/>
                <w:szCs w:val="14"/>
                <w:color w:val="auto"/>
              </w:rPr>
              <w:t>Acquisition and integration</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0"/>
        </w:trPr>
        <w:tc>
          <w:tcPr>
            <w:tcW w:w="4160" w:type="dxa"/>
            <w:vAlign w:val="bottom"/>
          </w:tcPr>
          <w:p>
            <w:pPr>
              <w:ind w:left="280"/>
              <w:spacing w:after="0"/>
              <w:rPr>
                <w:sz w:val="20"/>
                <w:szCs w:val="20"/>
                <w:color w:val="auto"/>
              </w:rPr>
            </w:pPr>
            <w:r>
              <w:rPr>
                <w:rFonts w:ascii="Arial" w:cs="Arial" w:eastAsia="Arial" w:hAnsi="Arial"/>
                <w:sz w:val="14"/>
                <w:szCs w:val="14"/>
                <w:color w:val="auto"/>
              </w:rPr>
              <w:t>Non-GAAP operating expenses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135,495</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115,501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521,328</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463,766</w:t>
            </w:r>
          </w:p>
        </w:tc>
        <w:tc>
          <w:tcPr>
            <w:tcW w:w="0" w:type="dxa"/>
            <w:vAlign w:val="bottom"/>
          </w:tcPr>
          <w:p>
            <w:pPr>
              <w:spacing w:after="0"/>
              <w:rPr>
                <w:sz w:val="1"/>
                <w:szCs w:val="1"/>
                <w:color w:val="auto"/>
              </w:rPr>
            </w:pPr>
          </w:p>
        </w:tc>
      </w:tr>
      <w:tr>
        <w:trPr>
          <w:trHeight w:val="21"/>
        </w:trPr>
        <w:tc>
          <w:tcPr>
            <w:tcW w:w="4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OPERATING INCOME</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160" w:type="dxa"/>
            <w:vAlign w:val="bottom"/>
          </w:tcPr>
          <w:p>
            <w:pPr>
              <w:ind w:left="280"/>
              <w:spacing w:after="0"/>
              <w:rPr>
                <w:sz w:val="20"/>
                <w:szCs w:val="20"/>
                <w:color w:val="auto"/>
              </w:rPr>
            </w:pPr>
            <w:r>
              <w:rPr>
                <w:rFonts w:ascii="Arial" w:cs="Arial" w:eastAsia="Arial" w:hAnsi="Arial"/>
                <w:sz w:val="14"/>
                <w:szCs w:val="14"/>
                <w:color w:val="auto"/>
              </w:rPr>
              <w:t>GAAP operating income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49,270</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12,381</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128,867</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4,485</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6,266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18,918</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25,717</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7,121</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43,989</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Loss on sale of businesses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667</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Strategic initiative</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Software project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8,719</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Russian currency translation write-off</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38,480</w:t>
            </w:r>
          </w:p>
        </w:tc>
        <w:tc>
          <w:tcPr>
            <w:tcW w:w="0" w:type="dxa"/>
            <w:vAlign w:val="bottom"/>
          </w:tcPr>
          <w:p>
            <w:pPr>
              <w:spacing w:after="0"/>
              <w:rPr>
                <w:sz w:val="1"/>
                <w:szCs w:val="1"/>
                <w:color w:val="auto"/>
              </w:rPr>
            </w:pPr>
          </w:p>
        </w:tc>
      </w:tr>
      <w:tr>
        <w:trPr>
          <w:trHeight w:val="207"/>
        </w:trPr>
        <w:tc>
          <w:tcPr>
            <w:tcW w:w="4160" w:type="dxa"/>
            <w:vAlign w:val="bottom"/>
          </w:tcPr>
          <w:p>
            <w:pPr>
              <w:ind w:left="500"/>
              <w:spacing w:after="0"/>
              <w:rPr>
                <w:sz w:val="20"/>
                <w:szCs w:val="20"/>
                <w:color w:val="auto"/>
              </w:rPr>
            </w:pPr>
            <w:r>
              <w:rPr>
                <w:rFonts w:ascii="Arial" w:cs="Arial" w:eastAsia="Arial" w:hAnsi="Arial"/>
                <w:sz w:val="14"/>
                <w:szCs w:val="14"/>
                <w:color w:val="auto"/>
              </w:rPr>
              <w:t>Acquisition and integration</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0"/>
        </w:trPr>
        <w:tc>
          <w:tcPr>
            <w:tcW w:w="4160" w:type="dxa"/>
            <w:vAlign w:val="bottom"/>
          </w:tcPr>
          <w:p>
            <w:pPr>
              <w:ind w:left="280"/>
              <w:spacing w:after="0"/>
              <w:rPr>
                <w:sz w:val="20"/>
                <w:szCs w:val="20"/>
                <w:color w:val="auto"/>
              </w:rPr>
            </w:pPr>
            <w:r>
              <w:rPr>
                <w:rFonts w:ascii="Arial" w:cs="Arial" w:eastAsia="Arial" w:hAnsi="Arial"/>
                <w:sz w:val="14"/>
                <w:szCs w:val="14"/>
                <w:color w:val="auto"/>
              </w:rPr>
              <w:t>Non-GAAP operating income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60,895</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192,580</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58,423</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NON-GAAP NET INCOME &amp; DILUTED EPS</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16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80"/>
              <w:spacing w:after="0"/>
              <w:rPr>
                <w:sz w:val="20"/>
                <w:szCs w:val="20"/>
                <w:color w:val="auto"/>
              </w:rPr>
            </w:pPr>
            <w:r>
              <w:rPr>
                <w:rFonts w:ascii="Arial" w:cs="Arial" w:eastAsia="Arial" w:hAnsi="Arial"/>
                <w:sz w:val="14"/>
                <w:szCs w:val="14"/>
                <w:color w:val="auto"/>
              </w:rPr>
              <w:t>GAAP net income (loss) attributable to Itron, Inc.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44,386</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22,212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96,923</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(9,732)</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Amortization of intangible assets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4,485</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6,266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18,918</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25,717</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Amortization of debt placement fees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860</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3,489</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7,121</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43,989</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Loss on sale of businesses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667</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Strategic initiative</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Software project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8,719</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Russian currency translation write-off</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38,480</w:t>
            </w:r>
          </w:p>
        </w:tc>
        <w:tc>
          <w:tcPr>
            <w:tcW w:w="0" w:type="dxa"/>
            <w:vAlign w:val="bottom"/>
          </w:tcPr>
          <w:p>
            <w:pPr>
              <w:spacing w:after="0"/>
              <w:rPr>
                <w:sz w:val="1"/>
                <w:szCs w:val="1"/>
                <w:color w:val="auto"/>
              </w:rPr>
            </w:pPr>
          </w:p>
        </w:tc>
      </w:tr>
      <w:tr>
        <w:trPr>
          <w:trHeight w:val="203"/>
        </w:trPr>
        <w:tc>
          <w:tcPr>
            <w:tcW w:w="4160" w:type="dxa"/>
            <w:vAlign w:val="bottom"/>
          </w:tcPr>
          <w:p>
            <w:pPr>
              <w:ind w:left="500"/>
              <w:spacing w:after="0"/>
              <w:rPr>
                <w:sz w:val="20"/>
                <w:szCs w:val="20"/>
                <w:color w:val="auto"/>
              </w:rPr>
            </w:pPr>
            <w:r>
              <w:rPr>
                <w:rFonts w:ascii="Arial" w:cs="Arial" w:eastAsia="Arial" w:hAnsi="Arial"/>
                <w:sz w:val="14"/>
                <w:szCs w:val="14"/>
                <w:color w:val="auto"/>
              </w:rPr>
              <w:t>Acquisition and integration</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144</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6"/>
        </w:trPr>
        <w:tc>
          <w:tcPr>
            <w:tcW w:w="4160" w:type="dxa"/>
            <w:vAlign w:val="bottom"/>
          </w:tcPr>
          <w:p>
            <w:pPr>
              <w:ind w:left="500"/>
              <w:spacing w:after="0"/>
              <w:rPr>
                <w:sz w:val="20"/>
                <w:szCs w:val="20"/>
                <w:color w:val="auto"/>
              </w:rPr>
            </w:pPr>
            <w:r>
              <w:rPr>
                <w:rFonts w:ascii="Arial" w:cs="Arial" w:eastAsia="Arial" w:hAnsi="Arial"/>
                <w:sz w:val="14"/>
                <w:szCs w:val="14"/>
                <w:color w:val="auto"/>
              </w:rPr>
              <w:t>Income tax effect of non-GAAP adjustments</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(10,339)</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(8,466)</w:t>
            </w:r>
          </w:p>
        </w:tc>
        <w:tc>
          <w:tcPr>
            <w:tcW w:w="0" w:type="dxa"/>
            <w:vAlign w:val="bottom"/>
          </w:tcPr>
          <w:p>
            <w:pPr>
              <w:spacing w:after="0"/>
              <w:rPr>
                <w:sz w:val="1"/>
                <w:szCs w:val="1"/>
                <w:color w:val="auto"/>
              </w:rPr>
            </w:pPr>
          </w:p>
        </w:tc>
      </w:tr>
      <w:tr>
        <w:trPr>
          <w:trHeight w:val="200"/>
        </w:trPr>
        <w:tc>
          <w:tcPr>
            <w:tcW w:w="4160" w:type="dxa"/>
            <w:vAlign w:val="bottom"/>
          </w:tcPr>
          <w:p>
            <w:pPr>
              <w:ind w:left="280"/>
              <w:spacing w:after="0"/>
              <w:rPr>
                <w:sz w:val="20"/>
                <w:szCs w:val="20"/>
                <w:color w:val="auto"/>
              </w:rPr>
            </w:pPr>
            <w:r>
              <w:rPr>
                <w:rFonts w:ascii="Arial" w:cs="Arial" w:eastAsia="Arial" w:hAnsi="Arial"/>
                <w:sz w:val="14"/>
                <w:szCs w:val="14"/>
                <w:color w:val="auto"/>
              </w:rPr>
              <w:t>Non-GAAP net income attributable to Itron, Inc.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56,688</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32,170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153,786</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50,987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80"/>
              <w:spacing w:after="0"/>
              <w:rPr>
                <w:sz w:val="20"/>
                <w:szCs w:val="20"/>
                <w:color w:val="auto"/>
              </w:rPr>
            </w:pPr>
            <w:r>
              <w:rPr>
                <w:rFonts w:ascii="Arial" w:cs="Arial" w:eastAsia="Arial" w:hAnsi="Arial"/>
                <w:sz w:val="14"/>
                <w:szCs w:val="14"/>
                <w:color w:val="auto"/>
              </w:rPr>
              <w:t>Non-GAAP diluted EPS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80"/>
              <w:spacing w:after="0"/>
              <w:rPr>
                <w:sz w:val="20"/>
                <w:szCs w:val="20"/>
                <w:color w:val="auto"/>
              </w:rPr>
            </w:pPr>
            <w:r>
              <w:rPr>
                <w:rFonts w:ascii="Arial" w:cs="Arial" w:eastAsia="Arial" w:hAnsi="Arial"/>
                <w:sz w:val="14"/>
                <w:szCs w:val="14"/>
                <w:color w:val="auto"/>
              </w:rPr>
              <w:t>Non-GAAP weighted average common shares outstanding -</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4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46,039</w:t>
            </w:r>
          </w:p>
        </w:tc>
        <w:tc>
          <w:tcPr>
            <w:tcW w:w="420" w:type="dxa"/>
            <w:vAlign w:val="bottom"/>
          </w:tcPr>
          <w:p>
            <w:pPr>
              <w:spacing w:after="0"/>
              <w:rPr>
                <w:sz w:val="15"/>
                <w:szCs w:val="15"/>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45,419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45,836</w:t>
            </w:r>
          </w:p>
        </w:tc>
        <w:tc>
          <w:tcPr>
            <w:tcW w:w="4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45,305</w:t>
            </w:r>
          </w:p>
        </w:tc>
        <w:tc>
          <w:tcPr>
            <w:tcW w:w="0" w:type="dxa"/>
            <w:vAlign w:val="bottom"/>
          </w:tcPr>
          <w:p>
            <w:pPr>
              <w:spacing w:after="0"/>
              <w:rPr>
                <w:sz w:val="1"/>
                <w:szCs w:val="1"/>
                <w:color w:val="auto"/>
              </w:rPr>
            </w:pPr>
          </w:p>
        </w:tc>
      </w:tr>
      <w:tr>
        <w:trPr>
          <w:trHeight w:val="158"/>
        </w:trPr>
        <w:tc>
          <w:tcPr>
            <w:tcW w:w="4160" w:type="dxa"/>
            <w:vAlign w:val="bottom"/>
          </w:tcPr>
          <w:p>
            <w:pPr>
              <w:ind w:left="280"/>
              <w:spacing w:after="0" w:line="158" w:lineRule="exact"/>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240"/>
          </w:cols>
          <w:pgMar w:left="320" w:top="576"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96"/>
        </w:trPr>
        <w:tc>
          <w:tcPr>
            <w:tcW w:w="4140" w:type="dxa"/>
            <w:vAlign w:val="bottom"/>
          </w:tcPr>
          <w:p>
            <w:pPr>
              <w:spacing w:after="0"/>
              <w:rPr>
                <w:sz w:val="20"/>
                <w:szCs w:val="20"/>
                <w:color w:val="auto"/>
              </w:rPr>
            </w:pPr>
            <w:r>
              <w:rPr>
                <w:rFonts w:ascii="Arial" w:cs="Arial" w:eastAsia="Arial" w:hAnsi="Arial"/>
                <w:sz w:val="14"/>
                <w:szCs w:val="14"/>
                <w:b w:val="1"/>
                <w:bCs w:val="1"/>
                <w:color w:val="auto"/>
              </w:rPr>
              <w:t>TOTAL COMPANY RECONCILIATIONS</w:t>
            </w:r>
          </w:p>
        </w:tc>
        <w:tc>
          <w:tcPr>
            <w:tcW w:w="320" w:type="dxa"/>
            <w:vAlign w:val="bottom"/>
          </w:tcPr>
          <w:p>
            <w:pPr>
              <w:spacing w:after="0"/>
              <w:rPr>
                <w:sz w:val="17"/>
                <w:szCs w:val="17"/>
                <w:color w:val="auto"/>
              </w:rPr>
            </w:pPr>
          </w:p>
        </w:tc>
        <w:tc>
          <w:tcPr>
            <w:tcW w:w="32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7"/>
                <w:szCs w:val="17"/>
                <w:color w:val="auto"/>
              </w:rPr>
            </w:pPr>
          </w:p>
        </w:tc>
        <w:tc>
          <w:tcPr>
            <w:tcW w:w="32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3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4140" w:type="dxa"/>
            <w:vAlign w:val="bottom"/>
          </w:tcPr>
          <w:p>
            <w:pPr>
              <w:ind w:left="100"/>
              <w:spacing w:after="0"/>
              <w:rPr>
                <w:sz w:val="20"/>
                <w:szCs w:val="20"/>
                <w:color w:val="auto"/>
              </w:rPr>
            </w:pPr>
            <w:r>
              <w:rPr>
                <w:rFonts w:ascii="Arial" w:cs="Arial" w:eastAsia="Arial" w:hAnsi="Arial"/>
                <w:sz w:val="14"/>
                <w:szCs w:val="14"/>
                <w:b w:val="1"/>
                <w:bCs w:val="1"/>
                <w:color w:val="auto"/>
              </w:rPr>
              <w:t>ADJUSTED EBITDA</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60"/>
              <w:spacing w:after="0"/>
              <w:rPr>
                <w:sz w:val="20"/>
                <w:szCs w:val="20"/>
                <w:color w:val="auto"/>
              </w:rPr>
            </w:pPr>
            <w:r>
              <w:rPr>
                <w:rFonts w:ascii="Arial" w:cs="Arial" w:eastAsia="Arial" w:hAnsi="Arial"/>
                <w:sz w:val="14"/>
                <w:szCs w:val="14"/>
                <w:color w:val="auto"/>
              </w:rPr>
              <w:t>GAAP net income (loss) attributable to Itron, Inc.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44,386</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22,212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96,923</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(9,732)</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(3,346)</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(9,314)</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(2,633)</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1,870</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8,349</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6,724</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Income tax (benefit) provision</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4,555</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29,068</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(6,196)</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13,750</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16,151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55,763</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66,763</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Restructuring</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7,121</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43,989</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Loss on sale of businesses</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667</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Strategic initiative</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Software project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8,719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8,719</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Russian currency translation write-off</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3"/>
        </w:trPr>
        <w:tc>
          <w:tcPr>
            <w:tcW w:w="4140" w:type="dxa"/>
            <w:vAlign w:val="bottom"/>
          </w:tcPr>
          <w:p>
            <w:pPr>
              <w:ind w:left="480"/>
              <w:spacing w:after="0"/>
              <w:rPr>
                <w:sz w:val="20"/>
                <w:szCs w:val="20"/>
                <w:color w:val="auto"/>
              </w:rPr>
            </w:pPr>
            <w:r>
              <w:rPr>
                <w:rFonts w:ascii="Arial" w:cs="Arial" w:eastAsia="Arial" w:hAnsi="Arial"/>
                <w:sz w:val="14"/>
                <w:szCs w:val="14"/>
                <w:color w:val="auto"/>
              </w:rPr>
              <w:t>Goodwill impairment</w:t>
            </w: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38,480</w:t>
            </w:r>
          </w:p>
        </w:tc>
        <w:tc>
          <w:tcPr>
            <w:tcW w:w="0" w:type="dxa"/>
            <w:vAlign w:val="bottom"/>
          </w:tcPr>
          <w:p>
            <w:pPr>
              <w:spacing w:after="0"/>
              <w:rPr>
                <w:sz w:val="1"/>
                <w:szCs w:val="1"/>
                <w:color w:val="auto"/>
              </w:rPr>
            </w:pPr>
          </w:p>
        </w:tc>
      </w:tr>
      <w:tr>
        <w:trPr>
          <w:trHeight w:val="207"/>
        </w:trPr>
        <w:tc>
          <w:tcPr>
            <w:tcW w:w="4140" w:type="dxa"/>
            <w:vAlign w:val="bottom"/>
          </w:tcPr>
          <w:p>
            <w:pPr>
              <w:ind w:left="480"/>
              <w:spacing w:after="0"/>
              <w:rPr>
                <w:sz w:val="20"/>
                <w:szCs w:val="20"/>
                <w:color w:val="auto"/>
              </w:rPr>
            </w:pPr>
            <w:r>
              <w:rPr>
                <w:rFonts w:ascii="Arial" w:cs="Arial" w:eastAsia="Arial" w:hAnsi="Arial"/>
                <w:sz w:val="14"/>
                <w:szCs w:val="14"/>
                <w:color w:val="auto"/>
              </w:rPr>
              <w:t>Acquisition and integration</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0"/>
        </w:trPr>
        <w:tc>
          <w:tcPr>
            <w:tcW w:w="4140" w:type="dxa"/>
            <w:vAlign w:val="bottom"/>
          </w:tcPr>
          <w:p>
            <w:pPr>
              <w:ind w:left="26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68,355</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34,371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225,584</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95,071</w:t>
            </w:r>
          </w:p>
        </w:tc>
        <w:tc>
          <w:tcPr>
            <w:tcW w:w="0" w:type="dxa"/>
            <w:vAlign w:val="bottom"/>
          </w:tcPr>
          <w:p>
            <w:pPr>
              <w:spacing w:after="0"/>
              <w:rPr>
                <w:sz w:val="1"/>
                <w:szCs w:val="1"/>
                <w:color w:val="auto"/>
              </w:rPr>
            </w:pPr>
          </w:p>
        </w:tc>
      </w:tr>
      <w:tr>
        <w:trPr>
          <w:trHeight w:val="21"/>
        </w:trPr>
        <w:tc>
          <w:tcPr>
            <w:tcW w:w="41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1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140" w:type="dxa"/>
            <w:vAlign w:val="bottom"/>
          </w:tcPr>
          <w:p>
            <w:pPr>
              <w:ind w:left="260"/>
              <w:spacing w:after="0"/>
              <w:rPr>
                <w:sz w:val="20"/>
                <w:szCs w:val="20"/>
                <w:color w:val="auto"/>
              </w:rPr>
            </w:pPr>
            <w:r>
              <w:rPr>
                <w:rFonts w:ascii="Arial" w:cs="Arial" w:eastAsia="Arial" w:hAnsi="Arial"/>
                <w:sz w:val="14"/>
                <w:szCs w:val="14"/>
                <w:color w:val="auto"/>
              </w:rPr>
              <w:t>Net cash (used in) provided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47,895</w:t>
            </w: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(13,030)</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124,971</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24,500</w:t>
            </w:r>
          </w:p>
        </w:tc>
        <w:tc>
          <w:tcPr>
            <w:tcW w:w="0" w:type="dxa"/>
            <w:vAlign w:val="bottom"/>
          </w:tcPr>
          <w:p>
            <w:pPr>
              <w:spacing w:after="0"/>
              <w:rPr>
                <w:sz w:val="1"/>
                <w:szCs w:val="1"/>
                <w:color w:val="auto"/>
              </w:rPr>
            </w:pPr>
          </w:p>
        </w:tc>
      </w:tr>
      <w:tr>
        <w:trPr>
          <w:trHeight w:val="207"/>
        </w:trPr>
        <w:tc>
          <w:tcPr>
            <w:tcW w:w="4140" w:type="dxa"/>
            <w:vAlign w:val="bottom"/>
          </w:tcPr>
          <w:p>
            <w:pPr>
              <w:ind w:left="480"/>
              <w:spacing w:after="0"/>
              <w:rPr>
                <w:sz w:val="20"/>
                <w:szCs w:val="20"/>
                <w:color w:val="auto"/>
              </w:rPr>
            </w:pPr>
            <w:r>
              <w:rPr>
                <w:rFonts w:ascii="Arial" w:cs="Arial" w:eastAsia="Arial" w:hAnsi="Arial"/>
                <w:sz w:val="14"/>
                <w:szCs w:val="14"/>
                <w:color w:val="auto"/>
              </w:rPr>
              <w:t>Acquisitions of property, plant, and equipment</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(8,580)</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(26,884)</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(19,747)</w:t>
            </w:r>
          </w:p>
        </w:tc>
        <w:tc>
          <w:tcPr>
            <w:tcW w:w="0" w:type="dxa"/>
            <w:vAlign w:val="bottom"/>
          </w:tcPr>
          <w:p>
            <w:pPr>
              <w:spacing w:after="0"/>
              <w:rPr>
                <w:sz w:val="1"/>
                <w:szCs w:val="1"/>
                <w:color w:val="auto"/>
              </w:rPr>
            </w:pPr>
          </w:p>
        </w:tc>
      </w:tr>
      <w:tr>
        <w:trPr>
          <w:trHeight w:val="200"/>
        </w:trPr>
        <w:tc>
          <w:tcPr>
            <w:tcW w:w="4140" w:type="dxa"/>
            <w:vAlign w:val="bottom"/>
          </w:tcPr>
          <w:p>
            <w:pPr>
              <w:ind w:left="260"/>
              <w:spacing w:after="0"/>
              <w:rPr>
                <w:sz w:val="20"/>
                <w:szCs w:val="20"/>
                <w:color w:val="auto"/>
              </w:rPr>
            </w:pPr>
            <w:r>
              <w:rPr>
                <w:rFonts w:ascii="Arial" w:cs="Arial" w:eastAsia="Arial" w:hAnsi="Arial"/>
                <w:sz w:val="14"/>
                <w:szCs w:val="14"/>
                <w:color w:val="auto"/>
              </w:rPr>
              <w:t>Free Cash Flow</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39,315</w:t>
            </w: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98,087</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4,753</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737"/>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2024-02-26T07:43:06Z</dcterms:created>
  <dcterms:modified xsi:type="dcterms:W3CDTF">2024-02-26T07:43:06Z</dcterms:modified>
</cp:coreProperties>
</file>