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Drury Scott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2111 N. MOLTER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LIBERTY LAKE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99019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ITRON, INC.</w:t>
              </w:r>
            </w:hyperlink>
            <w:r>
              <w:rPr/>
              <w:t xml:space="preserve"> [ </w:t>
            </w:r>
            <w:r>
              <w:rPr>
                <w:rFonts w:ascii="Times;serif" w:hAnsi="Times;serif"/>
                <w:color w:val="0000FF"/>
                <w:sz w:val="24"/>
                <w:shd w:fill="FFFFFF" w:val="clear"/>
              </w:rPr>
              <w:t>ITRI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608</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2,952</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grant of common stock independent members of Itron's board of directors receive quarterly as part of their annual compensation for board service. Mr. Drury deferred receipt of these shares pursuant to Itron's Executive Deferred Compensation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E. Ware,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8601" TargetMode="External"/><Relationship Id="rId5" Type="http://schemas.openxmlformats.org/officeDocument/2006/relationships/hyperlink" Target="http://www.sec.gov/cgi-bin/browse-edgar?action=getcompany&amp;CIK=00007805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3265</Characters>
  <CharactersWithSpaces>3799</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