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2522220</wp:posOffset>
            </wp:positionH>
            <wp:positionV relativeFrom="paragraph">
              <wp:posOffset>274955</wp:posOffset>
            </wp:positionV>
            <wp:extent cx="221234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123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00" w:lineRule="exact"/>
        <w:rPr>
          <w:sz w:val="24"/>
          <w:szCs w:val="24"/>
          <w:color w:val="auto"/>
        </w:rPr>
      </w:pP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April 25,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26035</wp:posOffset>
            </wp:positionV>
            <wp:extent cx="21780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ITRON,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1823085</wp:posOffset>
            </wp:positionH>
            <wp:positionV relativeFrom="paragraph">
              <wp:posOffset>19685</wp:posOffset>
            </wp:positionV>
            <wp:extent cx="36188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440" w:type="dxa"/>
            <w:vAlign w:val="bottom"/>
          </w:tcPr>
          <w:p>
            <w:pPr>
              <w:jc w:val="center"/>
              <w:spacing w:after="0"/>
              <w:rPr>
                <w:sz w:val="20"/>
                <w:szCs w:val="20"/>
                <w:color w:val="auto"/>
              </w:rPr>
            </w:pPr>
            <w:r>
              <w:rPr>
                <w:rFonts w:ascii="Arial" w:cs="Arial" w:eastAsia="Arial" w:hAnsi="Arial"/>
                <w:sz w:val="18"/>
                <w:szCs w:val="18"/>
                <w:b w:val="1"/>
                <w:bCs w:val="1"/>
                <w:color w:val="auto"/>
                <w:w w:val="89"/>
              </w:rPr>
              <w:t>Washington</w:t>
            </w:r>
          </w:p>
        </w:tc>
        <w:tc>
          <w:tcPr>
            <w:tcW w:w="4000" w:type="dxa"/>
            <w:vAlign w:val="bottom"/>
            <w:gridSpan w:val="2"/>
          </w:tcPr>
          <w:p>
            <w:pPr>
              <w:jc w:val="center"/>
              <w:ind w:left="490"/>
              <w:spacing w:after="0"/>
              <w:rPr>
                <w:sz w:val="20"/>
                <w:szCs w:val="20"/>
                <w:color w:val="auto"/>
              </w:rPr>
            </w:pPr>
            <w:r>
              <w:rPr>
                <w:rFonts w:ascii="Arial" w:cs="Arial" w:eastAsia="Arial" w:hAnsi="Arial"/>
                <w:sz w:val="18"/>
                <w:szCs w:val="18"/>
                <w:b w:val="1"/>
                <w:bCs w:val="1"/>
                <w:color w:val="auto"/>
                <w:w w:val="90"/>
              </w:rPr>
              <w:t>000-22418</w:t>
            </w:r>
          </w:p>
        </w:tc>
        <w:tc>
          <w:tcPr>
            <w:tcW w:w="56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89"/>
              </w:rPr>
              <w:t>91-1011792</w:t>
            </w:r>
          </w:p>
        </w:tc>
      </w:tr>
      <w:tr>
        <w:trPr>
          <w:trHeight w:val="215"/>
        </w:trPr>
        <w:tc>
          <w:tcPr>
            <w:tcW w:w="3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(State or Other Jurisdiction</w:t>
            </w:r>
          </w:p>
        </w:tc>
        <w:tc>
          <w:tcPr>
            <w:tcW w:w="580" w:type="dxa"/>
            <w:vAlign w:val="bottom"/>
          </w:tcPr>
          <w:p>
            <w:pPr>
              <w:spacing w:after="0"/>
              <w:rPr>
                <w:sz w:val="18"/>
                <w:szCs w:val="18"/>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(Commission File No.)</w:t>
            </w:r>
          </w:p>
        </w:tc>
        <w:tc>
          <w:tcPr>
            <w:tcW w:w="560" w:type="dxa"/>
            <w:vAlign w:val="bottom"/>
          </w:tcPr>
          <w:p>
            <w:pPr>
              <w:spacing w:after="0"/>
              <w:rPr>
                <w:sz w:val="18"/>
                <w:szCs w:val="18"/>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(IRS Employer</w:t>
            </w:r>
          </w:p>
        </w:tc>
      </w:tr>
      <w:tr>
        <w:trPr>
          <w:trHeight w:val="230"/>
        </w:trPr>
        <w:tc>
          <w:tcPr>
            <w:tcW w:w="3440" w:type="dxa"/>
            <w:vAlign w:val="bottom"/>
          </w:tcPr>
          <w:p>
            <w:pPr>
              <w:jc w:val="center"/>
              <w:spacing w:after="0"/>
              <w:rPr>
                <w:sz w:val="20"/>
                <w:szCs w:val="20"/>
                <w:color w:val="auto"/>
              </w:rPr>
            </w:pPr>
            <w:r>
              <w:rPr>
                <w:rFonts w:ascii="Arial" w:cs="Arial" w:eastAsia="Arial" w:hAnsi="Arial"/>
                <w:sz w:val="18"/>
                <w:szCs w:val="18"/>
                <w:color w:val="auto"/>
                <w:w w:val="94"/>
              </w:rPr>
              <w:t>of Incorporation)</w:t>
            </w:r>
          </w:p>
        </w:tc>
        <w:tc>
          <w:tcPr>
            <w:tcW w:w="58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66"/>
        </w:trPr>
        <w:tc>
          <w:tcPr>
            <w:tcW w:w="344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b w:val="1"/>
                <w:bCs w:val="1"/>
                <w:color w:val="auto"/>
                <w:w w:val="93"/>
              </w:rPr>
              <w:t>2111 N. Molter Road, Liberty Lake, WA 99019</w:t>
            </w:r>
          </w:p>
        </w:tc>
        <w:tc>
          <w:tcPr>
            <w:tcW w:w="3420" w:type="dxa"/>
            <w:vAlign w:val="bottom"/>
            <w:tcBorders>
              <w:bottom w:val="single" w:sz="8" w:color="auto"/>
            </w:tcBorders>
          </w:tcPr>
          <w:p>
            <w:pPr>
              <w:spacing w:after="0"/>
              <w:rPr>
                <w:sz w:val="24"/>
                <w:szCs w:val="24"/>
                <w:color w:val="auto"/>
              </w:rPr>
            </w:pPr>
          </w:p>
        </w:tc>
      </w:tr>
      <w:tr>
        <w:trPr>
          <w:trHeight w:val="230"/>
        </w:trPr>
        <w:tc>
          <w:tcPr>
            <w:tcW w:w="3440" w:type="dxa"/>
            <w:vAlign w:val="bottom"/>
          </w:tcPr>
          <w:p>
            <w:pPr>
              <w:spacing w:after="0"/>
              <w:rPr>
                <w:sz w:val="20"/>
                <w:szCs w:val="20"/>
                <w:color w:val="auto"/>
              </w:rPr>
            </w:pPr>
          </w:p>
        </w:tc>
        <w:tc>
          <w:tcPr>
            <w:tcW w:w="4560" w:type="dxa"/>
            <w:vAlign w:val="bottom"/>
            <w:gridSpan w:val="3"/>
          </w:tcPr>
          <w:p>
            <w:pPr>
              <w:jc w:val="center"/>
              <w:ind w:right="20"/>
              <w:spacing w:after="0"/>
              <w:rPr>
                <w:sz w:val="20"/>
                <w:szCs w:val="20"/>
                <w:color w:val="auto"/>
              </w:rPr>
            </w:pPr>
            <w:r>
              <w:rPr>
                <w:rFonts w:ascii="Arial" w:cs="Arial" w:eastAsia="Arial" w:hAnsi="Arial"/>
                <w:sz w:val="18"/>
                <w:szCs w:val="18"/>
                <w:color w:val="auto"/>
                <w:w w:val="92"/>
              </w:rPr>
              <w:t>(Address of Principal Executive Offices, Zip Code)</w:t>
            </w:r>
          </w:p>
        </w:tc>
        <w:tc>
          <w:tcPr>
            <w:tcW w:w="3420" w:type="dxa"/>
            <w:vAlign w:val="bottom"/>
          </w:tcPr>
          <w:p>
            <w:pPr>
              <w:spacing w:after="0"/>
              <w:rPr>
                <w:sz w:val="20"/>
                <w:szCs w:val="20"/>
                <w:color w:val="auto"/>
              </w:rPr>
            </w:pPr>
          </w:p>
        </w:tc>
      </w:tr>
      <w:tr>
        <w:trPr>
          <w:trHeight w:val="465"/>
        </w:trPr>
        <w:tc>
          <w:tcPr>
            <w:tcW w:w="344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gridSpan w:val="2"/>
          </w:tcPr>
          <w:p>
            <w:pPr>
              <w:jc w:val="center"/>
              <w:ind w:left="470"/>
              <w:spacing w:after="0"/>
              <w:rPr>
                <w:sz w:val="20"/>
                <w:szCs w:val="20"/>
                <w:color w:val="auto"/>
              </w:rPr>
            </w:pPr>
            <w:r>
              <w:rPr>
                <w:rFonts w:ascii="Arial" w:cs="Arial" w:eastAsia="Arial" w:hAnsi="Arial"/>
                <w:sz w:val="18"/>
                <w:szCs w:val="18"/>
                <w:b w:val="1"/>
                <w:bCs w:val="1"/>
                <w:color w:val="auto"/>
                <w:w w:val="90"/>
              </w:rPr>
              <w:t>(509) 924-9900</w:t>
            </w:r>
          </w:p>
        </w:tc>
        <w:tc>
          <w:tcPr>
            <w:tcW w:w="56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r>
      <w:tr>
        <w:trPr>
          <w:trHeight w:val="230"/>
        </w:trPr>
        <w:tc>
          <w:tcPr>
            <w:tcW w:w="3440" w:type="dxa"/>
            <w:vAlign w:val="bottom"/>
          </w:tcPr>
          <w:p>
            <w:pPr>
              <w:spacing w:after="0"/>
              <w:rPr>
                <w:sz w:val="20"/>
                <w:szCs w:val="20"/>
                <w:color w:val="auto"/>
              </w:rPr>
            </w:pPr>
          </w:p>
        </w:tc>
        <w:tc>
          <w:tcPr>
            <w:tcW w:w="4560" w:type="dxa"/>
            <w:vAlign w:val="bottom"/>
            <w:gridSpan w:val="3"/>
          </w:tcPr>
          <w:p>
            <w:pPr>
              <w:jc w:val="center"/>
              <w:ind w:right="40"/>
              <w:spacing w:after="0"/>
              <w:rPr>
                <w:sz w:val="20"/>
                <w:szCs w:val="20"/>
                <w:color w:val="auto"/>
              </w:rPr>
            </w:pPr>
            <w:r>
              <w:rPr>
                <w:rFonts w:ascii="Arial" w:cs="Arial" w:eastAsia="Arial" w:hAnsi="Arial"/>
                <w:sz w:val="18"/>
                <w:szCs w:val="18"/>
                <w:color w:val="auto"/>
                <w:w w:val="91"/>
              </w:rPr>
              <w:t>(Registrant’s Telephone Number, Including Area Code)</w:t>
            </w:r>
          </w:p>
        </w:tc>
        <w:tc>
          <w:tcPr>
            <w:tcW w:w="342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9"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596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 w:name="page2"/>
    <w:bookmarkEnd w:id="1"/>
    <w:p>
      <w:pPr>
        <w:spacing w:after="0"/>
        <w:tabs>
          <w:tab w:leader="none" w:pos="1440" w:val="left"/>
        </w:tabs>
        <w:rPr>
          <w:sz w:val="20"/>
          <w:szCs w:val="20"/>
          <w:color w:val="auto"/>
        </w:rPr>
      </w:pPr>
      <w:r>
        <w:rPr>
          <w:rFonts w:ascii="Arial" w:cs="Arial" w:eastAsia="Arial" w:hAnsi="Arial"/>
          <w:sz w:val="22"/>
          <w:szCs w:val="22"/>
          <w:b w:val="1"/>
          <w:bCs w:val="1"/>
          <w:color w:val="auto"/>
        </w:rPr>
        <w:t>Item 2.02</w:t>
      </w:r>
      <w:r>
        <w:rPr>
          <w:sz w:val="20"/>
          <w:szCs w:val="20"/>
          <w:color w:val="auto"/>
        </w:rPr>
        <w:tab/>
      </w:r>
      <w:r>
        <w:rPr>
          <w:rFonts w:ascii="Arial" w:cs="Arial" w:eastAsia="Arial" w:hAnsi="Arial"/>
          <w:sz w:val="19"/>
          <w:szCs w:val="19"/>
          <w:b w:val="1"/>
          <w:bCs w:val="1"/>
          <w:color w:val="auto"/>
        </w:rPr>
        <w:t>Results of Operations and Financial Condition.</w:t>
      </w:r>
    </w:p>
    <w:p>
      <w:pPr>
        <w:spacing w:after="0" w:line="233" w:lineRule="exact"/>
        <w:rPr>
          <w:sz w:val="20"/>
          <w:szCs w:val="20"/>
          <w:color w:val="auto"/>
        </w:rPr>
      </w:pPr>
    </w:p>
    <w:p>
      <w:pPr>
        <w:ind w:left="1380" w:right="60"/>
        <w:spacing w:after="0" w:line="277" w:lineRule="auto"/>
        <w:rPr>
          <w:sz w:val="20"/>
          <w:szCs w:val="20"/>
          <w:color w:val="auto"/>
        </w:rPr>
      </w:pPr>
      <w:r>
        <w:rPr>
          <w:rFonts w:ascii="Arial" w:cs="Arial" w:eastAsia="Arial" w:hAnsi="Arial"/>
          <w:sz w:val="18"/>
          <w:szCs w:val="18"/>
          <w:color w:val="auto"/>
        </w:rPr>
        <w:t>On April 25, 2012, Itron, Inc. (the Company) issued a press release announcing its financial results for the three months ended March 31, 2012.</w:t>
      </w:r>
    </w:p>
    <w:p>
      <w:pPr>
        <w:spacing w:after="0" w:line="224"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A copy of this press release and accompanying financial statements are attached as Exhibit 99.1.</w:t>
      </w:r>
    </w:p>
    <w:p>
      <w:pPr>
        <w:spacing w:after="0" w:line="226" w:lineRule="exact"/>
        <w:rPr>
          <w:sz w:val="20"/>
          <w:szCs w:val="20"/>
          <w:color w:val="auto"/>
        </w:rPr>
      </w:pPr>
    </w:p>
    <w:p>
      <w:pPr>
        <w:spacing w:after="0"/>
        <w:tabs>
          <w:tab w:leader="none" w:pos="144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12" w:lineRule="exact"/>
        <w:rPr>
          <w:sz w:val="20"/>
          <w:szCs w:val="20"/>
          <w:color w:val="auto"/>
        </w:rPr>
      </w:pPr>
    </w:p>
    <w:p>
      <w:pPr>
        <w:ind w:left="1360" w:hanging="947"/>
        <w:spacing w:after="0"/>
        <w:tabs>
          <w:tab w:leader="none" w:pos="1360" w:val="left"/>
        </w:tabs>
        <w:numPr>
          <w:ilvl w:val="0"/>
          <w:numId w:val="1"/>
        </w:numPr>
        <w:rPr>
          <w:rFonts w:ascii="Arial" w:cs="Arial" w:eastAsia="Arial" w:hAnsi="Arial"/>
          <w:sz w:val="22"/>
          <w:szCs w:val="22"/>
          <w:color w:val="auto"/>
        </w:rPr>
      </w:pPr>
      <w:r>
        <w:rPr>
          <w:rFonts w:ascii="Arial" w:cs="Arial" w:eastAsia="Arial" w:hAnsi="Arial"/>
          <w:sz w:val="22"/>
          <w:szCs w:val="22"/>
          <w:color w:val="auto"/>
        </w:rPr>
        <w:t>Exhibits.</w:t>
      </w:r>
    </w:p>
    <w:p>
      <w:pPr>
        <w:spacing w:after="0" w:line="227" w:lineRule="exact"/>
        <w:rPr>
          <w:sz w:val="20"/>
          <w:szCs w:val="20"/>
          <w:color w:val="auto"/>
        </w:rPr>
      </w:pPr>
    </w:p>
    <w:p>
      <w:pPr>
        <w:ind w:left="100"/>
        <w:spacing w:after="0"/>
        <w:tabs>
          <w:tab w:leader="none" w:pos="1200" w:val="left"/>
        </w:tabs>
        <w:rPr>
          <w:sz w:val="20"/>
          <w:szCs w:val="20"/>
          <w:color w:val="auto"/>
        </w:rPr>
      </w:pPr>
      <w:r>
        <w:rPr>
          <w:rFonts w:ascii="Arial" w:cs="Arial" w:eastAsia="Arial" w:hAnsi="Arial"/>
          <w:sz w:val="18"/>
          <w:szCs w:val="18"/>
          <w:color w:val="auto"/>
        </w:rPr>
        <w:t>Exhibit</w:t>
      </w:r>
      <w:r>
        <w:rPr>
          <w:sz w:val="20"/>
          <w:szCs w:val="20"/>
          <w:color w:val="auto"/>
        </w:rPr>
        <w:tab/>
      </w:r>
      <w:r>
        <w:rPr>
          <w:rFonts w:ascii="Arial" w:cs="Arial" w:eastAsia="Arial" w:hAnsi="Arial"/>
          <w:sz w:val="18"/>
          <w:szCs w:val="18"/>
          <w:color w:val="auto"/>
        </w:rPr>
        <w:t>Description</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8" w:lineRule="exact"/>
        <w:rPr>
          <w:sz w:val="20"/>
          <w:szCs w:val="20"/>
          <w:color w:val="auto"/>
        </w:rPr>
      </w:pPr>
    </w:p>
    <w:p>
      <w:pPr>
        <w:ind w:left="100"/>
        <w:spacing w:after="0"/>
        <w:tabs>
          <w:tab w:leader="none" w:pos="12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April 25, 2012.</w:t>
      </w:r>
    </w:p>
    <w:p>
      <w:pPr>
        <w:spacing w:after="0" w:line="232" w:lineRule="exact"/>
        <w:rPr>
          <w:sz w:val="20"/>
          <w:szCs w:val="20"/>
          <w:color w:val="auto"/>
        </w:rPr>
      </w:pPr>
    </w:p>
    <w:p>
      <w:pPr>
        <w:spacing w:after="0" w:line="249" w:lineRule="auto"/>
        <w:rPr>
          <w:sz w:val="20"/>
          <w:szCs w:val="20"/>
          <w:color w:val="auto"/>
        </w:rPr>
      </w:pPr>
      <w:r>
        <w:rPr>
          <w:rFonts w:ascii="Arial" w:cs="Arial" w:eastAsia="Arial" w:hAnsi="Arial"/>
          <w:sz w:val="21"/>
          <w:szCs w:val="21"/>
          <w:color w:val="auto"/>
        </w:rPr>
        <w:t>The information presented in this Current Report on Form 8-K may contain forward-looking statements and certain assumptions upon which such forward-looking statements are in part based. Numerous important factors, including those factors identified in Itron, Inc.’s Annual Report on Form 10-K and other of the Company’s filings with the Securities and Exchange Commission, and the fact that the assumptions set forth in this Current Report on Form 8-K could prove incorrect, could cause actual results to differ materially from those contained in such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114300</wp:posOffset>
            </wp:positionV>
            <wp:extent cx="7272020" cy="596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20"/>
          </w:cols>
          <w:pgMar w:left="240" w:top="111" w:right="3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ITRON, INC.</w:t>
      </w:r>
    </w:p>
    <w:p>
      <w:pPr>
        <w:spacing w:after="0" w:line="279" w:lineRule="exact"/>
        <w:rPr>
          <w:sz w:val="20"/>
          <w:szCs w:val="20"/>
          <w:color w:val="auto"/>
        </w:rPr>
      </w:pPr>
    </w:p>
    <w:p>
      <w:pPr>
        <w:spacing w:after="0"/>
        <w:tabs>
          <w:tab w:leader="none" w:pos="680" w:val="left"/>
          <w:tab w:leader="none" w:pos="5700" w:val="left"/>
          <w:tab w:leader="none" w:pos="6380" w:val="left"/>
        </w:tabs>
        <w:rPr>
          <w:sz w:val="20"/>
          <w:szCs w:val="20"/>
          <w:color w:val="auto"/>
        </w:rPr>
      </w:pPr>
      <w:r>
        <w:rPr>
          <w:rFonts w:ascii="Arial" w:cs="Arial" w:eastAsia="Arial" w:hAnsi="Arial"/>
          <w:sz w:val="18"/>
          <w:szCs w:val="18"/>
          <w:color w:val="auto"/>
        </w:rPr>
        <w:t>Dated:</w:t>
        <w:tab/>
        <w:t>April 25,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Steven M. Helmbrecht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9673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30"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Steven M. Helmbrecht</w:t>
      </w:r>
    </w:p>
    <w:p>
      <w:pPr>
        <w:spacing w:after="0" w:line="3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96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200"/>
          </w:cols>
          <w:pgMar w:left="240" w:top="121" w:right="459" w:bottom="1440" w:gutter="0" w:footer="0" w:header="0"/>
        </w:sectPr>
      </w:pPr>
    </w:p>
    <w:bookmarkStart w:id="3" w:name="page4"/>
    <w:bookmarkEnd w:id="3"/>
    <w:p>
      <w:pPr>
        <w:jc w:val="right"/>
        <w:ind w:right="3659"/>
        <w:spacing w:after="0"/>
        <w:rPr>
          <w:sz w:val="20"/>
          <w:szCs w:val="20"/>
          <w:color w:val="auto"/>
        </w:rPr>
      </w:pPr>
      <w:r>
        <w:rPr>
          <w:rFonts w:ascii="Arial" w:cs="Arial" w:eastAsia="Arial" w:hAnsi="Arial"/>
          <w:sz w:val="22"/>
          <w:szCs w:val="22"/>
          <w:b w:val="1"/>
          <w:bCs w:val="1"/>
          <w:color w:val="auto"/>
        </w:rPr>
        <w:t>EXHIBIT INDEX</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Exhibit</w:t>
      </w:r>
    </w:p>
    <w:p>
      <w:pPr>
        <w:spacing w:after="0" w:line="23"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Number</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8"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dated April 25, 2012.</w:t>
      </w:r>
    </w:p>
    <w:p>
      <w:pPr>
        <w:sectPr>
          <w:pgSz w:w="11900" w:h="16838" w:orient="portrait"/>
          <w:cols w:equalWidth="0" w:num="1">
            <w:col w:w="10079"/>
          </w:cols>
          <w:pgMar w:left="380" w:top="112"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Itron Announces First Quarter 2012 Financial Results</w:t>
      </w:r>
    </w:p>
    <w:p>
      <w:pPr>
        <w:spacing w:after="0" w:line="212" w:lineRule="exact"/>
        <w:rPr>
          <w:sz w:val="20"/>
          <w:szCs w:val="20"/>
          <w:color w:val="auto"/>
        </w:rPr>
      </w:pPr>
    </w:p>
    <w:p>
      <w:pPr>
        <w:ind w:right="80"/>
        <w:spacing w:after="0" w:line="251" w:lineRule="auto"/>
        <w:rPr>
          <w:sz w:val="20"/>
          <w:szCs w:val="20"/>
          <w:color w:val="auto"/>
        </w:rPr>
      </w:pPr>
      <w:r>
        <w:rPr>
          <w:rFonts w:ascii="Arial" w:cs="Arial" w:eastAsia="Arial" w:hAnsi="Arial"/>
          <w:sz w:val="22"/>
          <w:szCs w:val="22"/>
          <w:color w:val="auto"/>
        </w:rPr>
        <w:t>LIBERTY LAKE, Wash.--(BUSINESS WIRE)--April 25, 2012--Itron, Inc. (NASDAQ:ITRI) announced today financial results for its first quarter ended March 31, 2012. Highlights include:</w:t>
      </w:r>
    </w:p>
    <w:p>
      <w:pPr>
        <w:spacing w:after="0" w:line="173" w:lineRule="exact"/>
        <w:rPr>
          <w:sz w:val="20"/>
          <w:szCs w:val="20"/>
          <w:color w:val="auto"/>
        </w:rPr>
      </w:pPr>
    </w:p>
    <w:p>
      <w:pPr>
        <w:ind w:left="140" w:hanging="132"/>
        <w:spacing w:after="0"/>
        <w:tabs>
          <w:tab w:leader="none" w:pos="140" w:val="left"/>
        </w:tabs>
        <w:numPr>
          <w:ilvl w:val="0"/>
          <w:numId w:val="2"/>
        </w:numPr>
        <w:rPr>
          <w:rFonts w:ascii="Arial" w:cs="Arial" w:eastAsia="Arial" w:hAnsi="Arial"/>
          <w:sz w:val="22"/>
          <w:szCs w:val="22"/>
          <w:color w:val="auto"/>
        </w:rPr>
      </w:pPr>
      <w:r>
        <w:rPr>
          <w:rFonts w:ascii="Arial" w:cs="Arial" w:eastAsia="Arial" w:hAnsi="Arial"/>
          <w:sz w:val="22"/>
          <w:szCs w:val="22"/>
          <w:color w:val="auto"/>
        </w:rPr>
        <w:t>Quarterly revenues of $572 million;</w:t>
      </w:r>
    </w:p>
    <w:p>
      <w:pPr>
        <w:spacing w:after="0" w:line="206" w:lineRule="exact"/>
        <w:rPr>
          <w:rFonts w:ascii="Arial" w:cs="Arial" w:eastAsia="Arial" w:hAnsi="Arial"/>
          <w:sz w:val="22"/>
          <w:szCs w:val="22"/>
          <w:color w:val="auto"/>
        </w:rPr>
      </w:pPr>
    </w:p>
    <w:p>
      <w:pPr>
        <w:ind w:left="140" w:hanging="132"/>
        <w:spacing w:after="0"/>
        <w:tabs>
          <w:tab w:leader="none" w:pos="140" w:val="left"/>
        </w:tabs>
        <w:numPr>
          <w:ilvl w:val="0"/>
          <w:numId w:val="2"/>
        </w:numPr>
        <w:rPr>
          <w:rFonts w:ascii="Arial" w:cs="Arial" w:eastAsia="Arial" w:hAnsi="Arial"/>
          <w:sz w:val="22"/>
          <w:szCs w:val="22"/>
          <w:color w:val="auto"/>
        </w:rPr>
      </w:pPr>
      <w:r>
        <w:rPr>
          <w:rFonts w:ascii="Arial" w:cs="Arial" w:eastAsia="Arial" w:hAnsi="Arial"/>
          <w:sz w:val="22"/>
          <w:szCs w:val="22"/>
          <w:color w:val="auto"/>
        </w:rPr>
        <w:t>Quarterly GAAP diluted net earnings per share of 63 cents;</w:t>
      </w:r>
    </w:p>
    <w:p>
      <w:pPr>
        <w:spacing w:after="0" w:line="206" w:lineRule="exact"/>
        <w:rPr>
          <w:rFonts w:ascii="Arial" w:cs="Arial" w:eastAsia="Arial" w:hAnsi="Arial"/>
          <w:sz w:val="22"/>
          <w:szCs w:val="22"/>
          <w:color w:val="auto"/>
        </w:rPr>
      </w:pPr>
    </w:p>
    <w:p>
      <w:pPr>
        <w:ind w:left="140" w:hanging="132"/>
        <w:spacing w:after="0"/>
        <w:tabs>
          <w:tab w:leader="none" w:pos="140" w:val="left"/>
        </w:tabs>
        <w:numPr>
          <w:ilvl w:val="0"/>
          <w:numId w:val="2"/>
        </w:numPr>
        <w:rPr>
          <w:rFonts w:ascii="Arial" w:cs="Arial" w:eastAsia="Arial" w:hAnsi="Arial"/>
          <w:sz w:val="22"/>
          <w:szCs w:val="22"/>
          <w:color w:val="auto"/>
        </w:rPr>
      </w:pPr>
      <w:r>
        <w:rPr>
          <w:rFonts w:ascii="Arial" w:cs="Arial" w:eastAsia="Arial" w:hAnsi="Arial"/>
          <w:sz w:val="22"/>
          <w:szCs w:val="22"/>
          <w:color w:val="auto"/>
        </w:rPr>
        <w:t>Quarterly non-GAAP diluted net earnings per share of 91 cents;</w:t>
      </w:r>
    </w:p>
    <w:p>
      <w:pPr>
        <w:spacing w:after="0" w:line="206" w:lineRule="exact"/>
        <w:rPr>
          <w:rFonts w:ascii="Arial" w:cs="Arial" w:eastAsia="Arial" w:hAnsi="Arial"/>
          <w:sz w:val="22"/>
          <w:szCs w:val="22"/>
          <w:color w:val="auto"/>
        </w:rPr>
      </w:pPr>
    </w:p>
    <w:p>
      <w:pPr>
        <w:ind w:left="140" w:hanging="132"/>
        <w:spacing w:after="0"/>
        <w:tabs>
          <w:tab w:leader="none" w:pos="140" w:val="left"/>
        </w:tabs>
        <w:numPr>
          <w:ilvl w:val="0"/>
          <w:numId w:val="2"/>
        </w:numPr>
        <w:rPr>
          <w:rFonts w:ascii="Arial" w:cs="Arial" w:eastAsia="Arial" w:hAnsi="Arial"/>
          <w:sz w:val="22"/>
          <w:szCs w:val="22"/>
          <w:color w:val="auto"/>
        </w:rPr>
      </w:pPr>
      <w:r>
        <w:rPr>
          <w:rFonts w:ascii="Arial" w:cs="Arial" w:eastAsia="Arial" w:hAnsi="Arial"/>
          <w:sz w:val="22"/>
          <w:szCs w:val="22"/>
          <w:color w:val="auto"/>
        </w:rPr>
        <w:t>Quarterly cash flow from operations and free cash flow of $54 million and $42 million;</w:t>
      </w:r>
    </w:p>
    <w:p>
      <w:pPr>
        <w:spacing w:after="0" w:line="206" w:lineRule="exact"/>
        <w:rPr>
          <w:rFonts w:ascii="Arial" w:cs="Arial" w:eastAsia="Arial" w:hAnsi="Arial"/>
          <w:sz w:val="22"/>
          <w:szCs w:val="22"/>
          <w:color w:val="auto"/>
        </w:rPr>
      </w:pPr>
    </w:p>
    <w:p>
      <w:pPr>
        <w:ind w:left="140" w:hanging="132"/>
        <w:spacing w:after="0"/>
        <w:tabs>
          <w:tab w:leader="none" w:pos="140" w:val="left"/>
        </w:tabs>
        <w:numPr>
          <w:ilvl w:val="0"/>
          <w:numId w:val="2"/>
        </w:numPr>
        <w:rPr>
          <w:rFonts w:ascii="Arial" w:cs="Arial" w:eastAsia="Arial" w:hAnsi="Arial"/>
          <w:sz w:val="22"/>
          <w:szCs w:val="22"/>
          <w:color w:val="auto"/>
        </w:rPr>
      </w:pPr>
      <w:r>
        <w:rPr>
          <w:rFonts w:ascii="Arial" w:cs="Arial" w:eastAsia="Arial" w:hAnsi="Arial"/>
          <w:sz w:val="22"/>
          <w:szCs w:val="22"/>
          <w:color w:val="auto"/>
        </w:rPr>
        <w:t>Quarterly adjusted EBITDA of $67 million;</w:t>
      </w:r>
    </w:p>
    <w:p>
      <w:pPr>
        <w:spacing w:after="0" w:line="206" w:lineRule="exact"/>
        <w:rPr>
          <w:rFonts w:ascii="Arial" w:cs="Arial" w:eastAsia="Arial" w:hAnsi="Arial"/>
          <w:sz w:val="22"/>
          <w:szCs w:val="22"/>
          <w:color w:val="auto"/>
        </w:rPr>
      </w:pPr>
    </w:p>
    <w:p>
      <w:pPr>
        <w:ind w:left="140" w:hanging="132"/>
        <w:spacing w:after="0"/>
        <w:tabs>
          <w:tab w:leader="none" w:pos="140" w:val="left"/>
        </w:tabs>
        <w:numPr>
          <w:ilvl w:val="0"/>
          <w:numId w:val="2"/>
        </w:numPr>
        <w:rPr>
          <w:rFonts w:ascii="Arial" w:cs="Arial" w:eastAsia="Arial" w:hAnsi="Arial"/>
          <w:sz w:val="22"/>
          <w:szCs w:val="22"/>
          <w:color w:val="auto"/>
        </w:rPr>
      </w:pPr>
      <w:r>
        <w:rPr>
          <w:rFonts w:ascii="Arial" w:cs="Arial" w:eastAsia="Arial" w:hAnsi="Arial"/>
          <w:sz w:val="22"/>
          <w:szCs w:val="22"/>
          <w:color w:val="auto"/>
        </w:rPr>
        <w:t>Twelve-month backlog of $760 million and total backlog of $1.2 billion; and</w:t>
      </w:r>
    </w:p>
    <w:p>
      <w:pPr>
        <w:spacing w:after="0" w:line="206" w:lineRule="exact"/>
        <w:rPr>
          <w:rFonts w:ascii="Arial" w:cs="Arial" w:eastAsia="Arial" w:hAnsi="Arial"/>
          <w:sz w:val="22"/>
          <w:szCs w:val="22"/>
          <w:color w:val="auto"/>
        </w:rPr>
      </w:pPr>
    </w:p>
    <w:p>
      <w:pPr>
        <w:ind w:left="140" w:hanging="132"/>
        <w:spacing w:after="0"/>
        <w:tabs>
          <w:tab w:leader="none" w:pos="140" w:val="left"/>
        </w:tabs>
        <w:numPr>
          <w:ilvl w:val="0"/>
          <w:numId w:val="2"/>
        </w:numPr>
        <w:rPr>
          <w:rFonts w:ascii="Arial" w:cs="Arial" w:eastAsia="Arial" w:hAnsi="Arial"/>
          <w:sz w:val="22"/>
          <w:szCs w:val="22"/>
          <w:color w:val="auto"/>
        </w:rPr>
      </w:pPr>
      <w:r>
        <w:rPr>
          <w:rFonts w:ascii="Arial" w:cs="Arial" w:eastAsia="Arial" w:hAnsi="Arial"/>
          <w:sz w:val="22"/>
          <w:szCs w:val="22"/>
          <w:color w:val="auto"/>
        </w:rPr>
        <w:t>Quarterly bookings of $488 million.</w:t>
      </w:r>
    </w:p>
    <w:p>
      <w:pPr>
        <w:spacing w:after="0" w:line="206" w:lineRule="exact"/>
        <w:rPr>
          <w:sz w:val="20"/>
          <w:szCs w:val="20"/>
          <w:color w:val="auto"/>
        </w:rPr>
      </w:pPr>
    </w:p>
    <w:p>
      <w:pPr>
        <w:spacing w:after="0" w:line="279" w:lineRule="auto"/>
        <w:rPr>
          <w:sz w:val="20"/>
          <w:szCs w:val="20"/>
          <w:color w:val="auto"/>
        </w:rPr>
      </w:pPr>
      <w:r>
        <w:rPr>
          <w:rFonts w:ascii="Arial" w:cs="Arial" w:eastAsia="Arial" w:hAnsi="Arial"/>
          <w:sz w:val="19"/>
          <w:szCs w:val="19"/>
          <w:color w:val="auto"/>
        </w:rPr>
        <w:t>“We’re off to a good start to the year on revenue with our newly implemented global Energy and Water segments both contributing to four percent sales growth at constant currency,” said LeRoy Nosbaum, Itron’s president and chief executive officer. “Our expenses are higher compared to last year as we are building the Energy and Water sales teams in Latin America and Asia-Pacific, undertaking new product development projects globally, and implementing a global ERP system and organization structure to support our new global operations. This impacted our operating margin compared to the prior year but the initiatives are intended to make us more efficient and better positioned to capitalize on opportunities around the world.”</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Results</w:t>
      </w:r>
    </w:p>
    <w:p>
      <w:pPr>
        <w:spacing w:after="0" w:line="212" w:lineRule="exact"/>
        <w:rPr>
          <w:sz w:val="20"/>
          <w:szCs w:val="20"/>
          <w:color w:val="auto"/>
        </w:rPr>
      </w:pPr>
    </w:p>
    <w:p>
      <w:pPr>
        <w:ind w:right="180"/>
        <w:spacing w:after="0" w:line="279" w:lineRule="auto"/>
        <w:rPr>
          <w:sz w:val="20"/>
          <w:szCs w:val="20"/>
          <w:color w:val="auto"/>
        </w:rPr>
      </w:pPr>
      <w:r>
        <w:rPr>
          <w:rFonts w:ascii="Arial" w:cs="Arial" w:eastAsia="Arial" w:hAnsi="Arial"/>
          <w:sz w:val="19"/>
          <w:szCs w:val="19"/>
          <w:color w:val="auto"/>
        </w:rPr>
        <w:t>Revenues for the quarter were $572 million compared to $564 million in the same period in 2011. Changes in foreign currency exchange rates unfavorably impacted revenue by $13 million for the quarter. The increase in revenue for the quarter was due to growth in both the Energy and Water segments. Energy revenue increased over the prior year primarily due to increased smart gas module shipments in North America and increased electric product shipments in Europe and Asia-Pacific. In addition, OpenWay project revenue in North America increased $3 million over the same period in 2011. Revenue growth in the Water segment was driven by increased meter shipments in Latin America and Europe.</w:t>
      </w:r>
    </w:p>
    <w:p>
      <w:pPr>
        <w:spacing w:after="0" w:line="151" w:lineRule="exact"/>
        <w:rPr>
          <w:sz w:val="20"/>
          <w:szCs w:val="20"/>
          <w:color w:val="auto"/>
        </w:rPr>
      </w:pPr>
    </w:p>
    <w:p>
      <w:pPr>
        <w:ind w:right="40"/>
        <w:spacing w:after="0" w:line="238" w:lineRule="auto"/>
        <w:rPr>
          <w:sz w:val="20"/>
          <w:szCs w:val="20"/>
          <w:color w:val="auto"/>
        </w:rPr>
      </w:pPr>
      <w:r>
        <w:rPr>
          <w:rFonts w:ascii="Arial" w:cs="Arial" w:eastAsia="Arial" w:hAnsi="Arial"/>
          <w:sz w:val="22"/>
          <w:szCs w:val="22"/>
          <w:color w:val="auto"/>
        </w:rPr>
        <w:t>Gross margin for the quarter was 32.0 percent compared to the prior year period margin of 32.8 percent. In the prior year period, an $8.6 million gain from a recovery of a warranty claim was recorded which positively impacted the gross margin by 1.5 percentage points. Excluding the impact of this gain, gross margin improved 0.7 percentage points over the prior year primarily due to a $4 million decrease in warranty expenses.</w:t>
      </w:r>
    </w:p>
    <w:p>
      <w:pPr>
        <w:spacing w:after="0" w:line="185" w:lineRule="exact"/>
        <w:rPr>
          <w:sz w:val="20"/>
          <w:szCs w:val="20"/>
          <w:color w:val="auto"/>
        </w:rPr>
      </w:pPr>
    </w:p>
    <w:p>
      <w:pPr>
        <w:ind w:right="60"/>
        <w:spacing w:after="0" w:line="249" w:lineRule="auto"/>
        <w:rPr>
          <w:sz w:val="20"/>
          <w:szCs w:val="20"/>
          <w:color w:val="auto"/>
        </w:rPr>
      </w:pPr>
      <w:r>
        <w:rPr>
          <w:rFonts w:ascii="Arial" w:cs="Arial" w:eastAsia="Arial" w:hAnsi="Arial"/>
          <w:sz w:val="21"/>
          <w:szCs w:val="21"/>
          <w:color w:val="auto"/>
        </w:rPr>
        <w:t>GAAP operating expenses were $144 million in the quarter compared to $135 million in the same period last year. Changes in foreign currency exchange rates favorably impacted operating expenses by $3 million for the quarter. The increase in expenses was due to sales and marketing efforts in both the Energy and Water segments, increased product research and development in the Energy segment and increased Corporate general and administrative costs, including acquisition-related expenses related to the SmartSynch acquisition which is anticipated to close in early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114300</wp:posOffset>
            </wp:positionV>
            <wp:extent cx="7272020" cy="596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 w:name="page6"/>
    <w:bookmarkEnd w:id="5"/>
    <w:p>
      <w:pPr>
        <w:ind w:right="100"/>
        <w:spacing w:after="0" w:line="298" w:lineRule="auto"/>
        <w:rPr>
          <w:sz w:val="20"/>
          <w:szCs w:val="20"/>
          <w:color w:val="auto"/>
        </w:rPr>
      </w:pPr>
      <w:r>
        <w:rPr>
          <w:rFonts w:ascii="Arial" w:cs="Arial" w:eastAsia="Arial" w:hAnsi="Arial"/>
          <w:sz w:val="19"/>
          <w:szCs w:val="19"/>
          <w:color w:val="auto"/>
        </w:rPr>
        <w:t>Net interest expense was $2.2 million for the quarter compared to $11.8 million in the same period last year. The decrease in net interest expense was due to a reduced principal balance and lower effective interest rates. The company refinanced its bank debt in August 2011 which significantly reduced the interest rate. During the quarter, we reduced our debt by approximately $14 million.</w:t>
      </w:r>
    </w:p>
    <w:p>
      <w:pPr>
        <w:spacing w:after="0" w:line="132" w:lineRule="exact"/>
        <w:rPr>
          <w:sz w:val="20"/>
          <w:szCs w:val="20"/>
          <w:color w:val="auto"/>
        </w:rPr>
      </w:pPr>
    </w:p>
    <w:p>
      <w:pPr>
        <w:ind w:right="180"/>
        <w:spacing w:after="0"/>
        <w:rPr>
          <w:sz w:val="20"/>
          <w:szCs w:val="20"/>
          <w:color w:val="auto"/>
        </w:rPr>
      </w:pPr>
      <w:r>
        <w:rPr>
          <w:rFonts w:ascii="Arial" w:cs="Arial" w:eastAsia="Arial" w:hAnsi="Arial"/>
          <w:sz w:val="22"/>
          <w:szCs w:val="22"/>
          <w:color w:val="auto"/>
        </w:rPr>
        <w:t>GAAP net income and diluted EPS for the quarter was $25 million, or 63 cents per share, compared to net income of $27 million, or 66 cents per share in the same period in 2011. The decrease in 2012 net income for the quarter was due to an increase in operating expenses offset by a decrease in net interest expense.</w:t>
      </w:r>
    </w:p>
    <w:p>
      <w:pPr>
        <w:spacing w:after="0" w:line="186" w:lineRule="exact"/>
        <w:rPr>
          <w:sz w:val="20"/>
          <w:szCs w:val="20"/>
          <w:color w:val="auto"/>
        </w:rPr>
      </w:pPr>
    </w:p>
    <w:p>
      <w:pPr>
        <w:ind w:right="60"/>
        <w:spacing w:after="0" w:line="279" w:lineRule="auto"/>
        <w:rPr>
          <w:sz w:val="20"/>
          <w:szCs w:val="20"/>
          <w:color w:val="auto"/>
        </w:rPr>
      </w:pPr>
      <w:r>
        <w:rPr>
          <w:rFonts w:ascii="Arial" w:cs="Arial" w:eastAsia="Arial" w:hAnsi="Arial"/>
          <w:sz w:val="19"/>
          <w:szCs w:val="19"/>
          <w:color w:val="auto"/>
        </w:rPr>
        <w:t>Non-GAAP operating expenses for the quarter, which excludes amortization of intangibles, restructuring charges and acquisition related expenses, increased $9 million over prior year. An increase of $12 million related to global sales and marketing activity, product research and development, and general administrative costs, was partially offset by a decrease of $3 million due to currency fluctuations. Non-GAAP net income and diluted EPS for the quarter was $36 million, or 91 cents per share, compared to $41 million, or 99 cents per share, in the same period in 2011. The decrease in non-GAAP net income for the quarter was due to an increase in operating expenses partially offset by a decrease in interest expense.</w:t>
      </w:r>
    </w:p>
    <w:p>
      <w:pPr>
        <w:spacing w:after="0" w:line="151"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During the quarter, the company repurchased 282,090 shares of Itron common stock at an average price of $37.56 per share pursuant to Board authorization to repurchase up to $100 million of Itron common stock during a 12 month period beginning October 2011. The company has repurchased approximately 1.1 million shares of Itron common stock at an average price of $36.20 per share since inception of the program, representing 2.7 percent of total shares outstanding as of October 2011.</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Earnings Conference Call:</w:t>
      </w:r>
    </w:p>
    <w:p>
      <w:pPr>
        <w:spacing w:after="0" w:line="212" w:lineRule="exact"/>
        <w:rPr>
          <w:sz w:val="20"/>
          <w:szCs w:val="20"/>
          <w:color w:val="auto"/>
        </w:rPr>
      </w:pPr>
    </w:p>
    <w:p>
      <w:pPr>
        <w:ind w:right="60"/>
        <w:spacing w:after="0" w:line="279" w:lineRule="auto"/>
        <w:rPr>
          <w:sz w:val="20"/>
          <w:szCs w:val="20"/>
          <w:color w:val="auto"/>
        </w:rPr>
      </w:pPr>
      <w:r>
        <w:rPr>
          <w:rFonts w:ascii="Arial" w:cs="Arial" w:eastAsia="Arial" w:hAnsi="Arial"/>
          <w:sz w:val="19"/>
          <w:szCs w:val="19"/>
          <w:color w:val="auto"/>
        </w:rPr>
        <w:t xml:space="preserve">Itron will host a conference call to discuss the financial results and guidance contained in this release at 5:00 p.m. Eastern Daylight Time (EDT) on April 25, 2012. The call will be webcast in a listen-only mode. Webcast information and conference call materials will be made available 15 minutes before the start of the call and are accessible on Itron’s website at </w:t>
      </w:r>
      <w:r>
        <w:rPr>
          <w:rFonts w:ascii="Arial" w:cs="Arial" w:eastAsia="Arial" w:hAnsi="Arial"/>
          <w:sz w:val="19"/>
          <w:szCs w:val="19"/>
          <w:u w:val="single" w:color="auto"/>
          <w:color w:val="auto"/>
        </w:rPr>
        <w:t>www.itron.com</w:t>
      </w:r>
      <w:r>
        <w:rPr>
          <w:rFonts w:ascii="Arial" w:cs="Arial" w:eastAsia="Arial" w:hAnsi="Arial"/>
          <w:sz w:val="19"/>
          <w:szCs w:val="19"/>
          <w:color w:val="auto"/>
        </w:rPr>
        <w:t xml:space="preserve"> under the Investors page. The webcast replay will begin after the conclusion of the live call and will be available for two weeks. A telephone replay of the call will also be available approximately one hour after the conclusion of the live call, for 48 hours, and is accessible by dialing (888) 203-1112 (Domestic) or (719) 457-0820 (International), entering passcode 1314113.</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Itron</w:t>
      </w:r>
    </w:p>
    <w:p>
      <w:pPr>
        <w:spacing w:after="0" w:line="212" w:lineRule="exact"/>
        <w:rPr>
          <w:sz w:val="20"/>
          <w:szCs w:val="20"/>
          <w:color w:val="auto"/>
        </w:rPr>
      </w:pPr>
    </w:p>
    <w:p>
      <w:pPr>
        <w:ind w:right="60"/>
        <w:spacing w:after="0" w:line="236" w:lineRule="auto"/>
        <w:rPr>
          <w:sz w:val="20"/>
          <w:szCs w:val="20"/>
          <w:color w:val="auto"/>
        </w:rPr>
      </w:pPr>
      <w:r>
        <w:rPr>
          <w:rFonts w:ascii="Arial" w:cs="Arial" w:eastAsia="Arial" w:hAnsi="Arial"/>
          <w:sz w:val="22"/>
          <w:szCs w:val="22"/>
          <w:color w:val="auto"/>
        </w:rPr>
        <w:t xml:space="preserve">Itron is a leading provider of energy and water resource management solutions for nearly 8,000 utilities around the world. We offer end-to-end solutions that include electricity, gas, water and thermal energy measurement and control technology; communications systems; software; and professional services. With more than 9,000 employees doing business in more than 130 countries, Itron empowers utilities to responsibly and efficiently manage energy and water resources. To realize a sustainable future, start here: </w:t>
      </w:r>
      <w:r>
        <w:rPr>
          <w:rFonts w:ascii="Arial" w:cs="Arial" w:eastAsia="Arial" w:hAnsi="Arial"/>
          <w:sz w:val="22"/>
          <w:szCs w:val="22"/>
          <w:u w:val="single" w:color="auto"/>
          <w:color w:val="auto"/>
        </w:rPr>
        <w:t>www.itron.com</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120015</wp:posOffset>
            </wp:positionV>
            <wp:extent cx="7272020" cy="596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color w:val="auto"/>
        </w:rPr>
        <w:t>Forward Looking Statements:</w:t>
      </w:r>
    </w:p>
    <w:p>
      <w:pPr>
        <w:spacing w:after="0" w:line="213" w:lineRule="exact"/>
        <w:rPr>
          <w:sz w:val="20"/>
          <w:szCs w:val="20"/>
          <w:color w:val="auto"/>
        </w:rPr>
      </w:pPr>
    </w:p>
    <w:p>
      <w:pPr>
        <w:ind w:right="40"/>
        <w:spacing w:after="0" w:line="273" w:lineRule="auto"/>
        <w:rPr>
          <w:sz w:val="20"/>
          <w:szCs w:val="20"/>
          <w:color w:val="auto"/>
        </w:rPr>
      </w:pPr>
      <w:r>
        <w:rPr>
          <w:rFonts w:ascii="Arial" w:cs="Arial" w:eastAsia="Arial" w:hAnsi="Arial"/>
          <w:sz w:val="19"/>
          <w:szCs w:val="19"/>
          <w:color w:val="auto"/>
        </w:rPr>
        <w:t>This release contains forward-looking statements concerning our expectations about operations, financial performance, sales, earnings and cash flows. These statements reflect our current plans and expectations and are based on information currently available. The statements rely on a number of assumptions and estimates, which could be inaccurate, and which are subject to risks and uncertainties that could cause our actual results to vary materially from those anticipated. Risks and uncertainties include the rate and timing of customer demand for our products, rescheduling of current customer orders, changes in estimated liabilities for product warranties, changes in laws and regulations, our dependence on new product development and intellectual property, future acquisitions, changes in estimates for stock-based and bonus compensation, increasing volatility in foreign exchange rates, international business risks and other factors that are more fully described in our Annual Report on Form 10-K for the year ended December 31, 2011 and other reports on file with the Securities and Exchange Commission. Itron undertakes no obligation to update publicly or revise any forward-looking statements, including our business outlook.</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Financial Information:</w:t>
      </w:r>
    </w:p>
    <w:p>
      <w:pPr>
        <w:spacing w:after="0" w:line="212" w:lineRule="exact"/>
        <w:rPr>
          <w:sz w:val="20"/>
          <w:szCs w:val="20"/>
          <w:color w:val="auto"/>
        </w:rPr>
      </w:pPr>
    </w:p>
    <w:p>
      <w:pPr>
        <w:spacing w:after="0" w:line="273" w:lineRule="auto"/>
        <w:rPr>
          <w:sz w:val="20"/>
          <w:szCs w:val="20"/>
          <w:color w:val="auto"/>
        </w:rPr>
      </w:pPr>
      <w:r>
        <w:rPr>
          <w:rFonts w:ascii="Arial" w:cs="Arial" w:eastAsia="Arial" w:hAnsi="Arial"/>
          <w:sz w:val="19"/>
          <w:szCs w:val="19"/>
          <w:color w:val="auto"/>
        </w:rPr>
        <w:t>To supplement our consolidated financial statements presented in accordance with GAAP, we use certain non-GAAP financial measures, including non-GAAP operating expense, non-GAAP operating income, non-GAAP net income, non-GAAP diluted EPS, adjusted EBITDA, and free cash flow. We provide these non-GAAP financial measures because we believe they provide greater transparency and represent supplemental information used by management in its financial and operational decision making. Specifically, these non-GAAP financial measures are provided to enhance investors’ overall understanding of our current financial performance and our future anticipated performance by excluding infrequent or non-cash costs, particularly those associated with acquisitions. We exclude certain costs in our non-GAAP financial measures as we believe the net result is a measure of our core business. Non-GAAP performance measures should be considered in addition to, and not as a substitute for, results prepared in accordance with GAAP. Our non-GAAP financial measures may be different from those reported by other companies. A more detailed discussion of why we use non-GAAP financial measures, the limitations of using such measures, and reconciliations between non-GAAP and the nearest GAAP financial measures are included in this press release.</w:t>
      </w:r>
    </w:p>
    <w:p>
      <w:pPr>
        <w:spacing w:after="0" w:line="156" w:lineRule="exact"/>
        <w:rPr>
          <w:sz w:val="20"/>
          <w:szCs w:val="20"/>
          <w:color w:val="auto"/>
        </w:rPr>
      </w:pPr>
    </w:p>
    <w:p>
      <w:pPr>
        <w:ind w:right="300"/>
        <w:spacing w:after="0" w:line="251" w:lineRule="auto"/>
        <w:rPr>
          <w:sz w:val="20"/>
          <w:szCs w:val="20"/>
          <w:color w:val="auto"/>
        </w:rPr>
      </w:pPr>
      <w:r>
        <w:rPr>
          <w:rFonts w:ascii="Arial" w:cs="Arial" w:eastAsia="Arial" w:hAnsi="Arial"/>
          <w:sz w:val="22"/>
          <w:szCs w:val="22"/>
          <w:color w:val="auto"/>
        </w:rPr>
        <w:t>Statements of operations, segment information, balance sheets, cash flow statements and reconciliations of non-GAAP financial measures to the most directly comparable GAAP financial measures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272020" cy="596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80"/>
          </w:cols>
          <w:pgMar w:left="240" w:top="111" w:right="279" w:bottom="1440" w:gutter="0" w:footer="0" w:header="0"/>
        </w:sectPr>
      </w:pPr>
    </w:p>
    <w:bookmarkStart w:id="7" w:name="page8"/>
    <w:bookmarkEnd w:id="7"/>
    <w:p>
      <w:pPr>
        <w:jc w:val="center"/>
        <w:spacing w:after="0"/>
        <w:rPr>
          <w:sz w:val="20"/>
          <w:szCs w:val="20"/>
          <w:color w:val="auto"/>
        </w:rPr>
      </w:pPr>
      <w:r>
        <w:rPr>
          <w:rFonts w:ascii="Arial" w:cs="Arial" w:eastAsia="Arial" w:hAnsi="Arial"/>
          <w:sz w:val="14"/>
          <w:szCs w:val="14"/>
          <w:b w:val="1"/>
          <w:bCs w:val="1"/>
          <w:color w:val="auto"/>
        </w:rPr>
        <w:t>ITRON,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OPERATIONS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100" w:type="dxa"/>
            <w:vAlign w:val="bottom"/>
          </w:tcPr>
          <w:p>
            <w:pPr>
              <w:spacing w:after="0"/>
              <w:rPr>
                <w:sz w:val="20"/>
                <w:szCs w:val="20"/>
                <w:color w:val="auto"/>
              </w:rPr>
            </w:pPr>
            <w:r>
              <w:rPr>
                <w:rFonts w:ascii="Arial" w:cs="Arial" w:eastAsia="Arial" w:hAnsi="Arial"/>
                <w:sz w:val="14"/>
                <w:szCs w:val="14"/>
                <w:color w:val="auto"/>
              </w:rPr>
              <w:t>(Unaudited, in thousands, except per share data)</w:t>
            </w:r>
          </w:p>
        </w:tc>
        <w:tc>
          <w:tcPr>
            <w:tcW w:w="720" w:type="dxa"/>
            <w:vAlign w:val="bottom"/>
          </w:tcPr>
          <w:p>
            <w:pPr>
              <w:spacing w:after="0"/>
              <w:rPr>
                <w:sz w:val="15"/>
                <w:szCs w:val="15"/>
                <w:color w:val="auto"/>
              </w:rPr>
            </w:pPr>
          </w:p>
        </w:tc>
        <w:tc>
          <w:tcPr>
            <w:tcW w:w="2660" w:type="dxa"/>
            <w:vAlign w:val="bottom"/>
            <w:gridSpan w:val="3"/>
            <w:vMerge w:val="restart"/>
          </w:tcPr>
          <w:p>
            <w:pPr>
              <w:jc w:val="right"/>
              <w:ind w:right="168"/>
              <w:spacing w:after="0"/>
              <w:rPr>
                <w:sz w:val="20"/>
                <w:szCs w:val="20"/>
                <w:color w:val="auto"/>
              </w:rPr>
            </w:pPr>
            <w:r>
              <w:rPr>
                <w:rFonts w:ascii="Arial" w:cs="Arial" w:eastAsia="Arial" w:hAnsi="Arial"/>
                <w:sz w:val="14"/>
                <w:szCs w:val="14"/>
                <w:b w:val="1"/>
                <w:bCs w:val="1"/>
                <w:color w:val="auto"/>
              </w:rPr>
              <w:t>Three Months Ended March 31,</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10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3"/>
            <w:vMerge w:val="continue"/>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10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2012</w:t>
            </w:r>
          </w:p>
        </w:tc>
        <w:tc>
          <w:tcPr>
            <w:tcW w:w="200" w:type="dxa"/>
            <w:vAlign w:val="bottom"/>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164"/>
        </w:trPr>
        <w:tc>
          <w:tcPr>
            <w:tcW w:w="7100" w:type="dxa"/>
            <w:vAlign w:val="bottom"/>
          </w:tcPr>
          <w:p>
            <w:pPr>
              <w:spacing w:after="0"/>
              <w:rPr>
                <w:sz w:val="20"/>
                <w:szCs w:val="20"/>
                <w:color w:val="auto"/>
              </w:rPr>
            </w:pPr>
            <w:r>
              <w:rPr>
                <w:rFonts w:ascii="Arial" w:cs="Arial" w:eastAsia="Arial" w:hAnsi="Arial"/>
                <w:sz w:val="14"/>
                <w:szCs w:val="14"/>
                <w:color w:val="auto"/>
              </w:rPr>
              <w:t>Revenues</w:t>
            </w:r>
          </w:p>
        </w:tc>
        <w:tc>
          <w:tcPr>
            <w:tcW w:w="72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128"/>
              <w:spacing w:after="0"/>
              <w:rPr>
                <w:sz w:val="20"/>
                <w:szCs w:val="20"/>
                <w:color w:val="auto"/>
              </w:rPr>
            </w:pPr>
            <w:r>
              <w:rPr>
                <w:rFonts w:ascii="Arial" w:cs="Arial" w:eastAsia="Arial" w:hAnsi="Arial"/>
                <w:sz w:val="14"/>
                <w:szCs w:val="14"/>
                <w:color w:val="auto"/>
              </w:rPr>
              <w:t>571,640</w:t>
            </w:r>
          </w:p>
        </w:tc>
        <w:tc>
          <w:tcPr>
            <w:tcW w:w="200" w:type="dxa"/>
            <w:vAlign w:val="bottom"/>
          </w:tcPr>
          <w:p>
            <w:pPr>
              <w:spacing w:after="0"/>
              <w:rPr>
                <w:sz w:val="14"/>
                <w:szCs w:val="14"/>
                <w:color w:val="auto"/>
              </w:rPr>
            </w:pPr>
          </w:p>
        </w:tc>
        <w:tc>
          <w:tcPr>
            <w:tcW w:w="1180" w:type="dxa"/>
            <w:vAlign w:val="bottom"/>
          </w:tcPr>
          <w:p>
            <w:pPr>
              <w:jc w:val="right"/>
              <w:ind w:right="8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563,691</w:t>
            </w:r>
          </w:p>
        </w:tc>
        <w:tc>
          <w:tcPr>
            <w:tcW w:w="0" w:type="dxa"/>
            <w:vAlign w:val="bottom"/>
          </w:tcPr>
          <w:p>
            <w:pPr>
              <w:spacing w:after="0"/>
              <w:rPr>
                <w:sz w:val="1"/>
                <w:szCs w:val="1"/>
                <w:color w:val="auto"/>
              </w:rPr>
            </w:pPr>
          </w:p>
        </w:tc>
      </w:tr>
      <w:tr>
        <w:trPr>
          <w:trHeight w:val="181"/>
        </w:trPr>
        <w:tc>
          <w:tcPr>
            <w:tcW w:w="7100" w:type="dxa"/>
            <w:vAlign w:val="bottom"/>
          </w:tcPr>
          <w:p>
            <w:pPr>
              <w:spacing w:after="0"/>
              <w:rPr>
                <w:sz w:val="20"/>
                <w:szCs w:val="20"/>
                <w:color w:val="auto"/>
              </w:rPr>
            </w:pPr>
            <w:r>
              <w:rPr>
                <w:rFonts w:ascii="Arial" w:cs="Arial" w:eastAsia="Arial" w:hAnsi="Arial"/>
                <w:sz w:val="14"/>
                <w:szCs w:val="14"/>
                <w:color w:val="auto"/>
              </w:rPr>
              <w:t>Cost of revenues</w:t>
            </w:r>
          </w:p>
        </w:tc>
        <w:tc>
          <w:tcPr>
            <w:tcW w:w="7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388,535</w:t>
            </w:r>
          </w:p>
        </w:tc>
        <w:tc>
          <w:tcPr>
            <w:tcW w:w="200" w:type="dxa"/>
            <w:vAlign w:val="bottom"/>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378,713</w:t>
            </w:r>
          </w:p>
        </w:tc>
        <w:tc>
          <w:tcPr>
            <w:tcW w:w="0" w:type="dxa"/>
            <w:vAlign w:val="bottom"/>
          </w:tcPr>
          <w:p>
            <w:pPr>
              <w:spacing w:after="0"/>
              <w:rPr>
                <w:sz w:val="1"/>
                <w:szCs w:val="1"/>
                <w:color w:val="auto"/>
              </w:rPr>
            </w:pPr>
          </w:p>
        </w:tc>
      </w:tr>
      <w:tr>
        <w:trPr>
          <w:trHeight w:val="176"/>
        </w:trPr>
        <w:tc>
          <w:tcPr>
            <w:tcW w:w="7100" w:type="dxa"/>
            <w:vAlign w:val="bottom"/>
          </w:tcPr>
          <w:p>
            <w:pPr>
              <w:spacing w:after="0"/>
              <w:rPr>
                <w:sz w:val="20"/>
                <w:szCs w:val="20"/>
                <w:color w:val="auto"/>
              </w:rPr>
            </w:pPr>
            <w:r>
              <w:rPr>
                <w:rFonts w:ascii="Arial" w:cs="Arial" w:eastAsia="Arial" w:hAnsi="Arial"/>
                <w:sz w:val="14"/>
                <w:szCs w:val="14"/>
                <w:color w:val="auto"/>
              </w:rPr>
              <w:t>Gross profit</w:t>
            </w:r>
          </w:p>
        </w:tc>
        <w:tc>
          <w:tcPr>
            <w:tcW w:w="720" w:type="dxa"/>
            <w:vAlign w:val="bottom"/>
          </w:tcPr>
          <w:p>
            <w:pPr>
              <w:spacing w:after="0"/>
              <w:rPr>
                <w:sz w:val="15"/>
                <w:szCs w:val="15"/>
                <w:color w:val="auto"/>
              </w:rPr>
            </w:pPr>
          </w:p>
        </w:tc>
        <w:tc>
          <w:tcPr>
            <w:tcW w:w="1280" w:type="dxa"/>
            <w:vAlign w:val="bottom"/>
          </w:tcPr>
          <w:p>
            <w:pPr>
              <w:jc w:val="right"/>
              <w:ind w:right="128"/>
              <w:spacing w:after="0"/>
              <w:rPr>
                <w:sz w:val="20"/>
                <w:szCs w:val="20"/>
                <w:color w:val="auto"/>
              </w:rPr>
            </w:pPr>
            <w:r>
              <w:rPr>
                <w:rFonts w:ascii="Arial" w:cs="Arial" w:eastAsia="Arial" w:hAnsi="Arial"/>
                <w:sz w:val="14"/>
                <w:szCs w:val="14"/>
                <w:color w:val="auto"/>
              </w:rPr>
              <w:t>183,105</w:t>
            </w: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184,978</w:t>
            </w:r>
          </w:p>
        </w:tc>
        <w:tc>
          <w:tcPr>
            <w:tcW w:w="0" w:type="dxa"/>
            <w:vAlign w:val="bottom"/>
          </w:tcPr>
          <w:p>
            <w:pPr>
              <w:spacing w:after="0"/>
              <w:rPr>
                <w:sz w:val="1"/>
                <w:szCs w:val="1"/>
                <w:color w:val="auto"/>
              </w:rPr>
            </w:pPr>
          </w:p>
        </w:tc>
      </w:tr>
      <w:tr>
        <w:trPr>
          <w:trHeight w:val="339"/>
        </w:trPr>
        <w:tc>
          <w:tcPr>
            <w:tcW w:w="7100" w:type="dxa"/>
            <w:vAlign w:val="bottom"/>
          </w:tcPr>
          <w:p>
            <w:pPr>
              <w:spacing w:after="0"/>
              <w:rPr>
                <w:sz w:val="20"/>
                <w:szCs w:val="20"/>
                <w:color w:val="auto"/>
              </w:rPr>
            </w:pPr>
            <w:r>
              <w:rPr>
                <w:rFonts w:ascii="Arial" w:cs="Arial" w:eastAsia="Arial" w:hAnsi="Arial"/>
                <w:sz w:val="14"/>
                <w:szCs w:val="14"/>
                <w:color w:val="auto"/>
              </w:rPr>
              <w:t>Operating expenses</w:t>
            </w:r>
          </w:p>
        </w:tc>
        <w:tc>
          <w:tcPr>
            <w:tcW w:w="7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7100" w:type="dxa"/>
            <w:vAlign w:val="bottom"/>
          </w:tcPr>
          <w:p>
            <w:pPr>
              <w:ind w:left="140"/>
              <w:spacing w:after="0"/>
              <w:rPr>
                <w:sz w:val="20"/>
                <w:szCs w:val="20"/>
                <w:color w:val="auto"/>
              </w:rPr>
            </w:pPr>
            <w:r>
              <w:rPr>
                <w:rFonts w:ascii="Arial" w:cs="Arial" w:eastAsia="Arial" w:hAnsi="Arial"/>
                <w:sz w:val="14"/>
                <w:szCs w:val="14"/>
                <w:color w:val="auto"/>
              </w:rPr>
              <w:t>Sales and marketing</w:t>
            </w:r>
          </w:p>
        </w:tc>
        <w:tc>
          <w:tcPr>
            <w:tcW w:w="720" w:type="dxa"/>
            <w:vAlign w:val="bottom"/>
          </w:tcPr>
          <w:p>
            <w:pPr>
              <w:spacing w:after="0"/>
              <w:rPr>
                <w:sz w:val="15"/>
                <w:szCs w:val="15"/>
                <w:color w:val="auto"/>
              </w:rPr>
            </w:pPr>
          </w:p>
        </w:tc>
        <w:tc>
          <w:tcPr>
            <w:tcW w:w="1280" w:type="dxa"/>
            <w:vAlign w:val="bottom"/>
          </w:tcPr>
          <w:p>
            <w:pPr>
              <w:jc w:val="right"/>
              <w:ind w:right="128"/>
              <w:spacing w:after="0"/>
              <w:rPr>
                <w:sz w:val="20"/>
                <w:szCs w:val="20"/>
                <w:color w:val="auto"/>
              </w:rPr>
            </w:pPr>
            <w:r>
              <w:rPr>
                <w:rFonts w:ascii="Arial" w:cs="Arial" w:eastAsia="Arial" w:hAnsi="Arial"/>
                <w:sz w:val="14"/>
                <w:szCs w:val="14"/>
                <w:color w:val="auto"/>
              </w:rPr>
              <w:t>49,856</w:t>
            </w: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44,478</w:t>
            </w:r>
          </w:p>
        </w:tc>
        <w:tc>
          <w:tcPr>
            <w:tcW w:w="0" w:type="dxa"/>
            <w:vAlign w:val="bottom"/>
          </w:tcPr>
          <w:p>
            <w:pPr>
              <w:spacing w:after="0"/>
              <w:rPr>
                <w:sz w:val="1"/>
                <w:szCs w:val="1"/>
                <w:color w:val="auto"/>
              </w:rPr>
            </w:pPr>
          </w:p>
        </w:tc>
      </w:tr>
      <w:tr>
        <w:trPr>
          <w:trHeight w:val="176"/>
        </w:trPr>
        <w:tc>
          <w:tcPr>
            <w:tcW w:w="7100" w:type="dxa"/>
            <w:vAlign w:val="bottom"/>
          </w:tcPr>
          <w:p>
            <w:pPr>
              <w:ind w:left="140"/>
              <w:spacing w:after="0"/>
              <w:rPr>
                <w:sz w:val="20"/>
                <w:szCs w:val="20"/>
                <w:color w:val="auto"/>
              </w:rPr>
            </w:pPr>
            <w:r>
              <w:rPr>
                <w:rFonts w:ascii="Arial" w:cs="Arial" w:eastAsia="Arial" w:hAnsi="Arial"/>
                <w:sz w:val="14"/>
                <w:szCs w:val="14"/>
                <w:color w:val="auto"/>
              </w:rPr>
              <w:t>Product development</w:t>
            </w:r>
          </w:p>
        </w:tc>
        <w:tc>
          <w:tcPr>
            <w:tcW w:w="720" w:type="dxa"/>
            <w:vAlign w:val="bottom"/>
          </w:tcPr>
          <w:p>
            <w:pPr>
              <w:spacing w:after="0"/>
              <w:rPr>
                <w:sz w:val="15"/>
                <w:szCs w:val="15"/>
                <w:color w:val="auto"/>
              </w:rPr>
            </w:pPr>
          </w:p>
        </w:tc>
        <w:tc>
          <w:tcPr>
            <w:tcW w:w="1280" w:type="dxa"/>
            <w:vAlign w:val="bottom"/>
          </w:tcPr>
          <w:p>
            <w:pPr>
              <w:jc w:val="right"/>
              <w:ind w:right="128"/>
              <w:spacing w:after="0"/>
              <w:rPr>
                <w:sz w:val="20"/>
                <w:szCs w:val="20"/>
                <w:color w:val="auto"/>
              </w:rPr>
            </w:pPr>
            <w:r>
              <w:rPr>
                <w:rFonts w:ascii="Arial" w:cs="Arial" w:eastAsia="Arial" w:hAnsi="Arial"/>
                <w:sz w:val="14"/>
                <w:szCs w:val="14"/>
                <w:color w:val="auto"/>
              </w:rPr>
              <w:t>44,356</w:t>
            </w: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40,142</w:t>
            </w:r>
          </w:p>
        </w:tc>
        <w:tc>
          <w:tcPr>
            <w:tcW w:w="0" w:type="dxa"/>
            <w:vAlign w:val="bottom"/>
          </w:tcPr>
          <w:p>
            <w:pPr>
              <w:spacing w:after="0"/>
              <w:rPr>
                <w:sz w:val="1"/>
                <w:szCs w:val="1"/>
                <w:color w:val="auto"/>
              </w:rPr>
            </w:pPr>
          </w:p>
        </w:tc>
      </w:tr>
      <w:tr>
        <w:trPr>
          <w:trHeight w:val="176"/>
        </w:trPr>
        <w:tc>
          <w:tcPr>
            <w:tcW w:w="7100" w:type="dxa"/>
            <w:vAlign w:val="bottom"/>
          </w:tcPr>
          <w:p>
            <w:pPr>
              <w:ind w:left="140"/>
              <w:spacing w:after="0"/>
              <w:rPr>
                <w:sz w:val="20"/>
                <w:szCs w:val="20"/>
                <w:color w:val="auto"/>
              </w:rPr>
            </w:pPr>
            <w:r>
              <w:rPr>
                <w:rFonts w:ascii="Arial" w:cs="Arial" w:eastAsia="Arial" w:hAnsi="Arial"/>
                <w:sz w:val="14"/>
                <w:szCs w:val="14"/>
                <w:color w:val="auto"/>
              </w:rPr>
              <w:t>General and administrative</w:t>
            </w:r>
          </w:p>
        </w:tc>
        <w:tc>
          <w:tcPr>
            <w:tcW w:w="720" w:type="dxa"/>
            <w:vAlign w:val="bottom"/>
          </w:tcPr>
          <w:p>
            <w:pPr>
              <w:spacing w:after="0"/>
              <w:rPr>
                <w:sz w:val="15"/>
                <w:szCs w:val="15"/>
                <w:color w:val="auto"/>
              </w:rPr>
            </w:pPr>
          </w:p>
        </w:tc>
        <w:tc>
          <w:tcPr>
            <w:tcW w:w="1280" w:type="dxa"/>
            <w:vAlign w:val="bottom"/>
          </w:tcPr>
          <w:p>
            <w:pPr>
              <w:jc w:val="right"/>
              <w:ind w:right="128"/>
              <w:spacing w:after="0"/>
              <w:rPr>
                <w:sz w:val="20"/>
                <w:szCs w:val="20"/>
                <w:color w:val="auto"/>
              </w:rPr>
            </w:pPr>
            <w:r>
              <w:rPr>
                <w:rFonts w:ascii="Arial" w:cs="Arial" w:eastAsia="Arial" w:hAnsi="Arial"/>
                <w:sz w:val="14"/>
                <w:szCs w:val="14"/>
                <w:color w:val="auto"/>
              </w:rPr>
              <w:t>36,570</w:t>
            </w: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34,672</w:t>
            </w:r>
          </w:p>
        </w:tc>
        <w:tc>
          <w:tcPr>
            <w:tcW w:w="0" w:type="dxa"/>
            <w:vAlign w:val="bottom"/>
          </w:tcPr>
          <w:p>
            <w:pPr>
              <w:spacing w:after="0"/>
              <w:rPr>
                <w:sz w:val="1"/>
                <w:szCs w:val="1"/>
                <w:color w:val="auto"/>
              </w:rPr>
            </w:pPr>
          </w:p>
        </w:tc>
      </w:tr>
      <w:tr>
        <w:trPr>
          <w:trHeight w:val="176"/>
        </w:trPr>
        <w:tc>
          <w:tcPr>
            <w:tcW w:w="7100" w:type="dxa"/>
            <w:vAlign w:val="bottom"/>
          </w:tcPr>
          <w:p>
            <w:pPr>
              <w:ind w:left="140"/>
              <w:spacing w:after="0"/>
              <w:rPr>
                <w:sz w:val="20"/>
                <w:szCs w:val="20"/>
                <w:color w:val="auto"/>
              </w:rPr>
            </w:pPr>
            <w:r>
              <w:rPr>
                <w:rFonts w:ascii="Arial" w:cs="Arial" w:eastAsia="Arial" w:hAnsi="Arial"/>
                <w:sz w:val="14"/>
                <w:szCs w:val="14"/>
                <w:color w:val="auto"/>
              </w:rPr>
              <w:t>Amortization of intangible assets</w:t>
            </w:r>
          </w:p>
        </w:tc>
        <w:tc>
          <w:tcPr>
            <w:tcW w:w="720" w:type="dxa"/>
            <w:vAlign w:val="bottom"/>
          </w:tcPr>
          <w:p>
            <w:pPr>
              <w:spacing w:after="0"/>
              <w:rPr>
                <w:sz w:val="15"/>
                <w:szCs w:val="15"/>
                <w:color w:val="auto"/>
              </w:rPr>
            </w:pPr>
          </w:p>
        </w:tc>
        <w:tc>
          <w:tcPr>
            <w:tcW w:w="1280" w:type="dxa"/>
            <w:vAlign w:val="bottom"/>
          </w:tcPr>
          <w:p>
            <w:pPr>
              <w:jc w:val="right"/>
              <w:ind w:right="128"/>
              <w:spacing w:after="0"/>
              <w:rPr>
                <w:sz w:val="20"/>
                <w:szCs w:val="20"/>
                <w:color w:val="auto"/>
              </w:rPr>
            </w:pPr>
            <w:r>
              <w:rPr>
                <w:rFonts w:ascii="Arial" w:cs="Arial" w:eastAsia="Arial" w:hAnsi="Arial"/>
                <w:sz w:val="14"/>
                <w:szCs w:val="14"/>
                <w:color w:val="auto"/>
              </w:rPr>
              <w:t>11,913</w:t>
            </w: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15,597</w:t>
            </w:r>
          </w:p>
        </w:tc>
        <w:tc>
          <w:tcPr>
            <w:tcW w:w="0" w:type="dxa"/>
            <w:vAlign w:val="bottom"/>
          </w:tcPr>
          <w:p>
            <w:pPr>
              <w:spacing w:after="0"/>
              <w:rPr>
                <w:sz w:val="1"/>
                <w:szCs w:val="1"/>
                <w:color w:val="auto"/>
              </w:rPr>
            </w:pPr>
          </w:p>
        </w:tc>
      </w:tr>
      <w:tr>
        <w:trPr>
          <w:trHeight w:val="181"/>
        </w:trPr>
        <w:tc>
          <w:tcPr>
            <w:tcW w:w="7100" w:type="dxa"/>
            <w:vAlign w:val="bottom"/>
          </w:tcPr>
          <w:p>
            <w:pPr>
              <w:ind w:left="140"/>
              <w:spacing w:after="0"/>
              <w:rPr>
                <w:sz w:val="20"/>
                <w:szCs w:val="20"/>
                <w:color w:val="auto"/>
              </w:rPr>
            </w:pPr>
            <w:r>
              <w:rPr>
                <w:rFonts w:ascii="Arial" w:cs="Arial" w:eastAsia="Arial" w:hAnsi="Arial"/>
                <w:sz w:val="14"/>
                <w:szCs w:val="14"/>
                <w:color w:val="auto"/>
              </w:rPr>
              <w:t>Restructuring expense</w:t>
            </w:r>
          </w:p>
        </w:tc>
        <w:tc>
          <w:tcPr>
            <w:tcW w:w="7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789</w:t>
            </w:r>
          </w:p>
        </w:tc>
        <w:tc>
          <w:tcPr>
            <w:tcW w:w="200" w:type="dxa"/>
            <w:vAlign w:val="bottom"/>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7100" w:type="dxa"/>
            <w:vAlign w:val="bottom"/>
          </w:tcPr>
          <w:p>
            <w:pPr>
              <w:ind w:left="380"/>
              <w:spacing w:after="0"/>
              <w:rPr>
                <w:sz w:val="20"/>
                <w:szCs w:val="20"/>
                <w:color w:val="auto"/>
              </w:rPr>
            </w:pPr>
            <w:r>
              <w:rPr>
                <w:rFonts w:ascii="Arial" w:cs="Arial" w:eastAsia="Arial" w:hAnsi="Arial"/>
                <w:sz w:val="14"/>
                <w:szCs w:val="14"/>
                <w:color w:val="auto"/>
              </w:rPr>
              <w:t>Total operating expenses</w:t>
            </w:r>
          </w:p>
        </w:tc>
        <w:tc>
          <w:tcPr>
            <w:tcW w:w="7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143,484</w:t>
            </w:r>
          </w:p>
        </w:tc>
        <w:tc>
          <w:tcPr>
            <w:tcW w:w="200" w:type="dxa"/>
            <w:vAlign w:val="bottom"/>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134,889</w:t>
            </w:r>
          </w:p>
        </w:tc>
        <w:tc>
          <w:tcPr>
            <w:tcW w:w="0" w:type="dxa"/>
            <w:vAlign w:val="bottom"/>
          </w:tcPr>
          <w:p>
            <w:pPr>
              <w:spacing w:after="0"/>
              <w:rPr>
                <w:sz w:val="1"/>
                <w:szCs w:val="1"/>
                <w:color w:val="auto"/>
              </w:rPr>
            </w:pPr>
          </w:p>
        </w:tc>
      </w:tr>
      <w:tr>
        <w:trPr>
          <w:trHeight w:val="339"/>
        </w:trPr>
        <w:tc>
          <w:tcPr>
            <w:tcW w:w="7100" w:type="dxa"/>
            <w:vAlign w:val="bottom"/>
          </w:tcPr>
          <w:p>
            <w:pPr>
              <w:spacing w:after="0"/>
              <w:rPr>
                <w:sz w:val="20"/>
                <w:szCs w:val="20"/>
                <w:color w:val="auto"/>
              </w:rPr>
            </w:pPr>
            <w:r>
              <w:rPr>
                <w:rFonts w:ascii="Arial" w:cs="Arial" w:eastAsia="Arial" w:hAnsi="Arial"/>
                <w:sz w:val="14"/>
                <w:szCs w:val="14"/>
                <w:color w:val="auto"/>
              </w:rPr>
              <w:t>Operating income</w:t>
            </w:r>
          </w:p>
        </w:tc>
        <w:tc>
          <w:tcPr>
            <w:tcW w:w="720" w:type="dxa"/>
            <w:vAlign w:val="bottom"/>
          </w:tcPr>
          <w:p>
            <w:pPr>
              <w:spacing w:after="0"/>
              <w:rPr>
                <w:sz w:val="24"/>
                <w:szCs w:val="24"/>
                <w:color w:val="auto"/>
              </w:rPr>
            </w:pPr>
          </w:p>
        </w:tc>
        <w:tc>
          <w:tcPr>
            <w:tcW w:w="1280" w:type="dxa"/>
            <w:vAlign w:val="bottom"/>
          </w:tcPr>
          <w:p>
            <w:pPr>
              <w:jc w:val="right"/>
              <w:ind w:right="128"/>
              <w:spacing w:after="0"/>
              <w:rPr>
                <w:sz w:val="20"/>
                <w:szCs w:val="20"/>
                <w:color w:val="auto"/>
              </w:rPr>
            </w:pPr>
            <w:r>
              <w:rPr>
                <w:rFonts w:ascii="Arial" w:cs="Arial" w:eastAsia="Arial" w:hAnsi="Arial"/>
                <w:sz w:val="14"/>
                <w:szCs w:val="14"/>
                <w:color w:val="auto"/>
              </w:rPr>
              <w:t>39,621</w:t>
            </w: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50,089</w:t>
            </w:r>
          </w:p>
        </w:tc>
        <w:tc>
          <w:tcPr>
            <w:tcW w:w="0" w:type="dxa"/>
            <w:vAlign w:val="bottom"/>
          </w:tcPr>
          <w:p>
            <w:pPr>
              <w:spacing w:after="0"/>
              <w:rPr>
                <w:sz w:val="1"/>
                <w:szCs w:val="1"/>
                <w:color w:val="auto"/>
              </w:rPr>
            </w:pPr>
          </w:p>
        </w:tc>
      </w:tr>
      <w:tr>
        <w:trPr>
          <w:trHeight w:val="176"/>
        </w:trPr>
        <w:tc>
          <w:tcPr>
            <w:tcW w:w="7100" w:type="dxa"/>
            <w:vAlign w:val="bottom"/>
          </w:tcPr>
          <w:p>
            <w:pPr>
              <w:spacing w:after="0"/>
              <w:rPr>
                <w:sz w:val="20"/>
                <w:szCs w:val="20"/>
                <w:color w:val="auto"/>
              </w:rPr>
            </w:pPr>
            <w:r>
              <w:rPr>
                <w:rFonts w:ascii="Arial" w:cs="Arial" w:eastAsia="Arial" w:hAnsi="Arial"/>
                <w:sz w:val="14"/>
                <w:szCs w:val="14"/>
                <w:color w:val="auto"/>
              </w:rPr>
              <w:t>Other income (expense)</w:t>
            </w:r>
          </w:p>
        </w:tc>
        <w:tc>
          <w:tcPr>
            <w:tcW w:w="7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100" w:type="dxa"/>
            <w:vAlign w:val="bottom"/>
          </w:tcPr>
          <w:p>
            <w:pPr>
              <w:ind w:left="140"/>
              <w:spacing w:after="0"/>
              <w:rPr>
                <w:sz w:val="20"/>
                <w:szCs w:val="20"/>
                <w:color w:val="auto"/>
              </w:rPr>
            </w:pPr>
            <w:r>
              <w:rPr>
                <w:rFonts w:ascii="Arial" w:cs="Arial" w:eastAsia="Arial" w:hAnsi="Arial"/>
                <w:sz w:val="14"/>
                <w:szCs w:val="14"/>
                <w:color w:val="auto"/>
              </w:rPr>
              <w:t>Interest income</w:t>
            </w:r>
          </w:p>
        </w:tc>
        <w:tc>
          <w:tcPr>
            <w:tcW w:w="720" w:type="dxa"/>
            <w:vAlign w:val="bottom"/>
          </w:tcPr>
          <w:p>
            <w:pPr>
              <w:spacing w:after="0"/>
              <w:rPr>
                <w:sz w:val="15"/>
                <w:szCs w:val="15"/>
                <w:color w:val="auto"/>
              </w:rPr>
            </w:pPr>
          </w:p>
        </w:tc>
        <w:tc>
          <w:tcPr>
            <w:tcW w:w="1280" w:type="dxa"/>
            <w:vAlign w:val="bottom"/>
          </w:tcPr>
          <w:p>
            <w:pPr>
              <w:jc w:val="right"/>
              <w:ind w:right="128"/>
              <w:spacing w:after="0"/>
              <w:rPr>
                <w:sz w:val="20"/>
                <w:szCs w:val="20"/>
                <w:color w:val="auto"/>
              </w:rPr>
            </w:pPr>
            <w:r>
              <w:rPr>
                <w:rFonts w:ascii="Arial" w:cs="Arial" w:eastAsia="Arial" w:hAnsi="Arial"/>
                <w:sz w:val="14"/>
                <w:szCs w:val="14"/>
                <w:color w:val="auto"/>
              </w:rPr>
              <w:t>193</w:t>
            </w: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308</w:t>
            </w:r>
          </w:p>
        </w:tc>
        <w:tc>
          <w:tcPr>
            <w:tcW w:w="0" w:type="dxa"/>
            <w:vAlign w:val="bottom"/>
          </w:tcPr>
          <w:p>
            <w:pPr>
              <w:spacing w:after="0"/>
              <w:rPr>
                <w:sz w:val="1"/>
                <w:szCs w:val="1"/>
                <w:color w:val="auto"/>
              </w:rPr>
            </w:pPr>
          </w:p>
        </w:tc>
      </w:tr>
      <w:tr>
        <w:trPr>
          <w:trHeight w:val="176"/>
        </w:trPr>
        <w:tc>
          <w:tcPr>
            <w:tcW w:w="7100" w:type="dxa"/>
            <w:vAlign w:val="bottom"/>
          </w:tcPr>
          <w:p>
            <w:pPr>
              <w:ind w:left="140"/>
              <w:spacing w:after="0"/>
              <w:rPr>
                <w:sz w:val="20"/>
                <w:szCs w:val="20"/>
                <w:color w:val="auto"/>
              </w:rPr>
            </w:pPr>
            <w:r>
              <w:rPr>
                <w:rFonts w:ascii="Arial" w:cs="Arial" w:eastAsia="Arial" w:hAnsi="Arial"/>
                <w:sz w:val="14"/>
                <w:szCs w:val="14"/>
                <w:color w:val="auto"/>
              </w:rPr>
              <w:t>Interest expense</w:t>
            </w:r>
          </w:p>
        </w:tc>
        <w:tc>
          <w:tcPr>
            <w:tcW w:w="720" w:type="dxa"/>
            <w:vAlign w:val="bottom"/>
          </w:tcPr>
          <w:p>
            <w:pPr>
              <w:spacing w:after="0"/>
              <w:rPr>
                <w:sz w:val="15"/>
                <w:szCs w:val="15"/>
                <w:color w:val="auto"/>
              </w:rPr>
            </w:pPr>
          </w:p>
        </w:tc>
        <w:tc>
          <w:tcPr>
            <w:tcW w:w="1280" w:type="dxa"/>
            <w:vAlign w:val="bottom"/>
          </w:tcPr>
          <w:p>
            <w:pPr>
              <w:jc w:val="right"/>
              <w:ind w:right="88"/>
              <w:spacing w:after="0"/>
              <w:rPr>
                <w:sz w:val="20"/>
                <w:szCs w:val="20"/>
                <w:color w:val="auto"/>
              </w:rPr>
            </w:pPr>
            <w:r>
              <w:rPr>
                <w:rFonts w:ascii="Arial" w:cs="Arial" w:eastAsia="Arial" w:hAnsi="Arial"/>
                <w:sz w:val="14"/>
                <w:szCs w:val="14"/>
                <w:color w:val="auto"/>
              </w:rPr>
              <w:t>(2,437)</w:t>
            </w: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(12,114)</w:t>
            </w:r>
          </w:p>
        </w:tc>
        <w:tc>
          <w:tcPr>
            <w:tcW w:w="0" w:type="dxa"/>
            <w:vAlign w:val="bottom"/>
          </w:tcPr>
          <w:p>
            <w:pPr>
              <w:spacing w:after="0"/>
              <w:rPr>
                <w:sz w:val="1"/>
                <w:szCs w:val="1"/>
                <w:color w:val="auto"/>
              </w:rPr>
            </w:pPr>
          </w:p>
        </w:tc>
      </w:tr>
      <w:tr>
        <w:trPr>
          <w:trHeight w:val="181"/>
        </w:trPr>
        <w:tc>
          <w:tcPr>
            <w:tcW w:w="7100" w:type="dxa"/>
            <w:vAlign w:val="bottom"/>
          </w:tcPr>
          <w:p>
            <w:pPr>
              <w:ind w:left="140"/>
              <w:spacing w:after="0"/>
              <w:rPr>
                <w:sz w:val="20"/>
                <w:szCs w:val="20"/>
                <w:color w:val="auto"/>
              </w:rPr>
            </w:pPr>
            <w:r>
              <w:rPr>
                <w:rFonts w:ascii="Arial" w:cs="Arial" w:eastAsia="Arial" w:hAnsi="Arial"/>
                <w:sz w:val="14"/>
                <w:szCs w:val="14"/>
                <w:color w:val="auto"/>
              </w:rPr>
              <w:t>Other income (expense), net</w:t>
            </w:r>
          </w:p>
        </w:tc>
        <w:tc>
          <w:tcPr>
            <w:tcW w:w="7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(2,176)</w:t>
            </w:r>
          </w:p>
        </w:tc>
        <w:tc>
          <w:tcPr>
            <w:tcW w:w="200" w:type="dxa"/>
            <w:vAlign w:val="bottom"/>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(1,590)</w:t>
            </w:r>
          </w:p>
        </w:tc>
        <w:tc>
          <w:tcPr>
            <w:tcW w:w="0" w:type="dxa"/>
            <w:vAlign w:val="bottom"/>
          </w:tcPr>
          <w:p>
            <w:pPr>
              <w:spacing w:after="0"/>
              <w:rPr>
                <w:sz w:val="1"/>
                <w:szCs w:val="1"/>
                <w:color w:val="auto"/>
              </w:rPr>
            </w:pPr>
          </w:p>
        </w:tc>
      </w:tr>
      <w:tr>
        <w:trPr>
          <w:trHeight w:val="169"/>
        </w:trPr>
        <w:tc>
          <w:tcPr>
            <w:tcW w:w="7100" w:type="dxa"/>
            <w:vAlign w:val="bottom"/>
          </w:tcPr>
          <w:p>
            <w:pPr>
              <w:ind w:left="380"/>
              <w:spacing w:after="0"/>
              <w:rPr>
                <w:sz w:val="20"/>
                <w:szCs w:val="20"/>
                <w:color w:val="auto"/>
              </w:rPr>
            </w:pPr>
            <w:r>
              <w:rPr>
                <w:rFonts w:ascii="Arial" w:cs="Arial" w:eastAsia="Arial" w:hAnsi="Arial"/>
                <w:sz w:val="14"/>
                <w:szCs w:val="14"/>
                <w:color w:val="auto"/>
              </w:rPr>
              <w:t>Total other income (expense)</w:t>
            </w:r>
          </w:p>
        </w:tc>
        <w:tc>
          <w:tcPr>
            <w:tcW w:w="7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(4,420)</w:t>
            </w:r>
          </w:p>
        </w:tc>
        <w:tc>
          <w:tcPr>
            <w:tcW w:w="200" w:type="dxa"/>
            <w:vAlign w:val="bottom"/>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(13,396)</w:t>
            </w:r>
          </w:p>
        </w:tc>
        <w:tc>
          <w:tcPr>
            <w:tcW w:w="0" w:type="dxa"/>
            <w:vAlign w:val="bottom"/>
          </w:tcPr>
          <w:p>
            <w:pPr>
              <w:spacing w:after="0"/>
              <w:rPr>
                <w:sz w:val="1"/>
                <w:szCs w:val="1"/>
                <w:color w:val="auto"/>
              </w:rPr>
            </w:pPr>
          </w:p>
        </w:tc>
      </w:tr>
      <w:tr>
        <w:trPr>
          <w:trHeight w:val="339"/>
        </w:trPr>
        <w:tc>
          <w:tcPr>
            <w:tcW w:w="7100" w:type="dxa"/>
            <w:vAlign w:val="bottom"/>
          </w:tcPr>
          <w:p>
            <w:pPr>
              <w:spacing w:after="0"/>
              <w:rPr>
                <w:sz w:val="20"/>
                <w:szCs w:val="20"/>
                <w:color w:val="auto"/>
              </w:rPr>
            </w:pPr>
            <w:r>
              <w:rPr>
                <w:rFonts w:ascii="Arial" w:cs="Arial" w:eastAsia="Arial" w:hAnsi="Arial"/>
                <w:sz w:val="14"/>
                <w:szCs w:val="14"/>
                <w:color w:val="auto"/>
              </w:rPr>
              <w:t>Income before income taxes</w:t>
            </w:r>
          </w:p>
        </w:tc>
        <w:tc>
          <w:tcPr>
            <w:tcW w:w="720" w:type="dxa"/>
            <w:vAlign w:val="bottom"/>
          </w:tcPr>
          <w:p>
            <w:pPr>
              <w:spacing w:after="0"/>
              <w:rPr>
                <w:sz w:val="24"/>
                <w:szCs w:val="24"/>
                <w:color w:val="auto"/>
              </w:rPr>
            </w:pPr>
          </w:p>
        </w:tc>
        <w:tc>
          <w:tcPr>
            <w:tcW w:w="1280" w:type="dxa"/>
            <w:vAlign w:val="bottom"/>
          </w:tcPr>
          <w:p>
            <w:pPr>
              <w:jc w:val="right"/>
              <w:ind w:right="128"/>
              <w:spacing w:after="0"/>
              <w:rPr>
                <w:sz w:val="20"/>
                <w:szCs w:val="20"/>
                <w:color w:val="auto"/>
              </w:rPr>
            </w:pPr>
            <w:r>
              <w:rPr>
                <w:rFonts w:ascii="Arial" w:cs="Arial" w:eastAsia="Arial" w:hAnsi="Arial"/>
                <w:sz w:val="14"/>
                <w:szCs w:val="14"/>
                <w:color w:val="auto"/>
              </w:rPr>
              <w:t>35,201</w:t>
            </w: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36,693</w:t>
            </w:r>
          </w:p>
        </w:tc>
        <w:tc>
          <w:tcPr>
            <w:tcW w:w="0" w:type="dxa"/>
            <w:vAlign w:val="bottom"/>
          </w:tcPr>
          <w:p>
            <w:pPr>
              <w:spacing w:after="0"/>
              <w:rPr>
                <w:sz w:val="1"/>
                <w:szCs w:val="1"/>
                <w:color w:val="auto"/>
              </w:rPr>
            </w:pPr>
          </w:p>
        </w:tc>
      </w:tr>
      <w:tr>
        <w:trPr>
          <w:trHeight w:val="181"/>
        </w:trPr>
        <w:tc>
          <w:tcPr>
            <w:tcW w:w="7100" w:type="dxa"/>
            <w:vAlign w:val="bottom"/>
          </w:tcPr>
          <w:p>
            <w:pPr>
              <w:spacing w:after="0"/>
              <w:rPr>
                <w:sz w:val="20"/>
                <w:szCs w:val="20"/>
                <w:color w:val="auto"/>
              </w:rPr>
            </w:pPr>
            <w:r>
              <w:rPr>
                <w:rFonts w:ascii="Arial" w:cs="Arial" w:eastAsia="Arial" w:hAnsi="Arial"/>
                <w:sz w:val="14"/>
                <w:szCs w:val="14"/>
                <w:color w:val="auto"/>
              </w:rPr>
              <w:t>Income tax provision</w:t>
            </w:r>
          </w:p>
        </w:tc>
        <w:tc>
          <w:tcPr>
            <w:tcW w:w="7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(9,629)</w:t>
            </w:r>
          </w:p>
        </w:tc>
        <w:tc>
          <w:tcPr>
            <w:tcW w:w="200" w:type="dxa"/>
            <w:vAlign w:val="bottom"/>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(9,567)</w:t>
            </w:r>
          </w:p>
        </w:tc>
        <w:tc>
          <w:tcPr>
            <w:tcW w:w="0" w:type="dxa"/>
            <w:vAlign w:val="bottom"/>
          </w:tcPr>
          <w:p>
            <w:pPr>
              <w:spacing w:after="0"/>
              <w:rPr>
                <w:sz w:val="1"/>
                <w:szCs w:val="1"/>
                <w:color w:val="auto"/>
              </w:rPr>
            </w:pPr>
          </w:p>
        </w:tc>
      </w:tr>
      <w:tr>
        <w:trPr>
          <w:trHeight w:val="164"/>
        </w:trPr>
        <w:tc>
          <w:tcPr>
            <w:tcW w:w="7100" w:type="dxa"/>
            <w:vAlign w:val="bottom"/>
          </w:tcPr>
          <w:p>
            <w:pPr>
              <w:spacing w:after="0"/>
              <w:rPr>
                <w:sz w:val="20"/>
                <w:szCs w:val="20"/>
                <w:color w:val="auto"/>
              </w:rPr>
            </w:pPr>
            <w:r>
              <w:rPr>
                <w:rFonts w:ascii="Arial" w:cs="Arial" w:eastAsia="Arial" w:hAnsi="Arial"/>
                <w:sz w:val="14"/>
                <w:szCs w:val="14"/>
                <w:color w:val="auto"/>
              </w:rPr>
              <w:t>Net income</w:t>
            </w:r>
          </w:p>
        </w:tc>
        <w:tc>
          <w:tcPr>
            <w:tcW w:w="720" w:type="dxa"/>
            <w:vAlign w:val="bottom"/>
          </w:tcPr>
          <w:p>
            <w:pPr>
              <w:spacing w:after="0"/>
              <w:rPr>
                <w:sz w:val="14"/>
                <w:szCs w:val="14"/>
                <w:color w:val="auto"/>
              </w:rPr>
            </w:pPr>
          </w:p>
        </w:tc>
        <w:tc>
          <w:tcPr>
            <w:tcW w:w="1280" w:type="dxa"/>
            <w:vAlign w:val="bottom"/>
          </w:tcPr>
          <w:p>
            <w:pPr>
              <w:jc w:val="right"/>
              <w:ind w:right="128"/>
              <w:spacing w:after="0"/>
              <w:rPr>
                <w:sz w:val="20"/>
                <w:szCs w:val="20"/>
                <w:color w:val="auto"/>
              </w:rPr>
            </w:pPr>
            <w:r>
              <w:rPr>
                <w:rFonts w:ascii="Arial" w:cs="Arial" w:eastAsia="Arial" w:hAnsi="Arial"/>
                <w:sz w:val="14"/>
                <w:szCs w:val="14"/>
                <w:color w:val="auto"/>
              </w:rPr>
              <w:t>25,572</w:t>
            </w: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27,126</w:t>
            </w:r>
          </w:p>
        </w:tc>
        <w:tc>
          <w:tcPr>
            <w:tcW w:w="0" w:type="dxa"/>
            <w:vAlign w:val="bottom"/>
          </w:tcPr>
          <w:p>
            <w:pPr>
              <w:spacing w:after="0"/>
              <w:rPr>
                <w:sz w:val="1"/>
                <w:szCs w:val="1"/>
                <w:color w:val="auto"/>
              </w:rPr>
            </w:pPr>
          </w:p>
        </w:tc>
      </w:tr>
      <w:tr>
        <w:trPr>
          <w:trHeight w:val="181"/>
        </w:trPr>
        <w:tc>
          <w:tcPr>
            <w:tcW w:w="7100" w:type="dxa"/>
            <w:vAlign w:val="bottom"/>
          </w:tcPr>
          <w:p>
            <w:pPr>
              <w:ind w:left="140"/>
              <w:spacing w:after="0"/>
              <w:rPr>
                <w:sz w:val="20"/>
                <w:szCs w:val="20"/>
                <w:color w:val="auto"/>
              </w:rPr>
            </w:pPr>
            <w:r>
              <w:rPr>
                <w:rFonts w:ascii="Arial" w:cs="Arial" w:eastAsia="Arial" w:hAnsi="Arial"/>
                <w:sz w:val="14"/>
                <w:szCs w:val="14"/>
                <w:color w:val="auto"/>
              </w:rPr>
              <w:t>Net income attributable to non-controlling interests</w:t>
            </w:r>
          </w:p>
        </w:tc>
        <w:tc>
          <w:tcPr>
            <w:tcW w:w="7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219</w:t>
            </w:r>
          </w:p>
        </w:tc>
        <w:tc>
          <w:tcPr>
            <w:tcW w:w="200" w:type="dxa"/>
            <w:vAlign w:val="bottom"/>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69"/>
        </w:trPr>
        <w:tc>
          <w:tcPr>
            <w:tcW w:w="7100" w:type="dxa"/>
            <w:vAlign w:val="bottom"/>
          </w:tcPr>
          <w:p>
            <w:pPr>
              <w:spacing w:after="0"/>
              <w:rPr>
                <w:sz w:val="20"/>
                <w:szCs w:val="20"/>
                <w:color w:val="auto"/>
              </w:rPr>
            </w:pPr>
            <w:r>
              <w:rPr>
                <w:rFonts w:ascii="Arial" w:cs="Arial" w:eastAsia="Arial" w:hAnsi="Arial"/>
                <w:sz w:val="14"/>
                <w:szCs w:val="14"/>
                <w:color w:val="auto"/>
              </w:rPr>
              <w:t>Net income attributable to Itron, Inc.</w:t>
            </w:r>
          </w:p>
        </w:tc>
        <w:tc>
          <w:tcPr>
            <w:tcW w:w="7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25,353</w:t>
            </w:r>
          </w:p>
        </w:tc>
        <w:tc>
          <w:tcPr>
            <w:tcW w:w="200" w:type="dxa"/>
            <w:vAlign w:val="bottom"/>
          </w:tcPr>
          <w:p>
            <w:pPr>
              <w:spacing w:after="0"/>
              <w:rPr>
                <w:sz w:val="14"/>
                <w:szCs w:val="14"/>
                <w:color w:val="auto"/>
              </w:rPr>
            </w:pPr>
          </w:p>
        </w:tc>
        <w:tc>
          <w:tcPr>
            <w:tcW w:w="1180" w:type="dxa"/>
            <w:vAlign w:val="bottom"/>
            <w:tcBorders>
              <w:bottom w:val="single" w:sz="8" w:color="auto"/>
            </w:tcBorders>
          </w:tcPr>
          <w:p>
            <w:pPr>
              <w:jc w:val="right"/>
              <w:ind w:right="8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27,120</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7100" w:type="dxa"/>
            <w:vAlign w:val="bottom"/>
          </w:tcPr>
          <w:p>
            <w:pPr>
              <w:spacing w:after="0"/>
              <w:rPr>
                <w:sz w:val="20"/>
                <w:szCs w:val="20"/>
                <w:color w:val="auto"/>
              </w:rPr>
            </w:pPr>
            <w:r>
              <w:rPr>
                <w:rFonts w:ascii="Arial" w:cs="Arial" w:eastAsia="Arial" w:hAnsi="Arial"/>
                <w:sz w:val="14"/>
                <w:szCs w:val="14"/>
                <w:color w:val="auto"/>
              </w:rPr>
              <w:t>Earnings per common share - Basic</w:t>
            </w:r>
          </w:p>
        </w:tc>
        <w:tc>
          <w:tcPr>
            <w:tcW w:w="7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0.64</w:t>
            </w:r>
          </w:p>
        </w:tc>
        <w:tc>
          <w:tcPr>
            <w:tcW w:w="200" w:type="dxa"/>
            <w:vAlign w:val="bottom"/>
          </w:tcPr>
          <w:p>
            <w:pPr>
              <w:spacing w:after="0"/>
              <w:rPr>
                <w:sz w:val="24"/>
                <w:szCs w:val="24"/>
                <w:color w:val="auto"/>
              </w:rPr>
            </w:pPr>
          </w:p>
        </w:tc>
        <w:tc>
          <w:tcPr>
            <w:tcW w:w="1180" w:type="dxa"/>
            <w:vAlign w:val="bottom"/>
            <w:tcBorders>
              <w:bottom w:val="single" w:sz="8" w:color="auto"/>
            </w:tcBorders>
          </w:tcPr>
          <w:p>
            <w:pPr>
              <w:jc w:val="right"/>
              <w:ind w:right="8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0.67</w:t>
            </w:r>
          </w:p>
        </w:tc>
        <w:tc>
          <w:tcPr>
            <w:tcW w:w="0" w:type="dxa"/>
            <w:vAlign w:val="bottom"/>
          </w:tcPr>
          <w:p>
            <w:pPr>
              <w:spacing w:after="0"/>
              <w:rPr>
                <w:sz w:val="1"/>
                <w:szCs w:val="1"/>
                <w:color w:val="auto"/>
              </w:rPr>
            </w:pPr>
          </w:p>
        </w:tc>
      </w:tr>
      <w:tr>
        <w:trPr>
          <w:trHeight w:val="20"/>
        </w:trPr>
        <w:tc>
          <w:tcPr>
            <w:tcW w:w="7100" w:type="dxa"/>
            <w:vAlign w:val="bottom"/>
            <w:vMerge w:val="restart"/>
          </w:tcPr>
          <w:p>
            <w:pPr>
              <w:spacing w:after="0"/>
              <w:rPr>
                <w:sz w:val="20"/>
                <w:szCs w:val="20"/>
                <w:color w:val="auto"/>
              </w:rPr>
            </w:pPr>
            <w:r>
              <w:rPr>
                <w:rFonts w:ascii="Arial" w:cs="Arial" w:eastAsia="Arial" w:hAnsi="Arial"/>
                <w:sz w:val="14"/>
                <w:szCs w:val="14"/>
                <w:color w:val="auto"/>
              </w:rPr>
              <w:t>Earnings per common share - Diluted</w:t>
            </w:r>
          </w:p>
        </w:tc>
        <w:tc>
          <w:tcPr>
            <w:tcW w:w="7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100" w:type="dxa"/>
            <w:vAlign w:val="bottom"/>
            <w:vMerge w:val="continue"/>
          </w:tcPr>
          <w:p>
            <w:pPr>
              <w:spacing w:after="0"/>
              <w:rPr>
                <w:sz w:val="13"/>
                <w:szCs w:val="13"/>
                <w:color w:val="auto"/>
              </w:rPr>
            </w:pPr>
          </w:p>
        </w:tc>
        <w:tc>
          <w:tcPr>
            <w:tcW w:w="720" w:type="dxa"/>
            <w:vAlign w:val="bottom"/>
            <w:tcBorders>
              <w:top w:val="single" w:sz="8" w:color="auto"/>
              <w:bottom w:val="single" w:sz="8" w:color="auto"/>
            </w:tcBorders>
          </w:tcPr>
          <w:p>
            <w:pPr>
              <w:jc w:val="right"/>
              <w:ind w:right="388"/>
              <w:spacing w:after="0" w:line="156" w:lineRule="exact"/>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auto"/>
            </w:tcBorders>
          </w:tcPr>
          <w:p>
            <w:pPr>
              <w:jc w:val="right"/>
              <w:ind w:right="128"/>
              <w:spacing w:after="0" w:line="156" w:lineRule="exact"/>
              <w:rPr>
                <w:sz w:val="20"/>
                <w:szCs w:val="20"/>
                <w:color w:val="auto"/>
              </w:rPr>
            </w:pPr>
            <w:r>
              <w:rPr>
                <w:rFonts w:ascii="Arial" w:cs="Arial" w:eastAsia="Arial" w:hAnsi="Arial"/>
                <w:sz w:val="14"/>
                <w:szCs w:val="14"/>
                <w:color w:val="auto"/>
              </w:rPr>
              <w:t>0.63</w:t>
            </w:r>
          </w:p>
        </w:tc>
        <w:tc>
          <w:tcPr>
            <w:tcW w:w="200" w:type="dxa"/>
            <w:vAlign w:val="bottom"/>
          </w:tcPr>
          <w:p>
            <w:pPr>
              <w:spacing w:after="0"/>
              <w:rPr>
                <w:sz w:val="13"/>
                <w:szCs w:val="13"/>
                <w:color w:val="auto"/>
              </w:rPr>
            </w:pPr>
          </w:p>
        </w:tc>
        <w:tc>
          <w:tcPr>
            <w:tcW w:w="1180" w:type="dxa"/>
            <w:vAlign w:val="bottom"/>
            <w:tcBorders>
              <w:top w:val="single" w:sz="8" w:color="auto"/>
              <w:bottom w:val="single" w:sz="8" w:color="auto"/>
            </w:tcBorders>
          </w:tcPr>
          <w:p>
            <w:pPr>
              <w:jc w:val="right"/>
              <w:ind w:right="848"/>
              <w:spacing w:after="0" w:line="156" w:lineRule="exact"/>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ind w:right="168"/>
              <w:spacing w:after="0" w:line="156" w:lineRule="exact"/>
              <w:rPr>
                <w:sz w:val="20"/>
                <w:szCs w:val="20"/>
                <w:color w:val="auto"/>
              </w:rPr>
            </w:pPr>
            <w:r>
              <w:rPr>
                <w:rFonts w:ascii="Arial" w:cs="Arial" w:eastAsia="Arial" w:hAnsi="Arial"/>
                <w:sz w:val="14"/>
                <w:szCs w:val="14"/>
                <w:color w:val="auto"/>
              </w:rPr>
              <w:t>0.66</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2"/>
        </w:trPr>
        <w:tc>
          <w:tcPr>
            <w:tcW w:w="7100" w:type="dxa"/>
            <w:vAlign w:val="bottom"/>
          </w:tcPr>
          <w:p>
            <w:pPr>
              <w:spacing w:after="0"/>
              <w:rPr>
                <w:sz w:val="20"/>
                <w:szCs w:val="20"/>
                <w:color w:val="auto"/>
              </w:rPr>
            </w:pPr>
            <w:r>
              <w:rPr>
                <w:rFonts w:ascii="Arial" w:cs="Arial" w:eastAsia="Arial" w:hAnsi="Arial"/>
                <w:sz w:val="14"/>
                <w:szCs w:val="14"/>
                <w:color w:val="auto"/>
              </w:rPr>
              <w:t>Weighted average common shares outstanding - Basic</w:t>
            </w:r>
          </w:p>
        </w:tc>
        <w:tc>
          <w:tcPr>
            <w:tcW w:w="720" w:type="dxa"/>
            <w:vAlign w:val="bottom"/>
          </w:tcPr>
          <w:p>
            <w:pPr>
              <w:spacing w:after="0"/>
              <w:rPr>
                <w:sz w:val="24"/>
                <w:szCs w:val="24"/>
                <w:color w:val="auto"/>
              </w:rPr>
            </w:pPr>
          </w:p>
        </w:tc>
        <w:tc>
          <w:tcPr>
            <w:tcW w:w="1280" w:type="dxa"/>
            <w:vAlign w:val="bottom"/>
          </w:tcPr>
          <w:p>
            <w:pPr>
              <w:jc w:val="right"/>
              <w:ind w:right="128"/>
              <w:spacing w:after="0"/>
              <w:rPr>
                <w:sz w:val="20"/>
                <w:szCs w:val="20"/>
                <w:color w:val="auto"/>
              </w:rPr>
            </w:pPr>
            <w:r>
              <w:rPr>
                <w:rFonts w:ascii="Arial" w:cs="Arial" w:eastAsia="Arial" w:hAnsi="Arial"/>
                <w:sz w:val="14"/>
                <w:szCs w:val="14"/>
                <w:color w:val="auto"/>
              </w:rPr>
              <w:t>39,913</w:t>
            </w: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40,546</w:t>
            </w:r>
          </w:p>
        </w:tc>
        <w:tc>
          <w:tcPr>
            <w:tcW w:w="0" w:type="dxa"/>
            <w:vAlign w:val="bottom"/>
          </w:tcPr>
          <w:p>
            <w:pPr>
              <w:spacing w:after="0"/>
              <w:rPr>
                <w:sz w:val="1"/>
                <w:szCs w:val="1"/>
                <w:color w:val="auto"/>
              </w:rPr>
            </w:pPr>
          </w:p>
        </w:tc>
      </w:tr>
      <w:tr>
        <w:trPr>
          <w:trHeight w:val="182"/>
        </w:trPr>
        <w:tc>
          <w:tcPr>
            <w:tcW w:w="7100" w:type="dxa"/>
            <w:vAlign w:val="bottom"/>
          </w:tcPr>
          <w:p>
            <w:pPr>
              <w:spacing w:after="0"/>
              <w:rPr>
                <w:sz w:val="20"/>
                <w:szCs w:val="20"/>
                <w:color w:val="auto"/>
              </w:rPr>
            </w:pPr>
            <w:r>
              <w:rPr>
                <w:rFonts w:ascii="Arial" w:cs="Arial" w:eastAsia="Arial" w:hAnsi="Arial"/>
                <w:sz w:val="14"/>
                <w:szCs w:val="14"/>
                <w:color w:val="auto"/>
              </w:rPr>
              <w:t>Weighted average common shares outstanding - Diluted</w:t>
            </w:r>
          </w:p>
        </w:tc>
        <w:tc>
          <w:tcPr>
            <w:tcW w:w="720" w:type="dxa"/>
            <w:vAlign w:val="bottom"/>
          </w:tcPr>
          <w:p>
            <w:pPr>
              <w:spacing w:after="0"/>
              <w:rPr>
                <w:sz w:val="15"/>
                <w:szCs w:val="15"/>
                <w:color w:val="auto"/>
              </w:rPr>
            </w:pPr>
          </w:p>
        </w:tc>
        <w:tc>
          <w:tcPr>
            <w:tcW w:w="1280" w:type="dxa"/>
            <w:vAlign w:val="bottom"/>
          </w:tcPr>
          <w:p>
            <w:pPr>
              <w:jc w:val="right"/>
              <w:ind w:right="128"/>
              <w:spacing w:after="0"/>
              <w:rPr>
                <w:sz w:val="20"/>
                <w:szCs w:val="20"/>
                <w:color w:val="auto"/>
              </w:rPr>
            </w:pPr>
            <w:r>
              <w:rPr>
                <w:rFonts w:ascii="Arial" w:cs="Arial" w:eastAsia="Arial" w:hAnsi="Arial"/>
                <w:sz w:val="14"/>
                <w:szCs w:val="14"/>
                <w:color w:val="auto"/>
              </w:rPr>
              <w:t>40,216</w:t>
            </w: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41,045</w:t>
            </w:r>
          </w:p>
        </w:tc>
        <w:tc>
          <w:tcPr>
            <w:tcW w:w="0" w:type="dxa"/>
            <w:vAlign w:val="bottom"/>
          </w:tcPr>
          <w:p>
            <w:pPr>
              <w:spacing w:after="0"/>
              <w:rPr>
                <w:sz w:val="1"/>
                <w:szCs w:val="1"/>
                <w:color w:val="auto"/>
              </w:rPr>
            </w:pPr>
          </w:p>
        </w:tc>
      </w:tr>
      <w:tr>
        <w:trPr>
          <w:trHeight w:val="134"/>
        </w:trPr>
        <w:tc>
          <w:tcPr>
            <w:tcW w:w="7100" w:type="dxa"/>
            <w:vAlign w:val="bottom"/>
            <w:tcBorders>
              <w:bottom w:val="single" w:sz="8" w:color="9A9A9A"/>
            </w:tcBorders>
          </w:tcPr>
          <w:p>
            <w:pPr>
              <w:spacing w:after="0"/>
              <w:rPr>
                <w:sz w:val="11"/>
                <w:szCs w:val="11"/>
                <w:color w:val="auto"/>
              </w:rPr>
            </w:pPr>
          </w:p>
        </w:tc>
        <w:tc>
          <w:tcPr>
            <w:tcW w:w="720" w:type="dxa"/>
            <w:vAlign w:val="bottom"/>
            <w:tcBorders>
              <w:bottom w:val="single" w:sz="8" w:color="9A9A9A"/>
            </w:tcBorders>
          </w:tcPr>
          <w:p>
            <w:pPr>
              <w:spacing w:after="0"/>
              <w:rPr>
                <w:sz w:val="11"/>
                <w:szCs w:val="11"/>
                <w:color w:val="auto"/>
              </w:rPr>
            </w:pPr>
          </w:p>
        </w:tc>
        <w:tc>
          <w:tcPr>
            <w:tcW w:w="128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94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7100" w:type="dxa"/>
            <w:vAlign w:val="bottom"/>
            <w:tcBorders>
              <w:bottom w:val="single" w:sz="8" w:color="EEEEEE"/>
            </w:tcBorders>
          </w:tcPr>
          <w:p>
            <w:pPr>
              <w:spacing w:after="0" w:line="20" w:lineRule="exact"/>
              <w:rPr>
                <w:sz w:val="1"/>
                <w:szCs w:val="1"/>
                <w:color w:val="auto"/>
              </w:rPr>
            </w:pPr>
          </w:p>
        </w:tc>
        <w:tc>
          <w:tcPr>
            <w:tcW w:w="720" w:type="dxa"/>
            <w:vAlign w:val="bottom"/>
            <w:tcBorders>
              <w:bottom w:val="single" w:sz="8" w:color="EEEEEE"/>
            </w:tcBorders>
          </w:tcPr>
          <w:p>
            <w:pPr>
              <w:spacing w:after="0" w:line="20" w:lineRule="exact"/>
              <w:rPr>
                <w:sz w:val="1"/>
                <w:szCs w:val="1"/>
                <w:color w:val="auto"/>
              </w:rPr>
            </w:pPr>
          </w:p>
        </w:tc>
        <w:tc>
          <w:tcPr>
            <w:tcW w:w="128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1180" w:type="dxa"/>
            <w:vAlign w:val="bottom"/>
            <w:tcBorders>
              <w:bottom w:val="single" w:sz="8" w:color="EEEEEE"/>
            </w:tcBorders>
          </w:tcPr>
          <w:p>
            <w:pPr>
              <w:spacing w:after="0" w:line="20" w:lineRule="exact"/>
              <w:rPr>
                <w:sz w:val="1"/>
                <w:szCs w:val="1"/>
                <w:color w:val="auto"/>
              </w:rPr>
            </w:pPr>
          </w:p>
        </w:tc>
        <w:tc>
          <w:tcPr>
            <w:tcW w:w="94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4"/>
          <w:szCs w:val="14"/>
          <w:b w:val="1"/>
          <w:bCs w:val="1"/>
          <w:color w:val="auto"/>
        </w:rPr>
        <w:t>ITRON,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SEGMENT INFORMATION</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420" w:type="dxa"/>
            <w:vAlign w:val="bottom"/>
          </w:tcPr>
          <w:p>
            <w:pPr>
              <w:spacing w:after="0"/>
              <w:rPr>
                <w:sz w:val="20"/>
                <w:szCs w:val="20"/>
                <w:color w:val="auto"/>
              </w:rPr>
            </w:pPr>
            <w:r>
              <w:rPr>
                <w:rFonts w:ascii="Arial" w:cs="Arial" w:eastAsia="Arial" w:hAnsi="Arial"/>
                <w:sz w:val="14"/>
                <w:szCs w:val="14"/>
                <w:color w:val="auto"/>
              </w:rPr>
              <w:t>(Unaudited, in thousands)</w:t>
            </w:r>
          </w:p>
        </w:tc>
        <w:tc>
          <w:tcPr>
            <w:tcW w:w="27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80" w:type="dxa"/>
            <w:vAlign w:val="bottom"/>
            <w:gridSpan w:val="3"/>
            <w:vMerge w:val="restart"/>
          </w:tcPr>
          <w:p>
            <w:pPr>
              <w:jc w:val="right"/>
              <w:ind w:right="368"/>
              <w:spacing w:after="0"/>
              <w:rPr>
                <w:sz w:val="20"/>
                <w:szCs w:val="20"/>
                <w:color w:val="auto"/>
              </w:rPr>
            </w:pPr>
            <w:r>
              <w:rPr>
                <w:rFonts w:ascii="Arial" w:cs="Arial" w:eastAsia="Arial" w:hAnsi="Arial"/>
                <w:sz w:val="14"/>
                <w:szCs w:val="14"/>
                <w:b w:val="1"/>
                <w:bCs w:val="1"/>
                <w:color w:val="auto"/>
              </w:rPr>
              <w:t>Three Months Ended March 31,</w:t>
            </w: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4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2880" w:type="dxa"/>
            <w:vAlign w:val="bottom"/>
            <w:tcBorders>
              <w:bottom w:val="single" w:sz="8" w:color="auto"/>
            </w:tcBorders>
            <w:gridSpan w:val="3"/>
            <w:vMerge w:val="continue"/>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4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2012</w:t>
            </w:r>
          </w:p>
        </w:tc>
        <w:tc>
          <w:tcPr>
            <w:tcW w:w="240" w:type="dxa"/>
            <w:vAlign w:val="bottom"/>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164"/>
        </w:trPr>
        <w:tc>
          <w:tcPr>
            <w:tcW w:w="3420" w:type="dxa"/>
            <w:vAlign w:val="bottom"/>
          </w:tcPr>
          <w:p>
            <w:pPr>
              <w:spacing w:after="0"/>
              <w:rPr>
                <w:sz w:val="20"/>
                <w:szCs w:val="20"/>
                <w:color w:val="auto"/>
              </w:rPr>
            </w:pPr>
            <w:r>
              <w:rPr>
                <w:rFonts w:ascii="Arial" w:cs="Arial" w:eastAsia="Arial" w:hAnsi="Arial"/>
                <w:sz w:val="14"/>
                <w:szCs w:val="14"/>
                <w:b w:val="1"/>
                <w:bCs w:val="1"/>
                <w:color w:val="auto"/>
              </w:rPr>
              <w:t>Revenues</w:t>
            </w:r>
          </w:p>
        </w:tc>
        <w:tc>
          <w:tcPr>
            <w:tcW w:w="27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420" w:type="dxa"/>
            <w:vAlign w:val="bottom"/>
          </w:tcPr>
          <w:p>
            <w:pPr>
              <w:ind w:left="260"/>
              <w:spacing w:after="0"/>
              <w:rPr>
                <w:sz w:val="20"/>
                <w:szCs w:val="20"/>
                <w:color w:val="auto"/>
              </w:rPr>
            </w:pPr>
            <w:r>
              <w:rPr>
                <w:rFonts w:ascii="Arial" w:cs="Arial" w:eastAsia="Arial" w:hAnsi="Arial"/>
                <w:sz w:val="14"/>
                <w:szCs w:val="14"/>
                <w:color w:val="auto"/>
              </w:rPr>
              <w:t>Energy</w:t>
            </w:r>
          </w:p>
        </w:tc>
        <w:tc>
          <w:tcPr>
            <w:tcW w:w="27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20" w:type="dxa"/>
            <w:vAlign w:val="bottom"/>
          </w:tcPr>
          <w:p>
            <w:pPr>
              <w:ind w:left="1020"/>
              <w:spacing w:after="0"/>
              <w:rPr>
                <w:sz w:val="20"/>
                <w:szCs w:val="20"/>
                <w:color w:val="auto"/>
              </w:rPr>
            </w:pPr>
            <w:r>
              <w:rPr>
                <w:rFonts w:ascii="Arial" w:cs="Arial" w:eastAsia="Arial" w:hAnsi="Arial"/>
                <w:sz w:val="14"/>
                <w:szCs w:val="14"/>
                <w:color w:val="auto"/>
              </w:rPr>
              <w:t>Electricity</w:t>
            </w:r>
          </w:p>
        </w:tc>
        <w:tc>
          <w:tcPr>
            <w:tcW w:w="3920" w:type="dxa"/>
            <w:vAlign w:val="bottom"/>
            <w:gridSpan w:val="2"/>
          </w:tcPr>
          <w:p>
            <w:pPr>
              <w:jc w:val="right"/>
              <w:ind w:right="78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284,460</w:t>
            </w:r>
          </w:p>
        </w:tc>
        <w:tc>
          <w:tcPr>
            <w:tcW w:w="1620" w:type="dxa"/>
            <w:vAlign w:val="bottom"/>
            <w:gridSpan w:val="2"/>
          </w:tcPr>
          <w:p>
            <w:pPr>
              <w:jc w:val="right"/>
              <w:ind w:right="98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28"/>
              <w:spacing w:after="0"/>
              <w:rPr>
                <w:sz w:val="20"/>
                <w:szCs w:val="20"/>
                <w:color w:val="auto"/>
              </w:rPr>
            </w:pPr>
            <w:r>
              <w:rPr>
                <w:rFonts w:ascii="Arial" w:cs="Arial" w:eastAsia="Arial" w:hAnsi="Arial"/>
                <w:sz w:val="14"/>
                <w:szCs w:val="14"/>
                <w:color w:val="auto"/>
              </w:rPr>
              <w:t>275,571</w:t>
            </w:r>
          </w:p>
        </w:tc>
        <w:tc>
          <w:tcPr>
            <w:tcW w:w="0" w:type="dxa"/>
            <w:vAlign w:val="bottom"/>
          </w:tcPr>
          <w:p>
            <w:pPr>
              <w:spacing w:after="0"/>
              <w:rPr>
                <w:sz w:val="1"/>
                <w:szCs w:val="1"/>
                <w:color w:val="auto"/>
              </w:rPr>
            </w:pPr>
          </w:p>
        </w:tc>
      </w:tr>
      <w:tr>
        <w:trPr>
          <w:trHeight w:val="181"/>
        </w:trPr>
        <w:tc>
          <w:tcPr>
            <w:tcW w:w="3420" w:type="dxa"/>
            <w:vAlign w:val="bottom"/>
          </w:tcPr>
          <w:p>
            <w:pPr>
              <w:ind w:left="1020"/>
              <w:spacing w:after="0"/>
              <w:rPr>
                <w:sz w:val="20"/>
                <w:szCs w:val="20"/>
                <w:color w:val="auto"/>
              </w:rPr>
            </w:pPr>
            <w:r>
              <w:rPr>
                <w:rFonts w:ascii="Arial" w:cs="Arial" w:eastAsia="Arial" w:hAnsi="Arial"/>
                <w:sz w:val="14"/>
                <w:szCs w:val="14"/>
                <w:color w:val="auto"/>
              </w:rPr>
              <w:t>Gas</w:t>
            </w:r>
          </w:p>
        </w:tc>
        <w:tc>
          <w:tcPr>
            <w:tcW w:w="2740" w:type="dxa"/>
            <w:vAlign w:val="bottom"/>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153,287</w:t>
            </w:r>
          </w:p>
        </w:tc>
        <w:tc>
          <w:tcPr>
            <w:tcW w:w="240" w:type="dxa"/>
            <w:vAlign w:val="bottom"/>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156,245</w:t>
            </w:r>
          </w:p>
        </w:tc>
        <w:tc>
          <w:tcPr>
            <w:tcW w:w="0" w:type="dxa"/>
            <w:vAlign w:val="bottom"/>
          </w:tcPr>
          <w:p>
            <w:pPr>
              <w:spacing w:after="0"/>
              <w:rPr>
                <w:sz w:val="1"/>
                <w:szCs w:val="1"/>
                <w:color w:val="auto"/>
              </w:rPr>
            </w:pPr>
          </w:p>
        </w:tc>
      </w:tr>
      <w:tr>
        <w:trPr>
          <w:trHeight w:val="164"/>
        </w:trPr>
        <w:tc>
          <w:tcPr>
            <w:tcW w:w="3420" w:type="dxa"/>
            <w:vAlign w:val="bottom"/>
          </w:tcPr>
          <w:p>
            <w:pPr>
              <w:ind w:left="1580"/>
              <w:spacing w:after="0"/>
              <w:rPr>
                <w:sz w:val="20"/>
                <w:szCs w:val="20"/>
                <w:color w:val="auto"/>
              </w:rPr>
            </w:pPr>
            <w:r>
              <w:rPr>
                <w:rFonts w:ascii="Arial" w:cs="Arial" w:eastAsia="Arial" w:hAnsi="Arial"/>
                <w:sz w:val="14"/>
                <w:szCs w:val="14"/>
                <w:color w:val="auto"/>
              </w:rPr>
              <w:t>Total Energy</w:t>
            </w:r>
          </w:p>
        </w:tc>
        <w:tc>
          <w:tcPr>
            <w:tcW w:w="2740" w:type="dxa"/>
            <w:vAlign w:val="bottom"/>
          </w:tcPr>
          <w:p>
            <w:pPr>
              <w:spacing w:after="0"/>
              <w:rPr>
                <w:sz w:val="14"/>
                <w:szCs w:val="14"/>
                <w:color w:val="auto"/>
              </w:rPr>
            </w:pPr>
          </w:p>
        </w:tc>
        <w:tc>
          <w:tcPr>
            <w:tcW w:w="1180" w:type="dxa"/>
            <w:vAlign w:val="bottom"/>
          </w:tcPr>
          <w:p>
            <w:pPr>
              <w:jc w:val="right"/>
              <w:ind w:right="78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437,747</w:t>
            </w:r>
          </w:p>
        </w:tc>
        <w:tc>
          <w:tcPr>
            <w:tcW w:w="240" w:type="dxa"/>
            <w:vAlign w:val="bottom"/>
          </w:tcPr>
          <w:p>
            <w:pPr>
              <w:spacing w:after="0"/>
              <w:rPr>
                <w:sz w:val="14"/>
                <w:szCs w:val="14"/>
                <w:color w:val="auto"/>
              </w:rPr>
            </w:pPr>
          </w:p>
        </w:tc>
        <w:tc>
          <w:tcPr>
            <w:tcW w:w="1380" w:type="dxa"/>
            <w:vAlign w:val="bottom"/>
          </w:tcPr>
          <w:p>
            <w:pPr>
              <w:jc w:val="right"/>
              <w:ind w:right="98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28"/>
              <w:spacing w:after="0"/>
              <w:rPr>
                <w:sz w:val="20"/>
                <w:szCs w:val="20"/>
                <w:color w:val="auto"/>
              </w:rPr>
            </w:pPr>
            <w:r>
              <w:rPr>
                <w:rFonts w:ascii="Arial" w:cs="Arial" w:eastAsia="Arial" w:hAnsi="Arial"/>
                <w:sz w:val="14"/>
                <w:szCs w:val="14"/>
                <w:color w:val="auto"/>
              </w:rPr>
              <w:t>431,816</w:t>
            </w:r>
          </w:p>
        </w:tc>
        <w:tc>
          <w:tcPr>
            <w:tcW w:w="0" w:type="dxa"/>
            <w:vAlign w:val="bottom"/>
          </w:tcPr>
          <w:p>
            <w:pPr>
              <w:spacing w:after="0"/>
              <w:rPr>
                <w:sz w:val="1"/>
                <w:szCs w:val="1"/>
                <w:color w:val="auto"/>
              </w:rPr>
            </w:pPr>
          </w:p>
        </w:tc>
      </w:tr>
      <w:tr>
        <w:trPr>
          <w:trHeight w:val="181"/>
        </w:trPr>
        <w:tc>
          <w:tcPr>
            <w:tcW w:w="3420" w:type="dxa"/>
            <w:vAlign w:val="bottom"/>
          </w:tcPr>
          <w:p>
            <w:pPr>
              <w:ind w:left="260"/>
              <w:spacing w:after="0"/>
              <w:rPr>
                <w:sz w:val="20"/>
                <w:szCs w:val="20"/>
                <w:color w:val="auto"/>
              </w:rPr>
            </w:pPr>
            <w:r>
              <w:rPr>
                <w:rFonts w:ascii="Arial" w:cs="Arial" w:eastAsia="Arial" w:hAnsi="Arial"/>
                <w:sz w:val="14"/>
                <w:szCs w:val="14"/>
                <w:color w:val="auto"/>
              </w:rPr>
              <w:t>Water</w:t>
            </w:r>
          </w:p>
        </w:tc>
        <w:tc>
          <w:tcPr>
            <w:tcW w:w="2740" w:type="dxa"/>
            <w:vAlign w:val="bottom"/>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133,893</w:t>
            </w:r>
          </w:p>
        </w:tc>
        <w:tc>
          <w:tcPr>
            <w:tcW w:w="240" w:type="dxa"/>
            <w:vAlign w:val="bottom"/>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131,875</w:t>
            </w:r>
          </w:p>
        </w:tc>
        <w:tc>
          <w:tcPr>
            <w:tcW w:w="0" w:type="dxa"/>
            <w:vAlign w:val="bottom"/>
          </w:tcPr>
          <w:p>
            <w:pPr>
              <w:spacing w:after="0"/>
              <w:rPr>
                <w:sz w:val="1"/>
                <w:szCs w:val="1"/>
                <w:color w:val="auto"/>
              </w:rPr>
            </w:pPr>
          </w:p>
        </w:tc>
      </w:tr>
      <w:tr>
        <w:trPr>
          <w:trHeight w:val="169"/>
        </w:trPr>
        <w:tc>
          <w:tcPr>
            <w:tcW w:w="3420" w:type="dxa"/>
            <w:vAlign w:val="bottom"/>
          </w:tcPr>
          <w:p>
            <w:pPr>
              <w:ind w:left="1020"/>
              <w:spacing w:after="0"/>
              <w:rPr>
                <w:sz w:val="20"/>
                <w:szCs w:val="20"/>
                <w:color w:val="auto"/>
              </w:rPr>
            </w:pPr>
            <w:r>
              <w:rPr>
                <w:rFonts w:ascii="Arial" w:cs="Arial" w:eastAsia="Arial" w:hAnsi="Arial"/>
                <w:sz w:val="14"/>
                <w:szCs w:val="14"/>
                <w:color w:val="auto"/>
              </w:rPr>
              <w:t>Total Company</w:t>
            </w:r>
          </w:p>
        </w:tc>
        <w:tc>
          <w:tcPr>
            <w:tcW w:w="2740" w:type="dxa"/>
            <w:vAlign w:val="bottom"/>
          </w:tcPr>
          <w:p>
            <w:pPr>
              <w:spacing w:after="0"/>
              <w:rPr>
                <w:sz w:val="14"/>
                <w:szCs w:val="14"/>
                <w:color w:val="auto"/>
              </w:rPr>
            </w:pPr>
          </w:p>
        </w:tc>
        <w:tc>
          <w:tcPr>
            <w:tcW w:w="118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571,640</w:t>
            </w:r>
          </w:p>
        </w:tc>
        <w:tc>
          <w:tcPr>
            <w:tcW w:w="240" w:type="dxa"/>
            <w:vAlign w:val="bottom"/>
          </w:tcPr>
          <w:p>
            <w:pPr>
              <w:spacing w:after="0"/>
              <w:rPr>
                <w:sz w:val="14"/>
                <w:szCs w:val="14"/>
                <w:color w:val="auto"/>
              </w:rPr>
            </w:pPr>
          </w:p>
        </w:tc>
        <w:tc>
          <w:tcPr>
            <w:tcW w:w="1380" w:type="dxa"/>
            <w:vAlign w:val="bottom"/>
            <w:tcBorders>
              <w:bottom w:val="single" w:sz="8" w:color="auto"/>
            </w:tcBorders>
          </w:tcPr>
          <w:p>
            <w:pPr>
              <w:jc w:val="right"/>
              <w:ind w:right="9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563,691</w:t>
            </w:r>
          </w:p>
        </w:tc>
        <w:tc>
          <w:tcPr>
            <w:tcW w:w="0" w:type="dxa"/>
            <w:vAlign w:val="bottom"/>
          </w:tcPr>
          <w:p>
            <w:pPr>
              <w:spacing w:after="0"/>
              <w:rPr>
                <w:sz w:val="1"/>
                <w:szCs w:val="1"/>
                <w:color w:val="auto"/>
              </w:rPr>
            </w:pPr>
          </w:p>
        </w:tc>
      </w:tr>
      <w:tr>
        <w:trPr>
          <w:trHeight w:val="20"/>
        </w:trPr>
        <w:tc>
          <w:tcPr>
            <w:tcW w:w="3420" w:type="dxa"/>
            <w:vAlign w:val="bottom"/>
            <w:vMerge w:val="restart"/>
          </w:tcPr>
          <w:p>
            <w:pPr>
              <w:spacing w:after="0"/>
              <w:rPr>
                <w:sz w:val="20"/>
                <w:szCs w:val="20"/>
                <w:color w:val="auto"/>
              </w:rPr>
            </w:pPr>
            <w:r>
              <w:rPr>
                <w:rFonts w:ascii="Arial" w:cs="Arial" w:eastAsia="Arial" w:hAnsi="Arial"/>
                <w:sz w:val="14"/>
                <w:szCs w:val="14"/>
                <w:b w:val="1"/>
                <w:bCs w:val="1"/>
                <w:color w:val="auto"/>
              </w:rPr>
              <w:t>Gross profit</w:t>
            </w:r>
          </w:p>
        </w:tc>
        <w:tc>
          <w:tcPr>
            <w:tcW w:w="27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3420" w:type="dxa"/>
            <w:vAlign w:val="bottom"/>
            <w:vMerge w:val="continue"/>
          </w:tcPr>
          <w:p>
            <w:pPr>
              <w:spacing w:after="0"/>
              <w:rPr>
                <w:sz w:val="24"/>
                <w:szCs w:val="24"/>
                <w:color w:val="auto"/>
              </w:rPr>
            </w:pPr>
          </w:p>
        </w:tc>
        <w:tc>
          <w:tcPr>
            <w:tcW w:w="27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420" w:type="dxa"/>
            <w:vAlign w:val="bottom"/>
          </w:tcPr>
          <w:p>
            <w:pPr>
              <w:ind w:left="260"/>
              <w:spacing w:after="0"/>
              <w:rPr>
                <w:sz w:val="20"/>
                <w:szCs w:val="20"/>
                <w:color w:val="auto"/>
              </w:rPr>
            </w:pPr>
            <w:r>
              <w:rPr>
                <w:rFonts w:ascii="Arial" w:cs="Arial" w:eastAsia="Arial" w:hAnsi="Arial"/>
                <w:sz w:val="14"/>
                <w:szCs w:val="14"/>
                <w:color w:val="auto"/>
              </w:rPr>
              <w:t>Energy</w:t>
            </w:r>
          </w:p>
        </w:tc>
        <w:tc>
          <w:tcPr>
            <w:tcW w:w="3920" w:type="dxa"/>
            <w:vAlign w:val="bottom"/>
            <w:gridSpan w:val="2"/>
          </w:tcPr>
          <w:p>
            <w:pPr>
              <w:jc w:val="right"/>
              <w:ind w:right="78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134,603</w:t>
            </w:r>
          </w:p>
        </w:tc>
        <w:tc>
          <w:tcPr>
            <w:tcW w:w="1620" w:type="dxa"/>
            <w:vAlign w:val="bottom"/>
            <w:gridSpan w:val="2"/>
          </w:tcPr>
          <w:p>
            <w:pPr>
              <w:jc w:val="right"/>
              <w:ind w:right="98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28"/>
              <w:spacing w:after="0"/>
              <w:rPr>
                <w:sz w:val="20"/>
                <w:szCs w:val="20"/>
                <w:color w:val="auto"/>
              </w:rPr>
            </w:pPr>
            <w:r>
              <w:rPr>
                <w:rFonts w:ascii="Arial" w:cs="Arial" w:eastAsia="Arial" w:hAnsi="Arial"/>
                <w:sz w:val="14"/>
                <w:szCs w:val="14"/>
                <w:color w:val="auto"/>
              </w:rPr>
              <w:t>137,584</w:t>
            </w:r>
          </w:p>
        </w:tc>
        <w:tc>
          <w:tcPr>
            <w:tcW w:w="0" w:type="dxa"/>
            <w:vAlign w:val="bottom"/>
          </w:tcPr>
          <w:p>
            <w:pPr>
              <w:spacing w:after="0"/>
              <w:rPr>
                <w:sz w:val="1"/>
                <w:szCs w:val="1"/>
                <w:color w:val="auto"/>
              </w:rPr>
            </w:pPr>
          </w:p>
        </w:tc>
      </w:tr>
      <w:tr>
        <w:trPr>
          <w:trHeight w:val="181"/>
        </w:trPr>
        <w:tc>
          <w:tcPr>
            <w:tcW w:w="3420" w:type="dxa"/>
            <w:vAlign w:val="bottom"/>
          </w:tcPr>
          <w:p>
            <w:pPr>
              <w:ind w:left="260"/>
              <w:spacing w:after="0"/>
              <w:rPr>
                <w:sz w:val="20"/>
                <w:szCs w:val="20"/>
                <w:color w:val="auto"/>
              </w:rPr>
            </w:pPr>
            <w:r>
              <w:rPr>
                <w:rFonts w:ascii="Arial" w:cs="Arial" w:eastAsia="Arial" w:hAnsi="Arial"/>
                <w:sz w:val="14"/>
                <w:szCs w:val="14"/>
                <w:color w:val="auto"/>
              </w:rPr>
              <w:t>Water</w:t>
            </w:r>
          </w:p>
        </w:tc>
        <w:tc>
          <w:tcPr>
            <w:tcW w:w="2740" w:type="dxa"/>
            <w:vAlign w:val="bottom"/>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48,502</w:t>
            </w:r>
          </w:p>
        </w:tc>
        <w:tc>
          <w:tcPr>
            <w:tcW w:w="240" w:type="dxa"/>
            <w:vAlign w:val="bottom"/>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47,394</w:t>
            </w:r>
          </w:p>
        </w:tc>
        <w:tc>
          <w:tcPr>
            <w:tcW w:w="0" w:type="dxa"/>
            <w:vAlign w:val="bottom"/>
          </w:tcPr>
          <w:p>
            <w:pPr>
              <w:spacing w:after="0"/>
              <w:rPr>
                <w:sz w:val="1"/>
                <w:szCs w:val="1"/>
                <w:color w:val="auto"/>
              </w:rPr>
            </w:pPr>
          </w:p>
        </w:tc>
      </w:tr>
      <w:tr>
        <w:trPr>
          <w:trHeight w:val="169"/>
        </w:trPr>
        <w:tc>
          <w:tcPr>
            <w:tcW w:w="3420" w:type="dxa"/>
            <w:vAlign w:val="bottom"/>
          </w:tcPr>
          <w:p>
            <w:pPr>
              <w:ind w:left="1020"/>
              <w:spacing w:after="0"/>
              <w:rPr>
                <w:sz w:val="20"/>
                <w:szCs w:val="20"/>
                <w:color w:val="auto"/>
              </w:rPr>
            </w:pPr>
            <w:r>
              <w:rPr>
                <w:rFonts w:ascii="Arial" w:cs="Arial" w:eastAsia="Arial" w:hAnsi="Arial"/>
                <w:sz w:val="14"/>
                <w:szCs w:val="14"/>
                <w:color w:val="auto"/>
              </w:rPr>
              <w:t>Total Company</w:t>
            </w:r>
          </w:p>
        </w:tc>
        <w:tc>
          <w:tcPr>
            <w:tcW w:w="2740" w:type="dxa"/>
            <w:vAlign w:val="bottom"/>
          </w:tcPr>
          <w:p>
            <w:pPr>
              <w:spacing w:after="0"/>
              <w:rPr>
                <w:sz w:val="14"/>
                <w:szCs w:val="14"/>
                <w:color w:val="auto"/>
              </w:rPr>
            </w:pPr>
          </w:p>
        </w:tc>
        <w:tc>
          <w:tcPr>
            <w:tcW w:w="118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183,105</w:t>
            </w:r>
          </w:p>
        </w:tc>
        <w:tc>
          <w:tcPr>
            <w:tcW w:w="240" w:type="dxa"/>
            <w:vAlign w:val="bottom"/>
          </w:tcPr>
          <w:p>
            <w:pPr>
              <w:spacing w:after="0"/>
              <w:rPr>
                <w:sz w:val="14"/>
                <w:szCs w:val="14"/>
                <w:color w:val="auto"/>
              </w:rPr>
            </w:pPr>
          </w:p>
        </w:tc>
        <w:tc>
          <w:tcPr>
            <w:tcW w:w="1380" w:type="dxa"/>
            <w:vAlign w:val="bottom"/>
            <w:tcBorders>
              <w:bottom w:val="single" w:sz="8" w:color="auto"/>
            </w:tcBorders>
          </w:tcPr>
          <w:p>
            <w:pPr>
              <w:jc w:val="right"/>
              <w:ind w:right="9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184,978</w:t>
            </w:r>
          </w:p>
        </w:tc>
        <w:tc>
          <w:tcPr>
            <w:tcW w:w="0" w:type="dxa"/>
            <w:vAlign w:val="bottom"/>
          </w:tcPr>
          <w:p>
            <w:pPr>
              <w:spacing w:after="0"/>
              <w:rPr>
                <w:sz w:val="1"/>
                <w:szCs w:val="1"/>
                <w:color w:val="auto"/>
              </w:rPr>
            </w:pPr>
          </w:p>
        </w:tc>
      </w:tr>
      <w:tr>
        <w:trPr>
          <w:trHeight w:val="20"/>
        </w:trPr>
        <w:tc>
          <w:tcPr>
            <w:tcW w:w="3420" w:type="dxa"/>
            <w:vAlign w:val="bottom"/>
            <w:vMerge w:val="restart"/>
          </w:tcPr>
          <w:p>
            <w:pPr>
              <w:spacing w:after="0"/>
              <w:rPr>
                <w:sz w:val="20"/>
                <w:szCs w:val="20"/>
                <w:color w:val="auto"/>
              </w:rPr>
            </w:pPr>
            <w:r>
              <w:rPr>
                <w:rFonts w:ascii="Arial" w:cs="Arial" w:eastAsia="Arial" w:hAnsi="Arial"/>
                <w:sz w:val="14"/>
                <w:szCs w:val="14"/>
                <w:b w:val="1"/>
                <w:bCs w:val="1"/>
                <w:color w:val="auto"/>
              </w:rPr>
              <w:t>Operating income (loss)</w:t>
            </w:r>
          </w:p>
        </w:tc>
        <w:tc>
          <w:tcPr>
            <w:tcW w:w="27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3420" w:type="dxa"/>
            <w:vAlign w:val="bottom"/>
            <w:vMerge w:val="continue"/>
          </w:tcPr>
          <w:p>
            <w:pPr>
              <w:spacing w:after="0"/>
              <w:rPr>
                <w:sz w:val="24"/>
                <w:szCs w:val="24"/>
                <w:color w:val="auto"/>
              </w:rPr>
            </w:pPr>
          </w:p>
        </w:tc>
        <w:tc>
          <w:tcPr>
            <w:tcW w:w="27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420" w:type="dxa"/>
            <w:vAlign w:val="bottom"/>
          </w:tcPr>
          <w:p>
            <w:pPr>
              <w:ind w:left="260"/>
              <w:spacing w:after="0"/>
              <w:rPr>
                <w:sz w:val="20"/>
                <w:szCs w:val="20"/>
                <w:color w:val="auto"/>
              </w:rPr>
            </w:pPr>
            <w:r>
              <w:rPr>
                <w:rFonts w:ascii="Arial" w:cs="Arial" w:eastAsia="Arial" w:hAnsi="Arial"/>
                <w:sz w:val="14"/>
                <w:szCs w:val="14"/>
                <w:color w:val="auto"/>
              </w:rPr>
              <w:t>Energy</w:t>
            </w:r>
          </w:p>
        </w:tc>
        <w:tc>
          <w:tcPr>
            <w:tcW w:w="3920" w:type="dxa"/>
            <w:vAlign w:val="bottom"/>
            <w:gridSpan w:val="2"/>
          </w:tcPr>
          <w:p>
            <w:pPr>
              <w:jc w:val="right"/>
              <w:ind w:right="78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38,164</w:t>
            </w:r>
          </w:p>
        </w:tc>
        <w:tc>
          <w:tcPr>
            <w:tcW w:w="1620" w:type="dxa"/>
            <w:vAlign w:val="bottom"/>
            <w:gridSpan w:val="2"/>
          </w:tcPr>
          <w:p>
            <w:pPr>
              <w:jc w:val="right"/>
              <w:ind w:right="98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28"/>
              <w:spacing w:after="0"/>
              <w:rPr>
                <w:sz w:val="20"/>
                <w:szCs w:val="20"/>
                <w:color w:val="auto"/>
              </w:rPr>
            </w:pPr>
            <w:r>
              <w:rPr>
                <w:rFonts w:ascii="Arial" w:cs="Arial" w:eastAsia="Arial" w:hAnsi="Arial"/>
                <w:sz w:val="14"/>
                <w:szCs w:val="14"/>
                <w:color w:val="auto"/>
              </w:rPr>
              <w:t>43,168</w:t>
            </w:r>
          </w:p>
        </w:tc>
        <w:tc>
          <w:tcPr>
            <w:tcW w:w="0" w:type="dxa"/>
            <w:vAlign w:val="bottom"/>
          </w:tcPr>
          <w:p>
            <w:pPr>
              <w:spacing w:after="0"/>
              <w:rPr>
                <w:sz w:val="1"/>
                <w:szCs w:val="1"/>
                <w:color w:val="auto"/>
              </w:rPr>
            </w:pPr>
          </w:p>
        </w:tc>
      </w:tr>
      <w:tr>
        <w:trPr>
          <w:trHeight w:val="176"/>
        </w:trPr>
        <w:tc>
          <w:tcPr>
            <w:tcW w:w="3420" w:type="dxa"/>
            <w:vAlign w:val="bottom"/>
          </w:tcPr>
          <w:p>
            <w:pPr>
              <w:ind w:left="260"/>
              <w:spacing w:after="0"/>
              <w:rPr>
                <w:sz w:val="20"/>
                <w:szCs w:val="20"/>
                <w:color w:val="auto"/>
              </w:rPr>
            </w:pPr>
            <w:r>
              <w:rPr>
                <w:rFonts w:ascii="Arial" w:cs="Arial" w:eastAsia="Arial" w:hAnsi="Arial"/>
                <w:sz w:val="14"/>
                <w:szCs w:val="14"/>
                <w:color w:val="auto"/>
              </w:rPr>
              <w:t>Water</w:t>
            </w:r>
          </w:p>
        </w:tc>
        <w:tc>
          <w:tcPr>
            <w:tcW w:w="27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15,937</w:t>
            </w:r>
          </w:p>
        </w:tc>
        <w:tc>
          <w:tcPr>
            <w:tcW w:w="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0" w:type="dxa"/>
            <w:vAlign w:val="bottom"/>
          </w:tcPr>
          <w:p>
            <w:pPr>
              <w:jc w:val="right"/>
              <w:ind w:right="228"/>
              <w:spacing w:after="0"/>
              <w:rPr>
                <w:sz w:val="20"/>
                <w:szCs w:val="20"/>
                <w:color w:val="auto"/>
              </w:rPr>
            </w:pPr>
            <w:r>
              <w:rPr>
                <w:rFonts w:ascii="Arial" w:cs="Arial" w:eastAsia="Arial" w:hAnsi="Arial"/>
                <w:sz w:val="14"/>
                <w:szCs w:val="14"/>
                <w:color w:val="auto"/>
              </w:rPr>
              <w:t>16,854</w:t>
            </w:r>
          </w:p>
        </w:tc>
        <w:tc>
          <w:tcPr>
            <w:tcW w:w="0" w:type="dxa"/>
            <w:vAlign w:val="bottom"/>
          </w:tcPr>
          <w:p>
            <w:pPr>
              <w:spacing w:after="0"/>
              <w:rPr>
                <w:sz w:val="1"/>
                <w:szCs w:val="1"/>
                <w:color w:val="auto"/>
              </w:rPr>
            </w:pPr>
          </w:p>
        </w:tc>
      </w:tr>
      <w:tr>
        <w:trPr>
          <w:trHeight w:val="181"/>
        </w:trPr>
        <w:tc>
          <w:tcPr>
            <w:tcW w:w="3420" w:type="dxa"/>
            <w:vAlign w:val="bottom"/>
          </w:tcPr>
          <w:p>
            <w:pPr>
              <w:ind w:left="260"/>
              <w:spacing w:after="0"/>
              <w:rPr>
                <w:sz w:val="20"/>
                <w:szCs w:val="20"/>
                <w:color w:val="auto"/>
              </w:rPr>
            </w:pPr>
            <w:r>
              <w:rPr>
                <w:rFonts w:ascii="Arial" w:cs="Arial" w:eastAsia="Arial" w:hAnsi="Arial"/>
                <w:sz w:val="14"/>
                <w:szCs w:val="14"/>
                <w:color w:val="auto"/>
              </w:rPr>
              <w:t>Corporate unallocated</w:t>
            </w:r>
          </w:p>
        </w:tc>
        <w:tc>
          <w:tcPr>
            <w:tcW w:w="2740" w:type="dxa"/>
            <w:vAlign w:val="bottom"/>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(14,480)</w:t>
            </w:r>
          </w:p>
        </w:tc>
        <w:tc>
          <w:tcPr>
            <w:tcW w:w="240" w:type="dxa"/>
            <w:vAlign w:val="bottom"/>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(9,933)</w:t>
            </w:r>
          </w:p>
        </w:tc>
        <w:tc>
          <w:tcPr>
            <w:tcW w:w="0" w:type="dxa"/>
            <w:vAlign w:val="bottom"/>
          </w:tcPr>
          <w:p>
            <w:pPr>
              <w:spacing w:after="0"/>
              <w:rPr>
                <w:sz w:val="1"/>
                <w:szCs w:val="1"/>
                <w:color w:val="auto"/>
              </w:rPr>
            </w:pPr>
          </w:p>
        </w:tc>
      </w:tr>
      <w:tr>
        <w:trPr>
          <w:trHeight w:val="169"/>
        </w:trPr>
        <w:tc>
          <w:tcPr>
            <w:tcW w:w="3420" w:type="dxa"/>
            <w:vAlign w:val="bottom"/>
          </w:tcPr>
          <w:p>
            <w:pPr>
              <w:ind w:left="1020"/>
              <w:spacing w:after="0"/>
              <w:rPr>
                <w:sz w:val="20"/>
                <w:szCs w:val="20"/>
                <w:color w:val="auto"/>
              </w:rPr>
            </w:pPr>
            <w:r>
              <w:rPr>
                <w:rFonts w:ascii="Arial" w:cs="Arial" w:eastAsia="Arial" w:hAnsi="Arial"/>
                <w:sz w:val="14"/>
                <w:szCs w:val="14"/>
                <w:color w:val="auto"/>
              </w:rPr>
              <w:t>Total Company</w:t>
            </w:r>
          </w:p>
        </w:tc>
        <w:tc>
          <w:tcPr>
            <w:tcW w:w="2740" w:type="dxa"/>
            <w:vAlign w:val="bottom"/>
          </w:tcPr>
          <w:p>
            <w:pPr>
              <w:spacing w:after="0"/>
              <w:rPr>
                <w:sz w:val="14"/>
                <w:szCs w:val="14"/>
                <w:color w:val="auto"/>
              </w:rPr>
            </w:pPr>
          </w:p>
        </w:tc>
        <w:tc>
          <w:tcPr>
            <w:tcW w:w="118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39,621</w:t>
            </w:r>
          </w:p>
        </w:tc>
        <w:tc>
          <w:tcPr>
            <w:tcW w:w="240" w:type="dxa"/>
            <w:vAlign w:val="bottom"/>
          </w:tcPr>
          <w:p>
            <w:pPr>
              <w:spacing w:after="0"/>
              <w:rPr>
                <w:sz w:val="14"/>
                <w:szCs w:val="14"/>
                <w:color w:val="auto"/>
              </w:rPr>
            </w:pPr>
          </w:p>
        </w:tc>
        <w:tc>
          <w:tcPr>
            <w:tcW w:w="1380" w:type="dxa"/>
            <w:vAlign w:val="bottom"/>
            <w:tcBorders>
              <w:bottom w:val="single" w:sz="8" w:color="auto"/>
            </w:tcBorders>
          </w:tcPr>
          <w:p>
            <w:pPr>
              <w:jc w:val="right"/>
              <w:ind w:right="9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50,089</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9"/>
        </w:trPr>
        <w:tc>
          <w:tcPr>
            <w:tcW w:w="3420" w:type="dxa"/>
            <w:vAlign w:val="bottom"/>
          </w:tcPr>
          <w:p>
            <w:pPr>
              <w:spacing w:after="0"/>
              <w:rPr>
                <w:sz w:val="24"/>
                <w:szCs w:val="24"/>
                <w:color w:val="auto"/>
              </w:rPr>
            </w:pPr>
          </w:p>
        </w:tc>
        <w:tc>
          <w:tcPr>
            <w:tcW w:w="3920" w:type="dxa"/>
            <w:vAlign w:val="bottom"/>
            <w:gridSpan w:val="2"/>
          </w:tcPr>
          <w:p>
            <w:pPr>
              <w:jc w:val="right"/>
              <w:ind w:right="388"/>
              <w:spacing w:after="0"/>
              <w:rPr>
                <w:sz w:val="20"/>
                <w:szCs w:val="20"/>
                <w:color w:val="auto"/>
              </w:rPr>
            </w:pPr>
            <w:r>
              <w:rPr>
                <w:rFonts w:ascii="Arial" w:cs="Arial" w:eastAsia="Arial" w:hAnsi="Arial"/>
                <w:sz w:val="14"/>
                <w:szCs w:val="14"/>
                <w:b w:val="1"/>
                <w:bCs w:val="1"/>
                <w:color w:val="auto"/>
              </w:rPr>
              <w:t>METER AND MODULE SUMMARY</w:t>
            </w: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3420" w:type="dxa"/>
            <w:vAlign w:val="bottom"/>
          </w:tcPr>
          <w:p>
            <w:pPr>
              <w:spacing w:after="0"/>
              <w:rPr>
                <w:sz w:val="20"/>
                <w:szCs w:val="20"/>
                <w:color w:val="auto"/>
              </w:rPr>
            </w:pPr>
            <w:r>
              <w:rPr>
                <w:rFonts w:ascii="Arial" w:cs="Arial" w:eastAsia="Arial" w:hAnsi="Arial"/>
                <w:sz w:val="14"/>
                <w:szCs w:val="14"/>
                <w:color w:val="auto"/>
              </w:rPr>
              <w:t>(Units in thousands)</w:t>
            </w:r>
          </w:p>
        </w:tc>
        <w:tc>
          <w:tcPr>
            <w:tcW w:w="27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80" w:type="dxa"/>
            <w:vAlign w:val="bottom"/>
            <w:gridSpan w:val="3"/>
            <w:vMerge w:val="restart"/>
          </w:tcPr>
          <w:p>
            <w:pPr>
              <w:jc w:val="right"/>
              <w:ind w:right="368"/>
              <w:spacing w:after="0"/>
              <w:rPr>
                <w:sz w:val="20"/>
                <w:szCs w:val="20"/>
                <w:color w:val="auto"/>
              </w:rPr>
            </w:pPr>
            <w:r>
              <w:rPr>
                <w:rFonts w:ascii="Arial" w:cs="Arial" w:eastAsia="Arial" w:hAnsi="Arial"/>
                <w:sz w:val="14"/>
                <w:szCs w:val="14"/>
                <w:b w:val="1"/>
                <w:bCs w:val="1"/>
                <w:color w:val="auto"/>
              </w:rPr>
              <w:t>Three Months Ended March 31,</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34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2880" w:type="dxa"/>
            <w:vAlign w:val="bottom"/>
            <w:tcBorders>
              <w:bottom w:val="single" w:sz="8" w:color="auto"/>
            </w:tcBorders>
            <w:gridSpan w:val="3"/>
            <w:vMerge w:val="continue"/>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4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2012</w:t>
            </w:r>
          </w:p>
        </w:tc>
        <w:tc>
          <w:tcPr>
            <w:tcW w:w="240" w:type="dxa"/>
            <w:vAlign w:val="bottom"/>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164"/>
        </w:trPr>
        <w:tc>
          <w:tcPr>
            <w:tcW w:w="3420" w:type="dxa"/>
            <w:vAlign w:val="bottom"/>
          </w:tcPr>
          <w:p>
            <w:pPr>
              <w:spacing w:after="0"/>
              <w:rPr>
                <w:sz w:val="20"/>
                <w:szCs w:val="20"/>
                <w:color w:val="auto"/>
              </w:rPr>
            </w:pPr>
            <w:r>
              <w:rPr>
                <w:rFonts w:ascii="Arial" w:cs="Arial" w:eastAsia="Arial" w:hAnsi="Arial"/>
                <w:sz w:val="14"/>
                <w:szCs w:val="14"/>
                <w:b w:val="1"/>
                <w:bCs w:val="1"/>
                <w:color w:val="auto"/>
              </w:rPr>
              <w:t>Meters</w:t>
            </w:r>
          </w:p>
        </w:tc>
        <w:tc>
          <w:tcPr>
            <w:tcW w:w="27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420" w:type="dxa"/>
            <w:vAlign w:val="bottom"/>
          </w:tcPr>
          <w:p>
            <w:pPr>
              <w:ind w:left="260"/>
              <w:spacing w:after="0"/>
              <w:rPr>
                <w:sz w:val="20"/>
                <w:szCs w:val="20"/>
                <w:color w:val="auto"/>
              </w:rPr>
            </w:pPr>
            <w:r>
              <w:rPr>
                <w:rFonts w:ascii="Arial" w:cs="Arial" w:eastAsia="Arial" w:hAnsi="Arial"/>
                <w:sz w:val="14"/>
                <w:szCs w:val="14"/>
                <w:color w:val="auto"/>
              </w:rPr>
              <w:t>Standard</w:t>
            </w:r>
          </w:p>
        </w:tc>
        <w:tc>
          <w:tcPr>
            <w:tcW w:w="27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4,880</w:t>
            </w:r>
          </w:p>
        </w:tc>
        <w:tc>
          <w:tcPr>
            <w:tcW w:w="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0" w:type="dxa"/>
            <w:vAlign w:val="bottom"/>
          </w:tcPr>
          <w:p>
            <w:pPr>
              <w:jc w:val="right"/>
              <w:ind w:right="228"/>
              <w:spacing w:after="0"/>
              <w:rPr>
                <w:sz w:val="20"/>
                <w:szCs w:val="20"/>
                <w:color w:val="auto"/>
              </w:rPr>
            </w:pPr>
            <w:r>
              <w:rPr>
                <w:rFonts w:ascii="Arial" w:cs="Arial" w:eastAsia="Arial" w:hAnsi="Arial"/>
                <w:sz w:val="14"/>
                <w:szCs w:val="14"/>
                <w:color w:val="auto"/>
              </w:rPr>
              <w:t>4,870</w:t>
            </w:r>
          </w:p>
        </w:tc>
        <w:tc>
          <w:tcPr>
            <w:tcW w:w="0" w:type="dxa"/>
            <w:vAlign w:val="bottom"/>
          </w:tcPr>
          <w:p>
            <w:pPr>
              <w:spacing w:after="0"/>
              <w:rPr>
                <w:sz w:val="1"/>
                <w:szCs w:val="1"/>
                <w:color w:val="auto"/>
              </w:rPr>
            </w:pPr>
          </w:p>
        </w:tc>
      </w:tr>
      <w:tr>
        <w:trPr>
          <w:trHeight w:val="181"/>
        </w:trPr>
        <w:tc>
          <w:tcPr>
            <w:tcW w:w="3420" w:type="dxa"/>
            <w:vAlign w:val="bottom"/>
          </w:tcPr>
          <w:p>
            <w:pPr>
              <w:ind w:left="260"/>
              <w:spacing w:after="0"/>
              <w:rPr>
                <w:sz w:val="20"/>
                <w:szCs w:val="20"/>
                <w:color w:val="auto"/>
              </w:rPr>
            </w:pPr>
            <w:r>
              <w:rPr>
                <w:rFonts w:ascii="Arial" w:cs="Arial" w:eastAsia="Arial" w:hAnsi="Arial"/>
                <w:sz w:val="14"/>
                <w:szCs w:val="14"/>
                <w:color w:val="auto"/>
              </w:rPr>
              <w:t>Advanced and Smart</w:t>
            </w:r>
          </w:p>
        </w:tc>
        <w:tc>
          <w:tcPr>
            <w:tcW w:w="2740" w:type="dxa"/>
            <w:vAlign w:val="bottom"/>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2,250</w:t>
            </w:r>
          </w:p>
        </w:tc>
        <w:tc>
          <w:tcPr>
            <w:tcW w:w="240" w:type="dxa"/>
            <w:vAlign w:val="bottom"/>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1,890</w:t>
            </w:r>
          </w:p>
        </w:tc>
        <w:tc>
          <w:tcPr>
            <w:tcW w:w="0" w:type="dxa"/>
            <w:vAlign w:val="bottom"/>
          </w:tcPr>
          <w:p>
            <w:pPr>
              <w:spacing w:after="0"/>
              <w:rPr>
                <w:sz w:val="1"/>
                <w:szCs w:val="1"/>
                <w:color w:val="auto"/>
              </w:rPr>
            </w:pPr>
          </w:p>
        </w:tc>
      </w:tr>
      <w:tr>
        <w:trPr>
          <w:trHeight w:val="169"/>
        </w:trPr>
        <w:tc>
          <w:tcPr>
            <w:tcW w:w="3420" w:type="dxa"/>
            <w:vAlign w:val="bottom"/>
          </w:tcPr>
          <w:p>
            <w:pPr>
              <w:ind w:left="1020"/>
              <w:spacing w:after="0"/>
              <w:rPr>
                <w:sz w:val="20"/>
                <w:szCs w:val="20"/>
                <w:color w:val="auto"/>
              </w:rPr>
            </w:pPr>
            <w:r>
              <w:rPr>
                <w:rFonts w:ascii="Arial" w:cs="Arial" w:eastAsia="Arial" w:hAnsi="Arial"/>
                <w:sz w:val="14"/>
                <w:szCs w:val="14"/>
                <w:color w:val="auto"/>
              </w:rPr>
              <w:t>Total meters</w:t>
            </w:r>
          </w:p>
        </w:tc>
        <w:tc>
          <w:tcPr>
            <w:tcW w:w="2740" w:type="dxa"/>
            <w:vAlign w:val="bottom"/>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7,130</w:t>
            </w:r>
          </w:p>
        </w:tc>
        <w:tc>
          <w:tcPr>
            <w:tcW w:w="240" w:type="dxa"/>
            <w:vAlign w:val="bottom"/>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6,760</w:t>
            </w:r>
          </w:p>
        </w:tc>
        <w:tc>
          <w:tcPr>
            <w:tcW w:w="0" w:type="dxa"/>
            <w:vAlign w:val="bottom"/>
          </w:tcPr>
          <w:p>
            <w:pPr>
              <w:spacing w:after="0"/>
              <w:rPr>
                <w:sz w:val="1"/>
                <w:szCs w:val="1"/>
                <w:color w:val="auto"/>
              </w:rPr>
            </w:pPr>
          </w:p>
        </w:tc>
      </w:tr>
      <w:tr>
        <w:trPr>
          <w:trHeight w:val="20"/>
        </w:trPr>
        <w:tc>
          <w:tcPr>
            <w:tcW w:w="3420" w:type="dxa"/>
            <w:vAlign w:val="bottom"/>
            <w:vMerge w:val="restart"/>
          </w:tcPr>
          <w:p>
            <w:pPr>
              <w:spacing w:after="0"/>
              <w:rPr>
                <w:sz w:val="20"/>
                <w:szCs w:val="20"/>
                <w:color w:val="auto"/>
              </w:rPr>
            </w:pPr>
            <w:r>
              <w:rPr>
                <w:rFonts w:ascii="Arial" w:cs="Arial" w:eastAsia="Arial" w:hAnsi="Arial"/>
                <w:sz w:val="14"/>
                <w:szCs w:val="14"/>
                <w:b w:val="1"/>
                <w:bCs w:val="1"/>
                <w:color w:val="auto"/>
              </w:rPr>
              <w:t>Stand-alone communication modules</w:t>
            </w:r>
          </w:p>
        </w:tc>
        <w:tc>
          <w:tcPr>
            <w:tcW w:w="27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3420" w:type="dxa"/>
            <w:vAlign w:val="bottom"/>
            <w:vMerge w:val="continue"/>
          </w:tcPr>
          <w:p>
            <w:pPr>
              <w:spacing w:after="0"/>
              <w:rPr>
                <w:sz w:val="24"/>
                <w:szCs w:val="24"/>
                <w:color w:val="auto"/>
              </w:rPr>
            </w:pPr>
          </w:p>
        </w:tc>
        <w:tc>
          <w:tcPr>
            <w:tcW w:w="27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3420" w:type="dxa"/>
            <w:vAlign w:val="bottom"/>
          </w:tcPr>
          <w:p>
            <w:pPr>
              <w:ind w:left="1020"/>
              <w:spacing w:after="0"/>
              <w:rPr>
                <w:sz w:val="20"/>
                <w:szCs w:val="20"/>
                <w:color w:val="auto"/>
              </w:rPr>
            </w:pPr>
            <w:r>
              <w:rPr>
                <w:rFonts w:ascii="Arial" w:cs="Arial" w:eastAsia="Arial" w:hAnsi="Arial"/>
                <w:sz w:val="14"/>
                <w:szCs w:val="14"/>
                <w:color w:val="auto"/>
              </w:rPr>
              <w:t>Advanced and Smart</w:t>
            </w:r>
          </w:p>
        </w:tc>
        <w:tc>
          <w:tcPr>
            <w:tcW w:w="2740" w:type="dxa"/>
            <w:vAlign w:val="bottom"/>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1,590</w:t>
            </w:r>
          </w:p>
        </w:tc>
        <w:tc>
          <w:tcPr>
            <w:tcW w:w="240" w:type="dxa"/>
            <w:vAlign w:val="bottom"/>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1,430</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3420" w:type="dxa"/>
            <w:vAlign w:val="bottom"/>
            <w:tcBorders>
              <w:bottom w:val="single" w:sz="8" w:color="9A9A9A"/>
            </w:tcBorders>
          </w:tcPr>
          <w:p>
            <w:pPr>
              <w:spacing w:after="0"/>
              <w:rPr>
                <w:sz w:val="10"/>
                <w:szCs w:val="10"/>
                <w:color w:val="auto"/>
              </w:rPr>
            </w:pPr>
          </w:p>
        </w:tc>
        <w:tc>
          <w:tcPr>
            <w:tcW w:w="27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3420" w:type="dxa"/>
            <w:vAlign w:val="bottom"/>
            <w:tcBorders>
              <w:bottom w:val="single" w:sz="8" w:color="EEEEEE"/>
            </w:tcBorders>
          </w:tcPr>
          <w:p>
            <w:pPr>
              <w:spacing w:after="0" w:line="20" w:lineRule="exact"/>
              <w:rPr>
                <w:sz w:val="1"/>
                <w:szCs w:val="1"/>
                <w:color w:val="auto"/>
              </w:rPr>
            </w:pPr>
          </w:p>
        </w:tc>
        <w:tc>
          <w:tcPr>
            <w:tcW w:w="2740" w:type="dxa"/>
            <w:vAlign w:val="bottom"/>
            <w:tcBorders>
              <w:bottom w:val="single" w:sz="8" w:color="EEEEEE"/>
            </w:tcBorders>
          </w:tcPr>
          <w:p>
            <w:pPr>
              <w:spacing w:after="0" w:line="20" w:lineRule="exact"/>
              <w:rPr>
                <w:sz w:val="1"/>
                <w:szCs w:val="1"/>
                <w:color w:val="auto"/>
              </w:rPr>
            </w:pPr>
          </w:p>
        </w:tc>
        <w:tc>
          <w:tcPr>
            <w:tcW w:w="1180" w:type="dxa"/>
            <w:vAlign w:val="bottom"/>
            <w:tcBorders>
              <w:bottom w:val="single" w:sz="8" w:color="EEEEEE"/>
            </w:tcBorders>
          </w:tcPr>
          <w:p>
            <w:pPr>
              <w:spacing w:after="0" w:line="20" w:lineRule="exact"/>
              <w:rPr>
                <w:sz w:val="1"/>
                <w:szCs w:val="1"/>
                <w:color w:val="auto"/>
              </w:rPr>
            </w:pPr>
          </w:p>
        </w:tc>
        <w:tc>
          <w:tcPr>
            <w:tcW w:w="126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1380" w:type="dxa"/>
            <w:vAlign w:val="bottom"/>
            <w:tcBorders>
              <w:bottom w:val="single" w:sz="8" w:color="EEEEEE"/>
            </w:tcBorders>
          </w:tcPr>
          <w:p>
            <w:pPr>
              <w:spacing w:after="0" w:line="20" w:lineRule="exact"/>
              <w:rPr>
                <w:sz w:val="1"/>
                <w:szCs w:val="1"/>
                <w:color w:val="auto"/>
              </w:rPr>
            </w:pPr>
          </w:p>
        </w:tc>
        <w:tc>
          <w:tcPr>
            <w:tcW w:w="120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4"/>
          <w:szCs w:val="14"/>
          <w:b w:val="1"/>
          <w:bCs w:val="1"/>
          <w:color w:val="auto"/>
        </w:rPr>
        <w:t>ITRON,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BALANCE SHEETS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740" w:type="dxa"/>
            <w:vAlign w:val="bottom"/>
          </w:tcPr>
          <w:p>
            <w:pPr>
              <w:spacing w:after="0"/>
              <w:rPr>
                <w:sz w:val="20"/>
                <w:szCs w:val="20"/>
                <w:color w:val="auto"/>
              </w:rPr>
            </w:pPr>
            <w:r>
              <w:rPr>
                <w:rFonts w:ascii="Arial" w:cs="Arial" w:eastAsia="Arial" w:hAnsi="Arial"/>
                <w:sz w:val="14"/>
                <w:szCs w:val="14"/>
                <w:color w:val="auto"/>
              </w:rPr>
              <w:t>(Unaudited, in thousands)</w:t>
            </w:r>
          </w:p>
        </w:tc>
        <w:tc>
          <w:tcPr>
            <w:tcW w:w="360" w:type="dxa"/>
            <w:vAlign w:val="bottom"/>
          </w:tcPr>
          <w:p>
            <w:pPr>
              <w:spacing w:after="0"/>
              <w:rPr>
                <w:sz w:val="15"/>
                <w:szCs w:val="15"/>
                <w:color w:val="auto"/>
              </w:rPr>
            </w:pPr>
          </w:p>
        </w:tc>
        <w:tc>
          <w:tcPr>
            <w:tcW w:w="1660" w:type="dxa"/>
            <w:vAlign w:val="bottom"/>
            <w:vMerge w:val="restart"/>
          </w:tcPr>
          <w:p>
            <w:pPr>
              <w:jc w:val="right"/>
              <w:ind w:right="468"/>
              <w:spacing w:after="0"/>
              <w:rPr>
                <w:sz w:val="20"/>
                <w:szCs w:val="20"/>
                <w:color w:val="auto"/>
              </w:rPr>
            </w:pPr>
            <w:r>
              <w:rPr>
                <w:rFonts w:ascii="Arial" w:cs="Arial" w:eastAsia="Arial" w:hAnsi="Arial"/>
                <w:sz w:val="14"/>
                <w:szCs w:val="14"/>
                <w:b w:val="1"/>
                <w:bCs w:val="1"/>
                <w:color w:val="auto"/>
              </w:rPr>
              <w:t>March 31, 2012</w:t>
            </w: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60" w:type="dxa"/>
            <w:vAlign w:val="bottom"/>
            <w:vMerge w:val="restart"/>
          </w:tcPr>
          <w:p>
            <w:pPr>
              <w:jc w:val="right"/>
              <w:ind w:right="628"/>
              <w:spacing w:after="0"/>
              <w:rPr>
                <w:sz w:val="20"/>
                <w:szCs w:val="20"/>
                <w:color w:val="auto"/>
              </w:rPr>
            </w:pPr>
            <w:r>
              <w:rPr>
                <w:rFonts w:ascii="Arial" w:cs="Arial" w:eastAsia="Arial" w:hAnsi="Arial"/>
                <w:sz w:val="14"/>
                <w:szCs w:val="14"/>
                <w:b w:val="1"/>
                <w:bCs w:val="1"/>
                <w:color w:val="auto"/>
              </w:rPr>
              <w:t>December 31, 2011</w:t>
            </w:r>
          </w:p>
        </w:tc>
        <w:tc>
          <w:tcPr>
            <w:tcW w:w="0" w:type="dxa"/>
            <w:vAlign w:val="bottom"/>
          </w:tcPr>
          <w:p>
            <w:pPr>
              <w:spacing w:after="0"/>
              <w:rPr>
                <w:sz w:val="1"/>
                <w:szCs w:val="1"/>
                <w:color w:val="auto"/>
              </w:rPr>
            </w:pPr>
          </w:p>
        </w:tc>
      </w:tr>
      <w:tr>
        <w:trPr>
          <w:trHeight w:val="174"/>
        </w:trPr>
        <w:tc>
          <w:tcPr>
            <w:tcW w:w="67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6740" w:type="dxa"/>
            <w:vAlign w:val="bottom"/>
          </w:tcPr>
          <w:p>
            <w:pPr>
              <w:ind w:left="340"/>
              <w:spacing w:after="0"/>
              <w:rPr>
                <w:sz w:val="20"/>
                <w:szCs w:val="20"/>
                <w:color w:val="auto"/>
              </w:rPr>
            </w:pPr>
            <w:r>
              <w:rPr>
                <w:rFonts w:ascii="Arial" w:cs="Arial" w:eastAsia="Arial" w:hAnsi="Arial"/>
                <w:sz w:val="14"/>
                <w:szCs w:val="14"/>
                <w:b w:val="1"/>
                <w:bCs w:val="1"/>
                <w:color w:val="auto"/>
              </w:rPr>
              <w:t>ASSETS</w:t>
            </w:r>
          </w:p>
        </w:tc>
        <w:tc>
          <w:tcPr>
            <w:tcW w:w="3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740" w:type="dxa"/>
            <w:vAlign w:val="bottom"/>
          </w:tcPr>
          <w:p>
            <w:pPr>
              <w:spacing w:after="0"/>
              <w:rPr>
                <w:sz w:val="20"/>
                <w:szCs w:val="20"/>
                <w:color w:val="auto"/>
              </w:rPr>
            </w:pPr>
            <w:r>
              <w:rPr>
                <w:rFonts w:ascii="Arial" w:cs="Arial" w:eastAsia="Arial" w:hAnsi="Arial"/>
                <w:sz w:val="14"/>
                <w:szCs w:val="14"/>
                <w:color w:val="auto"/>
              </w:rPr>
              <w:t>Current assets</w:t>
            </w:r>
          </w:p>
        </w:tc>
        <w:tc>
          <w:tcPr>
            <w:tcW w:w="3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40" w:type="dxa"/>
            <w:vAlign w:val="bottom"/>
          </w:tcPr>
          <w:p>
            <w:pPr>
              <w:ind w:left="840"/>
              <w:spacing w:after="0"/>
              <w:rPr>
                <w:sz w:val="20"/>
                <w:szCs w:val="20"/>
                <w:color w:val="auto"/>
              </w:rPr>
            </w:pPr>
            <w:r>
              <w:rPr>
                <w:rFonts w:ascii="Arial" w:cs="Arial" w:eastAsia="Arial" w:hAnsi="Arial"/>
                <w:sz w:val="14"/>
                <w:szCs w:val="14"/>
                <w:color w:val="auto"/>
              </w:rPr>
              <w:t>Cash and cash equivalents</w:t>
            </w:r>
          </w:p>
        </w:tc>
        <w:tc>
          <w:tcPr>
            <w:tcW w:w="3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660" w:type="dxa"/>
            <w:vAlign w:val="bottom"/>
          </w:tcPr>
          <w:p>
            <w:pPr>
              <w:jc w:val="right"/>
              <w:ind w:right="108"/>
              <w:spacing w:after="0"/>
              <w:rPr>
                <w:sz w:val="20"/>
                <w:szCs w:val="20"/>
                <w:color w:val="auto"/>
              </w:rPr>
            </w:pPr>
            <w:r>
              <w:rPr>
                <w:rFonts w:ascii="Arial" w:cs="Arial" w:eastAsia="Arial" w:hAnsi="Arial"/>
                <w:sz w:val="14"/>
                <w:szCs w:val="14"/>
                <w:color w:val="auto"/>
              </w:rPr>
              <w:t>154,438</w:t>
            </w:r>
          </w:p>
        </w:tc>
        <w:tc>
          <w:tcPr>
            <w:tcW w:w="60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2060" w:type="dxa"/>
            <w:vAlign w:val="bottom"/>
          </w:tcPr>
          <w:p>
            <w:pPr>
              <w:jc w:val="right"/>
              <w:ind w:right="188"/>
              <w:spacing w:after="0"/>
              <w:rPr>
                <w:sz w:val="20"/>
                <w:szCs w:val="20"/>
                <w:color w:val="auto"/>
              </w:rPr>
            </w:pPr>
            <w:r>
              <w:rPr>
                <w:rFonts w:ascii="Arial" w:cs="Arial" w:eastAsia="Arial" w:hAnsi="Arial"/>
                <w:sz w:val="14"/>
                <w:szCs w:val="14"/>
                <w:color w:val="auto"/>
              </w:rPr>
              <w:t>133,086</w:t>
            </w:r>
          </w:p>
        </w:tc>
        <w:tc>
          <w:tcPr>
            <w:tcW w:w="0" w:type="dxa"/>
            <w:vAlign w:val="bottom"/>
          </w:tcPr>
          <w:p>
            <w:pPr>
              <w:spacing w:after="0"/>
              <w:rPr>
                <w:sz w:val="1"/>
                <w:szCs w:val="1"/>
                <w:color w:val="auto"/>
              </w:rPr>
            </w:pPr>
          </w:p>
        </w:tc>
      </w:tr>
      <w:tr>
        <w:trPr>
          <w:trHeight w:val="176"/>
        </w:trPr>
        <w:tc>
          <w:tcPr>
            <w:tcW w:w="6740" w:type="dxa"/>
            <w:vAlign w:val="bottom"/>
          </w:tcPr>
          <w:p>
            <w:pPr>
              <w:ind w:left="840"/>
              <w:spacing w:after="0"/>
              <w:rPr>
                <w:sz w:val="20"/>
                <w:szCs w:val="20"/>
                <w:color w:val="auto"/>
              </w:rPr>
            </w:pPr>
            <w:r>
              <w:rPr>
                <w:rFonts w:ascii="Arial" w:cs="Arial" w:eastAsia="Arial" w:hAnsi="Arial"/>
                <w:sz w:val="14"/>
                <w:szCs w:val="14"/>
                <w:color w:val="auto"/>
              </w:rPr>
              <w:t>Accounts receivable, net</w:t>
            </w:r>
          </w:p>
        </w:tc>
        <w:tc>
          <w:tcPr>
            <w:tcW w:w="360" w:type="dxa"/>
            <w:vAlign w:val="bottom"/>
          </w:tcPr>
          <w:p>
            <w:pPr>
              <w:spacing w:after="0"/>
              <w:rPr>
                <w:sz w:val="15"/>
                <w:szCs w:val="15"/>
                <w:color w:val="auto"/>
              </w:rPr>
            </w:pPr>
          </w:p>
        </w:tc>
        <w:tc>
          <w:tcPr>
            <w:tcW w:w="1660" w:type="dxa"/>
            <w:vAlign w:val="bottom"/>
          </w:tcPr>
          <w:p>
            <w:pPr>
              <w:jc w:val="right"/>
              <w:ind w:right="108"/>
              <w:spacing w:after="0"/>
              <w:rPr>
                <w:sz w:val="20"/>
                <w:szCs w:val="20"/>
                <w:color w:val="auto"/>
              </w:rPr>
            </w:pPr>
            <w:r>
              <w:rPr>
                <w:rFonts w:ascii="Arial" w:cs="Arial" w:eastAsia="Arial" w:hAnsi="Arial"/>
                <w:sz w:val="14"/>
                <w:szCs w:val="14"/>
                <w:color w:val="auto"/>
              </w:rPr>
              <w:t>389,178</w:t>
            </w: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60" w:type="dxa"/>
            <w:vAlign w:val="bottom"/>
          </w:tcPr>
          <w:p>
            <w:pPr>
              <w:jc w:val="right"/>
              <w:ind w:right="188"/>
              <w:spacing w:after="0"/>
              <w:rPr>
                <w:sz w:val="20"/>
                <w:szCs w:val="20"/>
                <w:color w:val="auto"/>
              </w:rPr>
            </w:pPr>
            <w:r>
              <w:rPr>
                <w:rFonts w:ascii="Arial" w:cs="Arial" w:eastAsia="Arial" w:hAnsi="Arial"/>
                <w:sz w:val="14"/>
                <w:szCs w:val="14"/>
                <w:color w:val="auto"/>
              </w:rPr>
              <w:t>371,641</w:t>
            </w:r>
          </w:p>
        </w:tc>
        <w:tc>
          <w:tcPr>
            <w:tcW w:w="0" w:type="dxa"/>
            <w:vAlign w:val="bottom"/>
          </w:tcPr>
          <w:p>
            <w:pPr>
              <w:spacing w:after="0"/>
              <w:rPr>
                <w:sz w:val="1"/>
                <w:szCs w:val="1"/>
                <w:color w:val="auto"/>
              </w:rPr>
            </w:pPr>
          </w:p>
        </w:tc>
      </w:tr>
      <w:tr>
        <w:trPr>
          <w:trHeight w:val="176"/>
        </w:trPr>
        <w:tc>
          <w:tcPr>
            <w:tcW w:w="6740" w:type="dxa"/>
            <w:vAlign w:val="bottom"/>
          </w:tcPr>
          <w:p>
            <w:pPr>
              <w:ind w:left="840"/>
              <w:spacing w:after="0"/>
              <w:rPr>
                <w:sz w:val="20"/>
                <w:szCs w:val="20"/>
                <w:color w:val="auto"/>
              </w:rPr>
            </w:pPr>
            <w:r>
              <w:rPr>
                <w:rFonts w:ascii="Arial" w:cs="Arial" w:eastAsia="Arial" w:hAnsi="Arial"/>
                <w:sz w:val="14"/>
                <w:szCs w:val="14"/>
                <w:color w:val="auto"/>
              </w:rPr>
              <w:t>Inventories</w:t>
            </w:r>
          </w:p>
        </w:tc>
        <w:tc>
          <w:tcPr>
            <w:tcW w:w="360" w:type="dxa"/>
            <w:vAlign w:val="bottom"/>
          </w:tcPr>
          <w:p>
            <w:pPr>
              <w:spacing w:after="0"/>
              <w:rPr>
                <w:sz w:val="15"/>
                <w:szCs w:val="15"/>
                <w:color w:val="auto"/>
              </w:rPr>
            </w:pPr>
          </w:p>
        </w:tc>
        <w:tc>
          <w:tcPr>
            <w:tcW w:w="1660" w:type="dxa"/>
            <w:vAlign w:val="bottom"/>
          </w:tcPr>
          <w:p>
            <w:pPr>
              <w:jc w:val="right"/>
              <w:ind w:right="108"/>
              <w:spacing w:after="0"/>
              <w:rPr>
                <w:sz w:val="20"/>
                <w:szCs w:val="20"/>
                <w:color w:val="auto"/>
              </w:rPr>
            </w:pPr>
            <w:r>
              <w:rPr>
                <w:rFonts w:ascii="Arial" w:cs="Arial" w:eastAsia="Arial" w:hAnsi="Arial"/>
                <w:sz w:val="14"/>
                <w:szCs w:val="14"/>
                <w:color w:val="auto"/>
              </w:rPr>
              <w:t>210,658</w:t>
            </w: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60" w:type="dxa"/>
            <w:vAlign w:val="bottom"/>
          </w:tcPr>
          <w:p>
            <w:pPr>
              <w:jc w:val="right"/>
              <w:ind w:right="188"/>
              <w:spacing w:after="0"/>
              <w:rPr>
                <w:sz w:val="20"/>
                <w:szCs w:val="20"/>
                <w:color w:val="auto"/>
              </w:rPr>
            </w:pPr>
            <w:r>
              <w:rPr>
                <w:rFonts w:ascii="Arial" w:cs="Arial" w:eastAsia="Arial" w:hAnsi="Arial"/>
                <w:sz w:val="14"/>
                <w:szCs w:val="14"/>
                <w:color w:val="auto"/>
              </w:rPr>
              <w:t>195,837</w:t>
            </w:r>
          </w:p>
        </w:tc>
        <w:tc>
          <w:tcPr>
            <w:tcW w:w="0" w:type="dxa"/>
            <w:vAlign w:val="bottom"/>
          </w:tcPr>
          <w:p>
            <w:pPr>
              <w:spacing w:after="0"/>
              <w:rPr>
                <w:sz w:val="1"/>
                <w:szCs w:val="1"/>
                <w:color w:val="auto"/>
              </w:rPr>
            </w:pPr>
          </w:p>
        </w:tc>
      </w:tr>
      <w:tr>
        <w:trPr>
          <w:trHeight w:val="176"/>
        </w:trPr>
        <w:tc>
          <w:tcPr>
            <w:tcW w:w="6740" w:type="dxa"/>
            <w:vAlign w:val="bottom"/>
          </w:tcPr>
          <w:p>
            <w:pPr>
              <w:ind w:left="840"/>
              <w:spacing w:after="0"/>
              <w:rPr>
                <w:sz w:val="20"/>
                <w:szCs w:val="20"/>
                <w:color w:val="auto"/>
              </w:rPr>
            </w:pPr>
            <w:r>
              <w:rPr>
                <w:rFonts w:ascii="Arial" w:cs="Arial" w:eastAsia="Arial" w:hAnsi="Arial"/>
                <w:sz w:val="14"/>
                <w:szCs w:val="14"/>
                <w:color w:val="auto"/>
              </w:rPr>
              <w:t>Deferred tax assets current, net</w:t>
            </w:r>
          </w:p>
        </w:tc>
        <w:tc>
          <w:tcPr>
            <w:tcW w:w="360" w:type="dxa"/>
            <w:vAlign w:val="bottom"/>
          </w:tcPr>
          <w:p>
            <w:pPr>
              <w:spacing w:after="0"/>
              <w:rPr>
                <w:sz w:val="15"/>
                <w:szCs w:val="15"/>
                <w:color w:val="auto"/>
              </w:rPr>
            </w:pPr>
          </w:p>
        </w:tc>
        <w:tc>
          <w:tcPr>
            <w:tcW w:w="1660" w:type="dxa"/>
            <w:vAlign w:val="bottom"/>
          </w:tcPr>
          <w:p>
            <w:pPr>
              <w:jc w:val="right"/>
              <w:ind w:right="108"/>
              <w:spacing w:after="0"/>
              <w:rPr>
                <w:sz w:val="20"/>
                <w:szCs w:val="20"/>
                <w:color w:val="auto"/>
              </w:rPr>
            </w:pPr>
            <w:r>
              <w:rPr>
                <w:rFonts w:ascii="Arial" w:cs="Arial" w:eastAsia="Arial" w:hAnsi="Arial"/>
                <w:sz w:val="14"/>
                <w:szCs w:val="14"/>
                <w:color w:val="auto"/>
              </w:rPr>
              <w:t>58,727</w:t>
            </w: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60" w:type="dxa"/>
            <w:vAlign w:val="bottom"/>
          </w:tcPr>
          <w:p>
            <w:pPr>
              <w:jc w:val="right"/>
              <w:ind w:right="188"/>
              <w:spacing w:after="0"/>
              <w:rPr>
                <w:sz w:val="20"/>
                <w:szCs w:val="20"/>
                <w:color w:val="auto"/>
              </w:rPr>
            </w:pPr>
            <w:r>
              <w:rPr>
                <w:rFonts w:ascii="Arial" w:cs="Arial" w:eastAsia="Arial" w:hAnsi="Arial"/>
                <w:sz w:val="14"/>
                <w:szCs w:val="14"/>
                <w:color w:val="auto"/>
              </w:rPr>
              <w:t>58,172</w:t>
            </w:r>
          </w:p>
        </w:tc>
        <w:tc>
          <w:tcPr>
            <w:tcW w:w="0" w:type="dxa"/>
            <w:vAlign w:val="bottom"/>
          </w:tcPr>
          <w:p>
            <w:pPr>
              <w:spacing w:after="0"/>
              <w:rPr>
                <w:sz w:val="1"/>
                <w:szCs w:val="1"/>
                <w:color w:val="auto"/>
              </w:rPr>
            </w:pPr>
          </w:p>
        </w:tc>
      </w:tr>
      <w:tr>
        <w:trPr>
          <w:trHeight w:val="181"/>
        </w:trPr>
        <w:tc>
          <w:tcPr>
            <w:tcW w:w="6740" w:type="dxa"/>
            <w:vAlign w:val="bottom"/>
          </w:tcPr>
          <w:p>
            <w:pPr>
              <w:ind w:left="840"/>
              <w:spacing w:after="0"/>
              <w:rPr>
                <w:sz w:val="20"/>
                <w:szCs w:val="20"/>
                <w:color w:val="auto"/>
              </w:rPr>
            </w:pPr>
            <w:r>
              <w:rPr>
                <w:rFonts w:ascii="Arial" w:cs="Arial" w:eastAsia="Arial" w:hAnsi="Arial"/>
                <w:sz w:val="14"/>
                <w:szCs w:val="14"/>
                <w:color w:val="auto"/>
              </w:rPr>
              <w:t>Other current assets</w:t>
            </w:r>
          </w:p>
        </w:tc>
        <w:tc>
          <w:tcPr>
            <w:tcW w:w="3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87,431</w:t>
            </w:r>
          </w:p>
        </w:tc>
        <w:tc>
          <w:tcPr>
            <w:tcW w:w="14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81,618</w:t>
            </w:r>
          </w:p>
        </w:tc>
        <w:tc>
          <w:tcPr>
            <w:tcW w:w="0" w:type="dxa"/>
            <w:vAlign w:val="bottom"/>
          </w:tcPr>
          <w:p>
            <w:pPr>
              <w:spacing w:after="0"/>
              <w:rPr>
                <w:sz w:val="1"/>
                <w:szCs w:val="1"/>
                <w:color w:val="auto"/>
              </w:rPr>
            </w:pPr>
          </w:p>
        </w:tc>
      </w:tr>
      <w:tr>
        <w:trPr>
          <w:trHeight w:val="176"/>
        </w:trPr>
        <w:tc>
          <w:tcPr>
            <w:tcW w:w="6740" w:type="dxa"/>
            <w:vAlign w:val="bottom"/>
          </w:tcPr>
          <w:p>
            <w:pPr>
              <w:ind w:left="1200"/>
              <w:spacing w:after="0"/>
              <w:rPr>
                <w:sz w:val="20"/>
                <w:szCs w:val="20"/>
                <w:color w:val="auto"/>
              </w:rPr>
            </w:pPr>
            <w:r>
              <w:rPr>
                <w:rFonts w:ascii="Arial" w:cs="Arial" w:eastAsia="Arial" w:hAnsi="Arial"/>
                <w:sz w:val="14"/>
                <w:szCs w:val="14"/>
                <w:color w:val="auto"/>
              </w:rPr>
              <w:t>Total current assets</w:t>
            </w:r>
          </w:p>
        </w:tc>
        <w:tc>
          <w:tcPr>
            <w:tcW w:w="360" w:type="dxa"/>
            <w:vAlign w:val="bottom"/>
          </w:tcPr>
          <w:p>
            <w:pPr>
              <w:spacing w:after="0"/>
              <w:rPr>
                <w:sz w:val="15"/>
                <w:szCs w:val="15"/>
                <w:color w:val="auto"/>
              </w:rPr>
            </w:pPr>
          </w:p>
        </w:tc>
        <w:tc>
          <w:tcPr>
            <w:tcW w:w="1660" w:type="dxa"/>
            <w:vAlign w:val="bottom"/>
          </w:tcPr>
          <w:p>
            <w:pPr>
              <w:jc w:val="right"/>
              <w:ind w:right="108"/>
              <w:spacing w:after="0"/>
              <w:rPr>
                <w:sz w:val="20"/>
                <w:szCs w:val="20"/>
                <w:color w:val="auto"/>
              </w:rPr>
            </w:pPr>
            <w:r>
              <w:rPr>
                <w:rFonts w:ascii="Arial" w:cs="Arial" w:eastAsia="Arial" w:hAnsi="Arial"/>
                <w:sz w:val="14"/>
                <w:szCs w:val="14"/>
                <w:color w:val="auto"/>
              </w:rPr>
              <w:t>900,432</w:t>
            </w: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60" w:type="dxa"/>
            <w:vAlign w:val="bottom"/>
          </w:tcPr>
          <w:p>
            <w:pPr>
              <w:jc w:val="right"/>
              <w:ind w:right="188"/>
              <w:spacing w:after="0"/>
              <w:rPr>
                <w:sz w:val="20"/>
                <w:szCs w:val="20"/>
                <w:color w:val="auto"/>
              </w:rPr>
            </w:pPr>
            <w:r>
              <w:rPr>
                <w:rFonts w:ascii="Arial" w:cs="Arial" w:eastAsia="Arial" w:hAnsi="Arial"/>
                <w:sz w:val="14"/>
                <w:szCs w:val="14"/>
                <w:color w:val="auto"/>
              </w:rPr>
              <w:t>840,354</w:t>
            </w:r>
          </w:p>
        </w:tc>
        <w:tc>
          <w:tcPr>
            <w:tcW w:w="0" w:type="dxa"/>
            <w:vAlign w:val="bottom"/>
          </w:tcPr>
          <w:p>
            <w:pPr>
              <w:spacing w:after="0"/>
              <w:rPr>
                <w:sz w:val="1"/>
                <w:szCs w:val="1"/>
                <w:color w:val="auto"/>
              </w:rPr>
            </w:pPr>
          </w:p>
        </w:tc>
      </w:tr>
      <w:tr>
        <w:trPr>
          <w:trHeight w:val="339"/>
        </w:trPr>
        <w:tc>
          <w:tcPr>
            <w:tcW w:w="6740" w:type="dxa"/>
            <w:vAlign w:val="bottom"/>
          </w:tcPr>
          <w:p>
            <w:pPr>
              <w:spacing w:after="0"/>
              <w:rPr>
                <w:sz w:val="20"/>
                <w:szCs w:val="20"/>
                <w:color w:val="auto"/>
              </w:rPr>
            </w:pPr>
            <w:r>
              <w:rPr>
                <w:rFonts w:ascii="Arial" w:cs="Arial" w:eastAsia="Arial" w:hAnsi="Arial"/>
                <w:sz w:val="14"/>
                <w:szCs w:val="14"/>
                <w:color w:val="auto"/>
              </w:rPr>
              <w:t>Property, plant, and equipment, net</w:t>
            </w:r>
          </w:p>
        </w:tc>
        <w:tc>
          <w:tcPr>
            <w:tcW w:w="360" w:type="dxa"/>
            <w:vAlign w:val="bottom"/>
          </w:tcPr>
          <w:p>
            <w:pPr>
              <w:spacing w:after="0"/>
              <w:rPr>
                <w:sz w:val="24"/>
                <w:szCs w:val="24"/>
                <w:color w:val="auto"/>
              </w:rPr>
            </w:pPr>
          </w:p>
        </w:tc>
        <w:tc>
          <w:tcPr>
            <w:tcW w:w="1660" w:type="dxa"/>
            <w:vAlign w:val="bottom"/>
          </w:tcPr>
          <w:p>
            <w:pPr>
              <w:jc w:val="right"/>
              <w:ind w:right="108"/>
              <w:spacing w:after="0"/>
              <w:rPr>
                <w:sz w:val="20"/>
                <w:szCs w:val="20"/>
                <w:color w:val="auto"/>
              </w:rPr>
            </w:pPr>
            <w:r>
              <w:rPr>
                <w:rFonts w:ascii="Arial" w:cs="Arial" w:eastAsia="Arial" w:hAnsi="Arial"/>
                <w:sz w:val="14"/>
                <w:szCs w:val="14"/>
                <w:color w:val="auto"/>
              </w:rPr>
              <w:t>263,803</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60" w:type="dxa"/>
            <w:vAlign w:val="bottom"/>
          </w:tcPr>
          <w:p>
            <w:pPr>
              <w:jc w:val="right"/>
              <w:ind w:right="188"/>
              <w:spacing w:after="0"/>
              <w:rPr>
                <w:sz w:val="20"/>
                <w:szCs w:val="20"/>
                <w:color w:val="auto"/>
              </w:rPr>
            </w:pPr>
            <w:r>
              <w:rPr>
                <w:rFonts w:ascii="Arial" w:cs="Arial" w:eastAsia="Arial" w:hAnsi="Arial"/>
                <w:sz w:val="14"/>
                <w:szCs w:val="14"/>
                <w:color w:val="auto"/>
              </w:rPr>
              <w:t>262,670</w:t>
            </w:r>
          </w:p>
        </w:tc>
        <w:tc>
          <w:tcPr>
            <w:tcW w:w="0" w:type="dxa"/>
            <w:vAlign w:val="bottom"/>
          </w:tcPr>
          <w:p>
            <w:pPr>
              <w:spacing w:after="0"/>
              <w:rPr>
                <w:sz w:val="1"/>
                <w:szCs w:val="1"/>
                <w:color w:val="auto"/>
              </w:rPr>
            </w:pPr>
          </w:p>
        </w:tc>
      </w:tr>
      <w:tr>
        <w:trPr>
          <w:trHeight w:val="176"/>
        </w:trPr>
        <w:tc>
          <w:tcPr>
            <w:tcW w:w="6740" w:type="dxa"/>
            <w:vAlign w:val="bottom"/>
          </w:tcPr>
          <w:p>
            <w:pPr>
              <w:spacing w:after="0"/>
              <w:rPr>
                <w:sz w:val="20"/>
                <w:szCs w:val="20"/>
                <w:color w:val="auto"/>
              </w:rPr>
            </w:pPr>
            <w:r>
              <w:rPr>
                <w:rFonts w:ascii="Arial" w:cs="Arial" w:eastAsia="Arial" w:hAnsi="Arial"/>
                <w:sz w:val="14"/>
                <w:szCs w:val="14"/>
                <w:color w:val="auto"/>
              </w:rPr>
              <w:t>Deferred tax assets noncurrent, net</w:t>
            </w:r>
          </w:p>
        </w:tc>
        <w:tc>
          <w:tcPr>
            <w:tcW w:w="360" w:type="dxa"/>
            <w:vAlign w:val="bottom"/>
          </w:tcPr>
          <w:p>
            <w:pPr>
              <w:spacing w:after="0"/>
              <w:rPr>
                <w:sz w:val="15"/>
                <w:szCs w:val="15"/>
                <w:color w:val="auto"/>
              </w:rPr>
            </w:pPr>
          </w:p>
        </w:tc>
        <w:tc>
          <w:tcPr>
            <w:tcW w:w="1660" w:type="dxa"/>
            <w:vAlign w:val="bottom"/>
          </w:tcPr>
          <w:p>
            <w:pPr>
              <w:jc w:val="right"/>
              <w:ind w:right="108"/>
              <w:spacing w:after="0"/>
              <w:rPr>
                <w:sz w:val="20"/>
                <w:szCs w:val="20"/>
                <w:color w:val="auto"/>
              </w:rPr>
            </w:pPr>
            <w:r>
              <w:rPr>
                <w:rFonts w:ascii="Arial" w:cs="Arial" w:eastAsia="Arial" w:hAnsi="Arial"/>
                <w:sz w:val="14"/>
                <w:szCs w:val="14"/>
                <w:color w:val="auto"/>
              </w:rPr>
              <w:t>18,679</w:t>
            </w: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60" w:type="dxa"/>
            <w:vAlign w:val="bottom"/>
          </w:tcPr>
          <w:p>
            <w:pPr>
              <w:jc w:val="right"/>
              <w:ind w:right="188"/>
              <w:spacing w:after="0"/>
              <w:rPr>
                <w:sz w:val="20"/>
                <w:szCs w:val="20"/>
                <w:color w:val="auto"/>
              </w:rPr>
            </w:pPr>
            <w:r>
              <w:rPr>
                <w:rFonts w:ascii="Arial" w:cs="Arial" w:eastAsia="Arial" w:hAnsi="Arial"/>
                <w:sz w:val="14"/>
                <w:szCs w:val="14"/>
                <w:color w:val="auto"/>
              </w:rPr>
              <w:t>22,144</w:t>
            </w:r>
          </w:p>
        </w:tc>
        <w:tc>
          <w:tcPr>
            <w:tcW w:w="0" w:type="dxa"/>
            <w:vAlign w:val="bottom"/>
          </w:tcPr>
          <w:p>
            <w:pPr>
              <w:spacing w:after="0"/>
              <w:rPr>
                <w:sz w:val="1"/>
                <w:szCs w:val="1"/>
                <w:color w:val="auto"/>
              </w:rPr>
            </w:pPr>
          </w:p>
        </w:tc>
      </w:tr>
      <w:tr>
        <w:trPr>
          <w:trHeight w:val="176"/>
        </w:trPr>
        <w:tc>
          <w:tcPr>
            <w:tcW w:w="6740" w:type="dxa"/>
            <w:vAlign w:val="bottom"/>
          </w:tcPr>
          <w:p>
            <w:pPr>
              <w:spacing w:after="0"/>
              <w:rPr>
                <w:sz w:val="20"/>
                <w:szCs w:val="20"/>
                <w:color w:val="auto"/>
              </w:rPr>
            </w:pPr>
            <w:r>
              <w:rPr>
                <w:rFonts w:ascii="Arial" w:cs="Arial" w:eastAsia="Arial" w:hAnsi="Arial"/>
                <w:sz w:val="14"/>
                <w:szCs w:val="14"/>
                <w:color w:val="auto"/>
              </w:rPr>
              <w:t>Other long-term assets</w:t>
            </w:r>
          </w:p>
        </w:tc>
        <w:tc>
          <w:tcPr>
            <w:tcW w:w="360" w:type="dxa"/>
            <w:vAlign w:val="bottom"/>
          </w:tcPr>
          <w:p>
            <w:pPr>
              <w:spacing w:after="0"/>
              <w:rPr>
                <w:sz w:val="15"/>
                <w:szCs w:val="15"/>
                <w:color w:val="auto"/>
              </w:rPr>
            </w:pPr>
          </w:p>
        </w:tc>
        <w:tc>
          <w:tcPr>
            <w:tcW w:w="1660" w:type="dxa"/>
            <w:vAlign w:val="bottom"/>
          </w:tcPr>
          <w:p>
            <w:pPr>
              <w:jc w:val="right"/>
              <w:ind w:right="108"/>
              <w:spacing w:after="0"/>
              <w:rPr>
                <w:sz w:val="20"/>
                <w:szCs w:val="20"/>
                <w:color w:val="auto"/>
              </w:rPr>
            </w:pPr>
            <w:r>
              <w:rPr>
                <w:rFonts w:ascii="Arial" w:cs="Arial" w:eastAsia="Arial" w:hAnsi="Arial"/>
                <w:sz w:val="14"/>
                <w:szCs w:val="14"/>
                <w:color w:val="auto"/>
              </w:rPr>
              <w:t>30,256</w:t>
            </w: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60" w:type="dxa"/>
            <w:vAlign w:val="bottom"/>
          </w:tcPr>
          <w:p>
            <w:pPr>
              <w:jc w:val="right"/>
              <w:ind w:right="188"/>
              <w:spacing w:after="0"/>
              <w:rPr>
                <w:sz w:val="20"/>
                <w:szCs w:val="20"/>
                <w:color w:val="auto"/>
              </w:rPr>
            </w:pPr>
            <w:r>
              <w:rPr>
                <w:rFonts w:ascii="Arial" w:cs="Arial" w:eastAsia="Arial" w:hAnsi="Arial"/>
                <w:sz w:val="14"/>
                <w:szCs w:val="14"/>
                <w:color w:val="auto"/>
              </w:rPr>
              <w:t>62,704</w:t>
            </w:r>
          </w:p>
        </w:tc>
        <w:tc>
          <w:tcPr>
            <w:tcW w:w="0" w:type="dxa"/>
            <w:vAlign w:val="bottom"/>
          </w:tcPr>
          <w:p>
            <w:pPr>
              <w:spacing w:after="0"/>
              <w:rPr>
                <w:sz w:val="1"/>
                <w:szCs w:val="1"/>
                <w:color w:val="auto"/>
              </w:rPr>
            </w:pPr>
          </w:p>
        </w:tc>
      </w:tr>
      <w:tr>
        <w:trPr>
          <w:trHeight w:val="176"/>
        </w:trPr>
        <w:tc>
          <w:tcPr>
            <w:tcW w:w="6740" w:type="dxa"/>
            <w:vAlign w:val="bottom"/>
          </w:tcPr>
          <w:p>
            <w:pPr>
              <w:spacing w:after="0"/>
              <w:rPr>
                <w:sz w:val="20"/>
                <w:szCs w:val="20"/>
                <w:color w:val="auto"/>
              </w:rPr>
            </w:pPr>
            <w:r>
              <w:rPr>
                <w:rFonts w:ascii="Arial" w:cs="Arial" w:eastAsia="Arial" w:hAnsi="Arial"/>
                <w:sz w:val="14"/>
                <w:szCs w:val="14"/>
                <w:color w:val="auto"/>
              </w:rPr>
              <w:t>Intangible assets, net</w:t>
            </w:r>
          </w:p>
        </w:tc>
        <w:tc>
          <w:tcPr>
            <w:tcW w:w="360" w:type="dxa"/>
            <w:vAlign w:val="bottom"/>
          </w:tcPr>
          <w:p>
            <w:pPr>
              <w:spacing w:after="0"/>
              <w:rPr>
                <w:sz w:val="15"/>
                <w:szCs w:val="15"/>
                <w:color w:val="auto"/>
              </w:rPr>
            </w:pPr>
          </w:p>
        </w:tc>
        <w:tc>
          <w:tcPr>
            <w:tcW w:w="1660" w:type="dxa"/>
            <w:vAlign w:val="bottom"/>
          </w:tcPr>
          <w:p>
            <w:pPr>
              <w:jc w:val="right"/>
              <w:ind w:right="108"/>
              <w:spacing w:after="0"/>
              <w:rPr>
                <w:sz w:val="20"/>
                <w:szCs w:val="20"/>
                <w:color w:val="auto"/>
              </w:rPr>
            </w:pPr>
            <w:r>
              <w:rPr>
                <w:rFonts w:ascii="Arial" w:cs="Arial" w:eastAsia="Arial" w:hAnsi="Arial"/>
                <w:sz w:val="14"/>
                <w:szCs w:val="14"/>
                <w:color w:val="auto"/>
              </w:rPr>
              <w:t>234,313</w:t>
            </w: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60" w:type="dxa"/>
            <w:vAlign w:val="bottom"/>
          </w:tcPr>
          <w:p>
            <w:pPr>
              <w:jc w:val="right"/>
              <w:ind w:right="188"/>
              <w:spacing w:after="0"/>
              <w:rPr>
                <w:sz w:val="20"/>
                <w:szCs w:val="20"/>
                <w:color w:val="auto"/>
              </w:rPr>
            </w:pPr>
            <w:r>
              <w:rPr>
                <w:rFonts w:ascii="Arial" w:cs="Arial" w:eastAsia="Arial" w:hAnsi="Arial"/>
                <w:sz w:val="14"/>
                <w:szCs w:val="14"/>
                <w:color w:val="auto"/>
              </w:rPr>
              <w:t>239,500</w:t>
            </w:r>
          </w:p>
        </w:tc>
        <w:tc>
          <w:tcPr>
            <w:tcW w:w="0" w:type="dxa"/>
            <w:vAlign w:val="bottom"/>
          </w:tcPr>
          <w:p>
            <w:pPr>
              <w:spacing w:after="0"/>
              <w:rPr>
                <w:sz w:val="1"/>
                <w:szCs w:val="1"/>
                <w:color w:val="auto"/>
              </w:rPr>
            </w:pPr>
          </w:p>
        </w:tc>
      </w:tr>
      <w:tr>
        <w:trPr>
          <w:trHeight w:val="181"/>
        </w:trPr>
        <w:tc>
          <w:tcPr>
            <w:tcW w:w="6740" w:type="dxa"/>
            <w:vAlign w:val="bottom"/>
          </w:tcPr>
          <w:p>
            <w:pPr>
              <w:spacing w:after="0"/>
              <w:rPr>
                <w:sz w:val="20"/>
                <w:szCs w:val="20"/>
                <w:color w:val="auto"/>
              </w:rPr>
            </w:pPr>
            <w:r>
              <w:rPr>
                <w:rFonts w:ascii="Arial" w:cs="Arial" w:eastAsia="Arial" w:hAnsi="Arial"/>
                <w:sz w:val="14"/>
                <w:szCs w:val="14"/>
                <w:color w:val="auto"/>
              </w:rPr>
              <w:t>Goodwill</w:t>
            </w:r>
          </w:p>
        </w:tc>
        <w:tc>
          <w:tcPr>
            <w:tcW w:w="3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650,996</w:t>
            </w:r>
          </w:p>
        </w:tc>
        <w:tc>
          <w:tcPr>
            <w:tcW w:w="14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636,910</w:t>
            </w:r>
          </w:p>
        </w:tc>
        <w:tc>
          <w:tcPr>
            <w:tcW w:w="0" w:type="dxa"/>
            <w:vAlign w:val="bottom"/>
          </w:tcPr>
          <w:p>
            <w:pPr>
              <w:spacing w:after="0"/>
              <w:rPr>
                <w:sz w:val="1"/>
                <w:szCs w:val="1"/>
                <w:color w:val="auto"/>
              </w:rPr>
            </w:pPr>
          </w:p>
        </w:tc>
      </w:tr>
      <w:tr>
        <w:trPr>
          <w:trHeight w:val="169"/>
        </w:trPr>
        <w:tc>
          <w:tcPr>
            <w:tcW w:w="6740" w:type="dxa"/>
            <w:vAlign w:val="bottom"/>
          </w:tcPr>
          <w:p>
            <w:pPr>
              <w:ind w:left="1200"/>
              <w:spacing w:after="0"/>
              <w:rPr>
                <w:sz w:val="20"/>
                <w:szCs w:val="20"/>
                <w:color w:val="auto"/>
              </w:rPr>
            </w:pPr>
            <w:r>
              <w:rPr>
                <w:rFonts w:ascii="Arial" w:cs="Arial" w:eastAsia="Arial" w:hAnsi="Arial"/>
                <w:sz w:val="14"/>
                <w:szCs w:val="14"/>
                <w:color w:val="auto"/>
              </w:rPr>
              <w:t>Total assets</w:t>
            </w:r>
          </w:p>
        </w:tc>
        <w:tc>
          <w:tcPr>
            <w:tcW w:w="3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2,098,479</w:t>
            </w:r>
          </w:p>
        </w:tc>
        <w:tc>
          <w:tcPr>
            <w:tcW w:w="140" w:type="dxa"/>
            <w:vAlign w:val="bottom"/>
          </w:tcPr>
          <w:p>
            <w:pPr>
              <w:spacing w:after="0"/>
              <w:rPr>
                <w:sz w:val="14"/>
                <w:szCs w:val="14"/>
                <w:color w:val="auto"/>
              </w:rPr>
            </w:pPr>
          </w:p>
        </w:tc>
        <w:tc>
          <w:tcPr>
            <w:tcW w:w="4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20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2,064,282</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1740"/>
              <w:spacing w:after="0"/>
              <w:rPr>
                <w:sz w:val="20"/>
                <w:szCs w:val="20"/>
                <w:color w:val="auto"/>
              </w:rPr>
            </w:pPr>
            <w:r>
              <w:rPr>
                <w:rFonts w:ascii="Arial" w:cs="Arial" w:eastAsia="Arial" w:hAnsi="Arial"/>
                <w:sz w:val="14"/>
                <w:szCs w:val="14"/>
                <w:b w:val="1"/>
                <w:bCs w:val="1"/>
                <w:color w:val="auto"/>
              </w:rPr>
              <w:t>LIABILITIES AND SHAREHOLDERS' EQUITY</w:t>
            </w:r>
          </w:p>
        </w:tc>
        <w:tc>
          <w:tcPr>
            <w:tcW w:w="3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67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6740" w:type="dxa"/>
            <w:vAlign w:val="bottom"/>
          </w:tcPr>
          <w:p>
            <w:pPr>
              <w:spacing w:after="0"/>
              <w:rPr>
                <w:sz w:val="20"/>
                <w:szCs w:val="20"/>
                <w:color w:val="auto"/>
              </w:rPr>
            </w:pPr>
            <w:r>
              <w:rPr>
                <w:rFonts w:ascii="Arial" w:cs="Arial" w:eastAsia="Arial" w:hAnsi="Arial"/>
                <w:sz w:val="14"/>
                <w:szCs w:val="14"/>
                <w:color w:val="auto"/>
              </w:rPr>
              <w:t>Current liabilities</w:t>
            </w:r>
          </w:p>
        </w:tc>
        <w:tc>
          <w:tcPr>
            <w:tcW w:w="3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40" w:type="dxa"/>
            <w:vAlign w:val="bottom"/>
          </w:tcPr>
          <w:p>
            <w:pPr>
              <w:ind w:left="840"/>
              <w:spacing w:after="0"/>
              <w:rPr>
                <w:sz w:val="20"/>
                <w:szCs w:val="20"/>
                <w:color w:val="auto"/>
              </w:rPr>
            </w:pPr>
            <w:r>
              <w:rPr>
                <w:rFonts w:ascii="Arial" w:cs="Arial" w:eastAsia="Arial" w:hAnsi="Arial"/>
                <w:sz w:val="14"/>
                <w:szCs w:val="14"/>
                <w:color w:val="auto"/>
              </w:rPr>
              <w:t>Accounts payable</w:t>
            </w:r>
          </w:p>
        </w:tc>
        <w:tc>
          <w:tcPr>
            <w:tcW w:w="3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660" w:type="dxa"/>
            <w:vAlign w:val="bottom"/>
          </w:tcPr>
          <w:p>
            <w:pPr>
              <w:jc w:val="right"/>
              <w:ind w:right="108"/>
              <w:spacing w:after="0"/>
              <w:rPr>
                <w:sz w:val="20"/>
                <w:szCs w:val="20"/>
                <w:color w:val="auto"/>
              </w:rPr>
            </w:pPr>
            <w:r>
              <w:rPr>
                <w:rFonts w:ascii="Arial" w:cs="Arial" w:eastAsia="Arial" w:hAnsi="Arial"/>
                <w:sz w:val="14"/>
                <w:szCs w:val="14"/>
                <w:color w:val="auto"/>
              </w:rPr>
              <w:t>245,983</w:t>
            </w:r>
          </w:p>
        </w:tc>
        <w:tc>
          <w:tcPr>
            <w:tcW w:w="60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2060" w:type="dxa"/>
            <w:vAlign w:val="bottom"/>
          </w:tcPr>
          <w:p>
            <w:pPr>
              <w:jc w:val="right"/>
              <w:ind w:right="188"/>
              <w:spacing w:after="0"/>
              <w:rPr>
                <w:sz w:val="20"/>
                <w:szCs w:val="20"/>
                <w:color w:val="auto"/>
              </w:rPr>
            </w:pPr>
            <w:r>
              <w:rPr>
                <w:rFonts w:ascii="Arial" w:cs="Arial" w:eastAsia="Arial" w:hAnsi="Arial"/>
                <w:sz w:val="14"/>
                <w:szCs w:val="14"/>
                <w:color w:val="auto"/>
              </w:rPr>
              <w:t>246,775</w:t>
            </w:r>
          </w:p>
        </w:tc>
        <w:tc>
          <w:tcPr>
            <w:tcW w:w="0" w:type="dxa"/>
            <w:vAlign w:val="bottom"/>
          </w:tcPr>
          <w:p>
            <w:pPr>
              <w:spacing w:after="0"/>
              <w:rPr>
                <w:sz w:val="1"/>
                <w:szCs w:val="1"/>
                <w:color w:val="auto"/>
              </w:rPr>
            </w:pPr>
          </w:p>
        </w:tc>
      </w:tr>
      <w:tr>
        <w:trPr>
          <w:trHeight w:val="176"/>
        </w:trPr>
        <w:tc>
          <w:tcPr>
            <w:tcW w:w="6740" w:type="dxa"/>
            <w:vAlign w:val="bottom"/>
          </w:tcPr>
          <w:p>
            <w:pPr>
              <w:ind w:left="840"/>
              <w:spacing w:after="0"/>
              <w:rPr>
                <w:sz w:val="20"/>
                <w:szCs w:val="20"/>
                <w:color w:val="auto"/>
              </w:rPr>
            </w:pPr>
            <w:r>
              <w:rPr>
                <w:rFonts w:ascii="Arial" w:cs="Arial" w:eastAsia="Arial" w:hAnsi="Arial"/>
                <w:sz w:val="14"/>
                <w:szCs w:val="14"/>
                <w:color w:val="auto"/>
              </w:rPr>
              <w:t>Other current liabilities</w:t>
            </w:r>
          </w:p>
        </w:tc>
        <w:tc>
          <w:tcPr>
            <w:tcW w:w="360" w:type="dxa"/>
            <w:vAlign w:val="bottom"/>
          </w:tcPr>
          <w:p>
            <w:pPr>
              <w:spacing w:after="0"/>
              <w:rPr>
                <w:sz w:val="15"/>
                <w:szCs w:val="15"/>
                <w:color w:val="auto"/>
              </w:rPr>
            </w:pPr>
          </w:p>
        </w:tc>
        <w:tc>
          <w:tcPr>
            <w:tcW w:w="1660" w:type="dxa"/>
            <w:vAlign w:val="bottom"/>
          </w:tcPr>
          <w:p>
            <w:pPr>
              <w:jc w:val="right"/>
              <w:ind w:right="108"/>
              <w:spacing w:after="0"/>
              <w:rPr>
                <w:sz w:val="20"/>
                <w:szCs w:val="20"/>
                <w:color w:val="auto"/>
              </w:rPr>
            </w:pPr>
            <w:r>
              <w:rPr>
                <w:rFonts w:ascii="Arial" w:cs="Arial" w:eastAsia="Arial" w:hAnsi="Arial"/>
                <w:sz w:val="14"/>
                <w:szCs w:val="14"/>
                <w:color w:val="auto"/>
              </w:rPr>
              <w:t>57,537</w:t>
            </w: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60" w:type="dxa"/>
            <w:vAlign w:val="bottom"/>
          </w:tcPr>
          <w:p>
            <w:pPr>
              <w:jc w:val="right"/>
              <w:ind w:right="188"/>
              <w:spacing w:after="0"/>
              <w:rPr>
                <w:sz w:val="20"/>
                <w:szCs w:val="20"/>
                <w:color w:val="auto"/>
              </w:rPr>
            </w:pPr>
            <w:r>
              <w:rPr>
                <w:rFonts w:ascii="Arial" w:cs="Arial" w:eastAsia="Arial" w:hAnsi="Arial"/>
                <w:sz w:val="14"/>
                <w:szCs w:val="14"/>
                <w:color w:val="auto"/>
              </w:rPr>
              <w:t>53,734</w:t>
            </w:r>
          </w:p>
        </w:tc>
        <w:tc>
          <w:tcPr>
            <w:tcW w:w="0" w:type="dxa"/>
            <w:vAlign w:val="bottom"/>
          </w:tcPr>
          <w:p>
            <w:pPr>
              <w:spacing w:after="0"/>
              <w:rPr>
                <w:sz w:val="1"/>
                <w:szCs w:val="1"/>
                <w:color w:val="auto"/>
              </w:rPr>
            </w:pPr>
          </w:p>
        </w:tc>
      </w:tr>
      <w:tr>
        <w:trPr>
          <w:trHeight w:val="176"/>
        </w:trPr>
        <w:tc>
          <w:tcPr>
            <w:tcW w:w="6740" w:type="dxa"/>
            <w:vAlign w:val="bottom"/>
          </w:tcPr>
          <w:p>
            <w:pPr>
              <w:ind w:left="840"/>
              <w:spacing w:after="0"/>
              <w:rPr>
                <w:sz w:val="20"/>
                <w:szCs w:val="20"/>
                <w:color w:val="auto"/>
              </w:rPr>
            </w:pPr>
            <w:r>
              <w:rPr>
                <w:rFonts w:ascii="Arial" w:cs="Arial" w:eastAsia="Arial" w:hAnsi="Arial"/>
                <w:sz w:val="14"/>
                <w:szCs w:val="14"/>
                <w:color w:val="auto"/>
              </w:rPr>
              <w:t>Wages and benefits payable</w:t>
            </w:r>
          </w:p>
        </w:tc>
        <w:tc>
          <w:tcPr>
            <w:tcW w:w="360" w:type="dxa"/>
            <w:vAlign w:val="bottom"/>
          </w:tcPr>
          <w:p>
            <w:pPr>
              <w:spacing w:after="0"/>
              <w:rPr>
                <w:sz w:val="15"/>
                <w:szCs w:val="15"/>
                <w:color w:val="auto"/>
              </w:rPr>
            </w:pPr>
          </w:p>
        </w:tc>
        <w:tc>
          <w:tcPr>
            <w:tcW w:w="1660" w:type="dxa"/>
            <w:vAlign w:val="bottom"/>
          </w:tcPr>
          <w:p>
            <w:pPr>
              <w:jc w:val="right"/>
              <w:ind w:right="108"/>
              <w:spacing w:after="0"/>
              <w:rPr>
                <w:sz w:val="20"/>
                <w:szCs w:val="20"/>
                <w:color w:val="auto"/>
              </w:rPr>
            </w:pPr>
            <w:r>
              <w:rPr>
                <w:rFonts w:ascii="Arial" w:cs="Arial" w:eastAsia="Arial" w:hAnsi="Arial"/>
                <w:sz w:val="14"/>
                <w:szCs w:val="14"/>
                <w:color w:val="auto"/>
              </w:rPr>
              <w:t>82,021</w:t>
            </w: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60" w:type="dxa"/>
            <w:vAlign w:val="bottom"/>
          </w:tcPr>
          <w:p>
            <w:pPr>
              <w:jc w:val="right"/>
              <w:ind w:right="188"/>
              <w:spacing w:after="0"/>
              <w:rPr>
                <w:sz w:val="20"/>
                <w:szCs w:val="20"/>
                <w:color w:val="auto"/>
              </w:rPr>
            </w:pPr>
            <w:r>
              <w:rPr>
                <w:rFonts w:ascii="Arial" w:cs="Arial" w:eastAsia="Arial" w:hAnsi="Arial"/>
                <w:sz w:val="14"/>
                <w:szCs w:val="14"/>
                <w:color w:val="auto"/>
              </w:rPr>
              <w:t>93,730</w:t>
            </w:r>
          </w:p>
        </w:tc>
        <w:tc>
          <w:tcPr>
            <w:tcW w:w="0" w:type="dxa"/>
            <w:vAlign w:val="bottom"/>
          </w:tcPr>
          <w:p>
            <w:pPr>
              <w:spacing w:after="0"/>
              <w:rPr>
                <w:sz w:val="1"/>
                <w:szCs w:val="1"/>
                <w:color w:val="auto"/>
              </w:rPr>
            </w:pPr>
          </w:p>
        </w:tc>
      </w:tr>
      <w:tr>
        <w:trPr>
          <w:trHeight w:val="176"/>
        </w:trPr>
        <w:tc>
          <w:tcPr>
            <w:tcW w:w="6740" w:type="dxa"/>
            <w:vAlign w:val="bottom"/>
          </w:tcPr>
          <w:p>
            <w:pPr>
              <w:ind w:left="840"/>
              <w:spacing w:after="0"/>
              <w:rPr>
                <w:sz w:val="20"/>
                <w:szCs w:val="20"/>
                <w:color w:val="auto"/>
              </w:rPr>
            </w:pPr>
            <w:r>
              <w:rPr>
                <w:rFonts w:ascii="Arial" w:cs="Arial" w:eastAsia="Arial" w:hAnsi="Arial"/>
                <w:sz w:val="14"/>
                <w:szCs w:val="14"/>
                <w:color w:val="auto"/>
              </w:rPr>
              <w:t>Taxes payable</w:t>
            </w:r>
          </w:p>
        </w:tc>
        <w:tc>
          <w:tcPr>
            <w:tcW w:w="360" w:type="dxa"/>
            <w:vAlign w:val="bottom"/>
          </w:tcPr>
          <w:p>
            <w:pPr>
              <w:spacing w:after="0"/>
              <w:rPr>
                <w:sz w:val="15"/>
                <w:szCs w:val="15"/>
                <w:color w:val="auto"/>
              </w:rPr>
            </w:pPr>
          </w:p>
        </w:tc>
        <w:tc>
          <w:tcPr>
            <w:tcW w:w="1660" w:type="dxa"/>
            <w:vAlign w:val="bottom"/>
          </w:tcPr>
          <w:p>
            <w:pPr>
              <w:jc w:val="right"/>
              <w:ind w:right="108"/>
              <w:spacing w:after="0"/>
              <w:rPr>
                <w:sz w:val="20"/>
                <w:szCs w:val="20"/>
                <w:color w:val="auto"/>
              </w:rPr>
            </w:pPr>
            <w:r>
              <w:rPr>
                <w:rFonts w:ascii="Arial" w:cs="Arial" w:eastAsia="Arial" w:hAnsi="Arial"/>
                <w:sz w:val="14"/>
                <w:szCs w:val="14"/>
                <w:color w:val="auto"/>
              </w:rPr>
              <w:t>14,971</w:t>
            </w: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60" w:type="dxa"/>
            <w:vAlign w:val="bottom"/>
          </w:tcPr>
          <w:p>
            <w:pPr>
              <w:jc w:val="right"/>
              <w:ind w:right="188"/>
              <w:spacing w:after="0"/>
              <w:rPr>
                <w:sz w:val="20"/>
                <w:szCs w:val="20"/>
                <w:color w:val="auto"/>
              </w:rPr>
            </w:pPr>
            <w:r>
              <w:rPr>
                <w:rFonts w:ascii="Arial" w:cs="Arial" w:eastAsia="Arial" w:hAnsi="Arial"/>
                <w:sz w:val="14"/>
                <w:szCs w:val="14"/>
                <w:color w:val="auto"/>
              </w:rPr>
              <w:t>11,526</w:t>
            </w:r>
          </w:p>
        </w:tc>
        <w:tc>
          <w:tcPr>
            <w:tcW w:w="0" w:type="dxa"/>
            <w:vAlign w:val="bottom"/>
          </w:tcPr>
          <w:p>
            <w:pPr>
              <w:spacing w:after="0"/>
              <w:rPr>
                <w:sz w:val="1"/>
                <w:szCs w:val="1"/>
                <w:color w:val="auto"/>
              </w:rPr>
            </w:pPr>
          </w:p>
        </w:tc>
      </w:tr>
      <w:tr>
        <w:trPr>
          <w:trHeight w:val="176"/>
        </w:trPr>
        <w:tc>
          <w:tcPr>
            <w:tcW w:w="6740" w:type="dxa"/>
            <w:vAlign w:val="bottom"/>
          </w:tcPr>
          <w:p>
            <w:pPr>
              <w:ind w:left="840"/>
              <w:spacing w:after="0"/>
              <w:rPr>
                <w:sz w:val="20"/>
                <w:szCs w:val="20"/>
                <w:color w:val="auto"/>
              </w:rPr>
            </w:pPr>
            <w:r>
              <w:rPr>
                <w:rFonts w:ascii="Arial" w:cs="Arial" w:eastAsia="Arial" w:hAnsi="Arial"/>
                <w:sz w:val="14"/>
                <w:szCs w:val="14"/>
                <w:color w:val="auto"/>
              </w:rPr>
              <w:t>Current portion of debt</w:t>
            </w:r>
          </w:p>
        </w:tc>
        <w:tc>
          <w:tcPr>
            <w:tcW w:w="360" w:type="dxa"/>
            <w:vAlign w:val="bottom"/>
          </w:tcPr>
          <w:p>
            <w:pPr>
              <w:spacing w:after="0"/>
              <w:rPr>
                <w:sz w:val="15"/>
                <w:szCs w:val="15"/>
                <w:color w:val="auto"/>
              </w:rPr>
            </w:pPr>
          </w:p>
        </w:tc>
        <w:tc>
          <w:tcPr>
            <w:tcW w:w="1660" w:type="dxa"/>
            <w:vAlign w:val="bottom"/>
          </w:tcPr>
          <w:p>
            <w:pPr>
              <w:jc w:val="right"/>
              <w:ind w:right="108"/>
              <w:spacing w:after="0"/>
              <w:rPr>
                <w:sz w:val="20"/>
                <w:szCs w:val="20"/>
                <w:color w:val="auto"/>
              </w:rPr>
            </w:pPr>
            <w:r>
              <w:rPr>
                <w:rFonts w:ascii="Arial" w:cs="Arial" w:eastAsia="Arial" w:hAnsi="Arial"/>
                <w:sz w:val="14"/>
                <w:szCs w:val="14"/>
                <w:color w:val="auto"/>
              </w:rPr>
              <w:t>15,000</w:t>
            </w: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60" w:type="dxa"/>
            <w:vAlign w:val="bottom"/>
          </w:tcPr>
          <w:p>
            <w:pPr>
              <w:jc w:val="right"/>
              <w:ind w:right="188"/>
              <w:spacing w:after="0"/>
              <w:rPr>
                <w:sz w:val="20"/>
                <w:szCs w:val="20"/>
                <w:color w:val="auto"/>
              </w:rPr>
            </w:pPr>
            <w:r>
              <w:rPr>
                <w:rFonts w:ascii="Arial" w:cs="Arial" w:eastAsia="Arial" w:hAnsi="Arial"/>
                <w:sz w:val="14"/>
                <w:szCs w:val="14"/>
                <w:color w:val="auto"/>
              </w:rPr>
              <w:t>15,000</w:t>
            </w:r>
          </w:p>
        </w:tc>
        <w:tc>
          <w:tcPr>
            <w:tcW w:w="0" w:type="dxa"/>
            <w:vAlign w:val="bottom"/>
          </w:tcPr>
          <w:p>
            <w:pPr>
              <w:spacing w:after="0"/>
              <w:rPr>
                <w:sz w:val="1"/>
                <w:szCs w:val="1"/>
                <w:color w:val="auto"/>
              </w:rPr>
            </w:pPr>
          </w:p>
        </w:tc>
      </w:tr>
      <w:tr>
        <w:trPr>
          <w:trHeight w:val="176"/>
        </w:trPr>
        <w:tc>
          <w:tcPr>
            <w:tcW w:w="6740" w:type="dxa"/>
            <w:vAlign w:val="bottom"/>
          </w:tcPr>
          <w:p>
            <w:pPr>
              <w:ind w:left="840"/>
              <w:spacing w:after="0"/>
              <w:rPr>
                <w:sz w:val="20"/>
                <w:szCs w:val="20"/>
                <w:color w:val="auto"/>
              </w:rPr>
            </w:pPr>
            <w:r>
              <w:rPr>
                <w:rFonts w:ascii="Arial" w:cs="Arial" w:eastAsia="Arial" w:hAnsi="Arial"/>
                <w:sz w:val="14"/>
                <w:szCs w:val="14"/>
                <w:color w:val="auto"/>
              </w:rPr>
              <w:t>Current portion of warranty</w:t>
            </w:r>
          </w:p>
        </w:tc>
        <w:tc>
          <w:tcPr>
            <w:tcW w:w="360" w:type="dxa"/>
            <w:vAlign w:val="bottom"/>
          </w:tcPr>
          <w:p>
            <w:pPr>
              <w:spacing w:after="0"/>
              <w:rPr>
                <w:sz w:val="15"/>
                <w:szCs w:val="15"/>
                <w:color w:val="auto"/>
              </w:rPr>
            </w:pPr>
          </w:p>
        </w:tc>
        <w:tc>
          <w:tcPr>
            <w:tcW w:w="1660" w:type="dxa"/>
            <w:vAlign w:val="bottom"/>
          </w:tcPr>
          <w:p>
            <w:pPr>
              <w:jc w:val="right"/>
              <w:ind w:right="108"/>
              <w:spacing w:after="0"/>
              <w:rPr>
                <w:sz w:val="20"/>
                <w:szCs w:val="20"/>
                <w:color w:val="auto"/>
              </w:rPr>
            </w:pPr>
            <w:r>
              <w:rPr>
                <w:rFonts w:ascii="Arial" w:cs="Arial" w:eastAsia="Arial" w:hAnsi="Arial"/>
                <w:sz w:val="14"/>
                <w:szCs w:val="14"/>
                <w:color w:val="auto"/>
              </w:rPr>
              <w:t>48,235</w:t>
            </w: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60" w:type="dxa"/>
            <w:vAlign w:val="bottom"/>
          </w:tcPr>
          <w:p>
            <w:pPr>
              <w:jc w:val="right"/>
              <w:ind w:right="188"/>
              <w:spacing w:after="0"/>
              <w:rPr>
                <w:sz w:val="20"/>
                <w:szCs w:val="20"/>
                <w:color w:val="auto"/>
              </w:rPr>
            </w:pPr>
            <w:r>
              <w:rPr>
                <w:rFonts w:ascii="Arial" w:cs="Arial" w:eastAsia="Arial" w:hAnsi="Arial"/>
                <w:sz w:val="14"/>
                <w:szCs w:val="14"/>
                <w:color w:val="auto"/>
              </w:rPr>
              <w:t>52,588</w:t>
            </w:r>
          </w:p>
        </w:tc>
        <w:tc>
          <w:tcPr>
            <w:tcW w:w="0" w:type="dxa"/>
            <w:vAlign w:val="bottom"/>
          </w:tcPr>
          <w:p>
            <w:pPr>
              <w:spacing w:after="0"/>
              <w:rPr>
                <w:sz w:val="1"/>
                <w:szCs w:val="1"/>
                <w:color w:val="auto"/>
              </w:rPr>
            </w:pPr>
          </w:p>
        </w:tc>
      </w:tr>
      <w:tr>
        <w:trPr>
          <w:trHeight w:val="181"/>
        </w:trPr>
        <w:tc>
          <w:tcPr>
            <w:tcW w:w="6740" w:type="dxa"/>
            <w:vAlign w:val="bottom"/>
          </w:tcPr>
          <w:p>
            <w:pPr>
              <w:ind w:left="840"/>
              <w:spacing w:after="0"/>
              <w:rPr>
                <w:sz w:val="20"/>
                <w:szCs w:val="20"/>
                <w:color w:val="auto"/>
              </w:rPr>
            </w:pPr>
            <w:r>
              <w:rPr>
                <w:rFonts w:ascii="Arial" w:cs="Arial" w:eastAsia="Arial" w:hAnsi="Arial"/>
                <w:sz w:val="14"/>
                <w:szCs w:val="14"/>
                <w:color w:val="auto"/>
              </w:rPr>
              <w:t>Unearned revenue</w:t>
            </w:r>
          </w:p>
        </w:tc>
        <w:tc>
          <w:tcPr>
            <w:tcW w:w="3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45,263</w:t>
            </w:r>
          </w:p>
        </w:tc>
        <w:tc>
          <w:tcPr>
            <w:tcW w:w="14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37,369</w:t>
            </w:r>
          </w:p>
        </w:tc>
        <w:tc>
          <w:tcPr>
            <w:tcW w:w="0" w:type="dxa"/>
            <w:vAlign w:val="bottom"/>
          </w:tcPr>
          <w:p>
            <w:pPr>
              <w:spacing w:after="0"/>
              <w:rPr>
                <w:sz w:val="1"/>
                <w:szCs w:val="1"/>
                <w:color w:val="auto"/>
              </w:rPr>
            </w:pPr>
          </w:p>
        </w:tc>
      </w:tr>
      <w:tr>
        <w:trPr>
          <w:trHeight w:val="176"/>
        </w:trPr>
        <w:tc>
          <w:tcPr>
            <w:tcW w:w="6740" w:type="dxa"/>
            <w:vAlign w:val="bottom"/>
          </w:tcPr>
          <w:p>
            <w:pPr>
              <w:ind w:left="1200"/>
              <w:spacing w:after="0"/>
              <w:rPr>
                <w:sz w:val="20"/>
                <w:szCs w:val="20"/>
                <w:color w:val="auto"/>
              </w:rPr>
            </w:pPr>
            <w:r>
              <w:rPr>
                <w:rFonts w:ascii="Arial" w:cs="Arial" w:eastAsia="Arial" w:hAnsi="Arial"/>
                <w:sz w:val="14"/>
                <w:szCs w:val="14"/>
                <w:color w:val="auto"/>
              </w:rPr>
              <w:t>Total current liabilities</w:t>
            </w:r>
          </w:p>
        </w:tc>
        <w:tc>
          <w:tcPr>
            <w:tcW w:w="360" w:type="dxa"/>
            <w:vAlign w:val="bottom"/>
          </w:tcPr>
          <w:p>
            <w:pPr>
              <w:spacing w:after="0"/>
              <w:rPr>
                <w:sz w:val="15"/>
                <w:szCs w:val="15"/>
                <w:color w:val="auto"/>
              </w:rPr>
            </w:pPr>
          </w:p>
        </w:tc>
        <w:tc>
          <w:tcPr>
            <w:tcW w:w="1660" w:type="dxa"/>
            <w:vAlign w:val="bottom"/>
          </w:tcPr>
          <w:p>
            <w:pPr>
              <w:jc w:val="right"/>
              <w:ind w:right="108"/>
              <w:spacing w:after="0"/>
              <w:rPr>
                <w:sz w:val="20"/>
                <w:szCs w:val="20"/>
                <w:color w:val="auto"/>
              </w:rPr>
            </w:pPr>
            <w:r>
              <w:rPr>
                <w:rFonts w:ascii="Arial" w:cs="Arial" w:eastAsia="Arial" w:hAnsi="Arial"/>
                <w:sz w:val="14"/>
                <w:szCs w:val="14"/>
                <w:color w:val="auto"/>
              </w:rPr>
              <w:t>509,010</w:t>
            </w: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60" w:type="dxa"/>
            <w:vAlign w:val="bottom"/>
          </w:tcPr>
          <w:p>
            <w:pPr>
              <w:jc w:val="right"/>
              <w:ind w:right="188"/>
              <w:spacing w:after="0"/>
              <w:rPr>
                <w:sz w:val="20"/>
                <w:szCs w:val="20"/>
                <w:color w:val="auto"/>
              </w:rPr>
            </w:pPr>
            <w:r>
              <w:rPr>
                <w:rFonts w:ascii="Arial" w:cs="Arial" w:eastAsia="Arial" w:hAnsi="Arial"/>
                <w:sz w:val="14"/>
                <w:szCs w:val="14"/>
                <w:color w:val="auto"/>
              </w:rPr>
              <w:t>510,722</w:t>
            </w:r>
          </w:p>
        </w:tc>
        <w:tc>
          <w:tcPr>
            <w:tcW w:w="0" w:type="dxa"/>
            <w:vAlign w:val="bottom"/>
          </w:tcPr>
          <w:p>
            <w:pPr>
              <w:spacing w:after="0"/>
              <w:rPr>
                <w:sz w:val="1"/>
                <w:szCs w:val="1"/>
                <w:color w:val="auto"/>
              </w:rPr>
            </w:pPr>
          </w:p>
        </w:tc>
      </w:tr>
      <w:tr>
        <w:trPr>
          <w:trHeight w:val="339"/>
        </w:trPr>
        <w:tc>
          <w:tcPr>
            <w:tcW w:w="6740" w:type="dxa"/>
            <w:vAlign w:val="bottom"/>
          </w:tcPr>
          <w:p>
            <w:pPr>
              <w:spacing w:after="0"/>
              <w:rPr>
                <w:sz w:val="20"/>
                <w:szCs w:val="20"/>
                <w:color w:val="auto"/>
              </w:rPr>
            </w:pPr>
            <w:r>
              <w:rPr>
                <w:rFonts w:ascii="Arial" w:cs="Arial" w:eastAsia="Arial" w:hAnsi="Arial"/>
                <w:sz w:val="14"/>
                <w:szCs w:val="14"/>
                <w:color w:val="auto"/>
              </w:rPr>
              <w:t>Long-term debt</w:t>
            </w:r>
          </w:p>
        </w:tc>
        <w:tc>
          <w:tcPr>
            <w:tcW w:w="360" w:type="dxa"/>
            <w:vAlign w:val="bottom"/>
          </w:tcPr>
          <w:p>
            <w:pPr>
              <w:spacing w:after="0"/>
              <w:rPr>
                <w:sz w:val="24"/>
                <w:szCs w:val="24"/>
                <w:color w:val="auto"/>
              </w:rPr>
            </w:pPr>
          </w:p>
        </w:tc>
        <w:tc>
          <w:tcPr>
            <w:tcW w:w="1660" w:type="dxa"/>
            <w:vAlign w:val="bottom"/>
          </w:tcPr>
          <w:p>
            <w:pPr>
              <w:jc w:val="right"/>
              <w:ind w:right="108"/>
              <w:spacing w:after="0"/>
              <w:rPr>
                <w:sz w:val="20"/>
                <w:szCs w:val="20"/>
                <w:color w:val="auto"/>
              </w:rPr>
            </w:pPr>
            <w:r>
              <w:rPr>
                <w:rFonts w:ascii="Arial" w:cs="Arial" w:eastAsia="Arial" w:hAnsi="Arial"/>
                <w:sz w:val="14"/>
                <w:szCs w:val="14"/>
                <w:color w:val="auto"/>
              </w:rPr>
              <w:t>423,752</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60" w:type="dxa"/>
            <w:vAlign w:val="bottom"/>
          </w:tcPr>
          <w:p>
            <w:pPr>
              <w:jc w:val="right"/>
              <w:ind w:right="188"/>
              <w:spacing w:after="0"/>
              <w:rPr>
                <w:sz w:val="20"/>
                <w:szCs w:val="20"/>
                <w:color w:val="auto"/>
              </w:rPr>
            </w:pPr>
            <w:r>
              <w:rPr>
                <w:rFonts w:ascii="Arial" w:cs="Arial" w:eastAsia="Arial" w:hAnsi="Arial"/>
                <w:sz w:val="14"/>
                <w:szCs w:val="14"/>
                <w:color w:val="auto"/>
              </w:rPr>
              <w:t>437,502</w:t>
            </w:r>
          </w:p>
        </w:tc>
        <w:tc>
          <w:tcPr>
            <w:tcW w:w="0" w:type="dxa"/>
            <w:vAlign w:val="bottom"/>
          </w:tcPr>
          <w:p>
            <w:pPr>
              <w:spacing w:after="0"/>
              <w:rPr>
                <w:sz w:val="1"/>
                <w:szCs w:val="1"/>
                <w:color w:val="auto"/>
              </w:rPr>
            </w:pPr>
          </w:p>
        </w:tc>
      </w:tr>
      <w:tr>
        <w:trPr>
          <w:trHeight w:val="176"/>
        </w:trPr>
        <w:tc>
          <w:tcPr>
            <w:tcW w:w="6740" w:type="dxa"/>
            <w:vAlign w:val="bottom"/>
          </w:tcPr>
          <w:p>
            <w:pPr>
              <w:spacing w:after="0"/>
              <w:rPr>
                <w:sz w:val="20"/>
                <w:szCs w:val="20"/>
                <w:color w:val="auto"/>
              </w:rPr>
            </w:pPr>
            <w:r>
              <w:rPr>
                <w:rFonts w:ascii="Arial" w:cs="Arial" w:eastAsia="Arial" w:hAnsi="Arial"/>
                <w:sz w:val="14"/>
                <w:szCs w:val="14"/>
                <w:color w:val="auto"/>
              </w:rPr>
              <w:t>Long-term warranty</w:t>
            </w:r>
          </w:p>
        </w:tc>
        <w:tc>
          <w:tcPr>
            <w:tcW w:w="360" w:type="dxa"/>
            <w:vAlign w:val="bottom"/>
          </w:tcPr>
          <w:p>
            <w:pPr>
              <w:spacing w:after="0"/>
              <w:rPr>
                <w:sz w:val="15"/>
                <w:szCs w:val="15"/>
                <w:color w:val="auto"/>
              </w:rPr>
            </w:pPr>
          </w:p>
        </w:tc>
        <w:tc>
          <w:tcPr>
            <w:tcW w:w="1660" w:type="dxa"/>
            <w:vAlign w:val="bottom"/>
          </w:tcPr>
          <w:p>
            <w:pPr>
              <w:jc w:val="right"/>
              <w:ind w:right="108"/>
              <w:spacing w:after="0"/>
              <w:rPr>
                <w:sz w:val="20"/>
                <w:szCs w:val="20"/>
                <w:color w:val="auto"/>
              </w:rPr>
            </w:pPr>
            <w:r>
              <w:rPr>
                <w:rFonts w:ascii="Arial" w:cs="Arial" w:eastAsia="Arial" w:hAnsi="Arial"/>
                <w:sz w:val="14"/>
                <w:szCs w:val="14"/>
                <w:color w:val="auto"/>
              </w:rPr>
              <w:t>29,016</w:t>
            </w: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60" w:type="dxa"/>
            <w:vAlign w:val="bottom"/>
          </w:tcPr>
          <w:p>
            <w:pPr>
              <w:jc w:val="right"/>
              <w:ind w:right="188"/>
              <w:spacing w:after="0"/>
              <w:rPr>
                <w:sz w:val="20"/>
                <w:szCs w:val="20"/>
                <w:color w:val="auto"/>
              </w:rPr>
            </w:pPr>
            <w:r>
              <w:rPr>
                <w:rFonts w:ascii="Arial" w:cs="Arial" w:eastAsia="Arial" w:hAnsi="Arial"/>
                <w:sz w:val="14"/>
                <w:szCs w:val="14"/>
                <w:color w:val="auto"/>
              </w:rPr>
              <w:t>26,948</w:t>
            </w:r>
          </w:p>
        </w:tc>
        <w:tc>
          <w:tcPr>
            <w:tcW w:w="0" w:type="dxa"/>
            <w:vAlign w:val="bottom"/>
          </w:tcPr>
          <w:p>
            <w:pPr>
              <w:spacing w:after="0"/>
              <w:rPr>
                <w:sz w:val="1"/>
                <w:szCs w:val="1"/>
                <w:color w:val="auto"/>
              </w:rPr>
            </w:pPr>
          </w:p>
        </w:tc>
      </w:tr>
      <w:tr>
        <w:trPr>
          <w:trHeight w:val="176"/>
        </w:trPr>
        <w:tc>
          <w:tcPr>
            <w:tcW w:w="6740" w:type="dxa"/>
            <w:vAlign w:val="bottom"/>
          </w:tcPr>
          <w:p>
            <w:pPr>
              <w:spacing w:after="0"/>
              <w:rPr>
                <w:sz w:val="20"/>
                <w:szCs w:val="20"/>
                <w:color w:val="auto"/>
              </w:rPr>
            </w:pPr>
            <w:r>
              <w:rPr>
                <w:rFonts w:ascii="Arial" w:cs="Arial" w:eastAsia="Arial" w:hAnsi="Arial"/>
                <w:sz w:val="14"/>
                <w:szCs w:val="14"/>
                <w:color w:val="auto"/>
              </w:rPr>
              <w:t>Pension plan benefit liability</w:t>
            </w:r>
          </w:p>
        </w:tc>
        <w:tc>
          <w:tcPr>
            <w:tcW w:w="360" w:type="dxa"/>
            <w:vAlign w:val="bottom"/>
          </w:tcPr>
          <w:p>
            <w:pPr>
              <w:spacing w:after="0"/>
              <w:rPr>
                <w:sz w:val="15"/>
                <w:szCs w:val="15"/>
                <w:color w:val="auto"/>
              </w:rPr>
            </w:pPr>
          </w:p>
        </w:tc>
        <w:tc>
          <w:tcPr>
            <w:tcW w:w="1660" w:type="dxa"/>
            <w:vAlign w:val="bottom"/>
          </w:tcPr>
          <w:p>
            <w:pPr>
              <w:jc w:val="right"/>
              <w:ind w:right="108"/>
              <w:spacing w:after="0"/>
              <w:rPr>
                <w:sz w:val="20"/>
                <w:szCs w:val="20"/>
                <w:color w:val="auto"/>
              </w:rPr>
            </w:pPr>
            <w:r>
              <w:rPr>
                <w:rFonts w:ascii="Arial" w:cs="Arial" w:eastAsia="Arial" w:hAnsi="Arial"/>
                <w:sz w:val="14"/>
                <w:szCs w:val="14"/>
                <w:color w:val="auto"/>
              </w:rPr>
              <w:t>64,432</w:t>
            </w: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60" w:type="dxa"/>
            <w:vAlign w:val="bottom"/>
          </w:tcPr>
          <w:p>
            <w:pPr>
              <w:jc w:val="right"/>
              <w:ind w:right="188"/>
              <w:spacing w:after="0"/>
              <w:rPr>
                <w:sz w:val="20"/>
                <w:szCs w:val="20"/>
                <w:color w:val="auto"/>
              </w:rPr>
            </w:pPr>
            <w:r>
              <w:rPr>
                <w:rFonts w:ascii="Arial" w:cs="Arial" w:eastAsia="Arial" w:hAnsi="Arial"/>
                <w:sz w:val="14"/>
                <w:szCs w:val="14"/>
                <w:color w:val="auto"/>
              </w:rPr>
              <w:t>62,449</w:t>
            </w:r>
          </w:p>
        </w:tc>
        <w:tc>
          <w:tcPr>
            <w:tcW w:w="0" w:type="dxa"/>
            <w:vAlign w:val="bottom"/>
          </w:tcPr>
          <w:p>
            <w:pPr>
              <w:spacing w:after="0"/>
              <w:rPr>
                <w:sz w:val="1"/>
                <w:szCs w:val="1"/>
                <w:color w:val="auto"/>
              </w:rPr>
            </w:pPr>
          </w:p>
        </w:tc>
      </w:tr>
      <w:tr>
        <w:trPr>
          <w:trHeight w:val="176"/>
        </w:trPr>
        <w:tc>
          <w:tcPr>
            <w:tcW w:w="6740" w:type="dxa"/>
            <w:vAlign w:val="bottom"/>
          </w:tcPr>
          <w:p>
            <w:pPr>
              <w:spacing w:after="0"/>
              <w:rPr>
                <w:sz w:val="20"/>
                <w:szCs w:val="20"/>
                <w:color w:val="auto"/>
              </w:rPr>
            </w:pPr>
            <w:r>
              <w:rPr>
                <w:rFonts w:ascii="Arial" w:cs="Arial" w:eastAsia="Arial" w:hAnsi="Arial"/>
                <w:sz w:val="14"/>
                <w:szCs w:val="14"/>
                <w:color w:val="auto"/>
              </w:rPr>
              <w:t>Deferred tax liabilities noncurrent, net</w:t>
            </w:r>
          </w:p>
        </w:tc>
        <w:tc>
          <w:tcPr>
            <w:tcW w:w="360" w:type="dxa"/>
            <w:vAlign w:val="bottom"/>
          </w:tcPr>
          <w:p>
            <w:pPr>
              <w:spacing w:after="0"/>
              <w:rPr>
                <w:sz w:val="15"/>
                <w:szCs w:val="15"/>
                <w:color w:val="auto"/>
              </w:rPr>
            </w:pPr>
          </w:p>
        </w:tc>
        <w:tc>
          <w:tcPr>
            <w:tcW w:w="1660" w:type="dxa"/>
            <w:vAlign w:val="bottom"/>
          </w:tcPr>
          <w:p>
            <w:pPr>
              <w:jc w:val="right"/>
              <w:ind w:right="108"/>
              <w:spacing w:after="0"/>
              <w:rPr>
                <w:sz w:val="20"/>
                <w:szCs w:val="20"/>
                <w:color w:val="auto"/>
              </w:rPr>
            </w:pPr>
            <w:r>
              <w:rPr>
                <w:rFonts w:ascii="Arial" w:cs="Arial" w:eastAsia="Arial" w:hAnsi="Arial"/>
                <w:sz w:val="14"/>
                <w:szCs w:val="14"/>
                <w:color w:val="auto"/>
              </w:rPr>
              <w:t>29,011</w:t>
            </w: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60" w:type="dxa"/>
            <w:vAlign w:val="bottom"/>
          </w:tcPr>
          <w:p>
            <w:pPr>
              <w:jc w:val="right"/>
              <w:ind w:right="188"/>
              <w:spacing w:after="0"/>
              <w:rPr>
                <w:sz w:val="20"/>
                <w:szCs w:val="20"/>
                <w:color w:val="auto"/>
              </w:rPr>
            </w:pPr>
            <w:r>
              <w:rPr>
                <w:rFonts w:ascii="Arial" w:cs="Arial" w:eastAsia="Arial" w:hAnsi="Arial"/>
                <w:sz w:val="14"/>
                <w:szCs w:val="14"/>
                <w:color w:val="auto"/>
              </w:rPr>
              <w:t>31,699</w:t>
            </w:r>
          </w:p>
        </w:tc>
        <w:tc>
          <w:tcPr>
            <w:tcW w:w="0" w:type="dxa"/>
            <w:vAlign w:val="bottom"/>
          </w:tcPr>
          <w:p>
            <w:pPr>
              <w:spacing w:after="0"/>
              <w:rPr>
                <w:sz w:val="1"/>
                <w:szCs w:val="1"/>
                <w:color w:val="auto"/>
              </w:rPr>
            </w:pPr>
          </w:p>
        </w:tc>
      </w:tr>
      <w:tr>
        <w:trPr>
          <w:trHeight w:val="181"/>
        </w:trPr>
        <w:tc>
          <w:tcPr>
            <w:tcW w:w="6740" w:type="dxa"/>
            <w:vAlign w:val="bottom"/>
          </w:tcPr>
          <w:p>
            <w:pPr>
              <w:spacing w:after="0"/>
              <w:rPr>
                <w:sz w:val="20"/>
                <w:szCs w:val="20"/>
                <w:color w:val="auto"/>
              </w:rPr>
            </w:pPr>
            <w:r>
              <w:rPr>
                <w:rFonts w:ascii="Arial" w:cs="Arial" w:eastAsia="Arial" w:hAnsi="Arial"/>
                <w:sz w:val="14"/>
                <w:szCs w:val="14"/>
                <w:color w:val="auto"/>
              </w:rPr>
              <w:t>Other long-term obligations</w:t>
            </w:r>
          </w:p>
        </w:tc>
        <w:tc>
          <w:tcPr>
            <w:tcW w:w="3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73,483</w:t>
            </w:r>
          </w:p>
        </w:tc>
        <w:tc>
          <w:tcPr>
            <w:tcW w:w="14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73,417</w:t>
            </w:r>
          </w:p>
        </w:tc>
        <w:tc>
          <w:tcPr>
            <w:tcW w:w="0" w:type="dxa"/>
            <w:vAlign w:val="bottom"/>
          </w:tcPr>
          <w:p>
            <w:pPr>
              <w:spacing w:after="0"/>
              <w:rPr>
                <w:sz w:val="1"/>
                <w:szCs w:val="1"/>
                <w:color w:val="auto"/>
              </w:rPr>
            </w:pPr>
          </w:p>
        </w:tc>
      </w:tr>
      <w:tr>
        <w:trPr>
          <w:trHeight w:val="176"/>
        </w:trPr>
        <w:tc>
          <w:tcPr>
            <w:tcW w:w="6740" w:type="dxa"/>
            <w:vAlign w:val="bottom"/>
          </w:tcPr>
          <w:p>
            <w:pPr>
              <w:ind w:left="1200"/>
              <w:spacing w:after="0"/>
              <w:rPr>
                <w:sz w:val="20"/>
                <w:szCs w:val="20"/>
                <w:color w:val="auto"/>
              </w:rPr>
            </w:pPr>
            <w:r>
              <w:rPr>
                <w:rFonts w:ascii="Arial" w:cs="Arial" w:eastAsia="Arial" w:hAnsi="Arial"/>
                <w:sz w:val="14"/>
                <w:szCs w:val="14"/>
                <w:color w:val="auto"/>
              </w:rPr>
              <w:t>Total liabilities</w:t>
            </w:r>
          </w:p>
        </w:tc>
        <w:tc>
          <w:tcPr>
            <w:tcW w:w="360" w:type="dxa"/>
            <w:vAlign w:val="bottom"/>
          </w:tcPr>
          <w:p>
            <w:pPr>
              <w:spacing w:after="0"/>
              <w:rPr>
                <w:sz w:val="15"/>
                <w:szCs w:val="15"/>
                <w:color w:val="auto"/>
              </w:rPr>
            </w:pPr>
          </w:p>
        </w:tc>
        <w:tc>
          <w:tcPr>
            <w:tcW w:w="1660" w:type="dxa"/>
            <w:vAlign w:val="bottom"/>
          </w:tcPr>
          <w:p>
            <w:pPr>
              <w:jc w:val="right"/>
              <w:ind w:right="108"/>
              <w:spacing w:after="0"/>
              <w:rPr>
                <w:sz w:val="20"/>
                <w:szCs w:val="20"/>
                <w:color w:val="auto"/>
              </w:rPr>
            </w:pPr>
            <w:r>
              <w:rPr>
                <w:rFonts w:ascii="Arial" w:cs="Arial" w:eastAsia="Arial" w:hAnsi="Arial"/>
                <w:sz w:val="14"/>
                <w:szCs w:val="14"/>
                <w:color w:val="auto"/>
              </w:rPr>
              <w:t>1,128,704</w:t>
            </w: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60" w:type="dxa"/>
            <w:vAlign w:val="bottom"/>
          </w:tcPr>
          <w:p>
            <w:pPr>
              <w:jc w:val="right"/>
              <w:ind w:right="208"/>
              <w:spacing w:after="0"/>
              <w:rPr>
                <w:sz w:val="20"/>
                <w:szCs w:val="20"/>
                <w:color w:val="auto"/>
              </w:rPr>
            </w:pPr>
            <w:r>
              <w:rPr>
                <w:rFonts w:ascii="Arial" w:cs="Arial" w:eastAsia="Arial" w:hAnsi="Arial"/>
                <w:sz w:val="14"/>
                <w:szCs w:val="14"/>
                <w:color w:val="auto"/>
              </w:rPr>
              <w:t>1,142,737</w:t>
            </w:r>
          </w:p>
        </w:tc>
        <w:tc>
          <w:tcPr>
            <w:tcW w:w="0" w:type="dxa"/>
            <w:vAlign w:val="bottom"/>
          </w:tcPr>
          <w:p>
            <w:pPr>
              <w:spacing w:after="0"/>
              <w:rPr>
                <w:sz w:val="1"/>
                <w:szCs w:val="1"/>
                <w:color w:val="auto"/>
              </w:rPr>
            </w:pPr>
          </w:p>
        </w:tc>
      </w:tr>
      <w:tr>
        <w:trPr>
          <w:trHeight w:val="346"/>
        </w:trPr>
        <w:tc>
          <w:tcPr>
            <w:tcW w:w="6740" w:type="dxa"/>
            <w:vAlign w:val="bottom"/>
          </w:tcPr>
          <w:p>
            <w:pPr>
              <w:spacing w:after="0"/>
              <w:rPr>
                <w:sz w:val="20"/>
                <w:szCs w:val="20"/>
                <w:color w:val="auto"/>
              </w:rPr>
            </w:pPr>
            <w:r>
              <w:rPr>
                <w:rFonts w:ascii="Arial" w:cs="Arial" w:eastAsia="Arial" w:hAnsi="Arial"/>
                <w:sz w:val="14"/>
                <w:szCs w:val="14"/>
                <w:color w:val="auto"/>
              </w:rPr>
              <w:t>Commitments and contingencies</w:t>
            </w:r>
          </w:p>
        </w:tc>
        <w:tc>
          <w:tcPr>
            <w:tcW w:w="3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6740" w:type="dxa"/>
            <w:vAlign w:val="bottom"/>
          </w:tcPr>
          <w:p>
            <w:pPr>
              <w:spacing w:after="0"/>
              <w:rPr>
                <w:sz w:val="20"/>
                <w:szCs w:val="20"/>
                <w:color w:val="auto"/>
              </w:rPr>
            </w:pPr>
            <w:r>
              <w:rPr>
                <w:rFonts w:ascii="Arial" w:cs="Arial" w:eastAsia="Arial" w:hAnsi="Arial"/>
                <w:sz w:val="14"/>
                <w:szCs w:val="14"/>
                <w:color w:val="auto"/>
              </w:rPr>
              <w:t>Equity</w:t>
            </w:r>
          </w:p>
        </w:tc>
        <w:tc>
          <w:tcPr>
            <w:tcW w:w="3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6740" w:type="dxa"/>
            <w:vAlign w:val="bottom"/>
          </w:tcPr>
          <w:p>
            <w:pPr>
              <w:ind w:left="840"/>
              <w:spacing w:after="0"/>
              <w:rPr>
                <w:sz w:val="20"/>
                <w:szCs w:val="20"/>
                <w:color w:val="auto"/>
              </w:rPr>
            </w:pPr>
            <w:r>
              <w:rPr>
                <w:rFonts w:ascii="Arial" w:cs="Arial" w:eastAsia="Arial" w:hAnsi="Arial"/>
                <w:sz w:val="14"/>
                <w:szCs w:val="14"/>
                <w:color w:val="auto"/>
              </w:rPr>
              <w:t>Preferred stock</w:t>
            </w:r>
          </w:p>
        </w:tc>
        <w:tc>
          <w:tcPr>
            <w:tcW w:w="360" w:type="dxa"/>
            <w:vAlign w:val="bottom"/>
          </w:tcPr>
          <w:p>
            <w:pPr>
              <w:spacing w:after="0"/>
              <w:rPr>
                <w:sz w:val="15"/>
                <w:szCs w:val="15"/>
                <w:color w:val="auto"/>
              </w:rPr>
            </w:pPr>
          </w:p>
        </w:tc>
        <w:tc>
          <w:tcPr>
            <w:tcW w:w="16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6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6740" w:type="dxa"/>
            <w:vAlign w:val="bottom"/>
          </w:tcPr>
          <w:p>
            <w:pPr>
              <w:ind w:left="840"/>
              <w:spacing w:after="0"/>
              <w:rPr>
                <w:sz w:val="20"/>
                <w:szCs w:val="20"/>
                <w:color w:val="auto"/>
              </w:rPr>
            </w:pPr>
            <w:r>
              <w:rPr>
                <w:rFonts w:ascii="Arial" w:cs="Arial" w:eastAsia="Arial" w:hAnsi="Arial"/>
                <w:sz w:val="14"/>
                <w:szCs w:val="14"/>
                <w:color w:val="auto"/>
              </w:rPr>
              <w:t>Common stock</w:t>
            </w:r>
          </w:p>
        </w:tc>
        <w:tc>
          <w:tcPr>
            <w:tcW w:w="360" w:type="dxa"/>
            <w:vAlign w:val="bottom"/>
          </w:tcPr>
          <w:p>
            <w:pPr>
              <w:spacing w:after="0"/>
              <w:rPr>
                <w:sz w:val="15"/>
                <w:szCs w:val="15"/>
                <w:color w:val="auto"/>
              </w:rPr>
            </w:pPr>
          </w:p>
        </w:tc>
        <w:tc>
          <w:tcPr>
            <w:tcW w:w="1660" w:type="dxa"/>
            <w:vAlign w:val="bottom"/>
          </w:tcPr>
          <w:p>
            <w:pPr>
              <w:jc w:val="right"/>
              <w:ind w:right="108"/>
              <w:spacing w:after="0"/>
              <w:rPr>
                <w:sz w:val="20"/>
                <w:szCs w:val="20"/>
                <w:color w:val="auto"/>
              </w:rPr>
            </w:pPr>
            <w:r>
              <w:rPr>
                <w:rFonts w:ascii="Arial" w:cs="Arial" w:eastAsia="Arial" w:hAnsi="Arial"/>
                <w:sz w:val="14"/>
                <w:szCs w:val="14"/>
                <w:color w:val="auto"/>
              </w:rPr>
              <w:t>1,313,316</w:t>
            </w: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60" w:type="dxa"/>
            <w:vAlign w:val="bottom"/>
          </w:tcPr>
          <w:p>
            <w:pPr>
              <w:jc w:val="right"/>
              <w:ind w:right="208"/>
              <w:spacing w:after="0"/>
              <w:rPr>
                <w:sz w:val="20"/>
                <w:szCs w:val="20"/>
                <w:color w:val="auto"/>
              </w:rPr>
            </w:pPr>
            <w:r>
              <w:rPr>
                <w:rFonts w:ascii="Arial" w:cs="Arial" w:eastAsia="Arial" w:hAnsi="Arial"/>
                <w:sz w:val="14"/>
                <w:szCs w:val="14"/>
                <w:color w:val="auto"/>
              </w:rPr>
              <w:t>1,319,222</w:t>
            </w:r>
          </w:p>
        </w:tc>
        <w:tc>
          <w:tcPr>
            <w:tcW w:w="0" w:type="dxa"/>
            <w:vAlign w:val="bottom"/>
          </w:tcPr>
          <w:p>
            <w:pPr>
              <w:spacing w:after="0"/>
              <w:rPr>
                <w:sz w:val="1"/>
                <w:szCs w:val="1"/>
                <w:color w:val="auto"/>
              </w:rPr>
            </w:pPr>
          </w:p>
        </w:tc>
      </w:tr>
      <w:tr>
        <w:trPr>
          <w:trHeight w:val="176"/>
        </w:trPr>
        <w:tc>
          <w:tcPr>
            <w:tcW w:w="6740" w:type="dxa"/>
            <w:vAlign w:val="bottom"/>
          </w:tcPr>
          <w:p>
            <w:pPr>
              <w:ind w:left="840"/>
              <w:spacing w:after="0"/>
              <w:rPr>
                <w:sz w:val="20"/>
                <w:szCs w:val="20"/>
                <w:color w:val="auto"/>
              </w:rPr>
            </w:pPr>
            <w:r>
              <w:rPr>
                <w:rFonts w:ascii="Arial" w:cs="Arial" w:eastAsia="Arial" w:hAnsi="Arial"/>
                <w:sz w:val="14"/>
                <w:szCs w:val="14"/>
                <w:color w:val="auto"/>
              </w:rPr>
              <w:t>Accumulated other comprehensive loss, net</w:t>
            </w:r>
          </w:p>
        </w:tc>
        <w:tc>
          <w:tcPr>
            <w:tcW w:w="360" w:type="dxa"/>
            <w:vAlign w:val="bottom"/>
          </w:tcPr>
          <w:p>
            <w:pPr>
              <w:spacing w:after="0"/>
              <w:rPr>
                <w:sz w:val="15"/>
                <w:szCs w:val="15"/>
                <w:color w:val="auto"/>
              </w:rPr>
            </w:pPr>
          </w:p>
        </w:tc>
        <w:tc>
          <w:tcPr>
            <w:tcW w:w="1660" w:type="dxa"/>
            <w:vAlign w:val="bottom"/>
          </w:tcPr>
          <w:p>
            <w:pPr>
              <w:jc w:val="right"/>
              <w:ind w:right="68"/>
              <w:spacing w:after="0"/>
              <w:rPr>
                <w:sz w:val="20"/>
                <w:szCs w:val="20"/>
                <w:color w:val="auto"/>
              </w:rPr>
            </w:pPr>
            <w:r>
              <w:rPr>
                <w:rFonts w:ascii="Arial" w:cs="Arial" w:eastAsia="Arial" w:hAnsi="Arial"/>
                <w:sz w:val="14"/>
                <w:szCs w:val="14"/>
                <w:color w:val="auto"/>
              </w:rPr>
              <w:t>(8,596)</w:t>
            </w: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60" w:type="dxa"/>
            <w:vAlign w:val="bottom"/>
          </w:tcPr>
          <w:p>
            <w:pPr>
              <w:jc w:val="right"/>
              <w:ind w:right="148"/>
              <w:spacing w:after="0"/>
              <w:rPr>
                <w:sz w:val="20"/>
                <w:szCs w:val="20"/>
                <w:color w:val="auto"/>
              </w:rPr>
            </w:pPr>
            <w:r>
              <w:rPr>
                <w:rFonts w:ascii="Arial" w:cs="Arial" w:eastAsia="Arial" w:hAnsi="Arial"/>
                <w:sz w:val="14"/>
                <w:szCs w:val="14"/>
                <w:color w:val="auto"/>
              </w:rPr>
              <w:t>(37,160)</w:t>
            </w:r>
          </w:p>
        </w:tc>
        <w:tc>
          <w:tcPr>
            <w:tcW w:w="0" w:type="dxa"/>
            <w:vAlign w:val="bottom"/>
          </w:tcPr>
          <w:p>
            <w:pPr>
              <w:spacing w:after="0"/>
              <w:rPr>
                <w:sz w:val="1"/>
                <w:szCs w:val="1"/>
                <w:color w:val="auto"/>
              </w:rPr>
            </w:pPr>
          </w:p>
        </w:tc>
      </w:tr>
      <w:tr>
        <w:trPr>
          <w:trHeight w:val="181"/>
        </w:trPr>
        <w:tc>
          <w:tcPr>
            <w:tcW w:w="6740" w:type="dxa"/>
            <w:vAlign w:val="bottom"/>
          </w:tcPr>
          <w:p>
            <w:pPr>
              <w:ind w:left="840"/>
              <w:spacing w:after="0"/>
              <w:rPr>
                <w:sz w:val="20"/>
                <w:szCs w:val="20"/>
                <w:color w:val="auto"/>
              </w:rPr>
            </w:pPr>
            <w:r>
              <w:rPr>
                <w:rFonts w:ascii="Arial" w:cs="Arial" w:eastAsia="Arial" w:hAnsi="Arial"/>
                <w:sz w:val="14"/>
                <w:szCs w:val="14"/>
                <w:color w:val="auto"/>
              </w:rPr>
              <w:t>Accumulated deficit</w:t>
            </w:r>
          </w:p>
        </w:tc>
        <w:tc>
          <w:tcPr>
            <w:tcW w:w="3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(349,784)</w:t>
            </w:r>
          </w:p>
        </w:tc>
        <w:tc>
          <w:tcPr>
            <w:tcW w:w="14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(375,137)</w:t>
            </w:r>
          </w:p>
        </w:tc>
        <w:tc>
          <w:tcPr>
            <w:tcW w:w="0" w:type="dxa"/>
            <w:vAlign w:val="bottom"/>
          </w:tcPr>
          <w:p>
            <w:pPr>
              <w:spacing w:after="0"/>
              <w:rPr>
                <w:sz w:val="1"/>
                <w:szCs w:val="1"/>
                <w:color w:val="auto"/>
              </w:rPr>
            </w:pPr>
          </w:p>
        </w:tc>
      </w:tr>
      <w:tr>
        <w:trPr>
          <w:trHeight w:val="164"/>
        </w:trPr>
        <w:tc>
          <w:tcPr>
            <w:tcW w:w="6740" w:type="dxa"/>
            <w:vAlign w:val="bottom"/>
          </w:tcPr>
          <w:p>
            <w:pPr>
              <w:ind w:left="1200"/>
              <w:spacing w:after="0"/>
              <w:rPr>
                <w:sz w:val="20"/>
                <w:szCs w:val="20"/>
                <w:color w:val="auto"/>
              </w:rPr>
            </w:pPr>
            <w:r>
              <w:rPr>
                <w:rFonts w:ascii="Arial" w:cs="Arial" w:eastAsia="Arial" w:hAnsi="Arial"/>
                <w:sz w:val="14"/>
                <w:szCs w:val="14"/>
                <w:color w:val="auto"/>
              </w:rPr>
              <w:t>Total Itron, Inc. shareholders' equity</w:t>
            </w:r>
          </w:p>
        </w:tc>
        <w:tc>
          <w:tcPr>
            <w:tcW w:w="360" w:type="dxa"/>
            <w:vAlign w:val="bottom"/>
          </w:tcPr>
          <w:p>
            <w:pPr>
              <w:spacing w:after="0"/>
              <w:rPr>
                <w:sz w:val="14"/>
                <w:szCs w:val="14"/>
                <w:color w:val="auto"/>
              </w:rPr>
            </w:pPr>
          </w:p>
        </w:tc>
        <w:tc>
          <w:tcPr>
            <w:tcW w:w="1660" w:type="dxa"/>
            <w:vAlign w:val="bottom"/>
          </w:tcPr>
          <w:p>
            <w:pPr>
              <w:jc w:val="right"/>
              <w:ind w:right="108"/>
              <w:spacing w:after="0"/>
              <w:rPr>
                <w:sz w:val="20"/>
                <w:szCs w:val="20"/>
                <w:color w:val="auto"/>
              </w:rPr>
            </w:pPr>
            <w:r>
              <w:rPr>
                <w:rFonts w:ascii="Arial" w:cs="Arial" w:eastAsia="Arial" w:hAnsi="Arial"/>
                <w:sz w:val="14"/>
                <w:szCs w:val="14"/>
                <w:color w:val="auto"/>
              </w:rPr>
              <w:t>954,936</w:t>
            </w: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60" w:type="dxa"/>
            <w:vAlign w:val="bottom"/>
          </w:tcPr>
          <w:p>
            <w:pPr>
              <w:jc w:val="right"/>
              <w:ind w:right="188"/>
              <w:spacing w:after="0"/>
              <w:rPr>
                <w:sz w:val="20"/>
                <w:szCs w:val="20"/>
                <w:color w:val="auto"/>
              </w:rPr>
            </w:pPr>
            <w:r>
              <w:rPr>
                <w:rFonts w:ascii="Arial" w:cs="Arial" w:eastAsia="Arial" w:hAnsi="Arial"/>
                <w:sz w:val="14"/>
                <w:szCs w:val="14"/>
                <w:color w:val="auto"/>
              </w:rPr>
              <w:t>906,925</w:t>
            </w:r>
          </w:p>
        </w:tc>
        <w:tc>
          <w:tcPr>
            <w:tcW w:w="0" w:type="dxa"/>
            <w:vAlign w:val="bottom"/>
          </w:tcPr>
          <w:p>
            <w:pPr>
              <w:spacing w:after="0"/>
              <w:rPr>
                <w:sz w:val="1"/>
                <w:szCs w:val="1"/>
                <w:color w:val="auto"/>
              </w:rPr>
            </w:pPr>
          </w:p>
        </w:tc>
      </w:tr>
      <w:tr>
        <w:trPr>
          <w:trHeight w:val="181"/>
        </w:trPr>
        <w:tc>
          <w:tcPr>
            <w:tcW w:w="6740" w:type="dxa"/>
            <w:vAlign w:val="bottom"/>
          </w:tcPr>
          <w:p>
            <w:pPr>
              <w:ind w:left="840"/>
              <w:spacing w:after="0"/>
              <w:rPr>
                <w:sz w:val="20"/>
                <w:szCs w:val="20"/>
                <w:color w:val="auto"/>
              </w:rPr>
            </w:pPr>
            <w:r>
              <w:rPr>
                <w:rFonts w:ascii="Arial" w:cs="Arial" w:eastAsia="Arial" w:hAnsi="Arial"/>
                <w:sz w:val="14"/>
                <w:szCs w:val="14"/>
                <w:color w:val="auto"/>
              </w:rPr>
              <w:t>Non-controlling interests</w:t>
            </w:r>
          </w:p>
        </w:tc>
        <w:tc>
          <w:tcPr>
            <w:tcW w:w="3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14,839</w:t>
            </w:r>
          </w:p>
        </w:tc>
        <w:tc>
          <w:tcPr>
            <w:tcW w:w="14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14,620</w:t>
            </w:r>
          </w:p>
        </w:tc>
        <w:tc>
          <w:tcPr>
            <w:tcW w:w="0" w:type="dxa"/>
            <w:vAlign w:val="bottom"/>
          </w:tcPr>
          <w:p>
            <w:pPr>
              <w:spacing w:after="0"/>
              <w:rPr>
                <w:sz w:val="1"/>
                <w:szCs w:val="1"/>
                <w:color w:val="auto"/>
              </w:rPr>
            </w:pPr>
          </w:p>
        </w:tc>
      </w:tr>
      <w:tr>
        <w:trPr>
          <w:trHeight w:val="169"/>
        </w:trPr>
        <w:tc>
          <w:tcPr>
            <w:tcW w:w="6740" w:type="dxa"/>
            <w:vAlign w:val="bottom"/>
          </w:tcPr>
          <w:p>
            <w:pPr>
              <w:ind w:left="1200"/>
              <w:spacing w:after="0"/>
              <w:rPr>
                <w:sz w:val="20"/>
                <w:szCs w:val="20"/>
                <w:color w:val="auto"/>
              </w:rPr>
            </w:pPr>
            <w:r>
              <w:rPr>
                <w:rFonts w:ascii="Arial" w:cs="Arial" w:eastAsia="Arial" w:hAnsi="Arial"/>
                <w:sz w:val="14"/>
                <w:szCs w:val="14"/>
                <w:color w:val="auto"/>
              </w:rPr>
              <w:t>Total equity</w:t>
            </w:r>
          </w:p>
        </w:tc>
        <w:tc>
          <w:tcPr>
            <w:tcW w:w="3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969,775</w:t>
            </w:r>
          </w:p>
        </w:tc>
        <w:tc>
          <w:tcPr>
            <w:tcW w:w="14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921,545</w:t>
            </w:r>
          </w:p>
        </w:tc>
        <w:tc>
          <w:tcPr>
            <w:tcW w:w="0" w:type="dxa"/>
            <w:vAlign w:val="bottom"/>
          </w:tcPr>
          <w:p>
            <w:pPr>
              <w:spacing w:after="0"/>
              <w:rPr>
                <w:sz w:val="1"/>
                <w:szCs w:val="1"/>
                <w:color w:val="auto"/>
              </w:rPr>
            </w:pPr>
          </w:p>
        </w:tc>
      </w:tr>
      <w:tr>
        <w:trPr>
          <w:trHeight w:val="169"/>
        </w:trPr>
        <w:tc>
          <w:tcPr>
            <w:tcW w:w="6740" w:type="dxa"/>
            <w:vAlign w:val="bottom"/>
          </w:tcPr>
          <w:p>
            <w:pPr>
              <w:ind w:left="1200"/>
              <w:spacing w:after="0"/>
              <w:rPr>
                <w:sz w:val="20"/>
                <w:szCs w:val="20"/>
                <w:color w:val="auto"/>
              </w:rPr>
            </w:pPr>
            <w:r>
              <w:rPr>
                <w:rFonts w:ascii="Arial" w:cs="Arial" w:eastAsia="Arial" w:hAnsi="Arial"/>
                <w:sz w:val="14"/>
                <w:szCs w:val="14"/>
                <w:color w:val="auto"/>
              </w:rPr>
              <w:t>Total liabilities and equity</w:t>
            </w:r>
          </w:p>
        </w:tc>
        <w:tc>
          <w:tcPr>
            <w:tcW w:w="3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2,098,479</w:t>
            </w:r>
          </w:p>
        </w:tc>
        <w:tc>
          <w:tcPr>
            <w:tcW w:w="140" w:type="dxa"/>
            <w:vAlign w:val="bottom"/>
          </w:tcPr>
          <w:p>
            <w:pPr>
              <w:spacing w:after="0"/>
              <w:rPr>
                <w:sz w:val="14"/>
                <w:szCs w:val="14"/>
                <w:color w:val="auto"/>
              </w:rPr>
            </w:pPr>
          </w:p>
        </w:tc>
        <w:tc>
          <w:tcPr>
            <w:tcW w:w="4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20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2,064,282</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67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0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74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16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460" w:type="dxa"/>
            <w:vAlign w:val="bottom"/>
            <w:tcBorders>
              <w:bottom w:val="single" w:sz="8" w:color="EEEEEE"/>
            </w:tcBorders>
          </w:tcPr>
          <w:p>
            <w:pPr>
              <w:spacing w:after="0" w:line="20" w:lineRule="exact"/>
              <w:rPr>
                <w:sz w:val="1"/>
                <w:szCs w:val="1"/>
                <w:color w:val="auto"/>
              </w:rPr>
            </w:pPr>
          </w:p>
        </w:tc>
        <w:tc>
          <w:tcPr>
            <w:tcW w:w="206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4"/>
          <w:szCs w:val="14"/>
          <w:b w:val="1"/>
          <w:bCs w:val="1"/>
          <w:color w:val="auto"/>
        </w:rPr>
        <w:t>ITRON,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060" w:type="dxa"/>
            <w:vAlign w:val="bottom"/>
          </w:tcPr>
          <w:p>
            <w:pPr>
              <w:spacing w:after="0"/>
              <w:rPr>
                <w:sz w:val="20"/>
                <w:szCs w:val="20"/>
                <w:color w:val="auto"/>
              </w:rPr>
            </w:pPr>
            <w:r>
              <w:rPr>
                <w:rFonts w:ascii="Arial" w:cs="Arial" w:eastAsia="Arial" w:hAnsi="Arial"/>
                <w:sz w:val="14"/>
                <w:szCs w:val="14"/>
                <w:color w:val="auto"/>
              </w:rPr>
              <w:t>(Unaudited, in thousands)</w:t>
            </w:r>
          </w:p>
        </w:tc>
        <w:tc>
          <w:tcPr>
            <w:tcW w:w="420" w:type="dxa"/>
            <w:vAlign w:val="bottom"/>
          </w:tcPr>
          <w:p>
            <w:pPr>
              <w:spacing w:after="0"/>
              <w:rPr>
                <w:sz w:val="15"/>
                <w:szCs w:val="15"/>
                <w:color w:val="auto"/>
              </w:rPr>
            </w:pPr>
          </w:p>
        </w:tc>
        <w:tc>
          <w:tcPr>
            <w:tcW w:w="2940" w:type="dxa"/>
            <w:vAlign w:val="bottom"/>
            <w:gridSpan w:val="4"/>
            <w:vMerge w:val="restart"/>
          </w:tcPr>
          <w:p>
            <w:pPr>
              <w:jc w:val="right"/>
              <w:ind w:right="628"/>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74"/>
        </w:trPr>
        <w:tc>
          <w:tcPr>
            <w:tcW w:w="806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940" w:type="dxa"/>
            <w:vAlign w:val="bottom"/>
            <w:tcBorders>
              <w:bottom w:val="single" w:sz="8" w:color="auto"/>
            </w:tcBorders>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0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2012</w:t>
            </w:r>
          </w:p>
        </w:tc>
        <w:tc>
          <w:tcPr>
            <w:tcW w:w="14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164"/>
        </w:trPr>
        <w:tc>
          <w:tcPr>
            <w:tcW w:w="8060" w:type="dxa"/>
            <w:vAlign w:val="bottom"/>
          </w:tcPr>
          <w:p>
            <w:pPr>
              <w:spacing w:after="0"/>
              <w:rPr>
                <w:sz w:val="20"/>
                <w:szCs w:val="20"/>
                <w:color w:val="auto"/>
              </w:rPr>
            </w:pPr>
            <w:r>
              <w:rPr>
                <w:rFonts w:ascii="Arial" w:cs="Arial" w:eastAsia="Arial" w:hAnsi="Arial"/>
                <w:sz w:val="14"/>
                <w:szCs w:val="14"/>
                <w:color w:val="auto"/>
              </w:rPr>
              <w:t>Operating activities</w:t>
            </w:r>
          </w:p>
        </w:tc>
        <w:tc>
          <w:tcPr>
            <w:tcW w:w="4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8060" w:type="dxa"/>
            <w:vAlign w:val="bottom"/>
          </w:tcPr>
          <w:p>
            <w:pPr>
              <w:ind w:left="120"/>
              <w:spacing w:after="0"/>
              <w:rPr>
                <w:sz w:val="20"/>
                <w:szCs w:val="20"/>
                <w:color w:val="auto"/>
              </w:rPr>
            </w:pPr>
            <w:r>
              <w:rPr>
                <w:rFonts w:ascii="Arial" w:cs="Arial" w:eastAsia="Arial" w:hAnsi="Arial"/>
                <w:sz w:val="14"/>
                <w:szCs w:val="14"/>
                <w:color w:val="auto"/>
              </w:rPr>
              <w:t>Net income</w:t>
            </w:r>
          </w:p>
        </w:tc>
        <w:tc>
          <w:tcPr>
            <w:tcW w:w="4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25,572</w:t>
            </w:r>
          </w:p>
        </w:tc>
        <w:tc>
          <w:tcPr>
            <w:tcW w:w="58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27,126</w:t>
            </w:r>
          </w:p>
        </w:tc>
        <w:tc>
          <w:tcPr>
            <w:tcW w:w="0" w:type="dxa"/>
            <w:vAlign w:val="bottom"/>
          </w:tcPr>
          <w:p>
            <w:pPr>
              <w:spacing w:after="0"/>
              <w:rPr>
                <w:sz w:val="1"/>
                <w:szCs w:val="1"/>
                <w:color w:val="auto"/>
              </w:rPr>
            </w:pPr>
          </w:p>
        </w:tc>
      </w:tr>
      <w:tr>
        <w:trPr>
          <w:trHeight w:val="176"/>
        </w:trPr>
        <w:tc>
          <w:tcPr>
            <w:tcW w:w="8060" w:type="dxa"/>
            <w:vAlign w:val="bottom"/>
          </w:tcPr>
          <w:p>
            <w:pPr>
              <w:ind w:left="12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4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060" w:type="dxa"/>
            <w:vAlign w:val="bottom"/>
          </w:tcPr>
          <w:p>
            <w:pPr>
              <w:ind w:left="260"/>
              <w:spacing w:after="0"/>
              <w:rPr>
                <w:sz w:val="20"/>
                <w:szCs w:val="20"/>
                <w:color w:val="auto"/>
              </w:rPr>
            </w:pPr>
            <w:r>
              <w:rPr>
                <w:rFonts w:ascii="Arial" w:cs="Arial" w:eastAsia="Arial" w:hAnsi="Arial"/>
                <w:sz w:val="14"/>
                <w:szCs w:val="14"/>
                <w:color w:val="auto"/>
              </w:rPr>
              <w:t>Depreciation and amortization</w:t>
            </w:r>
          </w:p>
        </w:tc>
        <w:tc>
          <w:tcPr>
            <w:tcW w:w="420" w:type="dxa"/>
            <w:vAlign w:val="bottom"/>
          </w:tcPr>
          <w:p>
            <w:pPr>
              <w:spacing w:after="0"/>
              <w:rPr>
                <w:sz w:val="15"/>
                <w:szCs w:val="15"/>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27,227</w:t>
            </w: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31,531</w:t>
            </w:r>
          </w:p>
        </w:tc>
        <w:tc>
          <w:tcPr>
            <w:tcW w:w="0" w:type="dxa"/>
            <w:vAlign w:val="bottom"/>
          </w:tcPr>
          <w:p>
            <w:pPr>
              <w:spacing w:after="0"/>
              <w:rPr>
                <w:sz w:val="1"/>
                <w:szCs w:val="1"/>
                <w:color w:val="auto"/>
              </w:rPr>
            </w:pPr>
          </w:p>
        </w:tc>
      </w:tr>
      <w:tr>
        <w:trPr>
          <w:trHeight w:val="176"/>
        </w:trPr>
        <w:tc>
          <w:tcPr>
            <w:tcW w:w="8060" w:type="dxa"/>
            <w:vAlign w:val="bottom"/>
          </w:tcPr>
          <w:p>
            <w:pPr>
              <w:ind w:left="260"/>
              <w:spacing w:after="0"/>
              <w:rPr>
                <w:sz w:val="20"/>
                <w:szCs w:val="20"/>
                <w:color w:val="auto"/>
              </w:rPr>
            </w:pPr>
            <w:r>
              <w:rPr>
                <w:rFonts w:ascii="Arial" w:cs="Arial" w:eastAsia="Arial" w:hAnsi="Arial"/>
                <w:sz w:val="14"/>
                <w:szCs w:val="14"/>
                <w:color w:val="auto"/>
              </w:rPr>
              <w:t>Stock-based compensation</w:t>
            </w:r>
          </w:p>
        </w:tc>
        <w:tc>
          <w:tcPr>
            <w:tcW w:w="420" w:type="dxa"/>
            <w:vAlign w:val="bottom"/>
          </w:tcPr>
          <w:p>
            <w:pPr>
              <w:spacing w:after="0"/>
              <w:rPr>
                <w:sz w:val="15"/>
                <w:szCs w:val="15"/>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4,198</w:t>
            </w: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4,975</w:t>
            </w:r>
          </w:p>
        </w:tc>
        <w:tc>
          <w:tcPr>
            <w:tcW w:w="0" w:type="dxa"/>
            <w:vAlign w:val="bottom"/>
          </w:tcPr>
          <w:p>
            <w:pPr>
              <w:spacing w:after="0"/>
              <w:rPr>
                <w:sz w:val="1"/>
                <w:szCs w:val="1"/>
                <w:color w:val="auto"/>
              </w:rPr>
            </w:pPr>
          </w:p>
        </w:tc>
      </w:tr>
      <w:tr>
        <w:trPr>
          <w:trHeight w:val="176"/>
        </w:trPr>
        <w:tc>
          <w:tcPr>
            <w:tcW w:w="8060" w:type="dxa"/>
            <w:vAlign w:val="bottom"/>
          </w:tcPr>
          <w:p>
            <w:pPr>
              <w:ind w:left="260"/>
              <w:spacing w:after="0"/>
              <w:rPr>
                <w:sz w:val="20"/>
                <w:szCs w:val="20"/>
                <w:color w:val="auto"/>
              </w:rPr>
            </w:pPr>
            <w:r>
              <w:rPr>
                <w:rFonts w:ascii="Arial" w:cs="Arial" w:eastAsia="Arial" w:hAnsi="Arial"/>
                <w:sz w:val="14"/>
                <w:szCs w:val="14"/>
                <w:color w:val="auto"/>
              </w:rPr>
              <w:t>Amortization of prepaid debt fees</w:t>
            </w:r>
          </w:p>
        </w:tc>
        <w:tc>
          <w:tcPr>
            <w:tcW w:w="420" w:type="dxa"/>
            <w:vAlign w:val="bottom"/>
          </w:tcPr>
          <w:p>
            <w:pPr>
              <w:spacing w:after="0"/>
              <w:rPr>
                <w:sz w:val="15"/>
                <w:szCs w:val="15"/>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348</w:t>
            </w: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1,305</w:t>
            </w:r>
          </w:p>
        </w:tc>
        <w:tc>
          <w:tcPr>
            <w:tcW w:w="0" w:type="dxa"/>
            <w:vAlign w:val="bottom"/>
          </w:tcPr>
          <w:p>
            <w:pPr>
              <w:spacing w:after="0"/>
              <w:rPr>
                <w:sz w:val="1"/>
                <w:szCs w:val="1"/>
                <w:color w:val="auto"/>
              </w:rPr>
            </w:pPr>
          </w:p>
        </w:tc>
      </w:tr>
      <w:tr>
        <w:trPr>
          <w:trHeight w:val="176"/>
        </w:trPr>
        <w:tc>
          <w:tcPr>
            <w:tcW w:w="8060" w:type="dxa"/>
            <w:vAlign w:val="bottom"/>
          </w:tcPr>
          <w:p>
            <w:pPr>
              <w:ind w:left="260"/>
              <w:spacing w:after="0"/>
              <w:rPr>
                <w:sz w:val="20"/>
                <w:szCs w:val="20"/>
                <w:color w:val="auto"/>
              </w:rPr>
            </w:pPr>
            <w:r>
              <w:rPr>
                <w:rFonts w:ascii="Arial" w:cs="Arial" w:eastAsia="Arial" w:hAnsi="Arial"/>
                <w:sz w:val="14"/>
                <w:szCs w:val="14"/>
                <w:color w:val="auto"/>
              </w:rPr>
              <w:t>Amortization of convertible debt discount</w:t>
            </w:r>
          </w:p>
        </w:tc>
        <w:tc>
          <w:tcPr>
            <w:tcW w:w="420" w:type="dxa"/>
            <w:vAlign w:val="bottom"/>
          </w:tcPr>
          <w:p>
            <w:pPr>
              <w:spacing w:after="0"/>
              <w:rPr>
                <w:sz w:val="15"/>
                <w:szCs w:val="15"/>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2,643</w:t>
            </w:r>
          </w:p>
        </w:tc>
        <w:tc>
          <w:tcPr>
            <w:tcW w:w="0" w:type="dxa"/>
            <w:vAlign w:val="bottom"/>
          </w:tcPr>
          <w:p>
            <w:pPr>
              <w:spacing w:after="0"/>
              <w:rPr>
                <w:sz w:val="1"/>
                <w:szCs w:val="1"/>
                <w:color w:val="auto"/>
              </w:rPr>
            </w:pPr>
          </w:p>
        </w:tc>
      </w:tr>
      <w:tr>
        <w:trPr>
          <w:trHeight w:val="176"/>
        </w:trPr>
        <w:tc>
          <w:tcPr>
            <w:tcW w:w="8060" w:type="dxa"/>
            <w:vAlign w:val="bottom"/>
          </w:tcPr>
          <w:p>
            <w:pPr>
              <w:ind w:left="260"/>
              <w:spacing w:after="0"/>
              <w:rPr>
                <w:sz w:val="20"/>
                <w:szCs w:val="20"/>
                <w:color w:val="auto"/>
              </w:rPr>
            </w:pPr>
            <w:r>
              <w:rPr>
                <w:rFonts w:ascii="Arial" w:cs="Arial" w:eastAsia="Arial" w:hAnsi="Arial"/>
                <w:sz w:val="14"/>
                <w:szCs w:val="14"/>
                <w:color w:val="auto"/>
              </w:rPr>
              <w:t>Deferred taxes, net</w:t>
            </w:r>
          </w:p>
        </w:tc>
        <w:tc>
          <w:tcPr>
            <w:tcW w:w="420" w:type="dxa"/>
            <w:vAlign w:val="bottom"/>
          </w:tcPr>
          <w:p>
            <w:pPr>
              <w:spacing w:after="0"/>
              <w:rPr>
                <w:sz w:val="15"/>
                <w:szCs w:val="15"/>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(69)</w:t>
            </w: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7,569</w:t>
            </w:r>
          </w:p>
        </w:tc>
        <w:tc>
          <w:tcPr>
            <w:tcW w:w="0" w:type="dxa"/>
            <w:vAlign w:val="bottom"/>
          </w:tcPr>
          <w:p>
            <w:pPr>
              <w:spacing w:after="0"/>
              <w:rPr>
                <w:sz w:val="1"/>
                <w:szCs w:val="1"/>
                <w:color w:val="auto"/>
              </w:rPr>
            </w:pPr>
          </w:p>
        </w:tc>
      </w:tr>
      <w:tr>
        <w:trPr>
          <w:trHeight w:val="176"/>
        </w:trPr>
        <w:tc>
          <w:tcPr>
            <w:tcW w:w="8060" w:type="dxa"/>
            <w:vAlign w:val="bottom"/>
          </w:tcPr>
          <w:p>
            <w:pPr>
              <w:ind w:left="260"/>
              <w:spacing w:after="0"/>
              <w:rPr>
                <w:sz w:val="20"/>
                <w:szCs w:val="20"/>
                <w:color w:val="auto"/>
              </w:rPr>
            </w:pPr>
            <w:r>
              <w:rPr>
                <w:rFonts w:ascii="Arial" w:cs="Arial" w:eastAsia="Arial" w:hAnsi="Arial"/>
                <w:sz w:val="14"/>
                <w:szCs w:val="14"/>
                <w:color w:val="auto"/>
              </w:rPr>
              <w:t>Other adjustments, net</w:t>
            </w:r>
          </w:p>
        </w:tc>
        <w:tc>
          <w:tcPr>
            <w:tcW w:w="420" w:type="dxa"/>
            <w:vAlign w:val="bottom"/>
          </w:tcPr>
          <w:p>
            <w:pPr>
              <w:spacing w:after="0"/>
              <w:rPr>
                <w:sz w:val="15"/>
                <w:szCs w:val="15"/>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863</w:t>
            </w: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(2,000)</w:t>
            </w:r>
          </w:p>
        </w:tc>
        <w:tc>
          <w:tcPr>
            <w:tcW w:w="0" w:type="dxa"/>
            <w:vAlign w:val="bottom"/>
          </w:tcPr>
          <w:p>
            <w:pPr>
              <w:spacing w:after="0"/>
              <w:rPr>
                <w:sz w:val="1"/>
                <w:szCs w:val="1"/>
                <w:color w:val="auto"/>
              </w:rPr>
            </w:pPr>
          </w:p>
        </w:tc>
      </w:tr>
      <w:tr>
        <w:trPr>
          <w:trHeight w:val="176"/>
        </w:trPr>
        <w:tc>
          <w:tcPr>
            <w:tcW w:w="8060" w:type="dxa"/>
            <w:vAlign w:val="bottom"/>
          </w:tcPr>
          <w:p>
            <w:pPr>
              <w:spacing w:after="0"/>
              <w:rPr>
                <w:sz w:val="20"/>
                <w:szCs w:val="20"/>
                <w:color w:val="auto"/>
              </w:rPr>
            </w:pPr>
            <w:r>
              <w:rPr>
                <w:rFonts w:ascii="Arial" w:cs="Arial" w:eastAsia="Arial" w:hAnsi="Arial"/>
                <w:sz w:val="14"/>
                <w:szCs w:val="14"/>
                <w:color w:val="auto"/>
              </w:rPr>
              <w:t>Changes in operating assets and liabilities, net of acquisition:</w:t>
            </w:r>
          </w:p>
        </w:tc>
        <w:tc>
          <w:tcPr>
            <w:tcW w:w="4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060" w:type="dxa"/>
            <w:vAlign w:val="bottom"/>
          </w:tcPr>
          <w:p>
            <w:pPr>
              <w:ind w:left="120"/>
              <w:spacing w:after="0"/>
              <w:rPr>
                <w:sz w:val="20"/>
                <w:szCs w:val="20"/>
                <w:color w:val="auto"/>
              </w:rPr>
            </w:pPr>
            <w:r>
              <w:rPr>
                <w:rFonts w:ascii="Arial" w:cs="Arial" w:eastAsia="Arial" w:hAnsi="Arial"/>
                <w:sz w:val="14"/>
                <w:szCs w:val="14"/>
                <w:color w:val="auto"/>
              </w:rPr>
              <w:t>Accounts receivable</w:t>
            </w:r>
          </w:p>
        </w:tc>
        <w:tc>
          <w:tcPr>
            <w:tcW w:w="420" w:type="dxa"/>
            <w:vAlign w:val="bottom"/>
          </w:tcPr>
          <w:p>
            <w:pPr>
              <w:spacing w:after="0"/>
              <w:rPr>
                <w:sz w:val="15"/>
                <w:szCs w:val="15"/>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20,825</w:t>
            </w: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24,545</w:t>
            </w:r>
          </w:p>
        </w:tc>
        <w:tc>
          <w:tcPr>
            <w:tcW w:w="0" w:type="dxa"/>
            <w:vAlign w:val="bottom"/>
          </w:tcPr>
          <w:p>
            <w:pPr>
              <w:spacing w:after="0"/>
              <w:rPr>
                <w:sz w:val="1"/>
                <w:szCs w:val="1"/>
                <w:color w:val="auto"/>
              </w:rPr>
            </w:pPr>
          </w:p>
        </w:tc>
      </w:tr>
      <w:tr>
        <w:trPr>
          <w:trHeight w:val="176"/>
        </w:trPr>
        <w:tc>
          <w:tcPr>
            <w:tcW w:w="8060" w:type="dxa"/>
            <w:vAlign w:val="bottom"/>
          </w:tcPr>
          <w:p>
            <w:pPr>
              <w:ind w:left="120"/>
              <w:spacing w:after="0"/>
              <w:rPr>
                <w:sz w:val="20"/>
                <w:szCs w:val="20"/>
                <w:color w:val="auto"/>
              </w:rPr>
            </w:pPr>
            <w:r>
              <w:rPr>
                <w:rFonts w:ascii="Arial" w:cs="Arial" w:eastAsia="Arial" w:hAnsi="Arial"/>
                <w:sz w:val="14"/>
                <w:szCs w:val="14"/>
                <w:color w:val="auto"/>
              </w:rPr>
              <w:t>Inventories</w:t>
            </w:r>
          </w:p>
        </w:tc>
        <w:tc>
          <w:tcPr>
            <w:tcW w:w="420" w:type="dxa"/>
            <w:vAlign w:val="bottom"/>
          </w:tcPr>
          <w:p>
            <w:pPr>
              <w:spacing w:after="0"/>
              <w:rPr>
                <w:sz w:val="15"/>
                <w:szCs w:val="15"/>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(10,994)</w:t>
            </w: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(34,074)</w:t>
            </w:r>
          </w:p>
        </w:tc>
        <w:tc>
          <w:tcPr>
            <w:tcW w:w="0" w:type="dxa"/>
            <w:vAlign w:val="bottom"/>
          </w:tcPr>
          <w:p>
            <w:pPr>
              <w:spacing w:after="0"/>
              <w:rPr>
                <w:sz w:val="1"/>
                <w:szCs w:val="1"/>
                <w:color w:val="auto"/>
              </w:rPr>
            </w:pPr>
          </w:p>
        </w:tc>
      </w:tr>
      <w:tr>
        <w:trPr>
          <w:trHeight w:val="176"/>
        </w:trPr>
        <w:tc>
          <w:tcPr>
            <w:tcW w:w="8060" w:type="dxa"/>
            <w:vAlign w:val="bottom"/>
          </w:tcPr>
          <w:p>
            <w:pPr>
              <w:ind w:left="120"/>
              <w:spacing w:after="0"/>
              <w:rPr>
                <w:sz w:val="20"/>
                <w:szCs w:val="20"/>
                <w:color w:val="auto"/>
              </w:rPr>
            </w:pPr>
            <w:r>
              <w:rPr>
                <w:rFonts w:ascii="Arial" w:cs="Arial" w:eastAsia="Arial" w:hAnsi="Arial"/>
                <w:sz w:val="14"/>
                <w:szCs w:val="14"/>
                <w:color w:val="auto"/>
              </w:rPr>
              <w:t>Other current assets</w:t>
            </w:r>
          </w:p>
        </w:tc>
        <w:tc>
          <w:tcPr>
            <w:tcW w:w="420" w:type="dxa"/>
            <w:vAlign w:val="bottom"/>
          </w:tcPr>
          <w:p>
            <w:pPr>
              <w:spacing w:after="0"/>
              <w:rPr>
                <w:sz w:val="15"/>
                <w:szCs w:val="15"/>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(7,261)</w:t>
            </w: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(12,058)</w:t>
            </w:r>
          </w:p>
        </w:tc>
        <w:tc>
          <w:tcPr>
            <w:tcW w:w="0" w:type="dxa"/>
            <w:vAlign w:val="bottom"/>
          </w:tcPr>
          <w:p>
            <w:pPr>
              <w:spacing w:after="0"/>
              <w:rPr>
                <w:sz w:val="1"/>
                <w:szCs w:val="1"/>
                <w:color w:val="auto"/>
              </w:rPr>
            </w:pPr>
          </w:p>
        </w:tc>
      </w:tr>
      <w:tr>
        <w:trPr>
          <w:trHeight w:val="176"/>
        </w:trPr>
        <w:tc>
          <w:tcPr>
            <w:tcW w:w="8060" w:type="dxa"/>
            <w:vAlign w:val="bottom"/>
          </w:tcPr>
          <w:p>
            <w:pPr>
              <w:ind w:left="120"/>
              <w:spacing w:after="0"/>
              <w:rPr>
                <w:sz w:val="20"/>
                <w:szCs w:val="20"/>
                <w:color w:val="auto"/>
              </w:rPr>
            </w:pPr>
            <w:r>
              <w:rPr>
                <w:rFonts w:ascii="Arial" w:cs="Arial" w:eastAsia="Arial" w:hAnsi="Arial"/>
                <w:sz w:val="14"/>
                <w:szCs w:val="14"/>
                <w:color w:val="auto"/>
              </w:rPr>
              <w:t>Other long-term assets</w:t>
            </w:r>
          </w:p>
        </w:tc>
        <w:tc>
          <w:tcPr>
            <w:tcW w:w="420" w:type="dxa"/>
            <w:vAlign w:val="bottom"/>
          </w:tcPr>
          <w:p>
            <w:pPr>
              <w:spacing w:after="0"/>
              <w:rPr>
                <w:sz w:val="15"/>
                <w:szCs w:val="15"/>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1,308</w:t>
            </w: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(20,935)</w:t>
            </w:r>
          </w:p>
        </w:tc>
        <w:tc>
          <w:tcPr>
            <w:tcW w:w="0" w:type="dxa"/>
            <w:vAlign w:val="bottom"/>
          </w:tcPr>
          <w:p>
            <w:pPr>
              <w:spacing w:after="0"/>
              <w:rPr>
                <w:sz w:val="1"/>
                <w:szCs w:val="1"/>
                <w:color w:val="auto"/>
              </w:rPr>
            </w:pPr>
          </w:p>
        </w:tc>
      </w:tr>
      <w:tr>
        <w:trPr>
          <w:trHeight w:val="176"/>
        </w:trPr>
        <w:tc>
          <w:tcPr>
            <w:tcW w:w="8060" w:type="dxa"/>
            <w:vAlign w:val="bottom"/>
          </w:tcPr>
          <w:p>
            <w:pPr>
              <w:ind w:left="120"/>
              <w:spacing w:after="0"/>
              <w:rPr>
                <w:sz w:val="20"/>
                <w:szCs w:val="20"/>
                <w:color w:val="auto"/>
              </w:rPr>
            </w:pPr>
            <w:r>
              <w:rPr>
                <w:rFonts w:ascii="Arial" w:cs="Arial" w:eastAsia="Arial" w:hAnsi="Arial"/>
                <w:sz w:val="14"/>
                <w:szCs w:val="14"/>
                <w:color w:val="auto"/>
              </w:rPr>
              <w:t>Accounts payables, other current liabilities, and taxes payable</w:t>
            </w:r>
          </w:p>
        </w:tc>
        <w:tc>
          <w:tcPr>
            <w:tcW w:w="420" w:type="dxa"/>
            <w:vAlign w:val="bottom"/>
          </w:tcPr>
          <w:p>
            <w:pPr>
              <w:spacing w:after="0"/>
              <w:rPr>
                <w:sz w:val="15"/>
                <w:szCs w:val="15"/>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2,953</w:t>
            </w: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11,311</w:t>
            </w:r>
          </w:p>
        </w:tc>
        <w:tc>
          <w:tcPr>
            <w:tcW w:w="0" w:type="dxa"/>
            <w:vAlign w:val="bottom"/>
          </w:tcPr>
          <w:p>
            <w:pPr>
              <w:spacing w:after="0"/>
              <w:rPr>
                <w:sz w:val="1"/>
                <w:szCs w:val="1"/>
                <w:color w:val="auto"/>
              </w:rPr>
            </w:pPr>
          </w:p>
        </w:tc>
      </w:tr>
      <w:tr>
        <w:trPr>
          <w:trHeight w:val="176"/>
        </w:trPr>
        <w:tc>
          <w:tcPr>
            <w:tcW w:w="8060" w:type="dxa"/>
            <w:vAlign w:val="bottom"/>
          </w:tcPr>
          <w:p>
            <w:pPr>
              <w:ind w:left="120"/>
              <w:spacing w:after="0"/>
              <w:rPr>
                <w:sz w:val="20"/>
                <w:szCs w:val="20"/>
                <w:color w:val="auto"/>
              </w:rPr>
            </w:pPr>
            <w:r>
              <w:rPr>
                <w:rFonts w:ascii="Arial" w:cs="Arial" w:eastAsia="Arial" w:hAnsi="Arial"/>
                <w:sz w:val="14"/>
                <w:szCs w:val="14"/>
                <w:color w:val="auto"/>
              </w:rPr>
              <w:t>Wages and benefits payable</w:t>
            </w:r>
          </w:p>
        </w:tc>
        <w:tc>
          <w:tcPr>
            <w:tcW w:w="420" w:type="dxa"/>
            <w:vAlign w:val="bottom"/>
          </w:tcPr>
          <w:p>
            <w:pPr>
              <w:spacing w:after="0"/>
              <w:rPr>
                <w:sz w:val="15"/>
                <w:szCs w:val="15"/>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(13,358)</w:t>
            </w: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(29,383)</w:t>
            </w:r>
          </w:p>
        </w:tc>
        <w:tc>
          <w:tcPr>
            <w:tcW w:w="0" w:type="dxa"/>
            <w:vAlign w:val="bottom"/>
          </w:tcPr>
          <w:p>
            <w:pPr>
              <w:spacing w:after="0"/>
              <w:rPr>
                <w:sz w:val="1"/>
                <w:szCs w:val="1"/>
                <w:color w:val="auto"/>
              </w:rPr>
            </w:pPr>
          </w:p>
        </w:tc>
      </w:tr>
      <w:tr>
        <w:trPr>
          <w:trHeight w:val="176"/>
        </w:trPr>
        <w:tc>
          <w:tcPr>
            <w:tcW w:w="8060" w:type="dxa"/>
            <w:vAlign w:val="bottom"/>
          </w:tcPr>
          <w:p>
            <w:pPr>
              <w:ind w:left="120"/>
              <w:spacing w:after="0"/>
              <w:rPr>
                <w:sz w:val="20"/>
                <w:szCs w:val="20"/>
                <w:color w:val="auto"/>
              </w:rPr>
            </w:pPr>
            <w:r>
              <w:rPr>
                <w:rFonts w:ascii="Arial" w:cs="Arial" w:eastAsia="Arial" w:hAnsi="Arial"/>
                <w:sz w:val="14"/>
                <w:szCs w:val="14"/>
                <w:color w:val="auto"/>
              </w:rPr>
              <w:t>Unearned revenue</w:t>
            </w:r>
          </w:p>
        </w:tc>
        <w:tc>
          <w:tcPr>
            <w:tcW w:w="420" w:type="dxa"/>
            <w:vAlign w:val="bottom"/>
          </w:tcPr>
          <w:p>
            <w:pPr>
              <w:spacing w:after="0"/>
              <w:rPr>
                <w:sz w:val="15"/>
                <w:szCs w:val="15"/>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9,740</w:t>
            </w: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15,693</w:t>
            </w:r>
          </w:p>
        </w:tc>
        <w:tc>
          <w:tcPr>
            <w:tcW w:w="0" w:type="dxa"/>
            <w:vAlign w:val="bottom"/>
          </w:tcPr>
          <w:p>
            <w:pPr>
              <w:spacing w:after="0"/>
              <w:rPr>
                <w:sz w:val="1"/>
                <w:szCs w:val="1"/>
                <w:color w:val="auto"/>
              </w:rPr>
            </w:pPr>
          </w:p>
        </w:tc>
      </w:tr>
      <w:tr>
        <w:trPr>
          <w:trHeight w:val="176"/>
        </w:trPr>
        <w:tc>
          <w:tcPr>
            <w:tcW w:w="8060" w:type="dxa"/>
            <w:vAlign w:val="bottom"/>
          </w:tcPr>
          <w:p>
            <w:pPr>
              <w:ind w:left="120"/>
              <w:spacing w:after="0"/>
              <w:rPr>
                <w:sz w:val="20"/>
                <w:szCs w:val="20"/>
                <w:color w:val="auto"/>
              </w:rPr>
            </w:pPr>
            <w:r>
              <w:rPr>
                <w:rFonts w:ascii="Arial" w:cs="Arial" w:eastAsia="Arial" w:hAnsi="Arial"/>
                <w:sz w:val="14"/>
                <w:szCs w:val="14"/>
                <w:color w:val="auto"/>
              </w:rPr>
              <w:t>Warranty</w:t>
            </w:r>
          </w:p>
        </w:tc>
        <w:tc>
          <w:tcPr>
            <w:tcW w:w="420" w:type="dxa"/>
            <w:vAlign w:val="bottom"/>
          </w:tcPr>
          <w:p>
            <w:pPr>
              <w:spacing w:after="0"/>
              <w:rPr>
                <w:sz w:val="15"/>
                <w:szCs w:val="15"/>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(3,357)</w:t>
            </w: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6,445</w:t>
            </w:r>
          </w:p>
        </w:tc>
        <w:tc>
          <w:tcPr>
            <w:tcW w:w="0" w:type="dxa"/>
            <w:vAlign w:val="bottom"/>
          </w:tcPr>
          <w:p>
            <w:pPr>
              <w:spacing w:after="0"/>
              <w:rPr>
                <w:sz w:val="1"/>
                <w:szCs w:val="1"/>
                <w:color w:val="auto"/>
              </w:rPr>
            </w:pPr>
          </w:p>
        </w:tc>
      </w:tr>
      <w:tr>
        <w:trPr>
          <w:trHeight w:val="181"/>
        </w:trPr>
        <w:tc>
          <w:tcPr>
            <w:tcW w:w="8060" w:type="dxa"/>
            <w:vAlign w:val="bottom"/>
          </w:tcPr>
          <w:p>
            <w:pPr>
              <w:ind w:left="120"/>
              <w:spacing w:after="0"/>
              <w:rPr>
                <w:sz w:val="20"/>
                <w:szCs w:val="20"/>
                <w:color w:val="auto"/>
              </w:rPr>
            </w:pPr>
            <w:r>
              <w:rPr>
                <w:rFonts w:ascii="Arial" w:cs="Arial" w:eastAsia="Arial" w:hAnsi="Arial"/>
                <w:sz w:val="14"/>
                <w:szCs w:val="14"/>
                <w:color w:val="auto"/>
              </w:rPr>
              <w:t>Other operating, net</w:t>
            </w:r>
          </w:p>
        </w:tc>
        <w:tc>
          <w:tcPr>
            <w:tcW w:w="4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(3,992)</w:t>
            </w:r>
          </w:p>
        </w:tc>
        <w:tc>
          <w:tcPr>
            <w:tcW w:w="14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1,320</w:t>
            </w:r>
          </w:p>
        </w:tc>
        <w:tc>
          <w:tcPr>
            <w:tcW w:w="0" w:type="dxa"/>
            <w:vAlign w:val="bottom"/>
          </w:tcPr>
          <w:p>
            <w:pPr>
              <w:spacing w:after="0"/>
              <w:rPr>
                <w:sz w:val="1"/>
                <w:szCs w:val="1"/>
                <w:color w:val="auto"/>
              </w:rPr>
            </w:pPr>
          </w:p>
        </w:tc>
      </w:tr>
      <w:tr>
        <w:trPr>
          <w:trHeight w:val="176"/>
        </w:trPr>
        <w:tc>
          <w:tcPr>
            <w:tcW w:w="8060" w:type="dxa"/>
            <w:vAlign w:val="bottom"/>
          </w:tcPr>
          <w:p>
            <w:pPr>
              <w:ind w:left="260"/>
              <w:spacing w:after="0"/>
              <w:rPr>
                <w:sz w:val="20"/>
                <w:szCs w:val="20"/>
                <w:color w:val="auto"/>
              </w:rPr>
            </w:pPr>
            <w:r>
              <w:rPr>
                <w:rFonts w:ascii="Arial" w:cs="Arial" w:eastAsia="Arial" w:hAnsi="Arial"/>
                <w:sz w:val="14"/>
                <w:szCs w:val="14"/>
                <w:color w:val="auto"/>
              </w:rPr>
              <w:t>Net cash provided by operating activities</w:t>
            </w:r>
          </w:p>
        </w:tc>
        <w:tc>
          <w:tcPr>
            <w:tcW w:w="420" w:type="dxa"/>
            <w:vAlign w:val="bottom"/>
          </w:tcPr>
          <w:p>
            <w:pPr>
              <w:spacing w:after="0"/>
              <w:rPr>
                <w:sz w:val="15"/>
                <w:szCs w:val="15"/>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54,003</w:t>
            </w: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36,013</w:t>
            </w:r>
          </w:p>
        </w:tc>
        <w:tc>
          <w:tcPr>
            <w:tcW w:w="0" w:type="dxa"/>
            <w:vAlign w:val="bottom"/>
          </w:tcPr>
          <w:p>
            <w:pPr>
              <w:spacing w:after="0"/>
              <w:rPr>
                <w:sz w:val="1"/>
                <w:szCs w:val="1"/>
                <w:color w:val="auto"/>
              </w:rPr>
            </w:pPr>
          </w:p>
        </w:tc>
      </w:tr>
      <w:tr>
        <w:trPr>
          <w:trHeight w:val="339"/>
        </w:trPr>
        <w:tc>
          <w:tcPr>
            <w:tcW w:w="8060" w:type="dxa"/>
            <w:vAlign w:val="bottom"/>
          </w:tcPr>
          <w:p>
            <w:pPr>
              <w:spacing w:after="0"/>
              <w:rPr>
                <w:sz w:val="20"/>
                <w:szCs w:val="20"/>
                <w:color w:val="auto"/>
              </w:rPr>
            </w:pPr>
            <w:r>
              <w:rPr>
                <w:rFonts w:ascii="Arial" w:cs="Arial" w:eastAsia="Arial" w:hAnsi="Arial"/>
                <w:sz w:val="14"/>
                <w:szCs w:val="14"/>
                <w:color w:val="auto"/>
              </w:rPr>
              <w:t>Investing activities</w:t>
            </w: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8060" w:type="dxa"/>
            <w:vAlign w:val="bottom"/>
          </w:tcPr>
          <w:p>
            <w:pPr>
              <w:ind w:left="120"/>
              <w:spacing w:after="0"/>
              <w:rPr>
                <w:sz w:val="20"/>
                <w:szCs w:val="20"/>
                <w:color w:val="auto"/>
              </w:rPr>
            </w:pPr>
            <w:r>
              <w:rPr>
                <w:rFonts w:ascii="Arial" w:cs="Arial" w:eastAsia="Arial" w:hAnsi="Arial"/>
                <w:sz w:val="14"/>
                <w:szCs w:val="14"/>
                <w:color w:val="auto"/>
              </w:rPr>
              <w:t>Acquisitions of property, plant, and equipment</w:t>
            </w:r>
          </w:p>
        </w:tc>
        <w:tc>
          <w:tcPr>
            <w:tcW w:w="420" w:type="dxa"/>
            <w:vAlign w:val="bottom"/>
          </w:tcPr>
          <w:p>
            <w:pPr>
              <w:spacing w:after="0"/>
              <w:rPr>
                <w:sz w:val="15"/>
                <w:szCs w:val="15"/>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(12,043)</w:t>
            </w: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(11,250)</w:t>
            </w:r>
          </w:p>
        </w:tc>
        <w:tc>
          <w:tcPr>
            <w:tcW w:w="0" w:type="dxa"/>
            <w:vAlign w:val="bottom"/>
          </w:tcPr>
          <w:p>
            <w:pPr>
              <w:spacing w:after="0"/>
              <w:rPr>
                <w:sz w:val="1"/>
                <w:szCs w:val="1"/>
                <w:color w:val="auto"/>
              </w:rPr>
            </w:pPr>
          </w:p>
        </w:tc>
      </w:tr>
      <w:tr>
        <w:trPr>
          <w:trHeight w:val="176"/>
        </w:trPr>
        <w:tc>
          <w:tcPr>
            <w:tcW w:w="8060" w:type="dxa"/>
            <w:vAlign w:val="bottom"/>
          </w:tcPr>
          <w:p>
            <w:pPr>
              <w:ind w:left="120"/>
              <w:spacing w:after="0"/>
              <w:rPr>
                <w:sz w:val="20"/>
                <w:szCs w:val="20"/>
                <w:color w:val="auto"/>
              </w:rPr>
            </w:pPr>
            <w:r>
              <w:rPr>
                <w:rFonts w:ascii="Arial" w:cs="Arial" w:eastAsia="Arial" w:hAnsi="Arial"/>
                <w:sz w:val="14"/>
                <w:szCs w:val="14"/>
                <w:color w:val="auto"/>
              </w:rPr>
              <w:t>Business acquisitions, net of cash equivalents acquired</w:t>
            </w:r>
          </w:p>
        </w:tc>
        <w:tc>
          <w:tcPr>
            <w:tcW w:w="420" w:type="dxa"/>
            <w:vAlign w:val="bottom"/>
          </w:tcPr>
          <w:p>
            <w:pPr>
              <w:spacing w:after="0"/>
              <w:rPr>
                <w:sz w:val="15"/>
                <w:szCs w:val="15"/>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(860)</w:t>
            </w: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(14,829)</w:t>
            </w:r>
          </w:p>
        </w:tc>
        <w:tc>
          <w:tcPr>
            <w:tcW w:w="0" w:type="dxa"/>
            <w:vAlign w:val="bottom"/>
          </w:tcPr>
          <w:p>
            <w:pPr>
              <w:spacing w:after="0"/>
              <w:rPr>
                <w:sz w:val="1"/>
                <w:szCs w:val="1"/>
                <w:color w:val="auto"/>
              </w:rPr>
            </w:pPr>
          </w:p>
        </w:tc>
      </w:tr>
      <w:tr>
        <w:trPr>
          <w:trHeight w:val="181"/>
        </w:trPr>
        <w:tc>
          <w:tcPr>
            <w:tcW w:w="8060" w:type="dxa"/>
            <w:vAlign w:val="bottom"/>
          </w:tcPr>
          <w:p>
            <w:pPr>
              <w:ind w:left="120"/>
              <w:spacing w:after="0"/>
              <w:rPr>
                <w:sz w:val="20"/>
                <w:szCs w:val="20"/>
                <w:color w:val="auto"/>
              </w:rPr>
            </w:pPr>
            <w:r>
              <w:rPr>
                <w:rFonts w:ascii="Arial" w:cs="Arial" w:eastAsia="Arial" w:hAnsi="Arial"/>
                <w:sz w:val="14"/>
                <w:szCs w:val="14"/>
                <w:color w:val="auto"/>
              </w:rPr>
              <w:t>Other investing, net</w:t>
            </w:r>
          </w:p>
        </w:tc>
        <w:tc>
          <w:tcPr>
            <w:tcW w:w="4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283</w:t>
            </w:r>
          </w:p>
        </w:tc>
        <w:tc>
          <w:tcPr>
            <w:tcW w:w="14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305</w:t>
            </w:r>
          </w:p>
        </w:tc>
        <w:tc>
          <w:tcPr>
            <w:tcW w:w="0" w:type="dxa"/>
            <w:vAlign w:val="bottom"/>
          </w:tcPr>
          <w:p>
            <w:pPr>
              <w:spacing w:after="0"/>
              <w:rPr>
                <w:sz w:val="1"/>
                <w:szCs w:val="1"/>
                <w:color w:val="auto"/>
              </w:rPr>
            </w:pPr>
          </w:p>
        </w:tc>
      </w:tr>
      <w:tr>
        <w:trPr>
          <w:trHeight w:val="176"/>
        </w:trPr>
        <w:tc>
          <w:tcPr>
            <w:tcW w:w="8060" w:type="dxa"/>
            <w:vAlign w:val="bottom"/>
          </w:tcPr>
          <w:p>
            <w:pPr>
              <w:ind w:left="260"/>
              <w:spacing w:after="0"/>
              <w:rPr>
                <w:sz w:val="20"/>
                <w:szCs w:val="20"/>
                <w:color w:val="auto"/>
              </w:rPr>
            </w:pPr>
            <w:r>
              <w:rPr>
                <w:rFonts w:ascii="Arial" w:cs="Arial" w:eastAsia="Arial" w:hAnsi="Arial"/>
                <w:sz w:val="14"/>
                <w:szCs w:val="14"/>
                <w:color w:val="auto"/>
              </w:rPr>
              <w:t>Net cash used in investing activities</w:t>
            </w:r>
          </w:p>
        </w:tc>
        <w:tc>
          <w:tcPr>
            <w:tcW w:w="420" w:type="dxa"/>
            <w:vAlign w:val="bottom"/>
          </w:tcPr>
          <w:p>
            <w:pPr>
              <w:spacing w:after="0"/>
              <w:rPr>
                <w:sz w:val="15"/>
                <w:szCs w:val="15"/>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(12,620)</w:t>
            </w: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(25,774)</w:t>
            </w:r>
          </w:p>
        </w:tc>
        <w:tc>
          <w:tcPr>
            <w:tcW w:w="0" w:type="dxa"/>
            <w:vAlign w:val="bottom"/>
          </w:tcPr>
          <w:p>
            <w:pPr>
              <w:spacing w:after="0"/>
              <w:rPr>
                <w:sz w:val="1"/>
                <w:szCs w:val="1"/>
                <w:color w:val="auto"/>
              </w:rPr>
            </w:pPr>
          </w:p>
        </w:tc>
      </w:tr>
      <w:tr>
        <w:trPr>
          <w:trHeight w:val="339"/>
        </w:trPr>
        <w:tc>
          <w:tcPr>
            <w:tcW w:w="8060" w:type="dxa"/>
            <w:vAlign w:val="bottom"/>
          </w:tcPr>
          <w:p>
            <w:pPr>
              <w:spacing w:after="0"/>
              <w:rPr>
                <w:sz w:val="20"/>
                <w:szCs w:val="20"/>
                <w:color w:val="auto"/>
              </w:rPr>
            </w:pPr>
            <w:r>
              <w:rPr>
                <w:rFonts w:ascii="Arial" w:cs="Arial" w:eastAsia="Arial" w:hAnsi="Arial"/>
                <w:sz w:val="14"/>
                <w:szCs w:val="14"/>
                <w:color w:val="auto"/>
              </w:rPr>
              <w:t>Financing activities</w:t>
            </w: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8060" w:type="dxa"/>
            <w:vAlign w:val="bottom"/>
          </w:tcPr>
          <w:p>
            <w:pPr>
              <w:ind w:left="120"/>
              <w:spacing w:after="0"/>
              <w:rPr>
                <w:sz w:val="20"/>
                <w:szCs w:val="20"/>
                <w:color w:val="auto"/>
              </w:rPr>
            </w:pPr>
            <w:r>
              <w:rPr>
                <w:rFonts w:ascii="Arial" w:cs="Arial" w:eastAsia="Arial" w:hAnsi="Arial"/>
                <w:sz w:val="14"/>
                <w:szCs w:val="14"/>
                <w:color w:val="auto"/>
              </w:rPr>
              <w:t>Payments on debt</w:t>
            </w:r>
          </w:p>
        </w:tc>
        <w:tc>
          <w:tcPr>
            <w:tcW w:w="420" w:type="dxa"/>
            <w:vAlign w:val="bottom"/>
          </w:tcPr>
          <w:p>
            <w:pPr>
              <w:spacing w:after="0"/>
              <w:rPr>
                <w:sz w:val="15"/>
                <w:szCs w:val="15"/>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(13,750)</w:t>
            </w: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(52,919)</w:t>
            </w:r>
          </w:p>
        </w:tc>
        <w:tc>
          <w:tcPr>
            <w:tcW w:w="0" w:type="dxa"/>
            <w:vAlign w:val="bottom"/>
          </w:tcPr>
          <w:p>
            <w:pPr>
              <w:spacing w:after="0"/>
              <w:rPr>
                <w:sz w:val="1"/>
                <w:szCs w:val="1"/>
                <w:color w:val="auto"/>
              </w:rPr>
            </w:pPr>
          </w:p>
        </w:tc>
      </w:tr>
      <w:tr>
        <w:trPr>
          <w:trHeight w:val="176"/>
        </w:trPr>
        <w:tc>
          <w:tcPr>
            <w:tcW w:w="8060" w:type="dxa"/>
            <w:vAlign w:val="bottom"/>
          </w:tcPr>
          <w:p>
            <w:pPr>
              <w:ind w:left="120"/>
              <w:spacing w:after="0"/>
              <w:rPr>
                <w:sz w:val="20"/>
                <w:szCs w:val="20"/>
                <w:color w:val="auto"/>
              </w:rPr>
            </w:pPr>
            <w:r>
              <w:rPr>
                <w:rFonts w:ascii="Arial" w:cs="Arial" w:eastAsia="Arial" w:hAnsi="Arial"/>
                <w:sz w:val="14"/>
                <w:szCs w:val="14"/>
                <w:color w:val="auto"/>
              </w:rPr>
              <w:t>Issuance of common stock</w:t>
            </w:r>
          </w:p>
        </w:tc>
        <w:tc>
          <w:tcPr>
            <w:tcW w:w="420" w:type="dxa"/>
            <w:vAlign w:val="bottom"/>
          </w:tcPr>
          <w:p>
            <w:pPr>
              <w:spacing w:after="0"/>
              <w:rPr>
                <w:sz w:val="15"/>
                <w:szCs w:val="15"/>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978</w:t>
            </w: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1,142</w:t>
            </w:r>
          </w:p>
        </w:tc>
        <w:tc>
          <w:tcPr>
            <w:tcW w:w="0" w:type="dxa"/>
            <w:vAlign w:val="bottom"/>
          </w:tcPr>
          <w:p>
            <w:pPr>
              <w:spacing w:after="0"/>
              <w:rPr>
                <w:sz w:val="1"/>
                <w:szCs w:val="1"/>
                <w:color w:val="auto"/>
              </w:rPr>
            </w:pPr>
          </w:p>
        </w:tc>
      </w:tr>
      <w:tr>
        <w:trPr>
          <w:trHeight w:val="176"/>
        </w:trPr>
        <w:tc>
          <w:tcPr>
            <w:tcW w:w="8060" w:type="dxa"/>
            <w:vAlign w:val="bottom"/>
          </w:tcPr>
          <w:p>
            <w:pPr>
              <w:ind w:left="120"/>
              <w:spacing w:after="0"/>
              <w:rPr>
                <w:sz w:val="20"/>
                <w:szCs w:val="20"/>
                <w:color w:val="auto"/>
              </w:rPr>
            </w:pPr>
            <w:r>
              <w:rPr>
                <w:rFonts w:ascii="Arial" w:cs="Arial" w:eastAsia="Arial" w:hAnsi="Arial"/>
                <w:sz w:val="14"/>
                <w:szCs w:val="14"/>
                <w:color w:val="auto"/>
              </w:rPr>
              <w:t>Repurchase of common stock</w:t>
            </w:r>
          </w:p>
        </w:tc>
        <w:tc>
          <w:tcPr>
            <w:tcW w:w="420" w:type="dxa"/>
            <w:vAlign w:val="bottom"/>
          </w:tcPr>
          <w:p>
            <w:pPr>
              <w:spacing w:after="0"/>
              <w:rPr>
                <w:sz w:val="15"/>
                <w:szCs w:val="15"/>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(10,594)</w:t>
            </w: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8060" w:type="dxa"/>
            <w:vAlign w:val="bottom"/>
          </w:tcPr>
          <w:p>
            <w:pPr>
              <w:ind w:left="120"/>
              <w:spacing w:after="0"/>
              <w:rPr>
                <w:sz w:val="20"/>
                <w:szCs w:val="20"/>
                <w:color w:val="auto"/>
              </w:rPr>
            </w:pPr>
            <w:r>
              <w:rPr>
                <w:rFonts w:ascii="Arial" w:cs="Arial" w:eastAsia="Arial" w:hAnsi="Arial"/>
                <w:sz w:val="14"/>
                <w:szCs w:val="14"/>
                <w:color w:val="auto"/>
              </w:rPr>
              <w:t>Other financing, net</w:t>
            </w:r>
          </w:p>
        </w:tc>
        <w:tc>
          <w:tcPr>
            <w:tcW w:w="4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140</w:t>
            </w:r>
          </w:p>
        </w:tc>
        <w:tc>
          <w:tcPr>
            <w:tcW w:w="14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(589)</w:t>
            </w:r>
          </w:p>
        </w:tc>
        <w:tc>
          <w:tcPr>
            <w:tcW w:w="0" w:type="dxa"/>
            <w:vAlign w:val="bottom"/>
          </w:tcPr>
          <w:p>
            <w:pPr>
              <w:spacing w:after="0"/>
              <w:rPr>
                <w:sz w:val="1"/>
                <w:szCs w:val="1"/>
                <w:color w:val="auto"/>
              </w:rPr>
            </w:pPr>
          </w:p>
        </w:tc>
      </w:tr>
      <w:tr>
        <w:trPr>
          <w:trHeight w:val="176"/>
        </w:trPr>
        <w:tc>
          <w:tcPr>
            <w:tcW w:w="8060" w:type="dxa"/>
            <w:vAlign w:val="bottom"/>
          </w:tcPr>
          <w:p>
            <w:pPr>
              <w:ind w:left="260"/>
              <w:spacing w:after="0"/>
              <w:rPr>
                <w:sz w:val="20"/>
                <w:szCs w:val="20"/>
                <w:color w:val="auto"/>
              </w:rPr>
            </w:pPr>
            <w:r>
              <w:rPr>
                <w:rFonts w:ascii="Arial" w:cs="Arial" w:eastAsia="Arial" w:hAnsi="Arial"/>
                <w:sz w:val="14"/>
                <w:szCs w:val="14"/>
                <w:color w:val="auto"/>
              </w:rPr>
              <w:t>Net cash used in financing activities</w:t>
            </w:r>
          </w:p>
        </w:tc>
        <w:tc>
          <w:tcPr>
            <w:tcW w:w="420" w:type="dxa"/>
            <w:vAlign w:val="bottom"/>
          </w:tcPr>
          <w:p>
            <w:pPr>
              <w:spacing w:after="0"/>
              <w:rPr>
                <w:sz w:val="15"/>
                <w:szCs w:val="15"/>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(23,226)</w:t>
            </w: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(52,366)</w:t>
            </w:r>
          </w:p>
        </w:tc>
        <w:tc>
          <w:tcPr>
            <w:tcW w:w="0" w:type="dxa"/>
            <w:vAlign w:val="bottom"/>
          </w:tcPr>
          <w:p>
            <w:pPr>
              <w:spacing w:after="0"/>
              <w:rPr>
                <w:sz w:val="1"/>
                <w:szCs w:val="1"/>
                <w:color w:val="auto"/>
              </w:rPr>
            </w:pPr>
          </w:p>
        </w:tc>
      </w:tr>
      <w:tr>
        <w:trPr>
          <w:trHeight w:val="344"/>
        </w:trPr>
        <w:tc>
          <w:tcPr>
            <w:tcW w:w="8060" w:type="dxa"/>
            <w:vAlign w:val="bottom"/>
          </w:tcPr>
          <w:p>
            <w:pPr>
              <w:spacing w:after="0"/>
              <w:rPr>
                <w:sz w:val="20"/>
                <w:szCs w:val="20"/>
                <w:color w:val="auto"/>
              </w:rPr>
            </w:pPr>
            <w:r>
              <w:rPr>
                <w:rFonts w:ascii="Arial" w:cs="Arial" w:eastAsia="Arial" w:hAnsi="Arial"/>
                <w:sz w:val="14"/>
                <w:szCs w:val="14"/>
                <w:color w:val="auto"/>
              </w:rPr>
              <w:t>Effect of foreign exchange rate changes on cash and cash equivalents</w:t>
            </w:r>
          </w:p>
        </w:tc>
        <w:tc>
          <w:tcPr>
            <w:tcW w:w="4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3,195</w:t>
            </w:r>
          </w:p>
        </w:tc>
        <w:tc>
          <w:tcPr>
            <w:tcW w:w="14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6,062</w:t>
            </w:r>
          </w:p>
        </w:tc>
        <w:tc>
          <w:tcPr>
            <w:tcW w:w="0" w:type="dxa"/>
            <w:vAlign w:val="bottom"/>
          </w:tcPr>
          <w:p>
            <w:pPr>
              <w:spacing w:after="0"/>
              <w:rPr>
                <w:sz w:val="1"/>
                <w:szCs w:val="1"/>
                <w:color w:val="auto"/>
              </w:rPr>
            </w:pPr>
          </w:p>
        </w:tc>
      </w:tr>
      <w:tr>
        <w:trPr>
          <w:trHeight w:val="164"/>
        </w:trPr>
        <w:tc>
          <w:tcPr>
            <w:tcW w:w="8060" w:type="dxa"/>
            <w:vAlign w:val="bottom"/>
          </w:tcPr>
          <w:p>
            <w:pPr>
              <w:spacing w:after="0"/>
              <w:rPr>
                <w:sz w:val="20"/>
                <w:szCs w:val="20"/>
                <w:color w:val="auto"/>
              </w:rPr>
            </w:pPr>
            <w:r>
              <w:rPr>
                <w:rFonts w:ascii="Arial" w:cs="Arial" w:eastAsia="Arial" w:hAnsi="Arial"/>
                <w:sz w:val="14"/>
                <w:szCs w:val="14"/>
                <w:color w:val="auto"/>
              </w:rPr>
              <w:t>Increase (decrease) in cash and cash equivalents</w:t>
            </w:r>
          </w:p>
        </w:tc>
        <w:tc>
          <w:tcPr>
            <w:tcW w:w="420" w:type="dxa"/>
            <w:vAlign w:val="bottom"/>
          </w:tcPr>
          <w:p>
            <w:pPr>
              <w:spacing w:after="0"/>
              <w:rPr>
                <w:sz w:val="14"/>
                <w:szCs w:val="14"/>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21,352</w:t>
            </w: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(36,065)</w:t>
            </w:r>
          </w:p>
        </w:tc>
        <w:tc>
          <w:tcPr>
            <w:tcW w:w="0" w:type="dxa"/>
            <w:vAlign w:val="bottom"/>
          </w:tcPr>
          <w:p>
            <w:pPr>
              <w:spacing w:after="0"/>
              <w:rPr>
                <w:sz w:val="1"/>
                <w:szCs w:val="1"/>
                <w:color w:val="auto"/>
              </w:rPr>
            </w:pPr>
          </w:p>
        </w:tc>
      </w:tr>
      <w:tr>
        <w:trPr>
          <w:trHeight w:val="181"/>
        </w:trPr>
        <w:tc>
          <w:tcPr>
            <w:tcW w:w="8060" w:type="dxa"/>
            <w:vAlign w:val="bottom"/>
          </w:tcPr>
          <w:p>
            <w:pPr>
              <w:spacing w:after="0"/>
              <w:rPr>
                <w:sz w:val="20"/>
                <w:szCs w:val="20"/>
                <w:color w:val="auto"/>
              </w:rPr>
            </w:pPr>
            <w:r>
              <w:rPr>
                <w:rFonts w:ascii="Arial" w:cs="Arial" w:eastAsia="Arial" w:hAnsi="Arial"/>
                <w:sz w:val="14"/>
                <w:szCs w:val="14"/>
                <w:color w:val="auto"/>
              </w:rPr>
              <w:t>Cash and cash equivalents at beginning of period</w:t>
            </w:r>
          </w:p>
        </w:tc>
        <w:tc>
          <w:tcPr>
            <w:tcW w:w="4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133,086</w:t>
            </w:r>
          </w:p>
        </w:tc>
        <w:tc>
          <w:tcPr>
            <w:tcW w:w="14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169,477</w:t>
            </w:r>
          </w:p>
        </w:tc>
        <w:tc>
          <w:tcPr>
            <w:tcW w:w="0" w:type="dxa"/>
            <w:vAlign w:val="bottom"/>
          </w:tcPr>
          <w:p>
            <w:pPr>
              <w:spacing w:after="0"/>
              <w:rPr>
                <w:sz w:val="1"/>
                <w:szCs w:val="1"/>
                <w:color w:val="auto"/>
              </w:rPr>
            </w:pPr>
          </w:p>
        </w:tc>
      </w:tr>
      <w:tr>
        <w:trPr>
          <w:trHeight w:val="169"/>
        </w:trPr>
        <w:tc>
          <w:tcPr>
            <w:tcW w:w="8060" w:type="dxa"/>
            <w:vAlign w:val="bottom"/>
          </w:tcPr>
          <w:p>
            <w:pPr>
              <w:spacing w:after="0"/>
              <w:rPr>
                <w:sz w:val="20"/>
                <w:szCs w:val="20"/>
                <w:color w:val="auto"/>
              </w:rPr>
            </w:pPr>
            <w:r>
              <w:rPr>
                <w:rFonts w:ascii="Arial" w:cs="Arial" w:eastAsia="Arial" w:hAnsi="Arial"/>
                <w:sz w:val="14"/>
                <w:szCs w:val="14"/>
                <w:color w:val="auto"/>
              </w:rPr>
              <w:t>Cash and cash equivalents at end of period</w:t>
            </w:r>
          </w:p>
        </w:tc>
        <w:tc>
          <w:tcPr>
            <w:tcW w:w="4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154,438</w:t>
            </w:r>
          </w:p>
        </w:tc>
        <w:tc>
          <w:tcPr>
            <w:tcW w:w="140" w:type="dxa"/>
            <w:vAlign w:val="bottom"/>
          </w:tcPr>
          <w:p>
            <w:pPr>
              <w:spacing w:after="0"/>
              <w:rPr>
                <w:sz w:val="14"/>
                <w:szCs w:val="14"/>
                <w:color w:val="auto"/>
              </w:rPr>
            </w:pPr>
          </w:p>
        </w:tc>
        <w:tc>
          <w:tcPr>
            <w:tcW w:w="4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133,412</w:t>
            </w: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80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8060" w:type="dxa"/>
            <w:vAlign w:val="bottom"/>
            <w:tcBorders>
              <w:bottom w:val="single" w:sz="8" w:color="EEEEEE"/>
            </w:tcBorders>
          </w:tcPr>
          <w:p>
            <w:pPr>
              <w:spacing w:after="0" w:line="20" w:lineRule="exact"/>
              <w:rPr>
                <w:sz w:val="1"/>
                <w:szCs w:val="1"/>
                <w:color w:val="auto"/>
              </w:rPr>
            </w:pPr>
          </w:p>
        </w:tc>
        <w:tc>
          <w:tcPr>
            <w:tcW w:w="420" w:type="dxa"/>
            <w:vAlign w:val="bottom"/>
            <w:tcBorders>
              <w:bottom w:val="single" w:sz="8" w:color="EEEEEE"/>
            </w:tcBorders>
          </w:tcPr>
          <w:p>
            <w:pPr>
              <w:spacing w:after="0" w:line="20" w:lineRule="exact"/>
              <w:rPr>
                <w:sz w:val="1"/>
                <w:szCs w:val="1"/>
                <w:color w:val="auto"/>
              </w:rPr>
            </w:pPr>
          </w:p>
        </w:tc>
        <w:tc>
          <w:tcPr>
            <w:tcW w:w="114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440" w:type="dxa"/>
            <w:vAlign w:val="bottom"/>
            <w:tcBorders>
              <w:bottom w:val="single" w:sz="8" w:color="EEEEEE"/>
            </w:tcBorders>
          </w:tcPr>
          <w:p>
            <w:pPr>
              <w:spacing w:after="0" w:line="20" w:lineRule="exact"/>
              <w:rPr>
                <w:sz w:val="1"/>
                <w:szCs w:val="1"/>
                <w:color w:val="auto"/>
              </w:rPr>
            </w:pPr>
          </w:p>
        </w:tc>
        <w:tc>
          <w:tcPr>
            <w:tcW w:w="12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1" w:name="page12"/>
    <w:bookmarkEnd w:id="11"/>
    <w:p>
      <w:pPr>
        <w:jc w:val="center"/>
        <w:ind w:right="-59"/>
        <w:spacing w:after="0"/>
        <w:rPr>
          <w:sz w:val="20"/>
          <w:szCs w:val="20"/>
          <w:color w:val="auto"/>
        </w:rPr>
      </w:pPr>
      <w:r>
        <w:rPr>
          <w:rFonts w:ascii="Arial" w:cs="Arial" w:eastAsia="Arial" w:hAnsi="Arial"/>
          <w:sz w:val="22"/>
          <w:szCs w:val="22"/>
          <w:b w:val="1"/>
          <w:bCs w:val="1"/>
          <w:color w:val="auto"/>
        </w:rPr>
        <w:t>Itron, Inc.</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About Non-GAAP Financial Measures</w:t>
      </w:r>
    </w:p>
    <w:p>
      <w:pPr>
        <w:spacing w:after="0" w:line="212" w:lineRule="exact"/>
        <w:rPr>
          <w:sz w:val="20"/>
          <w:szCs w:val="20"/>
          <w:color w:val="auto"/>
        </w:rPr>
      </w:pPr>
    </w:p>
    <w:p>
      <w:pPr>
        <w:spacing w:after="0" w:line="247" w:lineRule="auto"/>
        <w:rPr>
          <w:sz w:val="20"/>
          <w:szCs w:val="20"/>
          <w:color w:val="auto"/>
        </w:rPr>
      </w:pPr>
      <w:r>
        <w:rPr>
          <w:rFonts w:ascii="Arial" w:cs="Arial" w:eastAsia="Arial" w:hAnsi="Arial"/>
          <w:sz w:val="21"/>
          <w:szCs w:val="21"/>
          <w:color w:val="auto"/>
        </w:rPr>
        <w:t>The accompanying press release contains non-GAAP financial measures. To supplement our consolidated financial statements, which are prepared and presented in accordance with GAAP, we use certain non-GAAP financial measures, including non-GAAP operating expense, non-GAAP operating income, non-GAAP net income, non-GAAP diluted EPS, adjusted EBITDA, and free cash flow. The presentation of this financial information is not intended to be considered in isolation or as a substitute for, or superior to, the financial information prepared and presented in accordance with GAAP. For more information on these non-GAAP financial measures please see the table captioned “Reconciliations of Non-GAAP Financial Measures to Most Directly Comparable GAAP Financial Measures.”</w:t>
      </w:r>
    </w:p>
    <w:p>
      <w:pPr>
        <w:spacing w:after="0" w:line="178" w:lineRule="exact"/>
        <w:rPr>
          <w:sz w:val="20"/>
          <w:szCs w:val="20"/>
          <w:color w:val="auto"/>
        </w:rPr>
      </w:pPr>
    </w:p>
    <w:p>
      <w:pPr>
        <w:ind w:right="40"/>
        <w:spacing w:after="0" w:line="273" w:lineRule="auto"/>
        <w:rPr>
          <w:sz w:val="20"/>
          <w:szCs w:val="20"/>
          <w:color w:val="auto"/>
        </w:rPr>
      </w:pPr>
      <w:r>
        <w:rPr>
          <w:rFonts w:ascii="Arial" w:cs="Arial" w:eastAsia="Arial" w:hAnsi="Arial"/>
          <w:sz w:val="19"/>
          <w:szCs w:val="19"/>
          <w:color w:val="auto"/>
        </w:rPr>
        <w:t>We use these non-GAAP financial measures for financial and operational decision making and as a means for determining executive compensation. Management believes that these non-GAAP financial measures provide meaningful supplemental information regarding our performance and ability to service debt by excluding certain expenses that may not be indicative of our recurring core operating results. These non-GAAP financial measures facilitate management’s internal comparisons to our historical performance as well as comparisons to our competitors’ operating results. Our executive compensation plans exclude non-cash charges related to amortization of intangibles and non-recurring discrete cash and non-cash charges that are infrequent in nature such as purchase accounting adjustments, restructuring charges or goodwill impairment charges. We believe that both management and investors benefit from referring to these non-GAAP financial measures in assessing our performance and when planning, forecasting and analyzing future periods. We believe these non-GAAP financial measures are useful to investors because they provide greater transparency with respect to key metrics used by management in its financial and operational decision making and because they are used by our institutional investors and the analyst community to help them analyze the health of our business.</w:t>
      </w:r>
    </w:p>
    <w:p>
      <w:pPr>
        <w:spacing w:after="0" w:line="156"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Non-GAAP operating expense and non-GAAP operating income – We define non-GAAP operating expense as operating expense excluding certain expenses related to the amortization of intangible assets, restructuring, acquisitions and goodwill impairment. We define non-GAAP operating income as operating income excluding the expenses related to the amortization of intangible assets, restructuring, acquisitions and goodwill impairment. We consider these non-GAAP financial measures to be useful metrics for management and investors because they exclude the effect of expenses that are related to previous acquisitions and restructurings. By excluding these expenses we believe that it is easier for management and investors to compare our financial results over multiple periods and analyze trends in our operations. For example, expenses related to amortization of intangible assets are now decreasing, which is improving GAAP operating margins, yet the improvement in GAAP operating margins due to this lower expense is not necessarily reflective of an improvement in our core business. There are some limitations related to the use of non-GAAP operating expense and non-GAAP operating income versus operating expense and operating income calculated in accordance with GAAP. Non-GAAP operating expense and non-GAAP operating income exclude some costs that are recurring. Additionally, the expenses that we exclude in our calculation of non-GAAP operating expense and non-GAAP operating income may differ from the expenses that our peer companies exclude when they report the results of their operations. We compensate for these limitations by providing specific information about the GAAP amounts we have excluded from our non-GAAP operating expense and non-GAAP operating income and evaluating non-GAAP operating expense and non-GAAP operating income together with GAAP operating expense and GAAP operating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272020" cy="596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80"/>
          </w:cols>
          <w:pgMar w:left="240" w:top="111" w:right="279" w:bottom="1440" w:gutter="0" w:footer="0" w:header="0"/>
        </w:sectPr>
      </w:pPr>
    </w:p>
    <w:bookmarkStart w:id="12" w:name="page13"/>
    <w:bookmarkEnd w:id="12"/>
    <w:p>
      <w:pPr>
        <w:spacing w:after="0" w:line="245" w:lineRule="auto"/>
        <w:rPr>
          <w:sz w:val="20"/>
          <w:szCs w:val="20"/>
          <w:color w:val="auto"/>
        </w:rPr>
      </w:pPr>
      <w:r>
        <w:rPr>
          <w:rFonts w:ascii="Arial" w:cs="Arial" w:eastAsia="Arial" w:hAnsi="Arial"/>
          <w:sz w:val="21"/>
          <w:szCs w:val="21"/>
          <w:color w:val="auto"/>
        </w:rPr>
        <w:t>Non-GAAP net income and non-GAAP diluted EPS – We define non-GAAP net income as net income excluding the expenses associated with amortization of intangible assets, restructuring, acquisitions, goodwill impairment, amortization of debt placement fees and amortization of convertible debt discount. We define non-GAAP diluted EPS as non-GAAP net income divided by the weighted average shares, on a diluted basis, outstanding during each period. We consider these financial measures to be useful metrics for management and investors for the same reasons that we use non-GAAP operating income. The same limitations described above regarding our use of non-GAAP operating income apply to our use of non-GAAP net income and non-GAAP diluted EPS. We compensate for these limitations by providing specific information regarding the GAAP amounts excluded from these non-GAAP measures and evaluating non-GAAP net income and non-GAAP diluted EPS together with GAAP net income and GAAP diluted EPS.</w:t>
      </w:r>
    </w:p>
    <w:p>
      <w:pPr>
        <w:spacing w:after="0" w:line="186" w:lineRule="exact"/>
        <w:rPr>
          <w:sz w:val="20"/>
          <w:szCs w:val="20"/>
          <w:color w:val="auto"/>
        </w:rPr>
      </w:pPr>
    </w:p>
    <w:p>
      <w:pPr>
        <w:ind w:right="40"/>
        <w:spacing w:after="0" w:line="245" w:lineRule="auto"/>
        <w:rPr>
          <w:sz w:val="20"/>
          <w:szCs w:val="20"/>
          <w:color w:val="auto"/>
        </w:rPr>
      </w:pPr>
      <w:r>
        <w:rPr>
          <w:rFonts w:ascii="Arial" w:cs="Arial" w:eastAsia="Arial" w:hAnsi="Arial"/>
          <w:sz w:val="21"/>
          <w:szCs w:val="21"/>
          <w:color w:val="auto"/>
        </w:rPr>
        <w:t>Adjusted EBITDA – We define adjusted EBITDA as net income (a) minus interest income, (b) plus interest expense, depreciation and amortization of intangible asset expenses, restructuring expense and goodwill impairment and (c) exclude the tax expense or benefit. We believe that providing this financial measure is important for management and investors to understand our ability to service our debt as it is a measure of the cash generated by our core business. Management uses adjusted EBITDA as a performance measure for executive compensation. A limitation to using adjusted EBITDA is that it does not represent the total increase or decrease in the cash balance for the period and the measure includes some non-cash items and excludes other non-cash items. Additionally, the items that we exclude in our calculation of adjusted EBITDA may differ from the items that our peer companies exclude when they report their results. Management compensates for this limitation by providing a reconciliation of this measure to GAAP net income.</w:t>
      </w:r>
    </w:p>
    <w:p>
      <w:pPr>
        <w:spacing w:after="0" w:line="185" w:lineRule="exact"/>
        <w:rPr>
          <w:sz w:val="20"/>
          <w:szCs w:val="20"/>
          <w:color w:val="auto"/>
        </w:rPr>
      </w:pPr>
    </w:p>
    <w:p>
      <w:pPr>
        <w:ind w:right="100"/>
        <w:spacing w:after="0" w:line="249" w:lineRule="auto"/>
        <w:rPr>
          <w:sz w:val="20"/>
          <w:szCs w:val="20"/>
          <w:color w:val="auto"/>
        </w:rPr>
      </w:pPr>
      <w:r>
        <w:rPr>
          <w:rFonts w:ascii="Arial" w:cs="Arial" w:eastAsia="Arial" w:hAnsi="Arial"/>
          <w:sz w:val="21"/>
          <w:szCs w:val="21"/>
          <w:color w:val="auto"/>
        </w:rPr>
        <w:t>Free cash flow – We define free cash flow as net cash provided by operating activities less cash used for acquisitions of property, plant, and equipment. We believe free cash flow provides investors with a relevant measure of liquidity and a useful basis for assessing our ability to fund our operations and repay our debt. The same limitations described above regarding our use of non-GAAP operating income apply to our use of free cash flow. We compensate for these limitations by providing specific information regarding the GAAP amounts and reconciling to free cash flow.</w:t>
      </w:r>
    </w:p>
    <w:p>
      <w:pPr>
        <w:spacing w:after="0" w:line="179" w:lineRule="exact"/>
        <w:rPr>
          <w:sz w:val="20"/>
          <w:szCs w:val="20"/>
          <w:color w:val="auto"/>
        </w:rPr>
      </w:pPr>
    </w:p>
    <w:p>
      <w:pPr>
        <w:ind w:right="260"/>
        <w:spacing w:after="0" w:line="251" w:lineRule="auto"/>
        <w:rPr>
          <w:sz w:val="20"/>
          <w:szCs w:val="20"/>
          <w:color w:val="auto"/>
        </w:rPr>
      </w:pPr>
      <w:r>
        <w:rPr>
          <w:rFonts w:ascii="Arial" w:cs="Arial" w:eastAsia="Arial" w:hAnsi="Arial"/>
          <w:sz w:val="22"/>
          <w:szCs w:val="22"/>
          <w:color w:val="auto"/>
        </w:rPr>
        <w:t>The accompanying tables have more detail on the GAAP financial measures that are most directly comparable to the non-GAAP financial measures and the related reconciliations between these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272020" cy="596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3" w:name="page14"/>
    <w:bookmarkEnd w:id="13"/>
    <w:p>
      <w:pPr>
        <w:jc w:val="center"/>
        <w:spacing w:after="0"/>
        <w:rPr>
          <w:sz w:val="20"/>
          <w:szCs w:val="20"/>
          <w:color w:val="auto"/>
        </w:rPr>
      </w:pPr>
      <w:r>
        <w:rPr>
          <w:rFonts w:ascii="Arial" w:cs="Arial" w:eastAsia="Arial" w:hAnsi="Arial"/>
          <w:sz w:val="14"/>
          <w:szCs w:val="14"/>
          <w:b w:val="1"/>
          <w:bCs w:val="1"/>
          <w:color w:val="auto"/>
        </w:rPr>
        <w:t>ITRON,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RECONCILIATIONS OF NON-GAAP FINANCIAL MEASURES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TO THE MOST DIRECTLY COMPARABLE GAAP FINANCIAL MEASURES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960" w:type="dxa"/>
            <w:vAlign w:val="bottom"/>
          </w:tcPr>
          <w:p>
            <w:pPr>
              <w:spacing w:after="0"/>
              <w:rPr>
                <w:sz w:val="20"/>
                <w:szCs w:val="20"/>
                <w:color w:val="auto"/>
              </w:rPr>
            </w:pPr>
            <w:r>
              <w:rPr>
                <w:rFonts w:ascii="Arial" w:cs="Arial" w:eastAsia="Arial" w:hAnsi="Arial"/>
                <w:sz w:val="14"/>
                <w:szCs w:val="14"/>
                <w:color w:val="auto"/>
              </w:rPr>
              <w:t>(Unaudited, in thousands, except per share data)</w:t>
            </w:r>
          </w:p>
        </w:tc>
        <w:tc>
          <w:tcPr>
            <w:tcW w:w="276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960" w:type="dxa"/>
            <w:vAlign w:val="bottom"/>
          </w:tcPr>
          <w:p>
            <w:pPr>
              <w:spacing w:after="0"/>
              <w:rPr>
                <w:sz w:val="15"/>
                <w:szCs w:val="15"/>
                <w:color w:val="auto"/>
              </w:rPr>
            </w:pPr>
          </w:p>
        </w:tc>
        <w:tc>
          <w:tcPr>
            <w:tcW w:w="2760" w:type="dxa"/>
            <w:vAlign w:val="bottom"/>
            <w:tcBorders>
              <w:bottom w:val="single" w:sz="8" w:color="auto"/>
            </w:tcBorders>
            <w:gridSpan w:val="4"/>
            <w:vMerge w:val="continue"/>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9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2012</w:t>
            </w:r>
          </w:p>
        </w:tc>
        <w:tc>
          <w:tcPr>
            <w:tcW w:w="64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2011</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960" w:type="dxa"/>
            <w:vAlign w:val="bottom"/>
          </w:tcPr>
          <w:p>
            <w:pPr>
              <w:spacing w:after="0"/>
              <w:rPr>
                <w:sz w:val="20"/>
                <w:szCs w:val="20"/>
                <w:color w:val="auto"/>
              </w:rPr>
            </w:pPr>
            <w:r>
              <w:rPr>
                <w:rFonts w:ascii="Arial" w:cs="Arial" w:eastAsia="Arial" w:hAnsi="Arial"/>
                <w:sz w:val="14"/>
                <w:szCs w:val="14"/>
                <w:b w:val="1"/>
                <w:bCs w:val="1"/>
                <w:color w:val="auto"/>
              </w:rPr>
              <w:t>NON-GAAP OPERATING EXPENSE - ENERGY</w:t>
            </w:r>
          </w:p>
        </w:tc>
        <w:tc>
          <w:tcPr>
            <w:tcW w:w="9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960" w:type="dxa"/>
            <w:vAlign w:val="bottom"/>
          </w:tcPr>
          <w:p>
            <w:pPr>
              <w:ind w:left="140"/>
              <w:spacing w:after="0"/>
              <w:rPr>
                <w:sz w:val="20"/>
                <w:szCs w:val="20"/>
                <w:color w:val="auto"/>
              </w:rPr>
            </w:pPr>
            <w:r>
              <w:rPr>
                <w:rFonts w:ascii="Arial" w:cs="Arial" w:eastAsia="Arial" w:hAnsi="Arial"/>
                <w:sz w:val="14"/>
                <w:szCs w:val="14"/>
                <w:color w:val="auto"/>
              </w:rPr>
              <w:t>Energy - GAAP operating expense</w:t>
            </w:r>
          </w:p>
        </w:tc>
        <w:tc>
          <w:tcPr>
            <w:tcW w:w="96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88"/>
              <w:spacing w:after="0"/>
              <w:rPr>
                <w:sz w:val="20"/>
                <w:szCs w:val="20"/>
                <w:color w:val="auto"/>
              </w:rPr>
            </w:pPr>
            <w:r>
              <w:rPr>
                <w:rFonts w:ascii="Arial" w:cs="Arial" w:eastAsia="Arial" w:hAnsi="Arial"/>
                <w:sz w:val="14"/>
                <w:szCs w:val="14"/>
                <w:color w:val="auto"/>
              </w:rPr>
              <w:t>96,438</w:t>
            </w:r>
          </w:p>
        </w:tc>
        <w:tc>
          <w:tcPr>
            <w:tcW w:w="1160" w:type="dxa"/>
            <w:vAlign w:val="bottom"/>
            <w:gridSpan w:val="2"/>
          </w:tcPr>
          <w:p>
            <w:pPr>
              <w:jc w:val="right"/>
              <w:ind w:right="7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28"/>
              <w:spacing w:after="0"/>
              <w:rPr>
                <w:sz w:val="20"/>
                <w:szCs w:val="20"/>
                <w:color w:val="auto"/>
              </w:rPr>
            </w:pPr>
            <w:r>
              <w:rPr>
                <w:rFonts w:ascii="Arial" w:cs="Arial" w:eastAsia="Arial" w:hAnsi="Arial"/>
                <w:sz w:val="14"/>
                <w:szCs w:val="14"/>
                <w:color w:val="auto"/>
              </w:rPr>
              <w:t>94,415</w:t>
            </w:r>
          </w:p>
        </w:tc>
        <w:tc>
          <w:tcPr>
            <w:tcW w:w="0" w:type="dxa"/>
            <w:vAlign w:val="bottom"/>
          </w:tcPr>
          <w:p>
            <w:pPr>
              <w:spacing w:after="0"/>
              <w:rPr>
                <w:sz w:val="1"/>
                <w:szCs w:val="1"/>
                <w:color w:val="auto"/>
              </w:rPr>
            </w:pPr>
          </w:p>
        </w:tc>
      </w:tr>
      <w:tr>
        <w:trPr>
          <w:trHeight w:val="176"/>
        </w:trPr>
        <w:tc>
          <w:tcPr>
            <w:tcW w:w="7960" w:type="dxa"/>
            <w:vAlign w:val="bottom"/>
          </w:tcPr>
          <w:p>
            <w:pPr>
              <w:ind w:left="280"/>
              <w:spacing w:after="0"/>
              <w:rPr>
                <w:sz w:val="20"/>
                <w:szCs w:val="20"/>
                <w:color w:val="auto"/>
              </w:rPr>
            </w:pPr>
            <w:r>
              <w:rPr>
                <w:rFonts w:ascii="Arial" w:cs="Arial" w:eastAsia="Arial" w:hAnsi="Arial"/>
                <w:sz w:val="14"/>
                <w:szCs w:val="14"/>
                <w:color w:val="auto"/>
              </w:rPr>
              <w:t>Amortization of intangible assets</w:t>
            </w:r>
          </w:p>
        </w:tc>
        <w:tc>
          <w:tcPr>
            <w:tcW w:w="960" w:type="dxa"/>
            <w:vAlign w:val="bottom"/>
          </w:tcPr>
          <w:p>
            <w:pPr>
              <w:spacing w:after="0"/>
              <w:rPr>
                <w:sz w:val="15"/>
                <w:szCs w:val="15"/>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(8,632)</w:t>
            </w: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w w:val="99"/>
              </w:rPr>
              <w:t>(11,325)</w:t>
            </w:r>
          </w:p>
        </w:tc>
        <w:tc>
          <w:tcPr>
            <w:tcW w:w="0" w:type="dxa"/>
            <w:vAlign w:val="bottom"/>
          </w:tcPr>
          <w:p>
            <w:pPr>
              <w:spacing w:after="0"/>
              <w:rPr>
                <w:sz w:val="1"/>
                <w:szCs w:val="1"/>
                <w:color w:val="auto"/>
              </w:rPr>
            </w:pPr>
          </w:p>
        </w:tc>
      </w:tr>
      <w:tr>
        <w:trPr>
          <w:trHeight w:val="181"/>
        </w:trPr>
        <w:tc>
          <w:tcPr>
            <w:tcW w:w="7960" w:type="dxa"/>
            <w:vAlign w:val="bottom"/>
          </w:tcPr>
          <w:p>
            <w:pPr>
              <w:ind w:left="280"/>
              <w:spacing w:after="0"/>
              <w:rPr>
                <w:sz w:val="20"/>
                <w:szCs w:val="20"/>
                <w:color w:val="auto"/>
              </w:rPr>
            </w:pPr>
            <w:r>
              <w:rPr>
                <w:rFonts w:ascii="Arial" w:cs="Arial" w:eastAsia="Arial" w:hAnsi="Arial"/>
                <w:sz w:val="14"/>
                <w:szCs w:val="14"/>
                <w:color w:val="auto"/>
              </w:rPr>
              <w:t>Restructuring expense</w:t>
            </w:r>
          </w:p>
        </w:tc>
        <w:tc>
          <w:tcPr>
            <w:tcW w:w="9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(603)</w:t>
            </w:r>
          </w:p>
        </w:tc>
        <w:tc>
          <w:tcPr>
            <w:tcW w:w="16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7960" w:type="dxa"/>
            <w:vAlign w:val="bottom"/>
          </w:tcPr>
          <w:p>
            <w:pPr>
              <w:ind w:left="140"/>
              <w:spacing w:after="0"/>
              <w:rPr>
                <w:sz w:val="20"/>
                <w:szCs w:val="20"/>
                <w:color w:val="auto"/>
              </w:rPr>
            </w:pPr>
            <w:r>
              <w:rPr>
                <w:rFonts w:ascii="Arial" w:cs="Arial" w:eastAsia="Arial" w:hAnsi="Arial"/>
                <w:sz w:val="14"/>
                <w:szCs w:val="14"/>
                <w:color w:val="auto"/>
              </w:rPr>
              <w:t>Energy - Non-GAAP operating expense</w:t>
            </w:r>
          </w:p>
        </w:tc>
        <w:tc>
          <w:tcPr>
            <w:tcW w:w="96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87,203</w:t>
            </w:r>
          </w:p>
        </w:tc>
        <w:tc>
          <w:tcPr>
            <w:tcW w:w="160" w:type="dxa"/>
            <w:vAlign w:val="bottom"/>
          </w:tcPr>
          <w:p>
            <w:pPr>
              <w:spacing w:after="0"/>
              <w:rPr>
                <w:sz w:val="14"/>
                <w:szCs w:val="14"/>
                <w:color w:val="auto"/>
              </w:rPr>
            </w:pPr>
          </w:p>
        </w:tc>
        <w:tc>
          <w:tcPr>
            <w:tcW w:w="100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83,090</w:t>
            </w:r>
          </w:p>
        </w:tc>
        <w:tc>
          <w:tcPr>
            <w:tcW w:w="0" w:type="dxa"/>
            <w:vAlign w:val="bottom"/>
          </w:tcPr>
          <w:p>
            <w:pPr>
              <w:spacing w:after="0"/>
              <w:rPr>
                <w:sz w:val="1"/>
                <w:szCs w:val="1"/>
                <w:color w:val="auto"/>
              </w:rPr>
            </w:pPr>
          </w:p>
        </w:tc>
      </w:tr>
      <w:tr>
        <w:trPr>
          <w:trHeight w:val="20"/>
        </w:trPr>
        <w:tc>
          <w:tcPr>
            <w:tcW w:w="7960" w:type="dxa"/>
            <w:vAlign w:val="bottom"/>
            <w:vMerge w:val="restart"/>
          </w:tcPr>
          <w:p>
            <w:pPr>
              <w:spacing w:after="0"/>
              <w:rPr>
                <w:sz w:val="20"/>
                <w:szCs w:val="20"/>
                <w:color w:val="auto"/>
              </w:rPr>
            </w:pPr>
            <w:r>
              <w:rPr>
                <w:rFonts w:ascii="Arial" w:cs="Arial" w:eastAsia="Arial" w:hAnsi="Arial"/>
                <w:sz w:val="14"/>
                <w:szCs w:val="14"/>
                <w:b w:val="1"/>
                <w:bCs w:val="1"/>
                <w:color w:val="auto"/>
              </w:rPr>
              <w:t>NON-GAAP OPERATING EXPENSE - WATER</w:t>
            </w:r>
          </w:p>
        </w:tc>
        <w:tc>
          <w:tcPr>
            <w:tcW w:w="9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796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7960" w:type="dxa"/>
            <w:vAlign w:val="bottom"/>
          </w:tcPr>
          <w:p>
            <w:pPr>
              <w:ind w:left="140"/>
              <w:spacing w:after="0"/>
              <w:rPr>
                <w:sz w:val="20"/>
                <w:szCs w:val="20"/>
                <w:color w:val="auto"/>
              </w:rPr>
            </w:pPr>
            <w:r>
              <w:rPr>
                <w:rFonts w:ascii="Arial" w:cs="Arial" w:eastAsia="Arial" w:hAnsi="Arial"/>
                <w:sz w:val="14"/>
                <w:szCs w:val="14"/>
                <w:color w:val="auto"/>
              </w:rPr>
              <w:t>Water - GAAP operating expense</w:t>
            </w:r>
          </w:p>
        </w:tc>
        <w:tc>
          <w:tcPr>
            <w:tcW w:w="96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88"/>
              <w:spacing w:after="0"/>
              <w:rPr>
                <w:sz w:val="20"/>
                <w:szCs w:val="20"/>
                <w:color w:val="auto"/>
              </w:rPr>
            </w:pPr>
            <w:r>
              <w:rPr>
                <w:rFonts w:ascii="Arial" w:cs="Arial" w:eastAsia="Arial" w:hAnsi="Arial"/>
                <w:sz w:val="14"/>
                <w:szCs w:val="14"/>
                <w:color w:val="auto"/>
              </w:rPr>
              <w:t>32,565</w:t>
            </w:r>
          </w:p>
        </w:tc>
        <w:tc>
          <w:tcPr>
            <w:tcW w:w="1160" w:type="dxa"/>
            <w:vAlign w:val="bottom"/>
            <w:gridSpan w:val="2"/>
          </w:tcPr>
          <w:p>
            <w:pPr>
              <w:jc w:val="right"/>
              <w:ind w:right="7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28"/>
              <w:spacing w:after="0"/>
              <w:rPr>
                <w:sz w:val="20"/>
                <w:szCs w:val="20"/>
                <w:color w:val="auto"/>
              </w:rPr>
            </w:pPr>
            <w:r>
              <w:rPr>
                <w:rFonts w:ascii="Arial" w:cs="Arial" w:eastAsia="Arial" w:hAnsi="Arial"/>
                <w:sz w:val="14"/>
                <w:szCs w:val="14"/>
                <w:color w:val="auto"/>
              </w:rPr>
              <w:t>30,541</w:t>
            </w:r>
          </w:p>
        </w:tc>
        <w:tc>
          <w:tcPr>
            <w:tcW w:w="0" w:type="dxa"/>
            <w:vAlign w:val="bottom"/>
          </w:tcPr>
          <w:p>
            <w:pPr>
              <w:spacing w:after="0"/>
              <w:rPr>
                <w:sz w:val="1"/>
                <w:szCs w:val="1"/>
                <w:color w:val="auto"/>
              </w:rPr>
            </w:pPr>
          </w:p>
        </w:tc>
      </w:tr>
      <w:tr>
        <w:trPr>
          <w:trHeight w:val="176"/>
        </w:trPr>
        <w:tc>
          <w:tcPr>
            <w:tcW w:w="7960" w:type="dxa"/>
            <w:vAlign w:val="bottom"/>
          </w:tcPr>
          <w:p>
            <w:pPr>
              <w:ind w:left="280"/>
              <w:spacing w:after="0"/>
              <w:rPr>
                <w:sz w:val="20"/>
                <w:szCs w:val="20"/>
                <w:color w:val="auto"/>
              </w:rPr>
            </w:pPr>
            <w:r>
              <w:rPr>
                <w:rFonts w:ascii="Arial" w:cs="Arial" w:eastAsia="Arial" w:hAnsi="Arial"/>
                <w:sz w:val="14"/>
                <w:szCs w:val="14"/>
                <w:color w:val="auto"/>
              </w:rPr>
              <w:t>Amortization of intangible assets</w:t>
            </w:r>
          </w:p>
        </w:tc>
        <w:tc>
          <w:tcPr>
            <w:tcW w:w="960" w:type="dxa"/>
            <w:vAlign w:val="bottom"/>
          </w:tcPr>
          <w:p>
            <w:pPr>
              <w:spacing w:after="0"/>
              <w:rPr>
                <w:sz w:val="15"/>
                <w:szCs w:val="15"/>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(3,281)</w:t>
            </w: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(4,272)</w:t>
            </w:r>
          </w:p>
        </w:tc>
        <w:tc>
          <w:tcPr>
            <w:tcW w:w="0" w:type="dxa"/>
            <w:vAlign w:val="bottom"/>
          </w:tcPr>
          <w:p>
            <w:pPr>
              <w:spacing w:after="0"/>
              <w:rPr>
                <w:sz w:val="1"/>
                <w:szCs w:val="1"/>
                <w:color w:val="auto"/>
              </w:rPr>
            </w:pPr>
          </w:p>
        </w:tc>
      </w:tr>
      <w:tr>
        <w:trPr>
          <w:trHeight w:val="181"/>
        </w:trPr>
        <w:tc>
          <w:tcPr>
            <w:tcW w:w="7960" w:type="dxa"/>
            <w:vAlign w:val="bottom"/>
          </w:tcPr>
          <w:p>
            <w:pPr>
              <w:ind w:left="280"/>
              <w:spacing w:after="0"/>
              <w:rPr>
                <w:sz w:val="20"/>
                <w:szCs w:val="20"/>
                <w:color w:val="auto"/>
              </w:rPr>
            </w:pPr>
            <w:r>
              <w:rPr>
                <w:rFonts w:ascii="Arial" w:cs="Arial" w:eastAsia="Arial" w:hAnsi="Arial"/>
                <w:sz w:val="14"/>
                <w:szCs w:val="14"/>
                <w:color w:val="auto"/>
              </w:rPr>
              <w:t>Restructuring expense</w:t>
            </w:r>
          </w:p>
        </w:tc>
        <w:tc>
          <w:tcPr>
            <w:tcW w:w="9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w:t>
            </w:r>
          </w:p>
        </w:tc>
        <w:tc>
          <w:tcPr>
            <w:tcW w:w="16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7960" w:type="dxa"/>
            <w:vAlign w:val="bottom"/>
          </w:tcPr>
          <w:p>
            <w:pPr>
              <w:ind w:left="140"/>
              <w:spacing w:after="0"/>
              <w:rPr>
                <w:sz w:val="20"/>
                <w:szCs w:val="20"/>
                <w:color w:val="auto"/>
              </w:rPr>
            </w:pPr>
            <w:r>
              <w:rPr>
                <w:rFonts w:ascii="Arial" w:cs="Arial" w:eastAsia="Arial" w:hAnsi="Arial"/>
                <w:sz w:val="14"/>
                <w:szCs w:val="14"/>
                <w:color w:val="auto"/>
              </w:rPr>
              <w:t>Water - Non-GAAP operating expense</w:t>
            </w:r>
          </w:p>
        </w:tc>
        <w:tc>
          <w:tcPr>
            <w:tcW w:w="96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29,266</w:t>
            </w:r>
          </w:p>
        </w:tc>
        <w:tc>
          <w:tcPr>
            <w:tcW w:w="160" w:type="dxa"/>
            <w:vAlign w:val="bottom"/>
          </w:tcPr>
          <w:p>
            <w:pPr>
              <w:spacing w:after="0"/>
              <w:rPr>
                <w:sz w:val="14"/>
                <w:szCs w:val="14"/>
                <w:color w:val="auto"/>
              </w:rPr>
            </w:pPr>
          </w:p>
        </w:tc>
        <w:tc>
          <w:tcPr>
            <w:tcW w:w="100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26,269</w:t>
            </w:r>
          </w:p>
        </w:tc>
        <w:tc>
          <w:tcPr>
            <w:tcW w:w="0" w:type="dxa"/>
            <w:vAlign w:val="bottom"/>
          </w:tcPr>
          <w:p>
            <w:pPr>
              <w:spacing w:after="0"/>
              <w:rPr>
                <w:sz w:val="1"/>
                <w:szCs w:val="1"/>
                <w:color w:val="auto"/>
              </w:rPr>
            </w:pPr>
          </w:p>
        </w:tc>
      </w:tr>
      <w:tr>
        <w:trPr>
          <w:trHeight w:val="20"/>
        </w:trPr>
        <w:tc>
          <w:tcPr>
            <w:tcW w:w="7960" w:type="dxa"/>
            <w:vAlign w:val="bottom"/>
            <w:vMerge w:val="restart"/>
          </w:tcPr>
          <w:p>
            <w:pPr>
              <w:spacing w:after="0"/>
              <w:rPr>
                <w:sz w:val="20"/>
                <w:szCs w:val="20"/>
                <w:color w:val="auto"/>
              </w:rPr>
            </w:pPr>
            <w:r>
              <w:rPr>
                <w:rFonts w:ascii="Arial" w:cs="Arial" w:eastAsia="Arial" w:hAnsi="Arial"/>
                <w:sz w:val="14"/>
                <w:szCs w:val="14"/>
                <w:b w:val="1"/>
                <w:bCs w:val="1"/>
                <w:color w:val="auto"/>
              </w:rPr>
              <w:t>NON-GAAP OPERATING EXPENSE - CORPORATE UNALLOCATED</w:t>
            </w:r>
          </w:p>
        </w:tc>
        <w:tc>
          <w:tcPr>
            <w:tcW w:w="9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796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7960" w:type="dxa"/>
            <w:vAlign w:val="bottom"/>
          </w:tcPr>
          <w:p>
            <w:pPr>
              <w:ind w:left="140"/>
              <w:spacing w:after="0"/>
              <w:rPr>
                <w:sz w:val="20"/>
                <w:szCs w:val="20"/>
                <w:color w:val="auto"/>
              </w:rPr>
            </w:pPr>
            <w:r>
              <w:rPr>
                <w:rFonts w:ascii="Arial" w:cs="Arial" w:eastAsia="Arial" w:hAnsi="Arial"/>
                <w:sz w:val="14"/>
                <w:szCs w:val="14"/>
                <w:color w:val="auto"/>
              </w:rPr>
              <w:t>Corporate unallocated - GAAP operating expense</w:t>
            </w:r>
          </w:p>
        </w:tc>
        <w:tc>
          <w:tcPr>
            <w:tcW w:w="96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88"/>
              <w:spacing w:after="0"/>
              <w:rPr>
                <w:sz w:val="20"/>
                <w:szCs w:val="20"/>
                <w:color w:val="auto"/>
              </w:rPr>
            </w:pPr>
            <w:r>
              <w:rPr>
                <w:rFonts w:ascii="Arial" w:cs="Arial" w:eastAsia="Arial" w:hAnsi="Arial"/>
                <w:sz w:val="14"/>
                <w:szCs w:val="14"/>
                <w:color w:val="auto"/>
              </w:rPr>
              <w:t>14,481</w:t>
            </w:r>
          </w:p>
        </w:tc>
        <w:tc>
          <w:tcPr>
            <w:tcW w:w="1160" w:type="dxa"/>
            <w:vAlign w:val="bottom"/>
            <w:gridSpan w:val="2"/>
          </w:tcPr>
          <w:p>
            <w:pPr>
              <w:jc w:val="right"/>
              <w:ind w:right="7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28"/>
              <w:spacing w:after="0"/>
              <w:rPr>
                <w:sz w:val="20"/>
                <w:szCs w:val="20"/>
                <w:color w:val="auto"/>
              </w:rPr>
            </w:pPr>
            <w:r>
              <w:rPr>
                <w:rFonts w:ascii="Arial" w:cs="Arial" w:eastAsia="Arial" w:hAnsi="Arial"/>
                <w:sz w:val="14"/>
                <w:szCs w:val="14"/>
                <w:color w:val="auto"/>
              </w:rPr>
              <w:t>9,933</w:t>
            </w:r>
          </w:p>
        </w:tc>
        <w:tc>
          <w:tcPr>
            <w:tcW w:w="0" w:type="dxa"/>
            <w:vAlign w:val="bottom"/>
          </w:tcPr>
          <w:p>
            <w:pPr>
              <w:spacing w:after="0"/>
              <w:rPr>
                <w:sz w:val="1"/>
                <w:szCs w:val="1"/>
                <w:color w:val="auto"/>
              </w:rPr>
            </w:pPr>
          </w:p>
        </w:tc>
      </w:tr>
      <w:tr>
        <w:trPr>
          <w:trHeight w:val="176"/>
        </w:trPr>
        <w:tc>
          <w:tcPr>
            <w:tcW w:w="7960" w:type="dxa"/>
            <w:vAlign w:val="bottom"/>
          </w:tcPr>
          <w:p>
            <w:pPr>
              <w:ind w:left="280"/>
              <w:spacing w:after="0"/>
              <w:rPr>
                <w:sz w:val="20"/>
                <w:szCs w:val="20"/>
                <w:color w:val="auto"/>
              </w:rPr>
            </w:pPr>
            <w:r>
              <w:rPr>
                <w:rFonts w:ascii="Arial" w:cs="Arial" w:eastAsia="Arial" w:hAnsi="Arial"/>
                <w:sz w:val="14"/>
                <w:szCs w:val="14"/>
                <w:color w:val="auto"/>
              </w:rPr>
              <w:t>Restructuring expense</w:t>
            </w:r>
          </w:p>
        </w:tc>
        <w:tc>
          <w:tcPr>
            <w:tcW w:w="960" w:type="dxa"/>
            <w:vAlign w:val="bottom"/>
          </w:tcPr>
          <w:p>
            <w:pPr>
              <w:spacing w:after="0"/>
              <w:rPr>
                <w:sz w:val="15"/>
                <w:szCs w:val="15"/>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(168)</w:t>
            </w: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7960" w:type="dxa"/>
            <w:vAlign w:val="bottom"/>
          </w:tcPr>
          <w:p>
            <w:pPr>
              <w:ind w:left="280"/>
              <w:spacing w:after="0"/>
              <w:rPr>
                <w:sz w:val="20"/>
                <w:szCs w:val="20"/>
                <w:color w:val="auto"/>
              </w:rPr>
            </w:pPr>
            <w:r>
              <w:rPr>
                <w:rFonts w:ascii="Arial" w:cs="Arial" w:eastAsia="Arial" w:hAnsi="Arial"/>
                <w:sz w:val="14"/>
                <w:szCs w:val="14"/>
                <w:color w:val="auto"/>
              </w:rPr>
              <w:t>Acquisition related expenses</w:t>
            </w:r>
          </w:p>
        </w:tc>
        <w:tc>
          <w:tcPr>
            <w:tcW w:w="9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(2,021)</w:t>
            </w:r>
          </w:p>
        </w:tc>
        <w:tc>
          <w:tcPr>
            <w:tcW w:w="16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7960" w:type="dxa"/>
            <w:vAlign w:val="bottom"/>
          </w:tcPr>
          <w:p>
            <w:pPr>
              <w:ind w:left="140"/>
              <w:spacing w:after="0"/>
              <w:rPr>
                <w:sz w:val="20"/>
                <w:szCs w:val="20"/>
                <w:color w:val="auto"/>
              </w:rPr>
            </w:pPr>
            <w:r>
              <w:rPr>
                <w:rFonts w:ascii="Arial" w:cs="Arial" w:eastAsia="Arial" w:hAnsi="Arial"/>
                <w:sz w:val="14"/>
                <w:szCs w:val="14"/>
                <w:color w:val="auto"/>
              </w:rPr>
              <w:t>Corporate unallocated - Non-GAAP operating expense</w:t>
            </w:r>
          </w:p>
        </w:tc>
        <w:tc>
          <w:tcPr>
            <w:tcW w:w="96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12,292</w:t>
            </w:r>
          </w:p>
        </w:tc>
        <w:tc>
          <w:tcPr>
            <w:tcW w:w="160" w:type="dxa"/>
            <w:vAlign w:val="bottom"/>
          </w:tcPr>
          <w:p>
            <w:pPr>
              <w:spacing w:after="0"/>
              <w:rPr>
                <w:sz w:val="14"/>
                <w:szCs w:val="14"/>
                <w:color w:val="auto"/>
              </w:rPr>
            </w:pPr>
          </w:p>
        </w:tc>
        <w:tc>
          <w:tcPr>
            <w:tcW w:w="100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9,933</w:t>
            </w:r>
          </w:p>
        </w:tc>
        <w:tc>
          <w:tcPr>
            <w:tcW w:w="0" w:type="dxa"/>
            <w:vAlign w:val="bottom"/>
          </w:tcPr>
          <w:p>
            <w:pPr>
              <w:spacing w:after="0"/>
              <w:rPr>
                <w:sz w:val="1"/>
                <w:szCs w:val="1"/>
                <w:color w:val="auto"/>
              </w:rPr>
            </w:pPr>
          </w:p>
        </w:tc>
      </w:tr>
      <w:tr>
        <w:trPr>
          <w:trHeight w:val="20"/>
        </w:trPr>
        <w:tc>
          <w:tcPr>
            <w:tcW w:w="7960" w:type="dxa"/>
            <w:vAlign w:val="bottom"/>
            <w:vMerge w:val="restart"/>
          </w:tcPr>
          <w:p>
            <w:pPr>
              <w:spacing w:after="0"/>
              <w:rPr>
                <w:sz w:val="20"/>
                <w:szCs w:val="20"/>
                <w:color w:val="auto"/>
              </w:rPr>
            </w:pPr>
            <w:r>
              <w:rPr>
                <w:rFonts w:ascii="Arial" w:cs="Arial" w:eastAsia="Arial" w:hAnsi="Arial"/>
                <w:sz w:val="14"/>
                <w:szCs w:val="14"/>
                <w:b w:val="1"/>
                <w:bCs w:val="1"/>
                <w:color w:val="auto"/>
              </w:rPr>
              <w:t>NON-GAAP OPERATING EXPENSE</w:t>
            </w:r>
          </w:p>
        </w:tc>
        <w:tc>
          <w:tcPr>
            <w:tcW w:w="9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796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7960" w:type="dxa"/>
            <w:vAlign w:val="bottom"/>
          </w:tcPr>
          <w:p>
            <w:pPr>
              <w:ind w:left="140"/>
              <w:spacing w:after="0"/>
              <w:rPr>
                <w:sz w:val="20"/>
                <w:szCs w:val="20"/>
                <w:color w:val="auto"/>
              </w:rPr>
            </w:pPr>
            <w:r>
              <w:rPr>
                <w:rFonts w:ascii="Arial" w:cs="Arial" w:eastAsia="Arial" w:hAnsi="Arial"/>
                <w:sz w:val="14"/>
                <w:szCs w:val="14"/>
                <w:color w:val="auto"/>
              </w:rPr>
              <w:t>Total Company - GAAP operating expense</w:t>
            </w:r>
          </w:p>
        </w:tc>
        <w:tc>
          <w:tcPr>
            <w:tcW w:w="96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88"/>
              <w:spacing w:after="0"/>
              <w:rPr>
                <w:sz w:val="20"/>
                <w:szCs w:val="20"/>
                <w:color w:val="auto"/>
              </w:rPr>
            </w:pPr>
            <w:r>
              <w:rPr>
                <w:rFonts w:ascii="Arial" w:cs="Arial" w:eastAsia="Arial" w:hAnsi="Arial"/>
                <w:sz w:val="14"/>
                <w:szCs w:val="14"/>
                <w:color w:val="auto"/>
                <w:w w:val="90"/>
              </w:rPr>
              <w:t>143,484</w:t>
            </w:r>
          </w:p>
        </w:tc>
        <w:tc>
          <w:tcPr>
            <w:tcW w:w="1160" w:type="dxa"/>
            <w:vAlign w:val="bottom"/>
            <w:gridSpan w:val="2"/>
          </w:tcPr>
          <w:p>
            <w:pPr>
              <w:jc w:val="right"/>
              <w:ind w:right="7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28"/>
              <w:spacing w:after="0"/>
              <w:rPr>
                <w:sz w:val="20"/>
                <w:szCs w:val="20"/>
                <w:color w:val="auto"/>
              </w:rPr>
            </w:pPr>
            <w:r>
              <w:rPr>
                <w:rFonts w:ascii="Arial" w:cs="Arial" w:eastAsia="Arial" w:hAnsi="Arial"/>
                <w:sz w:val="14"/>
                <w:szCs w:val="14"/>
                <w:color w:val="auto"/>
                <w:w w:val="94"/>
              </w:rPr>
              <w:t>134,889</w:t>
            </w:r>
          </w:p>
        </w:tc>
        <w:tc>
          <w:tcPr>
            <w:tcW w:w="0" w:type="dxa"/>
            <w:vAlign w:val="bottom"/>
          </w:tcPr>
          <w:p>
            <w:pPr>
              <w:spacing w:after="0"/>
              <w:rPr>
                <w:sz w:val="1"/>
                <w:szCs w:val="1"/>
                <w:color w:val="auto"/>
              </w:rPr>
            </w:pPr>
          </w:p>
        </w:tc>
      </w:tr>
      <w:tr>
        <w:trPr>
          <w:trHeight w:val="176"/>
        </w:trPr>
        <w:tc>
          <w:tcPr>
            <w:tcW w:w="7960" w:type="dxa"/>
            <w:vAlign w:val="bottom"/>
          </w:tcPr>
          <w:p>
            <w:pPr>
              <w:ind w:left="280"/>
              <w:spacing w:after="0"/>
              <w:rPr>
                <w:sz w:val="20"/>
                <w:szCs w:val="20"/>
                <w:color w:val="auto"/>
              </w:rPr>
            </w:pPr>
            <w:r>
              <w:rPr>
                <w:rFonts w:ascii="Arial" w:cs="Arial" w:eastAsia="Arial" w:hAnsi="Arial"/>
                <w:sz w:val="14"/>
                <w:szCs w:val="14"/>
                <w:color w:val="auto"/>
              </w:rPr>
              <w:t>Amortization of intangible assets</w:t>
            </w:r>
          </w:p>
        </w:tc>
        <w:tc>
          <w:tcPr>
            <w:tcW w:w="960" w:type="dxa"/>
            <w:vAlign w:val="bottom"/>
          </w:tcPr>
          <w:p>
            <w:pPr>
              <w:spacing w:after="0"/>
              <w:rPr>
                <w:sz w:val="15"/>
                <w:szCs w:val="15"/>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w w:val="95"/>
              </w:rPr>
              <w:t>(11,913)</w:t>
            </w: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w w:val="99"/>
              </w:rPr>
              <w:t>(15,597)</w:t>
            </w:r>
          </w:p>
        </w:tc>
        <w:tc>
          <w:tcPr>
            <w:tcW w:w="0" w:type="dxa"/>
            <w:vAlign w:val="bottom"/>
          </w:tcPr>
          <w:p>
            <w:pPr>
              <w:spacing w:after="0"/>
              <w:rPr>
                <w:sz w:val="1"/>
                <w:szCs w:val="1"/>
                <w:color w:val="auto"/>
              </w:rPr>
            </w:pPr>
          </w:p>
        </w:tc>
      </w:tr>
      <w:tr>
        <w:trPr>
          <w:trHeight w:val="176"/>
        </w:trPr>
        <w:tc>
          <w:tcPr>
            <w:tcW w:w="7960" w:type="dxa"/>
            <w:vAlign w:val="bottom"/>
          </w:tcPr>
          <w:p>
            <w:pPr>
              <w:ind w:left="280"/>
              <w:spacing w:after="0"/>
              <w:rPr>
                <w:sz w:val="20"/>
                <w:szCs w:val="20"/>
                <w:color w:val="auto"/>
              </w:rPr>
            </w:pPr>
            <w:r>
              <w:rPr>
                <w:rFonts w:ascii="Arial" w:cs="Arial" w:eastAsia="Arial" w:hAnsi="Arial"/>
                <w:sz w:val="14"/>
                <w:szCs w:val="14"/>
                <w:color w:val="auto"/>
              </w:rPr>
              <w:t>Restructuring expense</w:t>
            </w:r>
          </w:p>
        </w:tc>
        <w:tc>
          <w:tcPr>
            <w:tcW w:w="960" w:type="dxa"/>
            <w:vAlign w:val="bottom"/>
          </w:tcPr>
          <w:p>
            <w:pPr>
              <w:spacing w:after="0"/>
              <w:rPr>
                <w:sz w:val="15"/>
                <w:szCs w:val="15"/>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(789)</w:t>
            </w: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7960" w:type="dxa"/>
            <w:vAlign w:val="bottom"/>
          </w:tcPr>
          <w:p>
            <w:pPr>
              <w:ind w:left="280"/>
              <w:spacing w:after="0"/>
              <w:rPr>
                <w:sz w:val="20"/>
                <w:szCs w:val="20"/>
                <w:color w:val="auto"/>
              </w:rPr>
            </w:pPr>
            <w:r>
              <w:rPr>
                <w:rFonts w:ascii="Arial" w:cs="Arial" w:eastAsia="Arial" w:hAnsi="Arial"/>
                <w:sz w:val="14"/>
                <w:szCs w:val="14"/>
                <w:color w:val="auto"/>
              </w:rPr>
              <w:t>Acquisition related expenses</w:t>
            </w:r>
          </w:p>
        </w:tc>
        <w:tc>
          <w:tcPr>
            <w:tcW w:w="9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(2,021)</w:t>
            </w:r>
          </w:p>
        </w:tc>
        <w:tc>
          <w:tcPr>
            <w:tcW w:w="16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7960" w:type="dxa"/>
            <w:vAlign w:val="bottom"/>
          </w:tcPr>
          <w:p>
            <w:pPr>
              <w:ind w:left="140"/>
              <w:spacing w:after="0"/>
              <w:rPr>
                <w:sz w:val="20"/>
                <w:szCs w:val="20"/>
                <w:color w:val="auto"/>
              </w:rPr>
            </w:pPr>
            <w:r>
              <w:rPr>
                <w:rFonts w:ascii="Arial" w:cs="Arial" w:eastAsia="Arial" w:hAnsi="Arial"/>
                <w:sz w:val="14"/>
                <w:szCs w:val="14"/>
                <w:color w:val="auto"/>
              </w:rPr>
              <w:t>Total Company - Non-GAAP operating expense</w:t>
            </w:r>
          </w:p>
        </w:tc>
        <w:tc>
          <w:tcPr>
            <w:tcW w:w="96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90"/>
              </w:rPr>
              <w:t>128,761</w:t>
            </w:r>
          </w:p>
        </w:tc>
        <w:tc>
          <w:tcPr>
            <w:tcW w:w="160" w:type="dxa"/>
            <w:vAlign w:val="bottom"/>
          </w:tcPr>
          <w:p>
            <w:pPr>
              <w:spacing w:after="0"/>
              <w:rPr>
                <w:sz w:val="14"/>
                <w:szCs w:val="14"/>
                <w:color w:val="auto"/>
              </w:rPr>
            </w:pPr>
          </w:p>
        </w:tc>
        <w:tc>
          <w:tcPr>
            <w:tcW w:w="100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94"/>
              </w:rPr>
              <w:t>119,292</w:t>
            </w:r>
          </w:p>
        </w:tc>
        <w:tc>
          <w:tcPr>
            <w:tcW w:w="0" w:type="dxa"/>
            <w:vAlign w:val="bottom"/>
          </w:tcPr>
          <w:p>
            <w:pPr>
              <w:spacing w:after="0"/>
              <w:rPr>
                <w:sz w:val="1"/>
                <w:szCs w:val="1"/>
                <w:color w:val="auto"/>
              </w:rPr>
            </w:pPr>
          </w:p>
        </w:tc>
      </w:tr>
      <w:tr>
        <w:trPr>
          <w:trHeight w:val="20"/>
        </w:trPr>
        <w:tc>
          <w:tcPr>
            <w:tcW w:w="7960" w:type="dxa"/>
            <w:vAlign w:val="bottom"/>
            <w:vMerge w:val="restart"/>
          </w:tcPr>
          <w:p>
            <w:pPr>
              <w:spacing w:after="0"/>
              <w:rPr>
                <w:sz w:val="20"/>
                <w:szCs w:val="20"/>
                <w:color w:val="auto"/>
              </w:rPr>
            </w:pPr>
            <w:r>
              <w:rPr>
                <w:rFonts w:ascii="Arial" w:cs="Arial" w:eastAsia="Arial" w:hAnsi="Arial"/>
                <w:sz w:val="14"/>
                <w:szCs w:val="14"/>
                <w:b w:val="1"/>
                <w:bCs w:val="1"/>
                <w:color w:val="auto"/>
              </w:rPr>
              <w:t>NON-GAAP OPERATING INCOME</w:t>
            </w:r>
          </w:p>
        </w:tc>
        <w:tc>
          <w:tcPr>
            <w:tcW w:w="9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796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7960" w:type="dxa"/>
            <w:vAlign w:val="bottom"/>
          </w:tcPr>
          <w:p>
            <w:pPr>
              <w:ind w:left="140"/>
              <w:spacing w:after="0"/>
              <w:rPr>
                <w:sz w:val="20"/>
                <w:szCs w:val="20"/>
                <w:color w:val="auto"/>
              </w:rPr>
            </w:pPr>
            <w:r>
              <w:rPr>
                <w:rFonts w:ascii="Arial" w:cs="Arial" w:eastAsia="Arial" w:hAnsi="Arial"/>
                <w:sz w:val="14"/>
                <w:szCs w:val="14"/>
                <w:color w:val="auto"/>
              </w:rPr>
              <w:t>GAAP operating income</w:t>
            </w:r>
          </w:p>
        </w:tc>
        <w:tc>
          <w:tcPr>
            <w:tcW w:w="96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88"/>
              <w:spacing w:after="0"/>
              <w:rPr>
                <w:sz w:val="20"/>
                <w:szCs w:val="20"/>
                <w:color w:val="auto"/>
              </w:rPr>
            </w:pPr>
            <w:r>
              <w:rPr>
                <w:rFonts w:ascii="Arial" w:cs="Arial" w:eastAsia="Arial" w:hAnsi="Arial"/>
                <w:sz w:val="14"/>
                <w:szCs w:val="14"/>
                <w:color w:val="auto"/>
              </w:rPr>
              <w:t>39,621</w:t>
            </w:r>
          </w:p>
        </w:tc>
        <w:tc>
          <w:tcPr>
            <w:tcW w:w="1160" w:type="dxa"/>
            <w:vAlign w:val="bottom"/>
            <w:gridSpan w:val="2"/>
          </w:tcPr>
          <w:p>
            <w:pPr>
              <w:jc w:val="right"/>
              <w:ind w:right="7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28"/>
              <w:spacing w:after="0"/>
              <w:rPr>
                <w:sz w:val="20"/>
                <w:szCs w:val="20"/>
                <w:color w:val="auto"/>
              </w:rPr>
            </w:pPr>
            <w:r>
              <w:rPr>
                <w:rFonts w:ascii="Arial" w:cs="Arial" w:eastAsia="Arial" w:hAnsi="Arial"/>
                <w:sz w:val="14"/>
                <w:szCs w:val="14"/>
                <w:color w:val="auto"/>
              </w:rPr>
              <w:t>50,089</w:t>
            </w:r>
          </w:p>
        </w:tc>
        <w:tc>
          <w:tcPr>
            <w:tcW w:w="0" w:type="dxa"/>
            <w:vAlign w:val="bottom"/>
          </w:tcPr>
          <w:p>
            <w:pPr>
              <w:spacing w:after="0"/>
              <w:rPr>
                <w:sz w:val="1"/>
                <w:szCs w:val="1"/>
                <w:color w:val="auto"/>
              </w:rPr>
            </w:pPr>
          </w:p>
        </w:tc>
      </w:tr>
      <w:tr>
        <w:trPr>
          <w:trHeight w:val="176"/>
        </w:trPr>
        <w:tc>
          <w:tcPr>
            <w:tcW w:w="7960" w:type="dxa"/>
            <w:vAlign w:val="bottom"/>
          </w:tcPr>
          <w:p>
            <w:pPr>
              <w:ind w:left="280"/>
              <w:spacing w:after="0"/>
              <w:rPr>
                <w:sz w:val="20"/>
                <w:szCs w:val="20"/>
                <w:color w:val="auto"/>
              </w:rPr>
            </w:pPr>
            <w:r>
              <w:rPr>
                <w:rFonts w:ascii="Arial" w:cs="Arial" w:eastAsia="Arial" w:hAnsi="Arial"/>
                <w:sz w:val="14"/>
                <w:szCs w:val="14"/>
                <w:color w:val="auto"/>
              </w:rPr>
              <w:t>Amortization of intangible assets</w:t>
            </w:r>
          </w:p>
        </w:tc>
        <w:tc>
          <w:tcPr>
            <w:tcW w:w="960" w:type="dxa"/>
            <w:vAlign w:val="bottom"/>
          </w:tcPr>
          <w:p>
            <w:pPr>
              <w:spacing w:after="0"/>
              <w:rPr>
                <w:sz w:val="15"/>
                <w:szCs w:val="15"/>
                <w:color w:val="auto"/>
              </w:rPr>
            </w:pPr>
          </w:p>
        </w:tc>
        <w:tc>
          <w:tcPr>
            <w:tcW w:w="640" w:type="dxa"/>
            <w:vAlign w:val="bottom"/>
          </w:tcPr>
          <w:p>
            <w:pPr>
              <w:jc w:val="right"/>
              <w:ind w:right="88"/>
              <w:spacing w:after="0"/>
              <w:rPr>
                <w:sz w:val="20"/>
                <w:szCs w:val="20"/>
                <w:color w:val="auto"/>
              </w:rPr>
            </w:pPr>
            <w:r>
              <w:rPr>
                <w:rFonts w:ascii="Arial" w:cs="Arial" w:eastAsia="Arial" w:hAnsi="Arial"/>
                <w:sz w:val="14"/>
                <w:szCs w:val="14"/>
                <w:color w:val="auto"/>
              </w:rPr>
              <w:t>11,913</w:t>
            </w: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00" w:type="dxa"/>
            <w:vAlign w:val="bottom"/>
          </w:tcPr>
          <w:p>
            <w:pPr>
              <w:jc w:val="right"/>
              <w:ind w:right="128"/>
              <w:spacing w:after="0"/>
              <w:rPr>
                <w:sz w:val="20"/>
                <w:szCs w:val="20"/>
                <w:color w:val="auto"/>
              </w:rPr>
            </w:pPr>
            <w:r>
              <w:rPr>
                <w:rFonts w:ascii="Arial" w:cs="Arial" w:eastAsia="Arial" w:hAnsi="Arial"/>
                <w:sz w:val="14"/>
                <w:szCs w:val="14"/>
                <w:color w:val="auto"/>
              </w:rPr>
              <w:t>15,597</w:t>
            </w:r>
          </w:p>
        </w:tc>
        <w:tc>
          <w:tcPr>
            <w:tcW w:w="0" w:type="dxa"/>
            <w:vAlign w:val="bottom"/>
          </w:tcPr>
          <w:p>
            <w:pPr>
              <w:spacing w:after="0"/>
              <w:rPr>
                <w:sz w:val="1"/>
                <w:szCs w:val="1"/>
                <w:color w:val="auto"/>
              </w:rPr>
            </w:pPr>
          </w:p>
        </w:tc>
      </w:tr>
      <w:tr>
        <w:trPr>
          <w:trHeight w:val="176"/>
        </w:trPr>
        <w:tc>
          <w:tcPr>
            <w:tcW w:w="7960" w:type="dxa"/>
            <w:vAlign w:val="bottom"/>
          </w:tcPr>
          <w:p>
            <w:pPr>
              <w:ind w:left="280"/>
              <w:spacing w:after="0"/>
              <w:rPr>
                <w:sz w:val="20"/>
                <w:szCs w:val="20"/>
                <w:color w:val="auto"/>
              </w:rPr>
            </w:pPr>
            <w:r>
              <w:rPr>
                <w:rFonts w:ascii="Arial" w:cs="Arial" w:eastAsia="Arial" w:hAnsi="Arial"/>
                <w:sz w:val="14"/>
                <w:szCs w:val="14"/>
                <w:color w:val="auto"/>
              </w:rPr>
              <w:t>Restructuring expense</w:t>
            </w:r>
          </w:p>
        </w:tc>
        <w:tc>
          <w:tcPr>
            <w:tcW w:w="960" w:type="dxa"/>
            <w:vAlign w:val="bottom"/>
          </w:tcPr>
          <w:p>
            <w:pPr>
              <w:spacing w:after="0"/>
              <w:rPr>
                <w:sz w:val="15"/>
                <w:szCs w:val="15"/>
                <w:color w:val="auto"/>
              </w:rPr>
            </w:pPr>
          </w:p>
        </w:tc>
        <w:tc>
          <w:tcPr>
            <w:tcW w:w="640" w:type="dxa"/>
            <w:vAlign w:val="bottom"/>
          </w:tcPr>
          <w:p>
            <w:pPr>
              <w:jc w:val="right"/>
              <w:ind w:right="88"/>
              <w:spacing w:after="0"/>
              <w:rPr>
                <w:sz w:val="20"/>
                <w:szCs w:val="20"/>
                <w:color w:val="auto"/>
              </w:rPr>
            </w:pPr>
            <w:r>
              <w:rPr>
                <w:rFonts w:ascii="Arial" w:cs="Arial" w:eastAsia="Arial" w:hAnsi="Arial"/>
                <w:sz w:val="14"/>
                <w:szCs w:val="14"/>
                <w:color w:val="auto"/>
              </w:rPr>
              <w:t>789</w:t>
            </w: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7960" w:type="dxa"/>
            <w:vAlign w:val="bottom"/>
          </w:tcPr>
          <w:p>
            <w:pPr>
              <w:ind w:left="280"/>
              <w:spacing w:after="0"/>
              <w:rPr>
                <w:sz w:val="20"/>
                <w:szCs w:val="20"/>
                <w:color w:val="auto"/>
              </w:rPr>
            </w:pPr>
            <w:r>
              <w:rPr>
                <w:rFonts w:ascii="Arial" w:cs="Arial" w:eastAsia="Arial" w:hAnsi="Arial"/>
                <w:sz w:val="14"/>
                <w:szCs w:val="14"/>
                <w:color w:val="auto"/>
              </w:rPr>
              <w:t>Acquisition related expenses</w:t>
            </w:r>
          </w:p>
        </w:tc>
        <w:tc>
          <w:tcPr>
            <w:tcW w:w="9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2,021</w:t>
            </w:r>
          </w:p>
        </w:tc>
        <w:tc>
          <w:tcPr>
            <w:tcW w:w="16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7960" w:type="dxa"/>
            <w:vAlign w:val="bottom"/>
          </w:tcPr>
          <w:p>
            <w:pPr>
              <w:ind w:left="140"/>
              <w:spacing w:after="0"/>
              <w:rPr>
                <w:sz w:val="20"/>
                <w:szCs w:val="20"/>
                <w:color w:val="auto"/>
              </w:rPr>
            </w:pPr>
            <w:r>
              <w:rPr>
                <w:rFonts w:ascii="Arial" w:cs="Arial" w:eastAsia="Arial" w:hAnsi="Arial"/>
                <w:sz w:val="14"/>
                <w:szCs w:val="14"/>
                <w:color w:val="auto"/>
              </w:rPr>
              <w:t>Non-GAAP operating income</w:t>
            </w:r>
          </w:p>
        </w:tc>
        <w:tc>
          <w:tcPr>
            <w:tcW w:w="96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54,344</w:t>
            </w:r>
          </w:p>
        </w:tc>
        <w:tc>
          <w:tcPr>
            <w:tcW w:w="160" w:type="dxa"/>
            <w:vAlign w:val="bottom"/>
          </w:tcPr>
          <w:p>
            <w:pPr>
              <w:spacing w:after="0"/>
              <w:rPr>
                <w:sz w:val="14"/>
                <w:szCs w:val="14"/>
                <w:color w:val="auto"/>
              </w:rPr>
            </w:pPr>
          </w:p>
        </w:tc>
        <w:tc>
          <w:tcPr>
            <w:tcW w:w="100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65,686</w:t>
            </w:r>
          </w:p>
        </w:tc>
        <w:tc>
          <w:tcPr>
            <w:tcW w:w="0" w:type="dxa"/>
            <w:vAlign w:val="bottom"/>
          </w:tcPr>
          <w:p>
            <w:pPr>
              <w:spacing w:after="0"/>
              <w:rPr>
                <w:sz w:val="1"/>
                <w:szCs w:val="1"/>
                <w:color w:val="auto"/>
              </w:rPr>
            </w:pPr>
          </w:p>
        </w:tc>
      </w:tr>
      <w:tr>
        <w:trPr>
          <w:trHeight w:val="20"/>
        </w:trPr>
        <w:tc>
          <w:tcPr>
            <w:tcW w:w="7960" w:type="dxa"/>
            <w:vAlign w:val="bottom"/>
            <w:vMerge w:val="restart"/>
          </w:tcPr>
          <w:p>
            <w:pPr>
              <w:spacing w:after="0"/>
              <w:rPr>
                <w:sz w:val="20"/>
                <w:szCs w:val="20"/>
                <w:color w:val="auto"/>
              </w:rPr>
            </w:pPr>
            <w:r>
              <w:rPr>
                <w:rFonts w:ascii="Arial" w:cs="Arial" w:eastAsia="Arial" w:hAnsi="Arial"/>
                <w:sz w:val="14"/>
                <w:szCs w:val="14"/>
                <w:b w:val="1"/>
                <w:bCs w:val="1"/>
                <w:color w:val="auto"/>
              </w:rPr>
              <w:t>NON-GAAP NET INCOME &amp; DILUTED EPS</w:t>
            </w:r>
          </w:p>
        </w:tc>
        <w:tc>
          <w:tcPr>
            <w:tcW w:w="9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796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7960" w:type="dxa"/>
            <w:vAlign w:val="bottom"/>
          </w:tcPr>
          <w:p>
            <w:pPr>
              <w:ind w:left="140"/>
              <w:spacing w:after="0"/>
              <w:rPr>
                <w:sz w:val="20"/>
                <w:szCs w:val="20"/>
                <w:color w:val="auto"/>
              </w:rPr>
            </w:pPr>
            <w:r>
              <w:rPr>
                <w:rFonts w:ascii="Arial" w:cs="Arial" w:eastAsia="Arial" w:hAnsi="Arial"/>
                <w:sz w:val="14"/>
                <w:szCs w:val="14"/>
                <w:color w:val="auto"/>
              </w:rPr>
              <w:t>GAAP net income</w:t>
            </w:r>
          </w:p>
        </w:tc>
        <w:tc>
          <w:tcPr>
            <w:tcW w:w="96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88"/>
              <w:spacing w:after="0"/>
              <w:rPr>
                <w:sz w:val="20"/>
                <w:szCs w:val="20"/>
                <w:color w:val="auto"/>
              </w:rPr>
            </w:pPr>
            <w:r>
              <w:rPr>
                <w:rFonts w:ascii="Arial" w:cs="Arial" w:eastAsia="Arial" w:hAnsi="Arial"/>
                <w:sz w:val="14"/>
                <w:szCs w:val="14"/>
                <w:color w:val="auto"/>
              </w:rPr>
              <w:t>25,353</w:t>
            </w:r>
          </w:p>
        </w:tc>
        <w:tc>
          <w:tcPr>
            <w:tcW w:w="1160" w:type="dxa"/>
            <w:vAlign w:val="bottom"/>
            <w:gridSpan w:val="2"/>
          </w:tcPr>
          <w:p>
            <w:pPr>
              <w:jc w:val="right"/>
              <w:ind w:right="7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28"/>
              <w:spacing w:after="0"/>
              <w:rPr>
                <w:sz w:val="20"/>
                <w:szCs w:val="20"/>
                <w:color w:val="auto"/>
              </w:rPr>
            </w:pPr>
            <w:r>
              <w:rPr>
                <w:rFonts w:ascii="Arial" w:cs="Arial" w:eastAsia="Arial" w:hAnsi="Arial"/>
                <w:sz w:val="14"/>
                <w:szCs w:val="14"/>
                <w:color w:val="auto"/>
              </w:rPr>
              <w:t>27,120</w:t>
            </w:r>
          </w:p>
        </w:tc>
        <w:tc>
          <w:tcPr>
            <w:tcW w:w="0" w:type="dxa"/>
            <w:vAlign w:val="bottom"/>
          </w:tcPr>
          <w:p>
            <w:pPr>
              <w:spacing w:after="0"/>
              <w:rPr>
                <w:sz w:val="1"/>
                <w:szCs w:val="1"/>
                <w:color w:val="auto"/>
              </w:rPr>
            </w:pPr>
          </w:p>
        </w:tc>
      </w:tr>
      <w:tr>
        <w:trPr>
          <w:trHeight w:val="176"/>
        </w:trPr>
        <w:tc>
          <w:tcPr>
            <w:tcW w:w="7960" w:type="dxa"/>
            <w:vAlign w:val="bottom"/>
          </w:tcPr>
          <w:p>
            <w:pPr>
              <w:ind w:left="280"/>
              <w:spacing w:after="0"/>
              <w:rPr>
                <w:sz w:val="20"/>
                <w:szCs w:val="20"/>
                <w:color w:val="auto"/>
              </w:rPr>
            </w:pPr>
            <w:r>
              <w:rPr>
                <w:rFonts w:ascii="Arial" w:cs="Arial" w:eastAsia="Arial" w:hAnsi="Arial"/>
                <w:sz w:val="14"/>
                <w:szCs w:val="14"/>
                <w:color w:val="auto"/>
              </w:rPr>
              <w:t>Amortization of intangible assets</w:t>
            </w:r>
          </w:p>
        </w:tc>
        <w:tc>
          <w:tcPr>
            <w:tcW w:w="960" w:type="dxa"/>
            <w:vAlign w:val="bottom"/>
          </w:tcPr>
          <w:p>
            <w:pPr>
              <w:spacing w:after="0"/>
              <w:rPr>
                <w:sz w:val="15"/>
                <w:szCs w:val="15"/>
                <w:color w:val="auto"/>
              </w:rPr>
            </w:pPr>
          </w:p>
        </w:tc>
        <w:tc>
          <w:tcPr>
            <w:tcW w:w="640" w:type="dxa"/>
            <w:vAlign w:val="bottom"/>
          </w:tcPr>
          <w:p>
            <w:pPr>
              <w:jc w:val="right"/>
              <w:ind w:right="88"/>
              <w:spacing w:after="0"/>
              <w:rPr>
                <w:sz w:val="20"/>
                <w:szCs w:val="20"/>
                <w:color w:val="auto"/>
              </w:rPr>
            </w:pPr>
            <w:r>
              <w:rPr>
                <w:rFonts w:ascii="Arial" w:cs="Arial" w:eastAsia="Arial" w:hAnsi="Arial"/>
                <w:sz w:val="14"/>
                <w:szCs w:val="14"/>
                <w:color w:val="auto"/>
              </w:rPr>
              <w:t>11,913</w:t>
            </w: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00" w:type="dxa"/>
            <w:vAlign w:val="bottom"/>
          </w:tcPr>
          <w:p>
            <w:pPr>
              <w:jc w:val="right"/>
              <w:ind w:right="128"/>
              <w:spacing w:after="0"/>
              <w:rPr>
                <w:sz w:val="20"/>
                <w:szCs w:val="20"/>
                <w:color w:val="auto"/>
              </w:rPr>
            </w:pPr>
            <w:r>
              <w:rPr>
                <w:rFonts w:ascii="Arial" w:cs="Arial" w:eastAsia="Arial" w:hAnsi="Arial"/>
                <w:sz w:val="14"/>
                <w:szCs w:val="14"/>
                <w:color w:val="auto"/>
              </w:rPr>
              <w:t>15,597</w:t>
            </w:r>
          </w:p>
        </w:tc>
        <w:tc>
          <w:tcPr>
            <w:tcW w:w="0" w:type="dxa"/>
            <w:vAlign w:val="bottom"/>
          </w:tcPr>
          <w:p>
            <w:pPr>
              <w:spacing w:after="0"/>
              <w:rPr>
                <w:sz w:val="1"/>
                <w:szCs w:val="1"/>
                <w:color w:val="auto"/>
              </w:rPr>
            </w:pPr>
          </w:p>
        </w:tc>
      </w:tr>
      <w:tr>
        <w:trPr>
          <w:trHeight w:val="176"/>
        </w:trPr>
        <w:tc>
          <w:tcPr>
            <w:tcW w:w="7960" w:type="dxa"/>
            <w:vAlign w:val="bottom"/>
          </w:tcPr>
          <w:p>
            <w:pPr>
              <w:ind w:left="280"/>
              <w:spacing w:after="0"/>
              <w:rPr>
                <w:sz w:val="20"/>
                <w:szCs w:val="20"/>
                <w:color w:val="auto"/>
              </w:rPr>
            </w:pPr>
            <w:r>
              <w:rPr>
                <w:rFonts w:ascii="Arial" w:cs="Arial" w:eastAsia="Arial" w:hAnsi="Arial"/>
                <w:sz w:val="14"/>
                <w:szCs w:val="14"/>
                <w:color w:val="auto"/>
              </w:rPr>
              <w:t>Amortization of debt placement fees</w:t>
            </w:r>
          </w:p>
        </w:tc>
        <w:tc>
          <w:tcPr>
            <w:tcW w:w="960" w:type="dxa"/>
            <w:vAlign w:val="bottom"/>
          </w:tcPr>
          <w:p>
            <w:pPr>
              <w:spacing w:after="0"/>
              <w:rPr>
                <w:sz w:val="15"/>
                <w:szCs w:val="15"/>
                <w:color w:val="auto"/>
              </w:rPr>
            </w:pPr>
          </w:p>
        </w:tc>
        <w:tc>
          <w:tcPr>
            <w:tcW w:w="640" w:type="dxa"/>
            <w:vAlign w:val="bottom"/>
          </w:tcPr>
          <w:p>
            <w:pPr>
              <w:jc w:val="right"/>
              <w:ind w:right="88"/>
              <w:spacing w:after="0"/>
              <w:rPr>
                <w:sz w:val="20"/>
                <w:szCs w:val="20"/>
                <w:color w:val="auto"/>
              </w:rPr>
            </w:pPr>
            <w:r>
              <w:rPr>
                <w:rFonts w:ascii="Arial" w:cs="Arial" w:eastAsia="Arial" w:hAnsi="Arial"/>
                <w:sz w:val="14"/>
                <w:szCs w:val="14"/>
                <w:color w:val="auto"/>
              </w:rPr>
              <w:t>348</w:t>
            </w: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00" w:type="dxa"/>
            <w:vAlign w:val="bottom"/>
          </w:tcPr>
          <w:p>
            <w:pPr>
              <w:jc w:val="right"/>
              <w:ind w:right="128"/>
              <w:spacing w:after="0"/>
              <w:rPr>
                <w:sz w:val="20"/>
                <w:szCs w:val="20"/>
                <w:color w:val="auto"/>
              </w:rPr>
            </w:pPr>
            <w:r>
              <w:rPr>
                <w:rFonts w:ascii="Arial" w:cs="Arial" w:eastAsia="Arial" w:hAnsi="Arial"/>
                <w:sz w:val="14"/>
                <w:szCs w:val="14"/>
                <w:color w:val="auto"/>
              </w:rPr>
              <w:t>1,254</w:t>
            </w:r>
          </w:p>
        </w:tc>
        <w:tc>
          <w:tcPr>
            <w:tcW w:w="0" w:type="dxa"/>
            <w:vAlign w:val="bottom"/>
          </w:tcPr>
          <w:p>
            <w:pPr>
              <w:spacing w:after="0"/>
              <w:rPr>
                <w:sz w:val="1"/>
                <w:szCs w:val="1"/>
                <w:color w:val="auto"/>
              </w:rPr>
            </w:pPr>
          </w:p>
        </w:tc>
      </w:tr>
      <w:tr>
        <w:trPr>
          <w:trHeight w:val="176"/>
        </w:trPr>
        <w:tc>
          <w:tcPr>
            <w:tcW w:w="7960" w:type="dxa"/>
            <w:vAlign w:val="bottom"/>
          </w:tcPr>
          <w:p>
            <w:pPr>
              <w:ind w:left="280"/>
              <w:spacing w:after="0"/>
              <w:rPr>
                <w:sz w:val="20"/>
                <w:szCs w:val="20"/>
                <w:color w:val="auto"/>
              </w:rPr>
            </w:pPr>
            <w:r>
              <w:rPr>
                <w:rFonts w:ascii="Arial" w:cs="Arial" w:eastAsia="Arial" w:hAnsi="Arial"/>
                <w:sz w:val="14"/>
                <w:szCs w:val="14"/>
                <w:color w:val="auto"/>
              </w:rPr>
              <w:t>Amortization of convertible debt discount</w:t>
            </w:r>
          </w:p>
        </w:tc>
        <w:tc>
          <w:tcPr>
            <w:tcW w:w="960" w:type="dxa"/>
            <w:vAlign w:val="bottom"/>
          </w:tcPr>
          <w:p>
            <w:pPr>
              <w:spacing w:after="0"/>
              <w:rPr>
                <w:sz w:val="15"/>
                <w:szCs w:val="15"/>
                <w:color w:val="auto"/>
              </w:rPr>
            </w:pPr>
          </w:p>
        </w:tc>
        <w:tc>
          <w:tcPr>
            <w:tcW w:w="6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00" w:type="dxa"/>
            <w:vAlign w:val="bottom"/>
          </w:tcPr>
          <w:p>
            <w:pPr>
              <w:jc w:val="right"/>
              <w:ind w:right="128"/>
              <w:spacing w:after="0"/>
              <w:rPr>
                <w:sz w:val="20"/>
                <w:szCs w:val="20"/>
                <w:color w:val="auto"/>
              </w:rPr>
            </w:pPr>
            <w:r>
              <w:rPr>
                <w:rFonts w:ascii="Arial" w:cs="Arial" w:eastAsia="Arial" w:hAnsi="Arial"/>
                <w:sz w:val="14"/>
                <w:szCs w:val="14"/>
                <w:color w:val="auto"/>
              </w:rPr>
              <w:t>2,643</w:t>
            </w:r>
          </w:p>
        </w:tc>
        <w:tc>
          <w:tcPr>
            <w:tcW w:w="0" w:type="dxa"/>
            <w:vAlign w:val="bottom"/>
          </w:tcPr>
          <w:p>
            <w:pPr>
              <w:spacing w:after="0"/>
              <w:rPr>
                <w:sz w:val="1"/>
                <w:szCs w:val="1"/>
                <w:color w:val="auto"/>
              </w:rPr>
            </w:pPr>
          </w:p>
        </w:tc>
      </w:tr>
      <w:tr>
        <w:trPr>
          <w:trHeight w:val="176"/>
        </w:trPr>
        <w:tc>
          <w:tcPr>
            <w:tcW w:w="7960" w:type="dxa"/>
            <w:vAlign w:val="bottom"/>
          </w:tcPr>
          <w:p>
            <w:pPr>
              <w:ind w:left="280"/>
              <w:spacing w:after="0"/>
              <w:rPr>
                <w:sz w:val="20"/>
                <w:szCs w:val="20"/>
                <w:color w:val="auto"/>
              </w:rPr>
            </w:pPr>
            <w:r>
              <w:rPr>
                <w:rFonts w:ascii="Arial" w:cs="Arial" w:eastAsia="Arial" w:hAnsi="Arial"/>
                <w:sz w:val="14"/>
                <w:szCs w:val="14"/>
                <w:color w:val="auto"/>
              </w:rPr>
              <w:t>Restructuring expense</w:t>
            </w:r>
          </w:p>
        </w:tc>
        <w:tc>
          <w:tcPr>
            <w:tcW w:w="960" w:type="dxa"/>
            <w:vAlign w:val="bottom"/>
          </w:tcPr>
          <w:p>
            <w:pPr>
              <w:spacing w:after="0"/>
              <w:rPr>
                <w:sz w:val="15"/>
                <w:szCs w:val="15"/>
                <w:color w:val="auto"/>
              </w:rPr>
            </w:pPr>
          </w:p>
        </w:tc>
        <w:tc>
          <w:tcPr>
            <w:tcW w:w="640" w:type="dxa"/>
            <w:vAlign w:val="bottom"/>
          </w:tcPr>
          <w:p>
            <w:pPr>
              <w:jc w:val="right"/>
              <w:ind w:right="88"/>
              <w:spacing w:after="0"/>
              <w:rPr>
                <w:sz w:val="20"/>
                <w:szCs w:val="20"/>
                <w:color w:val="auto"/>
              </w:rPr>
            </w:pPr>
            <w:r>
              <w:rPr>
                <w:rFonts w:ascii="Arial" w:cs="Arial" w:eastAsia="Arial" w:hAnsi="Arial"/>
                <w:sz w:val="14"/>
                <w:szCs w:val="14"/>
                <w:color w:val="auto"/>
              </w:rPr>
              <w:t>789</w:t>
            </w: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7960" w:type="dxa"/>
            <w:vAlign w:val="bottom"/>
          </w:tcPr>
          <w:p>
            <w:pPr>
              <w:ind w:left="280"/>
              <w:spacing w:after="0"/>
              <w:rPr>
                <w:sz w:val="20"/>
                <w:szCs w:val="20"/>
                <w:color w:val="auto"/>
              </w:rPr>
            </w:pPr>
            <w:r>
              <w:rPr>
                <w:rFonts w:ascii="Arial" w:cs="Arial" w:eastAsia="Arial" w:hAnsi="Arial"/>
                <w:sz w:val="14"/>
                <w:szCs w:val="14"/>
                <w:color w:val="auto"/>
              </w:rPr>
              <w:t>Acquisition related expenses</w:t>
            </w:r>
          </w:p>
        </w:tc>
        <w:tc>
          <w:tcPr>
            <w:tcW w:w="960" w:type="dxa"/>
            <w:vAlign w:val="bottom"/>
          </w:tcPr>
          <w:p>
            <w:pPr>
              <w:spacing w:after="0"/>
              <w:rPr>
                <w:sz w:val="15"/>
                <w:szCs w:val="15"/>
                <w:color w:val="auto"/>
              </w:rPr>
            </w:pPr>
          </w:p>
        </w:tc>
        <w:tc>
          <w:tcPr>
            <w:tcW w:w="640" w:type="dxa"/>
            <w:vAlign w:val="bottom"/>
          </w:tcPr>
          <w:p>
            <w:pPr>
              <w:jc w:val="right"/>
              <w:ind w:right="88"/>
              <w:spacing w:after="0"/>
              <w:rPr>
                <w:sz w:val="20"/>
                <w:szCs w:val="20"/>
                <w:color w:val="auto"/>
              </w:rPr>
            </w:pPr>
            <w:r>
              <w:rPr>
                <w:rFonts w:ascii="Arial" w:cs="Arial" w:eastAsia="Arial" w:hAnsi="Arial"/>
                <w:sz w:val="14"/>
                <w:szCs w:val="14"/>
                <w:color w:val="auto"/>
              </w:rPr>
              <w:t>2,021</w:t>
            </w: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7960" w:type="dxa"/>
            <w:vAlign w:val="bottom"/>
          </w:tcPr>
          <w:p>
            <w:pPr>
              <w:ind w:left="280"/>
              <w:spacing w:after="0"/>
              <w:rPr>
                <w:sz w:val="20"/>
                <w:szCs w:val="20"/>
                <w:color w:val="auto"/>
              </w:rPr>
            </w:pPr>
            <w:r>
              <w:rPr>
                <w:rFonts w:ascii="Arial" w:cs="Arial" w:eastAsia="Arial" w:hAnsi="Arial"/>
                <w:sz w:val="14"/>
                <w:szCs w:val="14"/>
                <w:color w:val="auto"/>
              </w:rPr>
              <w:t>Income tax effect of non-GAAP adjustments</w:t>
            </w:r>
          </w:p>
        </w:tc>
        <w:tc>
          <w:tcPr>
            <w:tcW w:w="9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(4,005)</w:t>
            </w:r>
          </w:p>
        </w:tc>
        <w:tc>
          <w:tcPr>
            <w:tcW w:w="16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(6,096)</w:t>
            </w:r>
          </w:p>
        </w:tc>
        <w:tc>
          <w:tcPr>
            <w:tcW w:w="0" w:type="dxa"/>
            <w:vAlign w:val="bottom"/>
          </w:tcPr>
          <w:p>
            <w:pPr>
              <w:spacing w:after="0"/>
              <w:rPr>
                <w:sz w:val="1"/>
                <w:szCs w:val="1"/>
                <w:color w:val="auto"/>
              </w:rPr>
            </w:pPr>
          </w:p>
        </w:tc>
      </w:tr>
      <w:tr>
        <w:trPr>
          <w:trHeight w:val="169"/>
        </w:trPr>
        <w:tc>
          <w:tcPr>
            <w:tcW w:w="7960" w:type="dxa"/>
            <w:vAlign w:val="bottom"/>
          </w:tcPr>
          <w:p>
            <w:pPr>
              <w:ind w:left="140"/>
              <w:spacing w:after="0"/>
              <w:rPr>
                <w:sz w:val="20"/>
                <w:szCs w:val="20"/>
                <w:color w:val="auto"/>
              </w:rPr>
            </w:pPr>
            <w:r>
              <w:rPr>
                <w:rFonts w:ascii="Arial" w:cs="Arial" w:eastAsia="Arial" w:hAnsi="Arial"/>
                <w:sz w:val="14"/>
                <w:szCs w:val="14"/>
                <w:color w:val="auto"/>
              </w:rPr>
              <w:t>Non-GAAP net income</w:t>
            </w:r>
          </w:p>
        </w:tc>
        <w:tc>
          <w:tcPr>
            <w:tcW w:w="96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36,419</w:t>
            </w:r>
          </w:p>
        </w:tc>
        <w:tc>
          <w:tcPr>
            <w:tcW w:w="160" w:type="dxa"/>
            <w:vAlign w:val="bottom"/>
          </w:tcPr>
          <w:p>
            <w:pPr>
              <w:spacing w:after="0"/>
              <w:rPr>
                <w:sz w:val="14"/>
                <w:szCs w:val="14"/>
                <w:color w:val="auto"/>
              </w:rPr>
            </w:pPr>
          </w:p>
        </w:tc>
        <w:tc>
          <w:tcPr>
            <w:tcW w:w="100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40,518</w:t>
            </w:r>
          </w:p>
        </w:tc>
        <w:tc>
          <w:tcPr>
            <w:tcW w:w="0" w:type="dxa"/>
            <w:vAlign w:val="bottom"/>
          </w:tcPr>
          <w:p>
            <w:pPr>
              <w:spacing w:after="0"/>
              <w:rPr>
                <w:sz w:val="1"/>
                <w:szCs w:val="1"/>
                <w:color w:val="auto"/>
              </w:rPr>
            </w:pPr>
          </w:p>
        </w:tc>
      </w:tr>
      <w:tr>
        <w:trPr>
          <w:trHeight w:val="20"/>
        </w:trPr>
        <w:tc>
          <w:tcPr>
            <w:tcW w:w="7960" w:type="dxa"/>
            <w:vAlign w:val="bottom"/>
            <w:vMerge w:val="restart"/>
          </w:tcPr>
          <w:p>
            <w:pPr>
              <w:ind w:left="140"/>
              <w:spacing w:after="0"/>
              <w:rPr>
                <w:sz w:val="20"/>
                <w:szCs w:val="20"/>
                <w:color w:val="auto"/>
              </w:rPr>
            </w:pPr>
            <w:r>
              <w:rPr>
                <w:rFonts w:ascii="Arial" w:cs="Arial" w:eastAsia="Arial" w:hAnsi="Arial"/>
                <w:sz w:val="14"/>
                <w:szCs w:val="14"/>
                <w:color w:val="auto"/>
              </w:rPr>
              <w:t>Non-GAAP diluted EPS</w:t>
            </w:r>
          </w:p>
        </w:tc>
        <w:tc>
          <w:tcPr>
            <w:tcW w:w="9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960" w:type="dxa"/>
            <w:vAlign w:val="bottom"/>
            <w:vMerge w:val="continue"/>
          </w:tcPr>
          <w:p>
            <w:pPr>
              <w:spacing w:after="0"/>
              <w:rPr>
                <w:sz w:val="13"/>
                <w:szCs w:val="13"/>
                <w:color w:val="auto"/>
              </w:rPr>
            </w:pPr>
          </w:p>
        </w:tc>
        <w:tc>
          <w:tcPr>
            <w:tcW w:w="9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60" w:type="dxa"/>
            <w:vAlign w:val="bottom"/>
            <w:gridSpan w:val="2"/>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7960" w:type="dxa"/>
            <w:vAlign w:val="bottom"/>
            <w:vMerge w:val="continue"/>
          </w:tcPr>
          <w:p>
            <w:pPr>
              <w:spacing w:after="0"/>
              <w:rPr>
                <w:sz w:val="14"/>
                <w:szCs w:val="14"/>
                <w:color w:val="auto"/>
              </w:rPr>
            </w:pPr>
          </w:p>
        </w:tc>
        <w:tc>
          <w:tcPr>
            <w:tcW w:w="960" w:type="dxa"/>
            <w:vAlign w:val="bottom"/>
            <w:tcBorders>
              <w:top w:val="single" w:sz="8" w:color="auto"/>
              <w:bottom w:val="single" w:sz="8" w:color="auto"/>
            </w:tcBorders>
          </w:tcPr>
          <w:p>
            <w:pPr>
              <w:jc w:val="right"/>
              <w:ind w:right="68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0.91</w:t>
            </w:r>
          </w:p>
        </w:tc>
        <w:tc>
          <w:tcPr>
            <w:tcW w:w="160" w:type="dxa"/>
            <w:vAlign w:val="bottom"/>
          </w:tcPr>
          <w:p>
            <w:pPr>
              <w:spacing w:after="0"/>
              <w:rPr>
                <w:sz w:val="14"/>
                <w:szCs w:val="14"/>
                <w:color w:val="auto"/>
              </w:rPr>
            </w:pPr>
          </w:p>
        </w:tc>
        <w:tc>
          <w:tcPr>
            <w:tcW w:w="1000" w:type="dxa"/>
            <w:vAlign w:val="bottom"/>
            <w:tcBorders>
              <w:top w:val="single" w:sz="8" w:color="auto"/>
              <w:bottom w:val="single" w:sz="8" w:color="auto"/>
            </w:tcBorders>
          </w:tcPr>
          <w:p>
            <w:pPr>
              <w:jc w:val="right"/>
              <w:ind w:right="72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0.99</w:t>
            </w:r>
          </w:p>
        </w:tc>
        <w:tc>
          <w:tcPr>
            <w:tcW w:w="0" w:type="dxa"/>
            <w:vAlign w:val="bottom"/>
          </w:tcPr>
          <w:p>
            <w:pPr>
              <w:spacing w:after="0"/>
              <w:rPr>
                <w:sz w:val="1"/>
                <w:szCs w:val="1"/>
                <w:color w:val="auto"/>
              </w:rPr>
            </w:pPr>
          </w:p>
        </w:tc>
      </w:tr>
      <w:tr>
        <w:trPr>
          <w:trHeight w:val="20"/>
        </w:trPr>
        <w:tc>
          <w:tcPr>
            <w:tcW w:w="79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7960" w:type="dxa"/>
            <w:vAlign w:val="bottom"/>
          </w:tcPr>
          <w:p>
            <w:pPr>
              <w:ind w:left="140"/>
              <w:spacing w:after="0"/>
              <w:rPr>
                <w:sz w:val="20"/>
                <w:szCs w:val="20"/>
                <w:color w:val="auto"/>
              </w:rPr>
            </w:pPr>
            <w:r>
              <w:rPr>
                <w:rFonts w:ascii="Arial" w:cs="Arial" w:eastAsia="Arial" w:hAnsi="Arial"/>
                <w:sz w:val="14"/>
                <w:szCs w:val="14"/>
                <w:color w:val="auto"/>
              </w:rPr>
              <w:t>Weighted average common shares outstanding - Diluted</w:t>
            </w:r>
          </w:p>
        </w:tc>
        <w:tc>
          <w:tcPr>
            <w:tcW w:w="9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40,216</w:t>
            </w:r>
          </w:p>
        </w:tc>
        <w:tc>
          <w:tcPr>
            <w:tcW w:w="16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41,045</w:t>
            </w:r>
          </w:p>
        </w:tc>
        <w:tc>
          <w:tcPr>
            <w:tcW w:w="0" w:type="dxa"/>
            <w:vAlign w:val="bottom"/>
          </w:tcPr>
          <w:p>
            <w:pPr>
              <w:spacing w:after="0"/>
              <w:rPr>
                <w:sz w:val="1"/>
                <w:szCs w:val="1"/>
                <w:color w:val="auto"/>
              </w:rPr>
            </w:pPr>
          </w:p>
        </w:tc>
      </w:tr>
      <w:tr>
        <w:trPr>
          <w:trHeight w:val="20"/>
        </w:trPr>
        <w:tc>
          <w:tcPr>
            <w:tcW w:w="7960" w:type="dxa"/>
            <w:vAlign w:val="bottom"/>
            <w:vMerge w:val="restart"/>
          </w:tcPr>
          <w:p>
            <w:pPr>
              <w:spacing w:after="0"/>
              <w:rPr>
                <w:sz w:val="20"/>
                <w:szCs w:val="20"/>
                <w:color w:val="auto"/>
              </w:rPr>
            </w:pPr>
            <w:r>
              <w:rPr>
                <w:rFonts w:ascii="Arial" w:cs="Arial" w:eastAsia="Arial" w:hAnsi="Arial"/>
                <w:sz w:val="14"/>
                <w:szCs w:val="14"/>
                <w:b w:val="1"/>
                <w:bCs w:val="1"/>
                <w:color w:val="auto"/>
              </w:rPr>
              <w:t>ADJUSTED EBITDA</w:t>
            </w:r>
          </w:p>
        </w:tc>
        <w:tc>
          <w:tcPr>
            <w:tcW w:w="9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796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7960" w:type="dxa"/>
            <w:vAlign w:val="bottom"/>
          </w:tcPr>
          <w:p>
            <w:pPr>
              <w:ind w:left="140"/>
              <w:spacing w:after="0"/>
              <w:rPr>
                <w:sz w:val="20"/>
                <w:szCs w:val="20"/>
                <w:color w:val="auto"/>
              </w:rPr>
            </w:pPr>
            <w:r>
              <w:rPr>
                <w:rFonts w:ascii="Arial" w:cs="Arial" w:eastAsia="Arial" w:hAnsi="Arial"/>
                <w:sz w:val="14"/>
                <w:szCs w:val="14"/>
                <w:color w:val="auto"/>
              </w:rPr>
              <w:t>GAAP net income</w:t>
            </w:r>
          </w:p>
        </w:tc>
        <w:tc>
          <w:tcPr>
            <w:tcW w:w="96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88"/>
              <w:spacing w:after="0"/>
              <w:rPr>
                <w:sz w:val="20"/>
                <w:szCs w:val="20"/>
                <w:color w:val="auto"/>
              </w:rPr>
            </w:pPr>
            <w:r>
              <w:rPr>
                <w:rFonts w:ascii="Arial" w:cs="Arial" w:eastAsia="Arial" w:hAnsi="Arial"/>
                <w:sz w:val="14"/>
                <w:szCs w:val="14"/>
                <w:color w:val="auto"/>
              </w:rPr>
              <w:t>25,353</w:t>
            </w:r>
          </w:p>
        </w:tc>
        <w:tc>
          <w:tcPr>
            <w:tcW w:w="1160" w:type="dxa"/>
            <w:vAlign w:val="bottom"/>
            <w:gridSpan w:val="2"/>
          </w:tcPr>
          <w:p>
            <w:pPr>
              <w:jc w:val="right"/>
              <w:ind w:right="7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28"/>
              <w:spacing w:after="0"/>
              <w:rPr>
                <w:sz w:val="20"/>
                <w:szCs w:val="20"/>
                <w:color w:val="auto"/>
              </w:rPr>
            </w:pPr>
            <w:r>
              <w:rPr>
                <w:rFonts w:ascii="Arial" w:cs="Arial" w:eastAsia="Arial" w:hAnsi="Arial"/>
                <w:sz w:val="14"/>
                <w:szCs w:val="14"/>
                <w:color w:val="auto"/>
              </w:rPr>
              <w:t>27,120</w:t>
            </w:r>
          </w:p>
        </w:tc>
        <w:tc>
          <w:tcPr>
            <w:tcW w:w="0" w:type="dxa"/>
            <w:vAlign w:val="bottom"/>
          </w:tcPr>
          <w:p>
            <w:pPr>
              <w:spacing w:after="0"/>
              <w:rPr>
                <w:sz w:val="1"/>
                <w:szCs w:val="1"/>
                <w:color w:val="auto"/>
              </w:rPr>
            </w:pPr>
          </w:p>
        </w:tc>
      </w:tr>
      <w:tr>
        <w:trPr>
          <w:trHeight w:val="176"/>
        </w:trPr>
        <w:tc>
          <w:tcPr>
            <w:tcW w:w="7960" w:type="dxa"/>
            <w:vAlign w:val="bottom"/>
          </w:tcPr>
          <w:p>
            <w:pPr>
              <w:ind w:left="280"/>
              <w:spacing w:after="0"/>
              <w:rPr>
                <w:sz w:val="20"/>
                <w:szCs w:val="20"/>
                <w:color w:val="auto"/>
              </w:rPr>
            </w:pPr>
            <w:r>
              <w:rPr>
                <w:rFonts w:ascii="Arial" w:cs="Arial" w:eastAsia="Arial" w:hAnsi="Arial"/>
                <w:sz w:val="14"/>
                <w:szCs w:val="14"/>
                <w:color w:val="auto"/>
              </w:rPr>
              <w:t>Interest income</w:t>
            </w:r>
          </w:p>
        </w:tc>
        <w:tc>
          <w:tcPr>
            <w:tcW w:w="960" w:type="dxa"/>
            <w:vAlign w:val="bottom"/>
          </w:tcPr>
          <w:p>
            <w:pPr>
              <w:spacing w:after="0"/>
              <w:rPr>
                <w:sz w:val="15"/>
                <w:szCs w:val="15"/>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(193)</w:t>
            </w: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(308)</w:t>
            </w:r>
          </w:p>
        </w:tc>
        <w:tc>
          <w:tcPr>
            <w:tcW w:w="0" w:type="dxa"/>
            <w:vAlign w:val="bottom"/>
          </w:tcPr>
          <w:p>
            <w:pPr>
              <w:spacing w:after="0"/>
              <w:rPr>
                <w:sz w:val="1"/>
                <w:szCs w:val="1"/>
                <w:color w:val="auto"/>
              </w:rPr>
            </w:pPr>
          </w:p>
        </w:tc>
      </w:tr>
      <w:tr>
        <w:trPr>
          <w:trHeight w:val="176"/>
        </w:trPr>
        <w:tc>
          <w:tcPr>
            <w:tcW w:w="7960" w:type="dxa"/>
            <w:vAlign w:val="bottom"/>
          </w:tcPr>
          <w:p>
            <w:pPr>
              <w:ind w:left="280"/>
              <w:spacing w:after="0"/>
              <w:rPr>
                <w:sz w:val="20"/>
                <w:szCs w:val="20"/>
                <w:color w:val="auto"/>
              </w:rPr>
            </w:pPr>
            <w:r>
              <w:rPr>
                <w:rFonts w:ascii="Arial" w:cs="Arial" w:eastAsia="Arial" w:hAnsi="Arial"/>
                <w:sz w:val="14"/>
                <w:szCs w:val="14"/>
                <w:color w:val="auto"/>
              </w:rPr>
              <w:t>Interest expense</w:t>
            </w:r>
          </w:p>
        </w:tc>
        <w:tc>
          <w:tcPr>
            <w:tcW w:w="960" w:type="dxa"/>
            <w:vAlign w:val="bottom"/>
          </w:tcPr>
          <w:p>
            <w:pPr>
              <w:spacing w:after="0"/>
              <w:rPr>
                <w:sz w:val="15"/>
                <w:szCs w:val="15"/>
                <w:color w:val="auto"/>
              </w:rPr>
            </w:pPr>
          </w:p>
        </w:tc>
        <w:tc>
          <w:tcPr>
            <w:tcW w:w="640" w:type="dxa"/>
            <w:vAlign w:val="bottom"/>
          </w:tcPr>
          <w:p>
            <w:pPr>
              <w:jc w:val="right"/>
              <w:ind w:right="88"/>
              <w:spacing w:after="0"/>
              <w:rPr>
                <w:sz w:val="20"/>
                <w:szCs w:val="20"/>
                <w:color w:val="auto"/>
              </w:rPr>
            </w:pPr>
            <w:r>
              <w:rPr>
                <w:rFonts w:ascii="Arial" w:cs="Arial" w:eastAsia="Arial" w:hAnsi="Arial"/>
                <w:sz w:val="14"/>
                <w:szCs w:val="14"/>
                <w:color w:val="auto"/>
              </w:rPr>
              <w:t>2,437</w:t>
            </w: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00" w:type="dxa"/>
            <w:vAlign w:val="bottom"/>
          </w:tcPr>
          <w:p>
            <w:pPr>
              <w:jc w:val="right"/>
              <w:ind w:right="128"/>
              <w:spacing w:after="0"/>
              <w:rPr>
                <w:sz w:val="20"/>
                <w:szCs w:val="20"/>
                <w:color w:val="auto"/>
              </w:rPr>
            </w:pPr>
            <w:r>
              <w:rPr>
                <w:rFonts w:ascii="Arial" w:cs="Arial" w:eastAsia="Arial" w:hAnsi="Arial"/>
                <w:sz w:val="14"/>
                <w:szCs w:val="14"/>
                <w:color w:val="auto"/>
              </w:rPr>
              <w:t>12,114</w:t>
            </w:r>
          </w:p>
        </w:tc>
        <w:tc>
          <w:tcPr>
            <w:tcW w:w="0" w:type="dxa"/>
            <w:vAlign w:val="bottom"/>
          </w:tcPr>
          <w:p>
            <w:pPr>
              <w:spacing w:after="0"/>
              <w:rPr>
                <w:sz w:val="1"/>
                <w:szCs w:val="1"/>
                <w:color w:val="auto"/>
              </w:rPr>
            </w:pPr>
          </w:p>
        </w:tc>
      </w:tr>
      <w:tr>
        <w:trPr>
          <w:trHeight w:val="176"/>
        </w:trPr>
        <w:tc>
          <w:tcPr>
            <w:tcW w:w="7960" w:type="dxa"/>
            <w:vAlign w:val="bottom"/>
          </w:tcPr>
          <w:p>
            <w:pPr>
              <w:ind w:left="280"/>
              <w:spacing w:after="0"/>
              <w:rPr>
                <w:sz w:val="20"/>
                <w:szCs w:val="20"/>
                <w:color w:val="auto"/>
              </w:rPr>
            </w:pPr>
            <w:r>
              <w:rPr>
                <w:rFonts w:ascii="Arial" w:cs="Arial" w:eastAsia="Arial" w:hAnsi="Arial"/>
                <w:sz w:val="14"/>
                <w:szCs w:val="14"/>
                <w:color w:val="auto"/>
              </w:rPr>
              <w:t>Income tax provision</w:t>
            </w:r>
          </w:p>
        </w:tc>
        <w:tc>
          <w:tcPr>
            <w:tcW w:w="960" w:type="dxa"/>
            <w:vAlign w:val="bottom"/>
          </w:tcPr>
          <w:p>
            <w:pPr>
              <w:spacing w:after="0"/>
              <w:rPr>
                <w:sz w:val="15"/>
                <w:szCs w:val="15"/>
                <w:color w:val="auto"/>
              </w:rPr>
            </w:pPr>
          </w:p>
        </w:tc>
        <w:tc>
          <w:tcPr>
            <w:tcW w:w="640" w:type="dxa"/>
            <w:vAlign w:val="bottom"/>
          </w:tcPr>
          <w:p>
            <w:pPr>
              <w:jc w:val="right"/>
              <w:ind w:right="88"/>
              <w:spacing w:after="0"/>
              <w:rPr>
                <w:sz w:val="20"/>
                <w:szCs w:val="20"/>
                <w:color w:val="auto"/>
              </w:rPr>
            </w:pPr>
            <w:r>
              <w:rPr>
                <w:rFonts w:ascii="Arial" w:cs="Arial" w:eastAsia="Arial" w:hAnsi="Arial"/>
                <w:sz w:val="14"/>
                <w:szCs w:val="14"/>
                <w:color w:val="auto"/>
              </w:rPr>
              <w:t>9,629</w:t>
            </w: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00" w:type="dxa"/>
            <w:vAlign w:val="bottom"/>
          </w:tcPr>
          <w:p>
            <w:pPr>
              <w:jc w:val="right"/>
              <w:ind w:right="128"/>
              <w:spacing w:after="0"/>
              <w:rPr>
                <w:sz w:val="20"/>
                <w:szCs w:val="20"/>
                <w:color w:val="auto"/>
              </w:rPr>
            </w:pPr>
            <w:r>
              <w:rPr>
                <w:rFonts w:ascii="Arial" w:cs="Arial" w:eastAsia="Arial" w:hAnsi="Arial"/>
                <w:sz w:val="14"/>
                <w:szCs w:val="14"/>
                <w:color w:val="auto"/>
              </w:rPr>
              <w:t>9,567</w:t>
            </w:r>
          </w:p>
        </w:tc>
        <w:tc>
          <w:tcPr>
            <w:tcW w:w="0" w:type="dxa"/>
            <w:vAlign w:val="bottom"/>
          </w:tcPr>
          <w:p>
            <w:pPr>
              <w:spacing w:after="0"/>
              <w:rPr>
                <w:sz w:val="1"/>
                <w:szCs w:val="1"/>
                <w:color w:val="auto"/>
              </w:rPr>
            </w:pPr>
          </w:p>
        </w:tc>
      </w:tr>
      <w:tr>
        <w:trPr>
          <w:trHeight w:val="176"/>
        </w:trPr>
        <w:tc>
          <w:tcPr>
            <w:tcW w:w="7960" w:type="dxa"/>
            <w:vAlign w:val="bottom"/>
          </w:tcPr>
          <w:p>
            <w:pPr>
              <w:ind w:left="280"/>
              <w:spacing w:after="0"/>
              <w:rPr>
                <w:sz w:val="20"/>
                <w:szCs w:val="20"/>
                <w:color w:val="auto"/>
              </w:rPr>
            </w:pPr>
            <w:r>
              <w:rPr>
                <w:rFonts w:ascii="Arial" w:cs="Arial" w:eastAsia="Arial" w:hAnsi="Arial"/>
                <w:sz w:val="14"/>
                <w:szCs w:val="14"/>
                <w:color w:val="auto"/>
              </w:rPr>
              <w:t>Depreciation and amortization</w:t>
            </w:r>
          </w:p>
        </w:tc>
        <w:tc>
          <w:tcPr>
            <w:tcW w:w="960" w:type="dxa"/>
            <w:vAlign w:val="bottom"/>
          </w:tcPr>
          <w:p>
            <w:pPr>
              <w:spacing w:after="0"/>
              <w:rPr>
                <w:sz w:val="15"/>
                <w:szCs w:val="15"/>
                <w:color w:val="auto"/>
              </w:rPr>
            </w:pPr>
          </w:p>
        </w:tc>
        <w:tc>
          <w:tcPr>
            <w:tcW w:w="640" w:type="dxa"/>
            <w:vAlign w:val="bottom"/>
          </w:tcPr>
          <w:p>
            <w:pPr>
              <w:jc w:val="right"/>
              <w:ind w:right="88"/>
              <w:spacing w:after="0"/>
              <w:rPr>
                <w:sz w:val="20"/>
                <w:szCs w:val="20"/>
                <w:color w:val="auto"/>
              </w:rPr>
            </w:pPr>
            <w:r>
              <w:rPr>
                <w:rFonts w:ascii="Arial" w:cs="Arial" w:eastAsia="Arial" w:hAnsi="Arial"/>
                <w:sz w:val="14"/>
                <w:szCs w:val="14"/>
                <w:color w:val="auto"/>
              </w:rPr>
              <w:t>27,227</w:t>
            </w: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00" w:type="dxa"/>
            <w:vAlign w:val="bottom"/>
          </w:tcPr>
          <w:p>
            <w:pPr>
              <w:jc w:val="right"/>
              <w:ind w:right="128"/>
              <w:spacing w:after="0"/>
              <w:rPr>
                <w:sz w:val="20"/>
                <w:szCs w:val="20"/>
                <w:color w:val="auto"/>
              </w:rPr>
            </w:pPr>
            <w:r>
              <w:rPr>
                <w:rFonts w:ascii="Arial" w:cs="Arial" w:eastAsia="Arial" w:hAnsi="Arial"/>
                <w:sz w:val="14"/>
                <w:szCs w:val="14"/>
                <w:color w:val="auto"/>
              </w:rPr>
              <w:t>31,531</w:t>
            </w:r>
          </w:p>
        </w:tc>
        <w:tc>
          <w:tcPr>
            <w:tcW w:w="0" w:type="dxa"/>
            <w:vAlign w:val="bottom"/>
          </w:tcPr>
          <w:p>
            <w:pPr>
              <w:spacing w:after="0"/>
              <w:rPr>
                <w:sz w:val="1"/>
                <w:szCs w:val="1"/>
                <w:color w:val="auto"/>
              </w:rPr>
            </w:pPr>
          </w:p>
        </w:tc>
      </w:tr>
      <w:tr>
        <w:trPr>
          <w:trHeight w:val="176"/>
        </w:trPr>
        <w:tc>
          <w:tcPr>
            <w:tcW w:w="7960" w:type="dxa"/>
            <w:vAlign w:val="bottom"/>
          </w:tcPr>
          <w:p>
            <w:pPr>
              <w:ind w:left="280"/>
              <w:spacing w:after="0"/>
              <w:rPr>
                <w:sz w:val="20"/>
                <w:szCs w:val="20"/>
                <w:color w:val="auto"/>
              </w:rPr>
            </w:pPr>
            <w:r>
              <w:rPr>
                <w:rFonts w:ascii="Arial" w:cs="Arial" w:eastAsia="Arial" w:hAnsi="Arial"/>
                <w:sz w:val="14"/>
                <w:szCs w:val="14"/>
                <w:color w:val="auto"/>
              </w:rPr>
              <w:t>Restructuring expense</w:t>
            </w:r>
          </w:p>
        </w:tc>
        <w:tc>
          <w:tcPr>
            <w:tcW w:w="960" w:type="dxa"/>
            <w:vAlign w:val="bottom"/>
          </w:tcPr>
          <w:p>
            <w:pPr>
              <w:spacing w:after="0"/>
              <w:rPr>
                <w:sz w:val="15"/>
                <w:szCs w:val="15"/>
                <w:color w:val="auto"/>
              </w:rPr>
            </w:pPr>
          </w:p>
        </w:tc>
        <w:tc>
          <w:tcPr>
            <w:tcW w:w="640" w:type="dxa"/>
            <w:vAlign w:val="bottom"/>
          </w:tcPr>
          <w:p>
            <w:pPr>
              <w:jc w:val="right"/>
              <w:ind w:right="88"/>
              <w:spacing w:after="0"/>
              <w:rPr>
                <w:sz w:val="20"/>
                <w:szCs w:val="20"/>
                <w:color w:val="auto"/>
              </w:rPr>
            </w:pPr>
            <w:r>
              <w:rPr>
                <w:rFonts w:ascii="Arial" w:cs="Arial" w:eastAsia="Arial" w:hAnsi="Arial"/>
                <w:sz w:val="14"/>
                <w:szCs w:val="14"/>
                <w:color w:val="auto"/>
              </w:rPr>
              <w:t>789</w:t>
            </w: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7960" w:type="dxa"/>
            <w:vAlign w:val="bottom"/>
          </w:tcPr>
          <w:p>
            <w:pPr>
              <w:ind w:left="280"/>
              <w:spacing w:after="0"/>
              <w:rPr>
                <w:sz w:val="20"/>
                <w:szCs w:val="20"/>
                <w:color w:val="auto"/>
              </w:rPr>
            </w:pPr>
            <w:r>
              <w:rPr>
                <w:rFonts w:ascii="Arial" w:cs="Arial" w:eastAsia="Arial" w:hAnsi="Arial"/>
                <w:sz w:val="14"/>
                <w:szCs w:val="14"/>
                <w:color w:val="auto"/>
              </w:rPr>
              <w:t>Acquisition related expenses</w:t>
            </w:r>
          </w:p>
        </w:tc>
        <w:tc>
          <w:tcPr>
            <w:tcW w:w="9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2,021</w:t>
            </w:r>
          </w:p>
        </w:tc>
        <w:tc>
          <w:tcPr>
            <w:tcW w:w="16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7960" w:type="dxa"/>
            <w:vAlign w:val="bottom"/>
          </w:tcPr>
          <w:p>
            <w:pPr>
              <w:ind w:left="140"/>
              <w:spacing w:after="0"/>
              <w:rPr>
                <w:sz w:val="20"/>
                <w:szCs w:val="20"/>
                <w:color w:val="auto"/>
              </w:rPr>
            </w:pPr>
            <w:r>
              <w:rPr>
                <w:rFonts w:ascii="Arial" w:cs="Arial" w:eastAsia="Arial" w:hAnsi="Arial"/>
                <w:sz w:val="14"/>
                <w:szCs w:val="14"/>
                <w:color w:val="auto"/>
              </w:rPr>
              <w:t>Adjusted EBITDA</w:t>
            </w:r>
          </w:p>
        </w:tc>
        <w:tc>
          <w:tcPr>
            <w:tcW w:w="96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67,263</w:t>
            </w:r>
          </w:p>
        </w:tc>
        <w:tc>
          <w:tcPr>
            <w:tcW w:w="160" w:type="dxa"/>
            <w:vAlign w:val="bottom"/>
          </w:tcPr>
          <w:p>
            <w:pPr>
              <w:spacing w:after="0"/>
              <w:rPr>
                <w:sz w:val="14"/>
                <w:szCs w:val="14"/>
                <w:color w:val="auto"/>
              </w:rPr>
            </w:pPr>
          </w:p>
        </w:tc>
        <w:tc>
          <w:tcPr>
            <w:tcW w:w="100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80,024</w:t>
            </w:r>
          </w:p>
        </w:tc>
        <w:tc>
          <w:tcPr>
            <w:tcW w:w="0" w:type="dxa"/>
            <w:vAlign w:val="bottom"/>
          </w:tcPr>
          <w:p>
            <w:pPr>
              <w:spacing w:after="0"/>
              <w:rPr>
                <w:sz w:val="1"/>
                <w:szCs w:val="1"/>
                <w:color w:val="auto"/>
              </w:rPr>
            </w:pPr>
          </w:p>
        </w:tc>
      </w:tr>
      <w:tr>
        <w:trPr>
          <w:trHeight w:val="20"/>
        </w:trPr>
        <w:tc>
          <w:tcPr>
            <w:tcW w:w="7960" w:type="dxa"/>
            <w:vAlign w:val="bottom"/>
            <w:vMerge w:val="restart"/>
          </w:tcPr>
          <w:p>
            <w:pPr>
              <w:spacing w:after="0"/>
              <w:rPr>
                <w:sz w:val="20"/>
                <w:szCs w:val="20"/>
                <w:color w:val="auto"/>
              </w:rPr>
            </w:pPr>
            <w:r>
              <w:rPr>
                <w:rFonts w:ascii="Arial" w:cs="Arial" w:eastAsia="Arial" w:hAnsi="Arial"/>
                <w:sz w:val="14"/>
                <w:szCs w:val="14"/>
                <w:b w:val="1"/>
                <w:bCs w:val="1"/>
                <w:color w:val="auto"/>
              </w:rPr>
              <w:t>FREE CASH FLOW</w:t>
            </w:r>
          </w:p>
        </w:tc>
        <w:tc>
          <w:tcPr>
            <w:tcW w:w="9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796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7960" w:type="dxa"/>
            <w:vAlign w:val="bottom"/>
          </w:tcPr>
          <w:p>
            <w:pPr>
              <w:ind w:left="280"/>
              <w:spacing w:after="0"/>
              <w:rPr>
                <w:sz w:val="20"/>
                <w:szCs w:val="20"/>
                <w:color w:val="auto"/>
              </w:rPr>
            </w:pPr>
            <w:r>
              <w:rPr>
                <w:rFonts w:ascii="Arial" w:cs="Arial" w:eastAsia="Arial" w:hAnsi="Arial"/>
                <w:sz w:val="14"/>
                <w:szCs w:val="14"/>
                <w:color w:val="auto"/>
              </w:rPr>
              <w:t>Net cash provided by operating activities</w:t>
            </w:r>
          </w:p>
        </w:tc>
        <w:tc>
          <w:tcPr>
            <w:tcW w:w="96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88"/>
              <w:spacing w:after="0"/>
              <w:rPr>
                <w:sz w:val="20"/>
                <w:szCs w:val="20"/>
                <w:color w:val="auto"/>
              </w:rPr>
            </w:pPr>
            <w:r>
              <w:rPr>
                <w:rFonts w:ascii="Arial" w:cs="Arial" w:eastAsia="Arial" w:hAnsi="Arial"/>
                <w:sz w:val="14"/>
                <w:szCs w:val="14"/>
                <w:color w:val="auto"/>
              </w:rPr>
              <w:t>54,003</w:t>
            </w:r>
          </w:p>
        </w:tc>
        <w:tc>
          <w:tcPr>
            <w:tcW w:w="1160" w:type="dxa"/>
            <w:vAlign w:val="bottom"/>
            <w:gridSpan w:val="2"/>
          </w:tcPr>
          <w:p>
            <w:pPr>
              <w:jc w:val="right"/>
              <w:ind w:right="7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28"/>
              <w:spacing w:after="0"/>
              <w:rPr>
                <w:sz w:val="20"/>
                <w:szCs w:val="20"/>
                <w:color w:val="auto"/>
              </w:rPr>
            </w:pPr>
            <w:r>
              <w:rPr>
                <w:rFonts w:ascii="Arial" w:cs="Arial" w:eastAsia="Arial" w:hAnsi="Arial"/>
                <w:sz w:val="14"/>
                <w:szCs w:val="14"/>
                <w:color w:val="auto"/>
              </w:rPr>
              <w:t>36,013</w:t>
            </w:r>
          </w:p>
        </w:tc>
        <w:tc>
          <w:tcPr>
            <w:tcW w:w="0" w:type="dxa"/>
            <w:vAlign w:val="bottom"/>
          </w:tcPr>
          <w:p>
            <w:pPr>
              <w:spacing w:after="0"/>
              <w:rPr>
                <w:sz w:val="1"/>
                <w:szCs w:val="1"/>
                <w:color w:val="auto"/>
              </w:rPr>
            </w:pPr>
          </w:p>
        </w:tc>
      </w:tr>
      <w:tr>
        <w:trPr>
          <w:trHeight w:val="181"/>
        </w:trPr>
        <w:tc>
          <w:tcPr>
            <w:tcW w:w="7960" w:type="dxa"/>
            <w:vAlign w:val="bottom"/>
          </w:tcPr>
          <w:p>
            <w:pPr>
              <w:ind w:left="280"/>
              <w:spacing w:after="0"/>
              <w:rPr>
                <w:sz w:val="20"/>
                <w:szCs w:val="20"/>
                <w:color w:val="auto"/>
              </w:rPr>
            </w:pPr>
            <w:r>
              <w:rPr>
                <w:rFonts w:ascii="Arial" w:cs="Arial" w:eastAsia="Arial" w:hAnsi="Arial"/>
                <w:sz w:val="14"/>
                <w:szCs w:val="14"/>
                <w:color w:val="auto"/>
              </w:rPr>
              <w:t>Acquisitions of property, plant, and equipment</w:t>
            </w:r>
          </w:p>
        </w:tc>
        <w:tc>
          <w:tcPr>
            <w:tcW w:w="9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95"/>
              </w:rPr>
              <w:t>(12,043)</w:t>
            </w:r>
          </w:p>
        </w:tc>
        <w:tc>
          <w:tcPr>
            <w:tcW w:w="16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99"/>
              </w:rPr>
              <w:t>(11,250)</w:t>
            </w:r>
          </w:p>
        </w:tc>
        <w:tc>
          <w:tcPr>
            <w:tcW w:w="0" w:type="dxa"/>
            <w:vAlign w:val="bottom"/>
          </w:tcPr>
          <w:p>
            <w:pPr>
              <w:spacing w:after="0"/>
              <w:rPr>
                <w:sz w:val="1"/>
                <w:szCs w:val="1"/>
                <w:color w:val="auto"/>
              </w:rPr>
            </w:pPr>
          </w:p>
        </w:tc>
      </w:tr>
      <w:tr>
        <w:trPr>
          <w:trHeight w:val="169"/>
        </w:trPr>
        <w:tc>
          <w:tcPr>
            <w:tcW w:w="7960" w:type="dxa"/>
            <w:vAlign w:val="bottom"/>
          </w:tcPr>
          <w:p>
            <w:pPr>
              <w:ind w:left="140"/>
              <w:spacing w:after="0"/>
              <w:rPr>
                <w:sz w:val="20"/>
                <w:szCs w:val="20"/>
                <w:color w:val="auto"/>
              </w:rPr>
            </w:pPr>
            <w:r>
              <w:rPr>
                <w:rFonts w:ascii="Arial" w:cs="Arial" w:eastAsia="Arial" w:hAnsi="Arial"/>
                <w:sz w:val="14"/>
                <w:szCs w:val="14"/>
                <w:color w:val="auto"/>
              </w:rPr>
              <w:t>Free Cash Flow</w:t>
            </w:r>
          </w:p>
        </w:tc>
        <w:tc>
          <w:tcPr>
            <w:tcW w:w="96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41,960</w:t>
            </w:r>
          </w:p>
        </w:tc>
        <w:tc>
          <w:tcPr>
            <w:tcW w:w="160" w:type="dxa"/>
            <w:vAlign w:val="bottom"/>
          </w:tcPr>
          <w:p>
            <w:pPr>
              <w:spacing w:after="0"/>
              <w:rPr>
                <w:sz w:val="14"/>
                <w:szCs w:val="14"/>
                <w:color w:val="auto"/>
              </w:rPr>
            </w:pPr>
          </w:p>
        </w:tc>
        <w:tc>
          <w:tcPr>
            <w:tcW w:w="100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24,763</w:t>
            </w:r>
          </w:p>
        </w:tc>
        <w:tc>
          <w:tcPr>
            <w:tcW w:w="0" w:type="dxa"/>
            <w:vAlign w:val="bottom"/>
          </w:tcPr>
          <w:p>
            <w:pPr>
              <w:spacing w:after="0"/>
              <w:rPr>
                <w:sz w:val="1"/>
                <w:szCs w:val="1"/>
                <w:color w:val="auto"/>
              </w:rPr>
            </w:pPr>
          </w:p>
        </w:tc>
      </w:tr>
      <w:tr>
        <w:trPr>
          <w:trHeight w:val="20"/>
        </w:trPr>
        <w:tc>
          <w:tcPr>
            <w:tcW w:w="79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b w:val="1"/>
          <w:bCs w:val="1"/>
          <w:color w:val="auto"/>
        </w:rPr>
        <w:t>Itron, Inc.</w:t>
      </w:r>
    </w:p>
    <w:p>
      <w:pPr>
        <w:spacing w:after="0" w:line="230" w:lineRule="auto"/>
        <w:rPr>
          <w:sz w:val="20"/>
          <w:szCs w:val="20"/>
          <w:color w:val="auto"/>
        </w:rPr>
      </w:pPr>
      <w:r>
        <w:rPr>
          <w:rFonts w:ascii="Arial" w:cs="Arial" w:eastAsia="Arial" w:hAnsi="Arial"/>
          <w:sz w:val="22"/>
          <w:szCs w:val="22"/>
          <w:color w:val="auto"/>
        </w:rPr>
        <w:t>Barbara Doyle</w:t>
      </w:r>
    </w:p>
    <w:p>
      <w:pPr>
        <w:spacing w:after="0" w:line="231" w:lineRule="auto"/>
        <w:rPr>
          <w:sz w:val="20"/>
          <w:szCs w:val="20"/>
          <w:color w:val="auto"/>
        </w:rPr>
      </w:pPr>
      <w:r>
        <w:rPr>
          <w:rFonts w:ascii="Arial" w:cs="Arial" w:eastAsia="Arial" w:hAnsi="Arial"/>
          <w:sz w:val="22"/>
          <w:szCs w:val="22"/>
          <w:color w:val="auto"/>
        </w:rPr>
        <w:t>Vice President, Investor Relations</w:t>
      </w:r>
    </w:p>
    <w:p>
      <w:pPr>
        <w:spacing w:after="0" w:line="231" w:lineRule="auto"/>
        <w:rPr>
          <w:sz w:val="20"/>
          <w:szCs w:val="20"/>
          <w:color w:val="auto"/>
        </w:rPr>
      </w:pPr>
      <w:r>
        <w:rPr>
          <w:rFonts w:ascii="Arial" w:cs="Arial" w:eastAsia="Arial" w:hAnsi="Arial"/>
          <w:sz w:val="22"/>
          <w:szCs w:val="22"/>
          <w:color w:val="auto"/>
        </w:rPr>
        <w:t>509-891-3443</w:t>
      </w:r>
    </w:p>
    <w:p>
      <w:pPr>
        <w:spacing w:after="0" w:line="230" w:lineRule="auto"/>
        <w:rPr>
          <w:sz w:val="20"/>
          <w:szCs w:val="20"/>
          <w:color w:val="auto"/>
        </w:rPr>
      </w:pPr>
      <w:r>
        <w:rPr>
          <w:rFonts w:ascii="Arial" w:cs="Arial" w:eastAsia="Arial" w:hAnsi="Arial"/>
          <w:sz w:val="22"/>
          <w:szCs w:val="22"/>
          <w:u w:val="single" w:color="auto"/>
          <w:color w:val="auto"/>
        </w:rPr>
        <w:t>barbara.doyle@itron.com</w:t>
      </w:r>
    </w:p>
    <w:p>
      <w:pPr>
        <w:spacing w:after="0" w:line="231" w:lineRule="auto"/>
        <w:rPr>
          <w:sz w:val="20"/>
          <w:szCs w:val="20"/>
          <w:color w:val="auto"/>
        </w:rPr>
      </w:pPr>
      <w:r>
        <w:rPr>
          <w:rFonts w:ascii="Arial" w:cs="Arial" w:eastAsia="Arial" w:hAnsi="Arial"/>
          <w:sz w:val="22"/>
          <w:szCs w:val="22"/>
          <w:color w:val="auto"/>
        </w:rPr>
        <w:t>or</w:t>
      </w:r>
    </w:p>
    <w:p>
      <w:pPr>
        <w:spacing w:after="0" w:line="231" w:lineRule="auto"/>
        <w:rPr>
          <w:sz w:val="20"/>
          <w:szCs w:val="20"/>
          <w:color w:val="auto"/>
        </w:rPr>
      </w:pPr>
      <w:r>
        <w:rPr>
          <w:rFonts w:ascii="Arial" w:cs="Arial" w:eastAsia="Arial" w:hAnsi="Arial"/>
          <w:sz w:val="22"/>
          <w:szCs w:val="22"/>
          <w:color w:val="auto"/>
        </w:rPr>
        <w:t>Marni Pilcher</w:t>
      </w:r>
    </w:p>
    <w:p>
      <w:pPr>
        <w:spacing w:after="0" w:line="230" w:lineRule="auto"/>
        <w:rPr>
          <w:sz w:val="20"/>
          <w:szCs w:val="20"/>
          <w:color w:val="auto"/>
        </w:rPr>
      </w:pPr>
      <w:r>
        <w:rPr>
          <w:rFonts w:ascii="Arial" w:cs="Arial" w:eastAsia="Arial" w:hAnsi="Arial"/>
          <w:sz w:val="22"/>
          <w:szCs w:val="22"/>
          <w:color w:val="auto"/>
        </w:rPr>
        <w:t>Director, Investor Relations</w:t>
      </w:r>
    </w:p>
    <w:p>
      <w:pPr>
        <w:spacing w:after="0" w:line="231" w:lineRule="auto"/>
        <w:rPr>
          <w:sz w:val="20"/>
          <w:szCs w:val="20"/>
          <w:color w:val="auto"/>
        </w:rPr>
      </w:pPr>
      <w:r>
        <w:rPr>
          <w:rFonts w:ascii="Arial" w:cs="Arial" w:eastAsia="Arial" w:hAnsi="Arial"/>
          <w:sz w:val="22"/>
          <w:szCs w:val="22"/>
          <w:color w:val="auto"/>
        </w:rPr>
        <w:t>509-891-3847</w:t>
      </w:r>
    </w:p>
    <w:p>
      <w:pPr>
        <w:spacing w:after="0"/>
        <w:rPr>
          <w:sz w:val="20"/>
          <w:szCs w:val="20"/>
          <w:color w:val="auto"/>
        </w:rPr>
      </w:pPr>
      <w:r>
        <w:rPr>
          <w:rFonts w:ascii="Arial" w:cs="Arial" w:eastAsia="Arial" w:hAnsi="Arial"/>
          <w:sz w:val="22"/>
          <w:szCs w:val="22"/>
          <w:u w:val="single" w:color="auto"/>
          <w:color w:val="auto"/>
        </w:rPr>
        <w:t>marni.pilcher@itron.com</w:t>
      </w:r>
    </w:p>
    <w:sectPr>
      <w:pgSz w:w="11900" w:h="16838" w:orient="portrait"/>
      <w:cols w:equalWidth="0" w:num="1">
        <w:col w:w="11420"/>
      </w:cols>
      <w:pgMar w:left="240" w:top="130" w:right="239" w:bottom="921"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4"/>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2019-12-09T09:24:29Z</dcterms:created>
  <dcterms:modified xsi:type="dcterms:W3CDTF">2019-12-09T09:24:29Z</dcterms:modified>
</cp:coreProperties>
</file>