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2522220</wp:posOffset>
            </wp:positionH>
            <wp:positionV relativeFrom="paragraph">
              <wp:posOffset>274955</wp:posOffset>
            </wp:positionV>
            <wp:extent cx="221234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23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October 26,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26035</wp:posOffset>
            </wp:positionV>
            <wp:extent cx="21780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19685</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9"/>
              </w:rPr>
              <w:t>Washington</w:t>
            </w:r>
          </w:p>
        </w:tc>
        <w:tc>
          <w:tcPr>
            <w:tcW w:w="400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90"/>
              </w:rPr>
              <w:t>000-22418</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9"/>
              </w:rPr>
              <w:t>91-1011792</w:t>
            </w:r>
          </w:p>
        </w:tc>
      </w:tr>
      <w:tr>
        <w:trPr>
          <w:trHeight w:val="21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58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(Commission File No.)</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3440" w:type="dxa"/>
            <w:vAlign w:val="bottom"/>
          </w:tcPr>
          <w:p>
            <w:pPr>
              <w:jc w:val="center"/>
              <w:spacing w:after="0"/>
              <w:rPr>
                <w:sz w:val="20"/>
                <w:szCs w:val="20"/>
                <w:color w:val="auto"/>
              </w:rPr>
            </w:pPr>
            <w:r>
              <w:rPr>
                <w:rFonts w:ascii="Arial" w:cs="Arial" w:eastAsia="Arial" w:hAnsi="Arial"/>
                <w:sz w:val="18"/>
                <w:szCs w:val="18"/>
                <w:color w:val="auto"/>
                <w:w w:val="94"/>
              </w:rPr>
              <w:t>of Incorporation)</w:t>
            </w: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66"/>
        </w:trPr>
        <w:tc>
          <w:tcPr>
            <w:tcW w:w="34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93"/>
              </w:rPr>
              <w:t>2111 N. Molter Road, Liberty Lake, WA 99019</w:t>
            </w: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(Address of Principal Executive Offices, Zip Code)</w:t>
            </w:r>
          </w:p>
        </w:tc>
        <w:tc>
          <w:tcPr>
            <w:tcW w:w="3420" w:type="dxa"/>
            <w:vAlign w:val="bottom"/>
          </w:tcPr>
          <w:p>
            <w:pPr>
              <w:spacing w:after="0"/>
              <w:rPr>
                <w:sz w:val="20"/>
                <w:szCs w:val="20"/>
                <w:color w:val="auto"/>
              </w:rPr>
            </w:pPr>
          </w:p>
        </w:tc>
      </w:tr>
      <w:tr>
        <w:trPr>
          <w:trHeight w:val="465"/>
        </w:trPr>
        <w:tc>
          <w:tcPr>
            <w:tcW w:w="34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b w:val="1"/>
                <w:bCs w:val="1"/>
                <w:color w:val="auto"/>
                <w:w w:val="90"/>
              </w:rPr>
              <w:t>(509) 924-9900</w:t>
            </w:r>
          </w:p>
        </w:tc>
        <w:tc>
          <w:tcPr>
            <w:tcW w:w="5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(Registrant’s Telephone Number, Including Area Code)</w:t>
            </w:r>
          </w:p>
        </w:tc>
        <w:tc>
          <w:tcPr>
            <w:tcW w:w="34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spacing w:after="0"/>
        <w:tabs>
          <w:tab w:leader="none" w:pos="11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83" w:lineRule="exact"/>
        <w:rPr>
          <w:sz w:val="20"/>
          <w:szCs w:val="20"/>
          <w:color w:val="auto"/>
        </w:rPr>
      </w:pPr>
    </w:p>
    <w:p>
      <w:pPr>
        <w:ind w:left="1160" w:right="60"/>
        <w:spacing w:after="0" w:line="277" w:lineRule="auto"/>
        <w:rPr>
          <w:sz w:val="20"/>
          <w:szCs w:val="20"/>
          <w:color w:val="auto"/>
        </w:rPr>
      </w:pPr>
      <w:r>
        <w:rPr>
          <w:rFonts w:ascii="Arial" w:cs="Arial" w:eastAsia="Arial" w:hAnsi="Arial"/>
          <w:sz w:val="18"/>
          <w:szCs w:val="18"/>
          <w:color w:val="auto"/>
        </w:rPr>
        <w:t>On October 26, 2011, Itron, Inc. (the Company) issued a press release announcing their financial results for the three and nine months ended September 30, 2011.</w:t>
      </w:r>
    </w:p>
    <w:p>
      <w:pPr>
        <w:spacing w:after="0" w:line="22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 copy of this press release and accompanying financial statements are attached as Exhibit 99.1.</w:t>
      </w:r>
    </w:p>
    <w:p>
      <w:pPr>
        <w:spacing w:after="0" w:line="24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6" w:lineRule="exact"/>
        <w:rPr>
          <w:sz w:val="20"/>
          <w:szCs w:val="20"/>
          <w:color w:val="auto"/>
        </w:rPr>
      </w:pPr>
    </w:p>
    <w:p>
      <w:pPr>
        <w:ind w:left="1040" w:hanging="627"/>
        <w:spacing w:after="0"/>
        <w:tabs>
          <w:tab w:leader="none" w:pos="1040" w:val="left"/>
        </w:tabs>
        <w:numPr>
          <w:ilvl w:val="0"/>
          <w:numId w:val="1"/>
        </w:numPr>
        <w:rPr>
          <w:rFonts w:ascii="Arial" w:cs="Arial" w:eastAsia="Arial" w:hAnsi="Arial"/>
          <w:sz w:val="22"/>
          <w:szCs w:val="22"/>
          <w:color w:val="auto"/>
        </w:rPr>
      </w:pPr>
      <w:r>
        <w:rPr>
          <w:rFonts w:ascii="Arial" w:cs="Arial" w:eastAsia="Arial" w:hAnsi="Arial"/>
          <w:sz w:val="22"/>
          <w:szCs w:val="22"/>
          <w:color w:val="auto"/>
        </w:rPr>
        <w:t>Exhibits.</w:t>
      </w:r>
    </w:p>
    <w:p>
      <w:pPr>
        <w:spacing w:after="0" w:line="22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500"/>
        <w:spacing w:after="0"/>
        <w:tabs>
          <w:tab w:leader="none" w:pos="206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spacing w:after="0"/>
        <w:tabs>
          <w:tab w:leader="none" w:pos="2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October 26, 2011.</w:t>
      </w:r>
    </w:p>
    <w:p>
      <w:pPr>
        <w:spacing w:after="0" w:line="232"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The information presented in this Current Report on Form 8-K may contain forward-looking statements and certain assumptions upon which such forward-looking statements are in part based. Numerous important factors, including those factors identified in Itron, Inc.’s Annual Report on Form 10-K and other of the Company’s filings with the Securities and Exchange Commission, and the fact that the assumptions set forth in this Current Report on Form 8-K could prove incorrect, could cause actual results to differ materially from those contained in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20"/>
          </w:cols>
          <w:pgMar w:left="240" w:top="135" w:right="3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ITRON, INC.</w:t>
      </w:r>
    </w:p>
    <w:p>
      <w:pPr>
        <w:spacing w:after="0" w:line="279" w:lineRule="exact"/>
        <w:rPr>
          <w:sz w:val="20"/>
          <w:szCs w:val="20"/>
          <w:color w:val="auto"/>
        </w:rPr>
      </w:pPr>
    </w:p>
    <w:p>
      <w:pPr>
        <w:spacing w:after="0"/>
        <w:tabs>
          <w:tab w:leader="none" w:pos="680" w:val="left"/>
          <w:tab w:leader="none" w:pos="5700" w:val="left"/>
          <w:tab w:leader="none" w:pos="6380" w:val="left"/>
        </w:tabs>
        <w:rPr>
          <w:sz w:val="20"/>
          <w:szCs w:val="20"/>
          <w:color w:val="auto"/>
        </w:rPr>
      </w:pPr>
      <w:r>
        <w:rPr>
          <w:rFonts w:ascii="Arial" w:cs="Arial" w:eastAsia="Arial" w:hAnsi="Arial"/>
          <w:sz w:val="18"/>
          <w:szCs w:val="18"/>
          <w:color w:val="auto"/>
        </w:rPr>
        <w:t>Dated:</w:t>
        <w:tab/>
        <w:t>October 26,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9673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Steven M. Helmbrecht</w:t>
      </w:r>
    </w:p>
    <w:p>
      <w:pPr>
        <w:spacing w:after="0" w:line="3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200"/>
          </w:cols>
          <w:pgMar w:left="240" w:top="121" w:right="459" w:bottom="1440" w:gutter="0" w:footer="0" w:header="0"/>
        </w:sectPr>
      </w:pPr>
    </w:p>
    <w:bookmarkStart w:id="3" w:name="page4"/>
    <w:bookmarkEnd w:id="3"/>
    <w:p>
      <w:pPr>
        <w:jc w:val="right"/>
        <w:ind w:right="3659"/>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7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360"/>
        <w:spacing w:after="0"/>
        <w:tabs>
          <w:tab w:leader="none" w:pos="204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spacing w:after="0"/>
        <w:tabs>
          <w:tab w:leader="none" w:pos="20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October 26, 2011.</w:t>
      </w:r>
    </w:p>
    <w:p>
      <w:pPr>
        <w:sectPr>
          <w:pgSz w:w="11900" w:h="16838" w:orient="portrait"/>
          <w:cols w:equalWidth="0" w:num="1">
            <w:col w:w="10079"/>
          </w:cols>
          <w:pgMar w:left="380" w:top="112"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Itron Announces Third Quarter 2011 Financial Results</w:t>
      </w:r>
    </w:p>
    <w:p>
      <w:pPr>
        <w:spacing w:after="0" w:line="212" w:lineRule="exact"/>
        <w:rPr>
          <w:sz w:val="20"/>
          <w:szCs w:val="20"/>
          <w:color w:val="auto"/>
        </w:rPr>
      </w:pPr>
    </w:p>
    <w:p>
      <w:pPr>
        <w:ind w:right="160"/>
        <w:spacing w:after="0" w:line="251" w:lineRule="auto"/>
        <w:rPr>
          <w:sz w:val="20"/>
          <w:szCs w:val="20"/>
          <w:color w:val="auto"/>
        </w:rPr>
      </w:pPr>
      <w:r>
        <w:rPr>
          <w:rFonts w:ascii="Arial" w:cs="Arial" w:eastAsia="Arial" w:hAnsi="Arial"/>
          <w:sz w:val="22"/>
          <w:szCs w:val="22"/>
          <w:color w:val="auto"/>
        </w:rPr>
        <w:t>LIBERTY LAKE, Wash.--(BUSINESS WIRE)--October 26, 2011--Itron, Inc. (NASDAQ:ITRI) announced today financial results for its third quarter and nine months ended September 30, 2011. Highlights include:</w:t>
      </w:r>
    </w:p>
    <w:p>
      <w:pPr>
        <w:spacing w:after="0" w:line="17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Quarterly and nine-month revenues of $616 million and $1.8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right="560"/>
        <w:spacing w:after="0" w:line="251" w:lineRule="auto"/>
        <w:rPr>
          <w:sz w:val="20"/>
          <w:szCs w:val="20"/>
          <w:color w:val="auto"/>
        </w:rPr>
      </w:pPr>
      <w:r>
        <w:rPr>
          <w:rFonts w:ascii="Arial" w:cs="Arial" w:eastAsia="Arial" w:hAnsi="Arial"/>
          <w:sz w:val="22"/>
          <w:szCs w:val="22"/>
          <w:color w:val="auto"/>
        </w:rPr>
        <w:t>Quarterly and nine-month GAAP net loss per share of $12.70 and $11.21, inclusive of a non-cash goodwill impairment charge recorded during the quarter of $540 million, or $13.27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2" w:lineRule="exact"/>
        <w:rPr>
          <w:sz w:val="20"/>
          <w:szCs w:val="20"/>
          <w:color w:val="auto"/>
        </w:rPr>
      </w:pPr>
    </w:p>
    <w:p>
      <w:pPr>
        <w:ind w:left="540" w:right="2880"/>
        <w:spacing w:after="0" w:line="363" w:lineRule="auto"/>
        <w:rPr>
          <w:sz w:val="20"/>
          <w:szCs w:val="20"/>
          <w:color w:val="auto"/>
        </w:rPr>
      </w:pPr>
      <w:r>
        <w:rPr>
          <w:rFonts w:ascii="Arial" w:cs="Arial" w:eastAsia="Arial" w:hAnsi="Arial"/>
          <w:sz w:val="22"/>
          <w:szCs w:val="22"/>
          <w:color w:val="auto"/>
        </w:rPr>
        <w:t>Quarterly and nine-month non-GAAP diluted net earnings per share of $0.92 and $3.10; Nine-month cash flow from operations and free cash flow of $154 million and $108 million; Quarterly and nine-month adjusted EBITDA of $74 million and $234 million; Twelve-month backlog of $901 million and total backlog of $1.4 billion; and Quarterly bookings of $441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-1153160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-913130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-673100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-433070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-192405</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9" w:lineRule="exact"/>
        <w:rPr>
          <w:sz w:val="20"/>
          <w:szCs w:val="20"/>
          <w:color w:val="auto"/>
        </w:rPr>
      </w:pPr>
    </w:p>
    <w:p>
      <w:pPr>
        <w:ind w:right="140"/>
        <w:spacing w:after="0" w:line="236" w:lineRule="auto"/>
        <w:rPr>
          <w:sz w:val="20"/>
          <w:szCs w:val="20"/>
          <w:color w:val="auto"/>
        </w:rPr>
      </w:pPr>
      <w:r>
        <w:rPr>
          <w:rFonts w:ascii="Arial" w:cs="Arial" w:eastAsia="Arial" w:hAnsi="Arial"/>
          <w:sz w:val="22"/>
          <w:szCs w:val="22"/>
          <w:color w:val="auto"/>
        </w:rPr>
        <w:t>“Our third quarter revenue and cash flow were strong but our profitability was impacted by higher warranty costs and a significant goodwill impairment charge,” said LeRoy Nosbaum, Itron’s president and chief executive officer. “Despite these challenges in the quarter, our core operating results were strong. I have great confidence in this company’s prospects and I am committed to making the changes necessary to realize the potential inherent in our business. I am excited to be back at Itron and to lead this great company forward.”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Results</w:t>
      </w:r>
    </w:p>
    <w:p>
      <w:pPr>
        <w:spacing w:after="0" w:line="212" w:lineRule="exact"/>
        <w:rPr>
          <w:sz w:val="20"/>
          <w:szCs w:val="20"/>
          <w:color w:val="auto"/>
        </w:rPr>
      </w:pPr>
    </w:p>
    <w:p>
      <w:pPr>
        <w:ind w:right="20"/>
        <w:spacing w:after="0" w:line="249" w:lineRule="auto"/>
        <w:rPr>
          <w:sz w:val="20"/>
          <w:szCs w:val="20"/>
          <w:color w:val="auto"/>
        </w:rPr>
      </w:pPr>
      <w:r>
        <w:rPr>
          <w:rFonts w:ascii="Arial" w:cs="Arial" w:eastAsia="Arial" w:hAnsi="Arial"/>
          <w:sz w:val="21"/>
          <w:szCs w:val="21"/>
          <w:color w:val="auto"/>
        </w:rPr>
        <w:t>Revenues increased $42 million, or 7 percent, for the quarter and $153 million, or 9 percent, for the nine-month period compared to the respective periods last year. Excluding a favorable effect from changes in foreign currency exchange rates for the quarter and nine-month period of $28 million and $68 million, respectively, revenue grew 2 percent and 5 percent over the same periods in 2010. The increase in revenues for the quarter and nine-month period was primarily due to increased electric, gas and water smart metering projects in the company’s International segment.</w:t>
      </w:r>
    </w:p>
    <w:p>
      <w:pPr>
        <w:spacing w:after="0" w:line="179"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Gross margin for the quarter was 28.6 percent, which was lower than the prior year third quarter margin of 31.7 percent. The decline in margin was primarily due to increased warranty expense in Itron’s North America segment. Warranty expense increased $18 million, which compared to last year, impacted gross margin by 3 percentage points and impacted GAAP and non-GAAP diluted earnings per share by 28 cents. For the first nine months of 2011, gross margin was 30.8% compared to 31.3% in 2010.</w:t>
      </w:r>
    </w:p>
    <w:p>
      <w:pPr>
        <w:spacing w:after="0" w:line="143"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“As part of our commitment to delivering outstanding service for our customers, and due to quality issues with certain third party components, we decided to proactively replace equipment in the field containing these particular components. This resulted in a significant warranty charge in the quarter,” continued Mr. Nosbaum. “However, we are confident that these actions are the best way to deliver on our commitments to our customers and are in the best long-term interest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27202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line="277" w:lineRule="auto"/>
        <w:rPr>
          <w:sz w:val="20"/>
          <w:szCs w:val="20"/>
          <w:color w:val="auto"/>
        </w:rPr>
      </w:pPr>
      <w:r>
        <w:rPr>
          <w:rFonts w:ascii="Arial" w:cs="Arial" w:eastAsia="Arial" w:hAnsi="Arial"/>
          <w:sz w:val="19"/>
          <w:szCs w:val="19"/>
          <w:color w:val="auto"/>
        </w:rPr>
        <w:t>GAAP operating expenses were $673 million in the third quarter compared to $123 million in the same period last year. A non-cash goodwill impairment charge of $540 million was recorded during the quarter. The estimated impairment charge was primarily driven by adverse equity market conditions that caused a decrease in the company’s stock price as of September 30, 2011. The charge is attributable to goodwill recorded for Itron International’s Electricity and Water reporting units in connection with the acquisition of Actaris in 2007. The estimated charge is subject to finalization during the fourth quarter. This non-cash charge does not impact the company’s normal business operations or debt covenants. The remaining increase in operating expenses for the quarter was $10 million, of which approximately $6 million was due to currency fluctuations.</w:t>
      </w:r>
    </w:p>
    <w:p>
      <w:pPr>
        <w:spacing w:after="0" w:line="153" w:lineRule="exact"/>
        <w:rPr>
          <w:sz w:val="20"/>
          <w:szCs w:val="20"/>
          <w:color w:val="auto"/>
        </w:rPr>
      </w:pPr>
    </w:p>
    <w:p>
      <w:pPr>
        <w:ind w:right="120"/>
        <w:spacing w:after="0" w:line="249" w:lineRule="auto"/>
        <w:rPr>
          <w:sz w:val="20"/>
          <w:szCs w:val="20"/>
          <w:color w:val="auto"/>
        </w:rPr>
      </w:pPr>
      <w:r>
        <w:rPr>
          <w:rFonts w:ascii="Arial" w:cs="Arial" w:eastAsia="Arial" w:hAnsi="Arial"/>
          <w:sz w:val="21"/>
          <w:szCs w:val="21"/>
          <w:color w:val="auto"/>
        </w:rPr>
        <w:t>Net interest expense declined to $11 million for the quarter compared to $13 million in the third quarter of last year. During the quarter Itron repaid $224 million in convertible notes and refinanced its senior secured debt. The company has no further convertible notes outstanding. The refinancing of the company’s bank debt resulted in the write-off of unamortized debt fees of $3 million and a charge of $3 million to terminate an interest rate swap. These charges were offset by lower interest expense due to a decreased principal balance and lower effective interest rates.</w:t>
      </w:r>
    </w:p>
    <w:p>
      <w:pPr>
        <w:spacing w:after="0" w:line="179" w:lineRule="exact"/>
        <w:rPr>
          <w:sz w:val="20"/>
          <w:szCs w:val="20"/>
          <w:color w:val="auto"/>
        </w:rPr>
      </w:pPr>
    </w:p>
    <w:p>
      <w:pPr>
        <w:ind w:right="340"/>
        <w:spacing w:after="0" w:line="252" w:lineRule="auto"/>
        <w:rPr>
          <w:sz w:val="20"/>
          <w:szCs w:val="20"/>
          <w:color w:val="auto"/>
        </w:rPr>
      </w:pPr>
      <w:r>
        <w:rPr>
          <w:rFonts w:ascii="Arial" w:cs="Arial" w:eastAsia="Arial" w:hAnsi="Arial"/>
          <w:sz w:val="21"/>
          <w:szCs w:val="21"/>
          <w:color w:val="auto"/>
        </w:rPr>
        <w:t>GAAP net loss and diluted EPS for the third quarter and nine-month period were $517 million, or $12.70 per share, and $456 million, or $11.21 per share. This compares with net income of $28 million, or 68 cents per share, and $78 million, or $1.91 per share, in the same periods in 2010. The decrease in 2011 net income for the quarter and nine-month period was primarily due to increased warranty expense and the goodwill impairment charge of $540 million.</w:t>
      </w:r>
    </w:p>
    <w:p>
      <w:pPr>
        <w:spacing w:after="0" w:line="174"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Non-GAAP operating expenses for the quarter, which excludes amortization of intangibles, restructuring charges and the impairment of goodwill, increased $10 million over prior year. An increase of $5 million was due to currency fluctuations and the remaining increase was primarily due to product research and development for new and enhanced products as well as increased global marketing activity. Non-GAAP net income and diluted EPS for the third quarter and nine-month period were $38 million, or 92 cents per share, and $127 million, or $3.10 per share. This compares with non-GAAP net income of $42 million, or $1.03 per share, and $121 million, or $2.95 per share, in the same periods in 2010. The decrease in non-GAAP net income for the quarter was due to decreased contribution from the North America segment related to higher warranty expense. The increase in non-GAAP net income for the nine-month period was primarily due to higher operating income in the International segment.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Restructuring</w:t>
      </w:r>
    </w:p>
    <w:p>
      <w:pPr>
        <w:spacing w:after="0" w:line="212" w:lineRule="exact"/>
        <w:rPr>
          <w:sz w:val="20"/>
          <w:szCs w:val="20"/>
          <w:color w:val="auto"/>
        </w:rPr>
      </w:pPr>
    </w:p>
    <w:p>
      <w:pPr>
        <w:ind w:right="80"/>
        <w:spacing w:after="0" w:line="279" w:lineRule="auto"/>
        <w:rPr>
          <w:sz w:val="20"/>
          <w:szCs w:val="20"/>
          <w:color w:val="auto"/>
        </w:rPr>
      </w:pPr>
      <w:r>
        <w:rPr>
          <w:rFonts w:ascii="Arial" w:cs="Arial" w:eastAsia="Arial" w:hAnsi="Arial"/>
          <w:sz w:val="19"/>
          <w:szCs w:val="19"/>
          <w:color w:val="auto"/>
        </w:rPr>
        <w:t>The company also announced today a series of projects to restructure its manufacturing operations to increase efficiency and lower manufacturing costs. These projects include the closure of several manufacturing facilities and a reduction in global workforce by 7.5 percent, representing a net reduction of approximately 750 full-time positions. In connection with the restructuring projects, Itron expects to record pre-tax restructuring charges totaling approximately $65 to $75 million over the next 15 to 18 months. As a result of the initiative, the company expects to achieve annualized cost savings of approximately $30 million by the end of 2013. See the press release issued today and Form 8-K for further details on the restructuring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Share Repurchase Program</w:t>
      </w:r>
    </w:p>
    <w:p>
      <w:pPr>
        <w:spacing w:after="0" w:line="213" w:lineRule="exact"/>
        <w:rPr>
          <w:sz w:val="20"/>
          <w:szCs w:val="20"/>
          <w:color w:val="auto"/>
        </w:rPr>
      </w:pPr>
    </w:p>
    <w:p>
      <w:pPr>
        <w:ind w:right="380"/>
        <w:spacing w:after="0"/>
        <w:rPr>
          <w:sz w:val="20"/>
          <w:szCs w:val="20"/>
          <w:color w:val="auto"/>
        </w:rPr>
      </w:pPr>
      <w:r>
        <w:rPr>
          <w:rFonts w:ascii="Arial" w:cs="Arial" w:eastAsia="Arial" w:hAnsi="Arial"/>
          <w:sz w:val="22"/>
          <w:szCs w:val="22"/>
          <w:color w:val="auto"/>
        </w:rPr>
        <w:t>The company also announced today that its Board of Directors has authorized the repurchase of up to $100 million of Itron common stock during the next 12 months. See the press release issued today and Form 8-K for further details on the repurchase plan.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Guidance</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For the full-year 2011, the company reaffirmed its prior revenue guidance and updated its prior EPS guidance as follows:</w:t>
      </w:r>
    </w:p>
    <w:p>
      <w:pPr>
        <w:spacing w:after="0" w:line="21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Revenue between $2.3 billion and $2.4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Non-GAAP diluted EPS between $4.00 and $4.20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right="1220"/>
        <w:spacing w:after="0" w:line="328" w:lineRule="auto"/>
        <w:rPr>
          <w:sz w:val="20"/>
          <w:szCs w:val="20"/>
          <w:color w:val="auto"/>
        </w:rPr>
      </w:pPr>
      <w:r>
        <w:rPr>
          <w:rFonts w:ascii="Arial" w:cs="Arial" w:eastAsia="Arial" w:hAnsi="Arial"/>
          <w:sz w:val="19"/>
          <w:szCs w:val="19"/>
          <w:color w:val="auto"/>
        </w:rPr>
        <w:t>The company’s guidance assumes a Euro to U.S. dollar average exchange rate of $1.40, average shares outstanding of approximately 41.2 million, and a non-GAAP effective tax rate between 22 percent and 24 percent.</w:t>
      </w:r>
    </w:p>
    <w:p>
      <w:pPr>
        <w:spacing w:after="0" w:line="105"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“Itron has a strong balance sheet and a resilient business with outstanding potential. We remain confident in our full-year revenue guidance for 2011 while reducing our full-year EPS range to reflect the special warranty charges incurred in our third quarter,” added Mr. Nosbaum. “While we are early in our forecasting process for 2012, we expect revenue to be flat to down five percent and our non-GAAP EPS to be flat to down a few percentage points, with some potential upside.”</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Earnings Conference Call:</w:t>
      </w:r>
    </w:p>
    <w:p>
      <w:pPr>
        <w:spacing w:after="0" w:line="212" w:lineRule="exact"/>
        <w:rPr>
          <w:sz w:val="20"/>
          <w:szCs w:val="20"/>
          <w:color w:val="auto"/>
        </w:rPr>
      </w:pPr>
    </w:p>
    <w:p>
      <w:pPr>
        <w:ind w:right="80"/>
        <w:spacing w:after="0" w:line="279" w:lineRule="auto"/>
        <w:rPr>
          <w:sz w:val="20"/>
          <w:szCs w:val="20"/>
          <w:color w:val="auto"/>
        </w:rPr>
      </w:pPr>
      <w:r>
        <w:rPr>
          <w:rFonts w:ascii="Arial" w:cs="Arial" w:eastAsia="Arial" w:hAnsi="Arial"/>
          <w:sz w:val="19"/>
          <w:szCs w:val="19"/>
          <w:color w:val="auto"/>
        </w:rPr>
        <w:t xml:space="preserve">Itron will host a conference call to discuss the financial results contained in this release at 8:00 a.m. Eastern Daylight Time (EDT) on October 26, 2011. The call will be webcast in a listen-only mode. Webcast information and conference call materials will be made available 15 minutes before the start of the call and are accessible on Itron’s website at </w:t>
      </w:r>
      <w:r>
        <w:rPr>
          <w:rFonts w:ascii="Arial" w:cs="Arial" w:eastAsia="Arial" w:hAnsi="Arial"/>
          <w:sz w:val="19"/>
          <w:szCs w:val="19"/>
          <w:u w:val="single" w:color="auto"/>
          <w:color w:val="auto"/>
        </w:rPr>
        <w:t>www.itron.com</w:t>
      </w:r>
      <w:r>
        <w:rPr>
          <w:rFonts w:ascii="Arial" w:cs="Arial" w:eastAsia="Arial" w:hAnsi="Arial"/>
          <w:sz w:val="19"/>
          <w:szCs w:val="19"/>
          <w:color w:val="auto"/>
        </w:rPr>
        <w:t xml:space="preserve"> under the Investors page. The webcast replay will begin after the conclusion of the live call and will be available for two weeks. A telephone replay of the call will also be available approximately one hour after the conclusion of the live call, for 48 hours, and is accessible by dialing (888) 203-1112 (Domestic) or (719) 457-0820 (International), entering passcode 6304863.</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Itron</w:t>
      </w:r>
    </w:p>
    <w:p>
      <w:pPr>
        <w:spacing w:after="0" w:line="212" w:lineRule="exact"/>
        <w:rPr>
          <w:sz w:val="20"/>
          <w:szCs w:val="20"/>
          <w:color w:val="auto"/>
        </w:rPr>
      </w:pPr>
    </w:p>
    <w:p>
      <w:pPr>
        <w:ind w:right="380"/>
        <w:spacing w:after="0" w:line="236" w:lineRule="auto"/>
        <w:rPr>
          <w:sz w:val="20"/>
          <w:szCs w:val="20"/>
          <w:color w:val="auto"/>
        </w:rPr>
      </w:pPr>
      <w:r>
        <w:rPr>
          <w:rFonts w:ascii="Arial" w:cs="Arial" w:eastAsia="Arial" w:hAnsi="Arial"/>
          <w:sz w:val="22"/>
          <w:szCs w:val="22"/>
          <w:color w:val="auto"/>
        </w:rPr>
        <w:t xml:space="preserve">Itron is the leading provider of energy and water resource management solutions for nearly 8,000 utilities around the world. We offer end-to-end solutions that include electricity, gas, water and heat measurement and control technology; communications systems; software; and professional services. With nearly 10,000 employees doing business in more than 130 countries, Itron empowers utilities to responsibly and efficiently manage energy and water resources. To realize a sustainable future, start here: </w:t>
      </w:r>
      <w:r>
        <w:rPr>
          <w:rFonts w:ascii="Arial" w:cs="Arial" w:eastAsia="Arial" w:hAnsi="Arial"/>
          <w:sz w:val="22"/>
          <w:szCs w:val="22"/>
          <w:u w:val="single" w:color="auto"/>
          <w:color w:val="auto"/>
        </w:rPr>
        <w:t>www.itron.com</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27202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Forward-Looking Statements:</w:t>
      </w:r>
    </w:p>
    <w:p>
      <w:pPr>
        <w:spacing w:after="0" w:line="213"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This release contains forward-looking statements concerning our expectations about operations, financial performance, sales, earnings and cash flows. These statements reflect our current plans and expectations and are based on information currently available. The statements rely on a number of assumptions and estimates, which could be inaccurate, and which are subject to risks and uncertainties that could cause our actual results to vary materially from those anticipated. Risks and uncertainties include the rate and timing of customer demand for our products, rescheduling of current customer orders, changes in estimated liabilities for product warranties, changes in laws and regulations, our dependence on new product development and intellectual property, future acquisitions, changes in estimates for stock-based and bonus compensation, increasing volatility in foreign exchange rates, international business risks and other factors which are more fully described in our Annual Report on Form 10-K for the year ended December 31, 2010 and other reports on file with the Securities and Exchange Commission. Itron undertakes no obligation to update publicly or revise any forward-looking statements, including our business outlook.</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Information:</w:t>
      </w:r>
    </w:p>
    <w:p>
      <w:pPr>
        <w:spacing w:after="0" w:line="212"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To supplement our consolidated financial statements presented in accordance with GAAP, we use certain non-GAAP financial measures, including non-GAAP operating expense, non-GAAP operating income, non-GAAP net income, non-GAAP diluted EPS, adjusted EBITDA, and free cash flow. We provide these non-GAAP financial measures because we believe they provide greater transparency and represent supplemental information used by management in its financial and operational decision making. Specifically, these non-GAAP financial measures are provided to enhance investors’ overall understanding of our current financial performance and our future anticipated performance by excluding infrequent or non-cash costs, particularly those associated with acquisitions. We exclude certain infrequent costs, particularly those associated with acquisitions, in our non-GAAP financial measures as we believe the net result is a measure of our core business. Non-GAAP performance measures should be considered in addition to, and not as a substitute for, results prepared in accordance with GAAP. Finally, our non-GAAP financial measures may be different from those reported by other companies. A more detailed discussion of why we use non-GAAP financial measures, the limitations of using such measures, and reconciliations between non-GAAP and the nearest GAAP financial measures are included in this press release.</w:t>
      </w:r>
    </w:p>
    <w:p>
      <w:pPr>
        <w:spacing w:after="0" w:line="200" w:lineRule="exact"/>
        <w:rPr>
          <w:sz w:val="20"/>
          <w:szCs w:val="20"/>
          <w:color w:val="auto"/>
        </w:rPr>
      </w:pPr>
    </w:p>
    <w:p>
      <w:pPr>
        <w:spacing w:after="0" w:line="209"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Statements of operations, segment information, balance sheets, cash flow statements and reconciliations of non-GAAP financial measures to the most directly comparable GAAP financial measures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960" w:type="dxa"/>
            <w:vAlign w:val="bottom"/>
          </w:tcPr>
          <w:p>
            <w:pPr>
              <w:spacing w:after="0"/>
              <w:rPr>
                <w:sz w:val="20"/>
                <w:szCs w:val="20"/>
                <w:color w:val="auto"/>
              </w:rPr>
            </w:pPr>
            <w:r>
              <w:rPr>
                <w:rFonts w:ascii="Arial" w:cs="Arial" w:eastAsia="Arial" w:hAnsi="Arial"/>
                <w:sz w:val="14"/>
                <w:szCs w:val="14"/>
                <w:color w:val="auto"/>
              </w:rPr>
              <w:t>(Unaudited, in thousands, except per share data)</w:t>
            </w:r>
          </w:p>
        </w:tc>
        <w:tc>
          <w:tcPr>
            <w:tcW w:w="280" w:type="dxa"/>
            <w:vAlign w:val="bottom"/>
          </w:tcPr>
          <w:p>
            <w:pPr>
              <w:spacing w:after="0"/>
              <w:rPr>
                <w:sz w:val="15"/>
                <w:szCs w:val="15"/>
                <w:color w:val="auto"/>
              </w:rPr>
            </w:pPr>
          </w:p>
        </w:tc>
        <w:tc>
          <w:tcPr>
            <w:tcW w:w="2800" w:type="dxa"/>
            <w:vAlign w:val="bottom"/>
            <w:gridSpan w:val="4"/>
            <w:vMerge w:val="restart"/>
          </w:tcPr>
          <w:p>
            <w:pPr>
              <w:jc w:val="right"/>
              <w:ind w:right="368"/>
              <w:spacing w:after="0"/>
              <w:rPr>
                <w:sz w:val="20"/>
                <w:szCs w:val="20"/>
                <w:color w:val="auto"/>
              </w:rPr>
            </w:pPr>
            <w:r>
              <w:rPr>
                <w:rFonts w:ascii="Arial" w:cs="Arial" w:eastAsia="Arial" w:hAnsi="Arial"/>
                <w:sz w:val="14"/>
                <w:szCs w:val="14"/>
                <w:b w:val="1"/>
                <w:bCs w:val="1"/>
                <w:color w:val="auto"/>
                <w:w w:val="98"/>
              </w:rPr>
              <w:t>Three Months Ended September 30,</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80" w:type="dxa"/>
            <w:vAlign w:val="bottom"/>
            <w:gridSpan w:val="4"/>
            <w:vMerge w:val="restart"/>
          </w:tcPr>
          <w:p>
            <w:pPr>
              <w:jc w:val="right"/>
              <w:ind w:right="408"/>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74"/>
        </w:trPr>
        <w:tc>
          <w:tcPr>
            <w:tcW w:w="49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4"/>
            <w:vMerge w:val="continue"/>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9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64"/>
        </w:trPr>
        <w:tc>
          <w:tcPr>
            <w:tcW w:w="4960" w:type="dxa"/>
            <w:vAlign w:val="bottom"/>
          </w:tcPr>
          <w:p>
            <w:pPr>
              <w:spacing w:after="0"/>
              <w:rPr>
                <w:sz w:val="20"/>
                <w:szCs w:val="20"/>
                <w:color w:val="auto"/>
              </w:rPr>
            </w:pPr>
            <w:r>
              <w:rPr>
                <w:rFonts w:ascii="Arial" w:cs="Arial" w:eastAsia="Arial" w:hAnsi="Arial"/>
                <w:sz w:val="14"/>
                <w:szCs w:val="14"/>
                <w:color w:val="auto"/>
              </w:rPr>
              <w:t>Revenues</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615,555</w:t>
            </w:r>
          </w:p>
        </w:tc>
        <w:tc>
          <w:tcPr>
            <w:tcW w:w="380" w:type="dxa"/>
            <w:vAlign w:val="bottom"/>
          </w:tcPr>
          <w:p>
            <w:pPr>
              <w:spacing w:after="0"/>
              <w:rPr>
                <w:sz w:val="14"/>
                <w:szCs w:val="14"/>
                <w:color w:val="auto"/>
              </w:rPr>
            </w:pP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573,651</w:t>
            </w:r>
          </w:p>
        </w:tc>
        <w:tc>
          <w:tcPr>
            <w:tcW w:w="280" w:type="dxa"/>
            <w:vAlign w:val="bottom"/>
          </w:tcPr>
          <w:p>
            <w:pPr>
              <w:spacing w:after="0"/>
              <w:rPr>
                <w:sz w:val="14"/>
                <w:szCs w:val="14"/>
                <w:color w:val="auto"/>
              </w:rPr>
            </w:pP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1,791,647</w:t>
            </w:r>
          </w:p>
        </w:tc>
        <w:tc>
          <w:tcPr>
            <w:tcW w:w="320" w:type="dxa"/>
            <w:vAlign w:val="bottom"/>
          </w:tcPr>
          <w:p>
            <w:pPr>
              <w:spacing w:after="0"/>
              <w:rPr>
                <w:sz w:val="14"/>
                <w:szCs w:val="14"/>
                <w:color w:val="auto"/>
              </w:rPr>
            </w:pP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1,638,613</w:t>
            </w:r>
          </w:p>
        </w:tc>
        <w:tc>
          <w:tcPr>
            <w:tcW w:w="0" w:type="dxa"/>
            <w:vAlign w:val="bottom"/>
          </w:tcPr>
          <w:p>
            <w:pPr>
              <w:spacing w:after="0"/>
              <w:rPr>
                <w:sz w:val="1"/>
                <w:szCs w:val="1"/>
                <w:color w:val="auto"/>
              </w:rPr>
            </w:pPr>
          </w:p>
        </w:tc>
      </w:tr>
      <w:tr>
        <w:trPr>
          <w:trHeight w:val="181"/>
        </w:trPr>
        <w:tc>
          <w:tcPr>
            <w:tcW w:w="4960" w:type="dxa"/>
            <w:vAlign w:val="bottom"/>
          </w:tcPr>
          <w:p>
            <w:pPr>
              <w:spacing w:after="0"/>
              <w:rPr>
                <w:sz w:val="20"/>
                <w:szCs w:val="20"/>
                <w:color w:val="auto"/>
              </w:rPr>
            </w:pPr>
            <w:r>
              <w:rPr>
                <w:rFonts w:ascii="Arial" w:cs="Arial" w:eastAsia="Arial" w:hAnsi="Arial"/>
                <w:sz w:val="14"/>
                <w:szCs w:val="14"/>
                <w:color w:val="auto"/>
              </w:rPr>
              <w:t>Cost of revenues</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439,377</w:t>
            </w:r>
          </w:p>
        </w:tc>
        <w:tc>
          <w:tcPr>
            <w:tcW w:w="3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391,888</w:t>
            </w: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1,240,276</w:t>
            </w:r>
          </w:p>
        </w:tc>
        <w:tc>
          <w:tcPr>
            <w:tcW w:w="3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1,125,730</w:t>
            </w:r>
          </w:p>
        </w:tc>
        <w:tc>
          <w:tcPr>
            <w:tcW w:w="0" w:type="dxa"/>
            <w:vAlign w:val="bottom"/>
          </w:tcPr>
          <w:p>
            <w:pPr>
              <w:spacing w:after="0"/>
              <w:rPr>
                <w:sz w:val="1"/>
                <w:szCs w:val="1"/>
                <w:color w:val="auto"/>
              </w:rPr>
            </w:pPr>
          </w:p>
        </w:tc>
      </w:tr>
      <w:tr>
        <w:trPr>
          <w:trHeight w:val="176"/>
        </w:trPr>
        <w:tc>
          <w:tcPr>
            <w:tcW w:w="4960" w:type="dxa"/>
            <w:vAlign w:val="bottom"/>
          </w:tcPr>
          <w:p>
            <w:pPr>
              <w:spacing w:after="0"/>
              <w:rPr>
                <w:sz w:val="20"/>
                <w:szCs w:val="20"/>
                <w:color w:val="auto"/>
              </w:rPr>
            </w:pPr>
            <w:r>
              <w:rPr>
                <w:rFonts w:ascii="Arial" w:cs="Arial" w:eastAsia="Arial" w:hAnsi="Arial"/>
                <w:sz w:val="14"/>
                <w:szCs w:val="14"/>
                <w:color w:val="auto"/>
              </w:rPr>
              <w:t>Gross profit</w:t>
            </w:r>
          </w:p>
        </w:tc>
        <w:tc>
          <w:tcPr>
            <w:tcW w:w="28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176,178</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181,763</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551,371</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512,883</w:t>
            </w:r>
          </w:p>
        </w:tc>
        <w:tc>
          <w:tcPr>
            <w:tcW w:w="0" w:type="dxa"/>
            <w:vAlign w:val="bottom"/>
          </w:tcPr>
          <w:p>
            <w:pPr>
              <w:spacing w:after="0"/>
              <w:rPr>
                <w:sz w:val="1"/>
                <w:szCs w:val="1"/>
                <w:color w:val="auto"/>
              </w:rPr>
            </w:pPr>
          </w:p>
        </w:tc>
      </w:tr>
      <w:tr>
        <w:trPr>
          <w:trHeight w:val="339"/>
        </w:trPr>
        <w:tc>
          <w:tcPr>
            <w:tcW w:w="4960" w:type="dxa"/>
            <w:vAlign w:val="bottom"/>
          </w:tcPr>
          <w:p>
            <w:pPr>
              <w:spacing w:after="0"/>
              <w:rPr>
                <w:sz w:val="20"/>
                <w:szCs w:val="20"/>
                <w:color w:val="auto"/>
              </w:rPr>
            </w:pPr>
            <w:r>
              <w:rPr>
                <w:rFonts w:ascii="Arial" w:cs="Arial" w:eastAsia="Arial" w:hAnsi="Arial"/>
                <w:sz w:val="14"/>
                <w:szCs w:val="14"/>
                <w:color w:val="auto"/>
              </w:rPr>
              <w:t>Operating expenses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960" w:type="dxa"/>
            <w:vAlign w:val="bottom"/>
          </w:tcPr>
          <w:p>
            <w:pPr>
              <w:ind w:left="420"/>
              <w:spacing w:after="0"/>
              <w:rPr>
                <w:sz w:val="20"/>
                <w:szCs w:val="20"/>
                <w:color w:val="auto"/>
              </w:rPr>
            </w:pPr>
            <w:r>
              <w:rPr>
                <w:rFonts w:ascii="Arial" w:cs="Arial" w:eastAsia="Arial" w:hAnsi="Arial"/>
                <w:sz w:val="14"/>
                <w:szCs w:val="14"/>
                <w:color w:val="auto"/>
              </w:rPr>
              <w:t>Sales and marketing</w:t>
            </w:r>
          </w:p>
        </w:tc>
        <w:tc>
          <w:tcPr>
            <w:tcW w:w="28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45,037</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41,197</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138,530</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123,708</w:t>
            </w:r>
          </w:p>
        </w:tc>
        <w:tc>
          <w:tcPr>
            <w:tcW w:w="0" w:type="dxa"/>
            <w:vAlign w:val="bottom"/>
          </w:tcPr>
          <w:p>
            <w:pPr>
              <w:spacing w:after="0"/>
              <w:rPr>
                <w:sz w:val="1"/>
                <w:szCs w:val="1"/>
                <w:color w:val="auto"/>
              </w:rPr>
            </w:pPr>
          </w:p>
        </w:tc>
      </w:tr>
      <w:tr>
        <w:trPr>
          <w:trHeight w:val="176"/>
        </w:trPr>
        <w:tc>
          <w:tcPr>
            <w:tcW w:w="4960" w:type="dxa"/>
            <w:vAlign w:val="bottom"/>
          </w:tcPr>
          <w:p>
            <w:pPr>
              <w:ind w:left="420"/>
              <w:spacing w:after="0"/>
              <w:rPr>
                <w:sz w:val="20"/>
                <w:szCs w:val="20"/>
                <w:color w:val="auto"/>
              </w:rPr>
            </w:pPr>
            <w:r>
              <w:rPr>
                <w:rFonts w:ascii="Arial" w:cs="Arial" w:eastAsia="Arial" w:hAnsi="Arial"/>
                <w:sz w:val="14"/>
                <w:szCs w:val="14"/>
                <w:color w:val="auto"/>
              </w:rPr>
              <w:t>Product development</w:t>
            </w:r>
          </w:p>
        </w:tc>
        <w:tc>
          <w:tcPr>
            <w:tcW w:w="28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38,672</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34,038</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120,048</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100,100</w:t>
            </w:r>
          </w:p>
        </w:tc>
        <w:tc>
          <w:tcPr>
            <w:tcW w:w="0" w:type="dxa"/>
            <w:vAlign w:val="bottom"/>
          </w:tcPr>
          <w:p>
            <w:pPr>
              <w:spacing w:after="0"/>
              <w:rPr>
                <w:sz w:val="1"/>
                <w:szCs w:val="1"/>
                <w:color w:val="auto"/>
              </w:rPr>
            </w:pPr>
          </w:p>
        </w:tc>
      </w:tr>
      <w:tr>
        <w:trPr>
          <w:trHeight w:val="176"/>
        </w:trPr>
        <w:tc>
          <w:tcPr>
            <w:tcW w:w="4960" w:type="dxa"/>
            <w:vAlign w:val="bottom"/>
          </w:tcPr>
          <w:p>
            <w:pPr>
              <w:ind w:left="420"/>
              <w:spacing w:after="0"/>
              <w:rPr>
                <w:sz w:val="20"/>
                <w:szCs w:val="20"/>
                <w:color w:val="auto"/>
              </w:rPr>
            </w:pPr>
            <w:r>
              <w:rPr>
                <w:rFonts w:ascii="Arial" w:cs="Arial" w:eastAsia="Arial" w:hAnsi="Arial"/>
                <w:sz w:val="14"/>
                <w:szCs w:val="14"/>
                <w:color w:val="auto"/>
              </w:rPr>
              <w:t>General and administrative</w:t>
            </w:r>
          </w:p>
        </w:tc>
        <w:tc>
          <w:tcPr>
            <w:tcW w:w="28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32,212</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30,710</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100,661</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97,052</w:t>
            </w:r>
          </w:p>
        </w:tc>
        <w:tc>
          <w:tcPr>
            <w:tcW w:w="0" w:type="dxa"/>
            <w:vAlign w:val="bottom"/>
          </w:tcPr>
          <w:p>
            <w:pPr>
              <w:spacing w:after="0"/>
              <w:rPr>
                <w:sz w:val="1"/>
                <w:szCs w:val="1"/>
                <w:color w:val="auto"/>
              </w:rPr>
            </w:pPr>
          </w:p>
        </w:tc>
      </w:tr>
      <w:tr>
        <w:trPr>
          <w:trHeight w:val="176"/>
        </w:trPr>
        <w:tc>
          <w:tcPr>
            <w:tcW w:w="4960" w:type="dxa"/>
            <w:vAlign w:val="bottom"/>
          </w:tcPr>
          <w:p>
            <w:pPr>
              <w:ind w:left="420"/>
              <w:spacing w:after="0"/>
              <w:rPr>
                <w:sz w:val="20"/>
                <w:szCs w:val="20"/>
                <w:color w:val="auto"/>
              </w:rPr>
            </w:pPr>
            <w:r>
              <w:rPr>
                <w:rFonts w:ascii="Arial" w:cs="Arial" w:eastAsia="Arial" w:hAnsi="Arial"/>
                <w:sz w:val="14"/>
                <w:szCs w:val="14"/>
                <w:color w:val="auto"/>
              </w:rPr>
              <w:t>Amortization of intangible assets</w:t>
            </w:r>
          </w:p>
        </w:tc>
        <w:tc>
          <w:tcPr>
            <w:tcW w:w="28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16,013</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16,882</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47,807</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51,459</w:t>
            </w:r>
          </w:p>
        </w:tc>
        <w:tc>
          <w:tcPr>
            <w:tcW w:w="0" w:type="dxa"/>
            <w:vAlign w:val="bottom"/>
          </w:tcPr>
          <w:p>
            <w:pPr>
              <w:spacing w:after="0"/>
              <w:rPr>
                <w:sz w:val="1"/>
                <w:szCs w:val="1"/>
                <w:color w:val="auto"/>
              </w:rPr>
            </w:pPr>
          </w:p>
        </w:tc>
      </w:tr>
      <w:tr>
        <w:trPr>
          <w:trHeight w:val="176"/>
        </w:trPr>
        <w:tc>
          <w:tcPr>
            <w:tcW w:w="4960" w:type="dxa"/>
            <w:vAlign w:val="bottom"/>
          </w:tcPr>
          <w:p>
            <w:pPr>
              <w:ind w:left="420"/>
              <w:spacing w:after="0"/>
              <w:rPr>
                <w:sz w:val="20"/>
                <w:szCs w:val="20"/>
                <w:color w:val="auto"/>
              </w:rPr>
            </w:pPr>
            <w:r>
              <w:rPr>
                <w:rFonts w:ascii="Arial" w:cs="Arial" w:eastAsia="Arial" w:hAnsi="Arial"/>
                <w:sz w:val="14"/>
                <w:szCs w:val="14"/>
                <w:color w:val="auto"/>
              </w:rPr>
              <w:t>Restructuring</w:t>
            </w:r>
          </w:p>
        </w:tc>
        <w:tc>
          <w:tcPr>
            <w:tcW w:w="28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1,096</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3,003</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960" w:type="dxa"/>
            <w:vAlign w:val="bottom"/>
          </w:tcPr>
          <w:p>
            <w:pPr>
              <w:ind w:left="420"/>
              <w:spacing w:after="0"/>
              <w:rPr>
                <w:sz w:val="20"/>
                <w:szCs w:val="20"/>
                <w:color w:val="auto"/>
              </w:rPr>
            </w:pPr>
            <w:r>
              <w:rPr>
                <w:rFonts w:ascii="Arial" w:cs="Arial" w:eastAsia="Arial" w:hAnsi="Arial"/>
                <w:sz w:val="14"/>
                <w:szCs w:val="14"/>
                <w:color w:val="auto"/>
              </w:rPr>
              <w:t>Goodwill impairment</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540,400</w:t>
            </w:r>
          </w:p>
        </w:tc>
        <w:tc>
          <w:tcPr>
            <w:tcW w:w="3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540,400</w:t>
            </w:r>
          </w:p>
        </w:tc>
        <w:tc>
          <w:tcPr>
            <w:tcW w:w="3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4960" w:type="dxa"/>
            <w:vAlign w:val="bottom"/>
          </w:tcPr>
          <w:p>
            <w:pPr>
              <w:ind w:left="620"/>
              <w:spacing w:after="0"/>
              <w:rPr>
                <w:sz w:val="20"/>
                <w:szCs w:val="20"/>
                <w:color w:val="auto"/>
              </w:rPr>
            </w:pPr>
            <w:r>
              <w:rPr>
                <w:rFonts w:ascii="Arial" w:cs="Arial" w:eastAsia="Arial" w:hAnsi="Arial"/>
                <w:sz w:val="14"/>
                <w:szCs w:val="14"/>
                <w:color w:val="auto"/>
              </w:rPr>
              <w:t>Total operating expenses</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673,430</w:t>
            </w:r>
          </w:p>
        </w:tc>
        <w:tc>
          <w:tcPr>
            <w:tcW w:w="3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122,827</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950,449</w:t>
            </w:r>
          </w:p>
        </w:tc>
        <w:tc>
          <w:tcPr>
            <w:tcW w:w="3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372,319</w:t>
            </w:r>
          </w:p>
        </w:tc>
        <w:tc>
          <w:tcPr>
            <w:tcW w:w="0" w:type="dxa"/>
            <w:vAlign w:val="bottom"/>
          </w:tcPr>
          <w:p>
            <w:pPr>
              <w:spacing w:after="0"/>
              <w:rPr>
                <w:sz w:val="1"/>
                <w:szCs w:val="1"/>
                <w:color w:val="auto"/>
              </w:rPr>
            </w:pPr>
          </w:p>
        </w:tc>
      </w:tr>
      <w:tr>
        <w:trPr>
          <w:trHeight w:val="339"/>
        </w:trPr>
        <w:tc>
          <w:tcPr>
            <w:tcW w:w="4960" w:type="dxa"/>
            <w:vAlign w:val="bottom"/>
          </w:tcPr>
          <w:p>
            <w:pPr>
              <w:spacing w:after="0"/>
              <w:rPr>
                <w:sz w:val="20"/>
                <w:szCs w:val="20"/>
                <w:color w:val="auto"/>
              </w:rPr>
            </w:pPr>
            <w:r>
              <w:rPr>
                <w:rFonts w:ascii="Arial" w:cs="Arial" w:eastAsia="Arial" w:hAnsi="Arial"/>
                <w:sz w:val="14"/>
                <w:szCs w:val="14"/>
                <w:color w:val="auto"/>
              </w:rPr>
              <w:t>Operating income (loss)</w:t>
            </w: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(497,252)</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58,936</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(399,078)</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140,564</w:t>
            </w:r>
          </w:p>
        </w:tc>
        <w:tc>
          <w:tcPr>
            <w:tcW w:w="0" w:type="dxa"/>
            <w:vAlign w:val="bottom"/>
          </w:tcPr>
          <w:p>
            <w:pPr>
              <w:spacing w:after="0"/>
              <w:rPr>
                <w:sz w:val="1"/>
                <w:szCs w:val="1"/>
                <w:color w:val="auto"/>
              </w:rPr>
            </w:pPr>
          </w:p>
        </w:tc>
      </w:tr>
      <w:tr>
        <w:trPr>
          <w:trHeight w:val="176"/>
        </w:trPr>
        <w:tc>
          <w:tcPr>
            <w:tcW w:w="4960" w:type="dxa"/>
            <w:vAlign w:val="bottom"/>
          </w:tcPr>
          <w:p>
            <w:pPr>
              <w:spacing w:after="0"/>
              <w:rPr>
                <w:sz w:val="20"/>
                <w:szCs w:val="20"/>
                <w:color w:val="auto"/>
              </w:rPr>
            </w:pPr>
            <w:r>
              <w:rPr>
                <w:rFonts w:ascii="Arial" w:cs="Arial" w:eastAsia="Arial" w:hAnsi="Arial"/>
                <w:sz w:val="14"/>
                <w:szCs w:val="14"/>
                <w:color w:val="auto"/>
              </w:rPr>
              <w:t>Other income (expense)</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60" w:type="dxa"/>
            <w:vAlign w:val="bottom"/>
          </w:tcPr>
          <w:p>
            <w:pPr>
              <w:ind w:left="420"/>
              <w:spacing w:after="0"/>
              <w:rPr>
                <w:sz w:val="20"/>
                <w:szCs w:val="20"/>
                <w:color w:val="auto"/>
              </w:rPr>
            </w:pPr>
            <w:r>
              <w:rPr>
                <w:rFonts w:ascii="Arial" w:cs="Arial" w:eastAsia="Arial" w:hAnsi="Arial"/>
                <w:sz w:val="14"/>
                <w:szCs w:val="14"/>
                <w:color w:val="auto"/>
              </w:rPr>
              <w:t>Interest income</w:t>
            </w:r>
          </w:p>
        </w:tc>
        <w:tc>
          <w:tcPr>
            <w:tcW w:w="28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155</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166</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631</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444</w:t>
            </w:r>
          </w:p>
        </w:tc>
        <w:tc>
          <w:tcPr>
            <w:tcW w:w="0" w:type="dxa"/>
            <w:vAlign w:val="bottom"/>
          </w:tcPr>
          <w:p>
            <w:pPr>
              <w:spacing w:after="0"/>
              <w:rPr>
                <w:sz w:val="1"/>
                <w:szCs w:val="1"/>
                <w:color w:val="auto"/>
              </w:rPr>
            </w:pPr>
          </w:p>
        </w:tc>
      </w:tr>
      <w:tr>
        <w:trPr>
          <w:trHeight w:val="176"/>
        </w:trPr>
        <w:tc>
          <w:tcPr>
            <w:tcW w:w="4960" w:type="dxa"/>
            <w:vAlign w:val="bottom"/>
          </w:tcPr>
          <w:p>
            <w:pPr>
              <w:ind w:left="420"/>
              <w:spacing w:after="0"/>
              <w:rPr>
                <w:sz w:val="20"/>
                <w:szCs w:val="20"/>
                <w:color w:val="auto"/>
              </w:rPr>
            </w:pPr>
            <w:r>
              <w:rPr>
                <w:rFonts w:ascii="Arial" w:cs="Arial" w:eastAsia="Arial" w:hAnsi="Arial"/>
                <w:sz w:val="14"/>
                <w:szCs w:val="14"/>
                <w:color w:val="auto"/>
              </w:rPr>
              <w:t>Interest expense</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(10,796)</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(13,328)</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(34,330)</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(42,216)</w:t>
            </w:r>
          </w:p>
        </w:tc>
        <w:tc>
          <w:tcPr>
            <w:tcW w:w="0" w:type="dxa"/>
            <w:vAlign w:val="bottom"/>
          </w:tcPr>
          <w:p>
            <w:pPr>
              <w:spacing w:after="0"/>
              <w:rPr>
                <w:sz w:val="1"/>
                <w:szCs w:val="1"/>
                <w:color w:val="auto"/>
              </w:rPr>
            </w:pPr>
          </w:p>
        </w:tc>
      </w:tr>
      <w:tr>
        <w:trPr>
          <w:trHeight w:val="181"/>
        </w:trPr>
        <w:tc>
          <w:tcPr>
            <w:tcW w:w="4960" w:type="dxa"/>
            <w:vAlign w:val="bottom"/>
          </w:tcPr>
          <w:p>
            <w:pPr>
              <w:ind w:left="420"/>
              <w:spacing w:after="0"/>
              <w:rPr>
                <w:sz w:val="20"/>
                <w:szCs w:val="20"/>
                <w:color w:val="auto"/>
              </w:rPr>
            </w:pPr>
            <w:r>
              <w:rPr>
                <w:rFonts w:ascii="Arial" w:cs="Arial" w:eastAsia="Arial" w:hAnsi="Arial"/>
                <w:sz w:val="14"/>
                <w:szCs w:val="14"/>
                <w:color w:val="auto"/>
              </w:rPr>
              <w:t>Other income (expense), net</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(3,147)</w:t>
            </w:r>
          </w:p>
        </w:tc>
        <w:tc>
          <w:tcPr>
            <w:tcW w:w="3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(4,423)</w:t>
            </w: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(7,220)</w:t>
            </w:r>
          </w:p>
        </w:tc>
        <w:tc>
          <w:tcPr>
            <w:tcW w:w="3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(5,440)</w:t>
            </w:r>
          </w:p>
        </w:tc>
        <w:tc>
          <w:tcPr>
            <w:tcW w:w="0" w:type="dxa"/>
            <w:vAlign w:val="bottom"/>
          </w:tcPr>
          <w:p>
            <w:pPr>
              <w:spacing w:after="0"/>
              <w:rPr>
                <w:sz w:val="1"/>
                <w:szCs w:val="1"/>
                <w:color w:val="auto"/>
              </w:rPr>
            </w:pPr>
          </w:p>
        </w:tc>
      </w:tr>
      <w:tr>
        <w:trPr>
          <w:trHeight w:val="169"/>
        </w:trPr>
        <w:tc>
          <w:tcPr>
            <w:tcW w:w="4960" w:type="dxa"/>
            <w:vAlign w:val="bottom"/>
          </w:tcPr>
          <w:p>
            <w:pPr>
              <w:ind w:left="620"/>
              <w:spacing w:after="0"/>
              <w:rPr>
                <w:sz w:val="20"/>
                <w:szCs w:val="20"/>
                <w:color w:val="auto"/>
              </w:rPr>
            </w:pPr>
            <w:r>
              <w:rPr>
                <w:rFonts w:ascii="Arial" w:cs="Arial" w:eastAsia="Arial" w:hAnsi="Arial"/>
                <w:sz w:val="14"/>
                <w:szCs w:val="14"/>
                <w:color w:val="auto"/>
              </w:rPr>
              <w:t>Total other income (expense)</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(13,788)</w:t>
            </w:r>
          </w:p>
        </w:tc>
        <w:tc>
          <w:tcPr>
            <w:tcW w:w="3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(17,585)</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(40,919)</w:t>
            </w:r>
          </w:p>
        </w:tc>
        <w:tc>
          <w:tcPr>
            <w:tcW w:w="3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(47,212)</w:t>
            </w:r>
          </w:p>
        </w:tc>
        <w:tc>
          <w:tcPr>
            <w:tcW w:w="0" w:type="dxa"/>
            <w:vAlign w:val="bottom"/>
          </w:tcPr>
          <w:p>
            <w:pPr>
              <w:spacing w:after="0"/>
              <w:rPr>
                <w:sz w:val="1"/>
                <w:szCs w:val="1"/>
                <w:color w:val="auto"/>
              </w:rPr>
            </w:pPr>
          </w:p>
        </w:tc>
      </w:tr>
      <w:tr>
        <w:trPr>
          <w:trHeight w:val="339"/>
        </w:trPr>
        <w:tc>
          <w:tcPr>
            <w:tcW w:w="4960" w:type="dxa"/>
            <w:vAlign w:val="bottom"/>
          </w:tcPr>
          <w:p>
            <w:pPr>
              <w:spacing w:after="0"/>
              <w:rPr>
                <w:sz w:val="20"/>
                <w:szCs w:val="20"/>
                <w:color w:val="auto"/>
              </w:rPr>
            </w:pPr>
            <w:r>
              <w:rPr>
                <w:rFonts w:ascii="Arial" w:cs="Arial" w:eastAsia="Arial" w:hAnsi="Arial"/>
                <w:sz w:val="14"/>
                <w:szCs w:val="14"/>
                <w:color w:val="auto"/>
              </w:rPr>
              <w:t>Income (loss) before income taxes</w:t>
            </w: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(511,040)</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41,351</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(439,997)</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93,352</w:t>
            </w:r>
          </w:p>
        </w:tc>
        <w:tc>
          <w:tcPr>
            <w:tcW w:w="0" w:type="dxa"/>
            <w:vAlign w:val="bottom"/>
          </w:tcPr>
          <w:p>
            <w:pPr>
              <w:spacing w:after="0"/>
              <w:rPr>
                <w:sz w:val="1"/>
                <w:szCs w:val="1"/>
                <w:color w:val="auto"/>
              </w:rPr>
            </w:pPr>
          </w:p>
        </w:tc>
      </w:tr>
      <w:tr>
        <w:trPr>
          <w:trHeight w:val="181"/>
        </w:trPr>
        <w:tc>
          <w:tcPr>
            <w:tcW w:w="4960" w:type="dxa"/>
            <w:vAlign w:val="bottom"/>
          </w:tcPr>
          <w:p>
            <w:pPr>
              <w:spacing w:after="0"/>
              <w:rPr>
                <w:sz w:val="20"/>
                <w:szCs w:val="20"/>
                <w:color w:val="auto"/>
              </w:rPr>
            </w:pPr>
            <w:r>
              <w:rPr>
                <w:rFonts w:ascii="Arial" w:cs="Arial" w:eastAsia="Arial" w:hAnsi="Arial"/>
                <w:sz w:val="14"/>
                <w:szCs w:val="14"/>
                <w:color w:val="auto"/>
              </w:rPr>
              <w:t>Income tax provision</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(6,042)</w:t>
            </w:r>
          </w:p>
        </w:tc>
        <w:tc>
          <w:tcPr>
            <w:tcW w:w="3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(13,712)</w:t>
            </w: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(15,529)</w:t>
            </w:r>
          </w:p>
        </w:tc>
        <w:tc>
          <w:tcPr>
            <w:tcW w:w="3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(15,152)</w:t>
            </w:r>
          </w:p>
        </w:tc>
        <w:tc>
          <w:tcPr>
            <w:tcW w:w="0" w:type="dxa"/>
            <w:vAlign w:val="bottom"/>
          </w:tcPr>
          <w:p>
            <w:pPr>
              <w:spacing w:after="0"/>
              <w:rPr>
                <w:sz w:val="1"/>
                <w:szCs w:val="1"/>
                <w:color w:val="auto"/>
              </w:rPr>
            </w:pPr>
          </w:p>
        </w:tc>
      </w:tr>
      <w:tr>
        <w:trPr>
          <w:trHeight w:val="169"/>
        </w:trPr>
        <w:tc>
          <w:tcPr>
            <w:tcW w:w="4960" w:type="dxa"/>
            <w:vAlign w:val="bottom"/>
          </w:tcPr>
          <w:p>
            <w:pPr>
              <w:spacing w:after="0"/>
              <w:rPr>
                <w:sz w:val="20"/>
                <w:szCs w:val="20"/>
                <w:color w:val="auto"/>
              </w:rPr>
            </w:pPr>
            <w:r>
              <w:rPr>
                <w:rFonts w:ascii="Arial" w:cs="Arial" w:eastAsia="Arial" w:hAnsi="Arial"/>
                <w:sz w:val="14"/>
                <w:szCs w:val="14"/>
                <w:color w:val="auto"/>
              </w:rPr>
              <w:t>Net income (loss)</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(517,082)</w:t>
            </w:r>
          </w:p>
        </w:tc>
        <w:tc>
          <w:tcPr>
            <w:tcW w:w="380" w:type="dxa"/>
            <w:vAlign w:val="bottom"/>
          </w:tcPr>
          <w:p>
            <w:pPr>
              <w:spacing w:after="0"/>
              <w:rPr>
                <w:sz w:val="14"/>
                <w:szCs w:val="14"/>
                <w:color w:val="auto"/>
              </w:rPr>
            </w:pP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27,639</w:t>
            </w:r>
          </w:p>
        </w:tc>
        <w:tc>
          <w:tcPr>
            <w:tcW w:w="280" w:type="dxa"/>
            <w:vAlign w:val="bottom"/>
          </w:tcPr>
          <w:p>
            <w:pPr>
              <w:spacing w:after="0"/>
              <w:rPr>
                <w:sz w:val="14"/>
                <w:szCs w:val="14"/>
                <w:color w:val="auto"/>
              </w:rPr>
            </w:pPr>
          </w:p>
        </w:tc>
        <w:tc>
          <w:tcPr>
            <w:tcW w:w="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(455,526)</w:t>
            </w:r>
          </w:p>
        </w:tc>
        <w:tc>
          <w:tcPr>
            <w:tcW w:w="320" w:type="dxa"/>
            <w:vAlign w:val="bottom"/>
          </w:tcPr>
          <w:p>
            <w:pPr>
              <w:spacing w:after="0"/>
              <w:rPr>
                <w:sz w:val="14"/>
                <w:szCs w:val="14"/>
                <w:color w:val="auto"/>
              </w:rPr>
            </w:pP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78,200</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960" w:type="dxa"/>
            <w:vAlign w:val="bottom"/>
          </w:tcPr>
          <w:p>
            <w:pPr>
              <w:spacing w:after="0"/>
              <w:rPr>
                <w:sz w:val="20"/>
                <w:szCs w:val="20"/>
                <w:color w:val="auto"/>
              </w:rPr>
            </w:pPr>
            <w:r>
              <w:rPr>
                <w:rFonts w:ascii="Arial" w:cs="Arial" w:eastAsia="Arial" w:hAnsi="Arial"/>
                <w:sz w:val="14"/>
                <w:szCs w:val="14"/>
                <w:color w:val="auto"/>
              </w:rPr>
              <w:t>Earnings (loss) per common share - Basic</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(12.70)</w:t>
            </w:r>
          </w:p>
        </w:tc>
        <w:tc>
          <w:tcPr>
            <w:tcW w:w="380" w:type="dxa"/>
            <w:vAlign w:val="bottom"/>
          </w:tcPr>
          <w:p>
            <w:pPr>
              <w:spacing w:after="0"/>
              <w:rPr>
                <w:sz w:val="24"/>
                <w:szCs w:val="24"/>
                <w:color w:val="auto"/>
              </w:rPr>
            </w:pP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0.68</w:t>
            </w:r>
          </w:p>
        </w:tc>
        <w:tc>
          <w:tcPr>
            <w:tcW w:w="280" w:type="dxa"/>
            <w:vAlign w:val="bottom"/>
          </w:tcPr>
          <w:p>
            <w:pPr>
              <w:spacing w:after="0"/>
              <w:rPr>
                <w:sz w:val="24"/>
                <w:szCs w:val="24"/>
                <w:color w:val="auto"/>
              </w:rPr>
            </w:pPr>
          </w:p>
        </w:tc>
        <w:tc>
          <w:tcPr>
            <w:tcW w:w="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(11.21)</w:t>
            </w:r>
          </w:p>
        </w:tc>
        <w:tc>
          <w:tcPr>
            <w:tcW w:w="320" w:type="dxa"/>
            <w:vAlign w:val="bottom"/>
          </w:tcPr>
          <w:p>
            <w:pPr>
              <w:spacing w:after="0"/>
              <w:rPr>
                <w:sz w:val="24"/>
                <w:szCs w:val="24"/>
                <w:color w:val="auto"/>
              </w:rPr>
            </w:pP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4"/>
                <w:szCs w:val="14"/>
                <w:color w:val="auto"/>
              </w:rPr>
              <w:t>Earnings (loss) per common share - Diluted</w:t>
            </w: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60" w:type="dxa"/>
            <w:vAlign w:val="bottom"/>
            <w:vMerge w:val="continue"/>
          </w:tcPr>
          <w:p>
            <w:pPr>
              <w:spacing w:after="0"/>
              <w:rPr>
                <w:sz w:val="13"/>
                <w:szCs w:val="13"/>
                <w:color w:val="auto"/>
              </w:rPr>
            </w:pPr>
          </w:p>
        </w:tc>
        <w:tc>
          <w:tcPr>
            <w:tcW w:w="280" w:type="dxa"/>
            <w:vAlign w:val="bottom"/>
            <w:tcBorders>
              <w:top w:val="single" w:sz="8" w:color="auto"/>
              <w:bottom w:val="single" w:sz="8" w:color="auto"/>
            </w:tcBorders>
          </w:tcPr>
          <w:p>
            <w:pPr>
              <w:jc w:val="right"/>
              <w:ind w:right="68"/>
              <w:spacing w:after="0" w:line="156"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(12.70)</w:t>
            </w:r>
          </w:p>
        </w:tc>
        <w:tc>
          <w:tcPr>
            <w:tcW w:w="38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08"/>
              <w:spacing w:after="0" w:line="156"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68"/>
              <w:spacing w:after="0" w:line="156" w:lineRule="exact"/>
              <w:rPr>
                <w:sz w:val="20"/>
                <w:szCs w:val="20"/>
                <w:color w:val="auto"/>
              </w:rPr>
            </w:pPr>
            <w:r>
              <w:rPr>
                <w:rFonts w:ascii="Arial" w:cs="Arial" w:eastAsia="Arial" w:hAnsi="Arial"/>
                <w:sz w:val="14"/>
                <w:szCs w:val="14"/>
                <w:color w:val="auto"/>
              </w:rPr>
              <w:t>0.68</w:t>
            </w:r>
          </w:p>
        </w:tc>
        <w:tc>
          <w:tcPr>
            <w:tcW w:w="28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08"/>
              <w:spacing w:after="0" w:line="156"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(11.21)</w:t>
            </w:r>
          </w:p>
        </w:tc>
        <w:tc>
          <w:tcPr>
            <w:tcW w:w="32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128"/>
              <w:spacing w:after="0" w:line="156" w:lineRule="exact"/>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68"/>
              <w:spacing w:after="0" w:line="156" w:lineRule="exact"/>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4960" w:type="dxa"/>
            <w:vAlign w:val="bottom"/>
          </w:tcPr>
          <w:p>
            <w:pPr>
              <w:spacing w:after="0"/>
              <w:rPr>
                <w:sz w:val="20"/>
                <w:szCs w:val="20"/>
                <w:color w:val="auto"/>
              </w:rPr>
            </w:pPr>
            <w:r>
              <w:rPr>
                <w:rFonts w:ascii="Arial" w:cs="Arial" w:eastAsia="Arial" w:hAnsi="Arial"/>
                <w:sz w:val="14"/>
                <w:szCs w:val="14"/>
                <w:color w:val="auto"/>
              </w:rPr>
              <w:t>Weighted average common shares outstanding - Basic</w:t>
            </w:r>
          </w:p>
        </w:tc>
        <w:tc>
          <w:tcPr>
            <w:tcW w:w="28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40,725</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40,400</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40,648</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40,307</w:t>
            </w:r>
          </w:p>
        </w:tc>
        <w:tc>
          <w:tcPr>
            <w:tcW w:w="0" w:type="dxa"/>
            <w:vAlign w:val="bottom"/>
          </w:tcPr>
          <w:p>
            <w:pPr>
              <w:spacing w:after="0"/>
              <w:rPr>
                <w:sz w:val="1"/>
                <w:szCs w:val="1"/>
                <w:color w:val="auto"/>
              </w:rPr>
            </w:pPr>
          </w:p>
        </w:tc>
      </w:tr>
      <w:tr>
        <w:trPr>
          <w:trHeight w:val="182"/>
        </w:trPr>
        <w:tc>
          <w:tcPr>
            <w:tcW w:w="4960" w:type="dxa"/>
            <w:vAlign w:val="bottom"/>
          </w:tcPr>
          <w:p>
            <w:pPr>
              <w:spacing w:after="0"/>
              <w:rPr>
                <w:sz w:val="20"/>
                <w:szCs w:val="20"/>
                <w:color w:val="auto"/>
              </w:rPr>
            </w:pPr>
            <w:r>
              <w:rPr>
                <w:rFonts w:ascii="Arial" w:cs="Arial" w:eastAsia="Arial" w:hAnsi="Arial"/>
                <w:sz w:val="14"/>
                <w:szCs w:val="14"/>
                <w:color w:val="auto"/>
              </w:rPr>
              <w:t>Weighted average common shares outstanding - Diluted</w:t>
            </w:r>
          </w:p>
        </w:tc>
        <w:tc>
          <w:tcPr>
            <w:tcW w:w="28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40,725</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40,828</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40,648</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40,950</w:t>
            </w:r>
          </w:p>
        </w:tc>
        <w:tc>
          <w:tcPr>
            <w:tcW w:w="0" w:type="dxa"/>
            <w:vAlign w:val="bottom"/>
          </w:tcPr>
          <w:p>
            <w:pPr>
              <w:spacing w:after="0"/>
              <w:rPr>
                <w:sz w:val="1"/>
                <w:szCs w:val="1"/>
                <w:color w:val="auto"/>
              </w:rPr>
            </w:pPr>
          </w:p>
        </w:tc>
      </w:tr>
      <w:tr>
        <w:trPr>
          <w:trHeight w:val="309"/>
        </w:trPr>
        <w:tc>
          <w:tcPr>
            <w:tcW w:w="4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9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SEGMENT INFORMATION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320" w:type="dxa"/>
            <w:vAlign w:val="bottom"/>
          </w:tcPr>
          <w:p>
            <w:pPr>
              <w:spacing w:after="0"/>
              <w:rPr>
                <w:sz w:val="20"/>
                <w:szCs w:val="20"/>
                <w:color w:val="auto"/>
              </w:rPr>
            </w:pPr>
            <w:r>
              <w:rPr>
                <w:rFonts w:ascii="Arial" w:cs="Arial" w:eastAsia="Arial" w:hAnsi="Arial"/>
                <w:sz w:val="14"/>
                <w:szCs w:val="14"/>
                <w:color w:val="auto"/>
              </w:rPr>
              <w:t>(Unaudited, in thousands)</w:t>
            </w: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60" w:type="dxa"/>
            <w:vAlign w:val="bottom"/>
            <w:gridSpan w:val="4"/>
            <w:vMerge w:val="restart"/>
          </w:tcPr>
          <w:p>
            <w:pPr>
              <w:jc w:val="right"/>
              <w:ind w:right="188"/>
              <w:spacing w:after="0"/>
              <w:rPr>
                <w:sz w:val="20"/>
                <w:szCs w:val="20"/>
                <w:color w:val="auto"/>
              </w:rPr>
            </w:pPr>
            <w:r>
              <w:rPr>
                <w:rFonts w:ascii="Arial" w:cs="Arial" w:eastAsia="Arial" w:hAnsi="Arial"/>
                <w:sz w:val="14"/>
                <w:szCs w:val="14"/>
                <w:b w:val="1"/>
                <w:bCs w:val="1"/>
                <w:color w:val="auto"/>
                <w:w w:val="95"/>
              </w:rPr>
              <w:t>Three Months Ended September 30,</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80" w:type="dxa"/>
            <w:vAlign w:val="bottom"/>
            <w:gridSpan w:val="4"/>
            <w:vMerge w:val="restart"/>
          </w:tcPr>
          <w:p>
            <w:pPr>
              <w:jc w:val="right"/>
              <w:ind w:right="268"/>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174"/>
        </w:trPr>
        <w:tc>
          <w:tcPr>
            <w:tcW w:w="4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vMerge w:val="continue"/>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64"/>
        </w:trPr>
        <w:tc>
          <w:tcPr>
            <w:tcW w:w="432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320" w:type="dxa"/>
            <w:vAlign w:val="bottom"/>
          </w:tcPr>
          <w:p>
            <w:pPr>
              <w:ind w:left="220"/>
              <w:spacing w:after="0"/>
              <w:rPr>
                <w:sz w:val="20"/>
                <w:szCs w:val="20"/>
                <w:color w:val="auto"/>
              </w:rPr>
            </w:pPr>
            <w:r>
              <w:rPr>
                <w:rFonts w:ascii="Arial" w:cs="Arial" w:eastAsia="Arial" w:hAnsi="Arial"/>
                <w:sz w:val="14"/>
                <w:szCs w:val="14"/>
                <w:color w:val="auto"/>
              </w:rPr>
              <w:t>Itron North America</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294,577</w:t>
            </w:r>
          </w:p>
        </w:tc>
        <w:tc>
          <w:tcPr>
            <w:tcW w:w="340" w:type="dxa"/>
            <w:vAlign w:val="bottom"/>
          </w:tcPr>
          <w:p>
            <w:pPr>
              <w:spacing w:after="0"/>
              <w:rPr>
                <w:sz w:val="15"/>
                <w:szCs w:val="15"/>
                <w:color w:val="auto"/>
              </w:rPr>
            </w:pP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313,155</w:t>
            </w:r>
          </w:p>
        </w:tc>
        <w:tc>
          <w:tcPr>
            <w:tcW w:w="5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859,783</w:t>
            </w:r>
          </w:p>
        </w:tc>
        <w:tc>
          <w:tcPr>
            <w:tcW w:w="6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855,857</w:t>
            </w:r>
          </w:p>
        </w:tc>
        <w:tc>
          <w:tcPr>
            <w:tcW w:w="0" w:type="dxa"/>
            <w:vAlign w:val="bottom"/>
          </w:tcPr>
          <w:p>
            <w:pPr>
              <w:spacing w:after="0"/>
              <w:rPr>
                <w:sz w:val="1"/>
                <w:szCs w:val="1"/>
                <w:color w:val="auto"/>
              </w:rPr>
            </w:pPr>
          </w:p>
        </w:tc>
      </w:tr>
      <w:tr>
        <w:trPr>
          <w:trHeight w:val="181"/>
        </w:trPr>
        <w:tc>
          <w:tcPr>
            <w:tcW w:w="4320" w:type="dxa"/>
            <w:vAlign w:val="bottom"/>
          </w:tcPr>
          <w:p>
            <w:pPr>
              <w:ind w:left="220"/>
              <w:spacing w:after="0"/>
              <w:rPr>
                <w:sz w:val="20"/>
                <w:szCs w:val="20"/>
                <w:color w:val="auto"/>
              </w:rPr>
            </w:pPr>
            <w:r>
              <w:rPr>
                <w:rFonts w:ascii="Arial" w:cs="Arial" w:eastAsia="Arial" w:hAnsi="Arial"/>
                <w:sz w:val="14"/>
                <w:szCs w:val="14"/>
                <w:color w:val="auto"/>
              </w:rPr>
              <w:t>Itron International</w:t>
            </w:r>
          </w:p>
        </w:tc>
        <w:tc>
          <w:tcPr>
            <w:tcW w:w="1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320,978</w:t>
            </w:r>
          </w:p>
        </w:tc>
        <w:tc>
          <w:tcPr>
            <w:tcW w:w="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260,496</w:t>
            </w: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931,864</w:t>
            </w:r>
          </w:p>
        </w:tc>
        <w:tc>
          <w:tcPr>
            <w:tcW w:w="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782,756</w:t>
            </w:r>
          </w:p>
        </w:tc>
        <w:tc>
          <w:tcPr>
            <w:tcW w:w="0" w:type="dxa"/>
            <w:vAlign w:val="bottom"/>
          </w:tcPr>
          <w:p>
            <w:pPr>
              <w:spacing w:after="0"/>
              <w:rPr>
                <w:sz w:val="1"/>
                <w:szCs w:val="1"/>
                <w:color w:val="auto"/>
              </w:rPr>
            </w:pPr>
          </w:p>
        </w:tc>
      </w:tr>
      <w:tr>
        <w:trPr>
          <w:trHeight w:val="169"/>
        </w:trPr>
        <w:tc>
          <w:tcPr>
            <w:tcW w:w="4320" w:type="dxa"/>
            <w:vAlign w:val="bottom"/>
          </w:tcPr>
          <w:p>
            <w:pPr>
              <w:ind w:left="420"/>
              <w:spacing w:after="0"/>
              <w:rPr>
                <w:sz w:val="20"/>
                <w:szCs w:val="20"/>
                <w:color w:val="auto"/>
              </w:rPr>
            </w:pPr>
            <w:r>
              <w:rPr>
                <w:rFonts w:ascii="Arial" w:cs="Arial" w:eastAsia="Arial" w:hAnsi="Arial"/>
                <w:sz w:val="14"/>
                <w:szCs w:val="14"/>
                <w:color w:val="auto"/>
              </w:rPr>
              <w:t>Total Company</w:t>
            </w:r>
          </w:p>
        </w:tc>
        <w:tc>
          <w:tcPr>
            <w:tcW w:w="1200" w:type="dxa"/>
            <w:vAlign w:val="bottom"/>
          </w:tcPr>
          <w:p>
            <w:pPr>
              <w:spacing w:after="0"/>
              <w:rPr>
                <w:sz w:val="14"/>
                <w:szCs w:val="1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615,555</w:t>
            </w:r>
          </w:p>
        </w:tc>
        <w:tc>
          <w:tcPr>
            <w:tcW w:w="340" w:type="dxa"/>
            <w:vAlign w:val="bottom"/>
          </w:tcPr>
          <w:p>
            <w:pPr>
              <w:spacing w:after="0"/>
              <w:rPr>
                <w:sz w:val="14"/>
                <w:szCs w:val="14"/>
                <w:color w:val="auto"/>
              </w:rPr>
            </w:pP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573,651</w:t>
            </w:r>
          </w:p>
        </w:tc>
        <w:tc>
          <w:tcPr>
            <w:tcW w:w="340" w:type="dxa"/>
            <w:vAlign w:val="bottom"/>
          </w:tcPr>
          <w:p>
            <w:pPr>
              <w:spacing w:after="0"/>
              <w:rPr>
                <w:sz w:val="14"/>
                <w:szCs w:val="14"/>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1,791,647</w:t>
            </w:r>
          </w:p>
        </w:tc>
        <w:tc>
          <w:tcPr>
            <w:tcW w:w="300" w:type="dxa"/>
            <w:vAlign w:val="bottom"/>
          </w:tcPr>
          <w:p>
            <w:pPr>
              <w:spacing w:after="0"/>
              <w:rPr>
                <w:sz w:val="14"/>
                <w:szCs w:val="14"/>
                <w:color w:val="auto"/>
              </w:rPr>
            </w:pPr>
          </w:p>
        </w:tc>
        <w:tc>
          <w:tcPr>
            <w:tcW w:w="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1,638,613</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Gross profit</w:t>
            </w:r>
          </w:p>
        </w:tc>
        <w:tc>
          <w:tcPr>
            <w:tcW w:w="1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3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320" w:type="dxa"/>
            <w:vAlign w:val="bottom"/>
          </w:tcPr>
          <w:p>
            <w:pPr>
              <w:ind w:left="220"/>
              <w:spacing w:after="0"/>
              <w:rPr>
                <w:sz w:val="20"/>
                <w:szCs w:val="20"/>
                <w:color w:val="auto"/>
              </w:rPr>
            </w:pPr>
            <w:r>
              <w:rPr>
                <w:rFonts w:ascii="Arial" w:cs="Arial" w:eastAsia="Arial" w:hAnsi="Arial"/>
                <w:sz w:val="14"/>
                <w:szCs w:val="14"/>
                <w:color w:val="auto"/>
              </w:rPr>
              <w:t>Itron North America</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84,919</w:t>
            </w:r>
          </w:p>
        </w:tc>
        <w:tc>
          <w:tcPr>
            <w:tcW w:w="340" w:type="dxa"/>
            <w:vAlign w:val="bottom"/>
          </w:tcPr>
          <w:p>
            <w:pPr>
              <w:spacing w:after="0"/>
              <w:rPr>
                <w:sz w:val="15"/>
                <w:szCs w:val="15"/>
                <w:color w:val="auto"/>
              </w:rPr>
            </w:pP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109,551</w:t>
            </w:r>
          </w:p>
        </w:tc>
        <w:tc>
          <w:tcPr>
            <w:tcW w:w="5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276,599</w:t>
            </w:r>
          </w:p>
        </w:tc>
        <w:tc>
          <w:tcPr>
            <w:tcW w:w="6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288,682</w:t>
            </w:r>
          </w:p>
        </w:tc>
        <w:tc>
          <w:tcPr>
            <w:tcW w:w="0" w:type="dxa"/>
            <w:vAlign w:val="bottom"/>
          </w:tcPr>
          <w:p>
            <w:pPr>
              <w:spacing w:after="0"/>
              <w:rPr>
                <w:sz w:val="1"/>
                <w:szCs w:val="1"/>
                <w:color w:val="auto"/>
              </w:rPr>
            </w:pPr>
          </w:p>
        </w:tc>
      </w:tr>
      <w:tr>
        <w:trPr>
          <w:trHeight w:val="181"/>
        </w:trPr>
        <w:tc>
          <w:tcPr>
            <w:tcW w:w="4320" w:type="dxa"/>
            <w:vAlign w:val="bottom"/>
          </w:tcPr>
          <w:p>
            <w:pPr>
              <w:ind w:left="220"/>
              <w:spacing w:after="0"/>
              <w:rPr>
                <w:sz w:val="20"/>
                <w:szCs w:val="20"/>
                <w:color w:val="auto"/>
              </w:rPr>
            </w:pPr>
            <w:r>
              <w:rPr>
                <w:rFonts w:ascii="Arial" w:cs="Arial" w:eastAsia="Arial" w:hAnsi="Arial"/>
                <w:sz w:val="14"/>
                <w:szCs w:val="14"/>
                <w:color w:val="auto"/>
              </w:rPr>
              <w:t>Itron International</w:t>
            </w:r>
          </w:p>
        </w:tc>
        <w:tc>
          <w:tcPr>
            <w:tcW w:w="1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91,259</w:t>
            </w:r>
          </w:p>
        </w:tc>
        <w:tc>
          <w:tcPr>
            <w:tcW w:w="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72,212</w:t>
            </w: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274,772</w:t>
            </w:r>
          </w:p>
        </w:tc>
        <w:tc>
          <w:tcPr>
            <w:tcW w:w="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224,201</w:t>
            </w:r>
          </w:p>
        </w:tc>
        <w:tc>
          <w:tcPr>
            <w:tcW w:w="0" w:type="dxa"/>
            <w:vAlign w:val="bottom"/>
          </w:tcPr>
          <w:p>
            <w:pPr>
              <w:spacing w:after="0"/>
              <w:rPr>
                <w:sz w:val="1"/>
                <w:szCs w:val="1"/>
                <w:color w:val="auto"/>
              </w:rPr>
            </w:pPr>
          </w:p>
        </w:tc>
      </w:tr>
      <w:tr>
        <w:trPr>
          <w:trHeight w:val="169"/>
        </w:trPr>
        <w:tc>
          <w:tcPr>
            <w:tcW w:w="4320" w:type="dxa"/>
            <w:vAlign w:val="bottom"/>
          </w:tcPr>
          <w:p>
            <w:pPr>
              <w:ind w:left="420"/>
              <w:spacing w:after="0"/>
              <w:rPr>
                <w:sz w:val="20"/>
                <w:szCs w:val="20"/>
                <w:color w:val="auto"/>
              </w:rPr>
            </w:pPr>
            <w:r>
              <w:rPr>
                <w:rFonts w:ascii="Arial" w:cs="Arial" w:eastAsia="Arial" w:hAnsi="Arial"/>
                <w:sz w:val="14"/>
                <w:szCs w:val="14"/>
                <w:color w:val="auto"/>
              </w:rPr>
              <w:t>Total Company</w:t>
            </w:r>
          </w:p>
        </w:tc>
        <w:tc>
          <w:tcPr>
            <w:tcW w:w="1200" w:type="dxa"/>
            <w:vAlign w:val="bottom"/>
          </w:tcPr>
          <w:p>
            <w:pPr>
              <w:spacing w:after="0"/>
              <w:rPr>
                <w:sz w:val="14"/>
                <w:szCs w:val="1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176,178</w:t>
            </w:r>
          </w:p>
        </w:tc>
        <w:tc>
          <w:tcPr>
            <w:tcW w:w="340" w:type="dxa"/>
            <w:vAlign w:val="bottom"/>
          </w:tcPr>
          <w:p>
            <w:pPr>
              <w:spacing w:after="0"/>
              <w:rPr>
                <w:sz w:val="14"/>
                <w:szCs w:val="14"/>
                <w:color w:val="auto"/>
              </w:rPr>
            </w:pP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181,763</w:t>
            </w:r>
          </w:p>
        </w:tc>
        <w:tc>
          <w:tcPr>
            <w:tcW w:w="340" w:type="dxa"/>
            <w:vAlign w:val="bottom"/>
          </w:tcPr>
          <w:p>
            <w:pPr>
              <w:spacing w:after="0"/>
              <w:rPr>
                <w:sz w:val="14"/>
                <w:szCs w:val="14"/>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551,371</w:t>
            </w:r>
          </w:p>
        </w:tc>
        <w:tc>
          <w:tcPr>
            <w:tcW w:w="300" w:type="dxa"/>
            <w:vAlign w:val="bottom"/>
          </w:tcPr>
          <w:p>
            <w:pPr>
              <w:spacing w:after="0"/>
              <w:rPr>
                <w:sz w:val="14"/>
                <w:szCs w:val="14"/>
                <w:color w:val="auto"/>
              </w:rPr>
            </w:pPr>
          </w:p>
        </w:tc>
        <w:tc>
          <w:tcPr>
            <w:tcW w:w="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512,883</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Operating income (loss)</w:t>
            </w:r>
          </w:p>
        </w:tc>
        <w:tc>
          <w:tcPr>
            <w:tcW w:w="1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3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320" w:type="dxa"/>
            <w:vAlign w:val="bottom"/>
          </w:tcPr>
          <w:p>
            <w:pPr>
              <w:ind w:left="220"/>
              <w:spacing w:after="0"/>
              <w:rPr>
                <w:sz w:val="20"/>
                <w:szCs w:val="20"/>
                <w:color w:val="auto"/>
              </w:rPr>
            </w:pPr>
            <w:r>
              <w:rPr>
                <w:rFonts w:ascii="Arial" w:cs="Arial" w:eastAsia="Arial" w:hAnsi="Arial"/>
                <w:sz w:val="14"/>
                <w:szCs w:val="14"/>
                <w:color w:val="auto"/>
              </w:rPr>
              <w:t>Itron North America</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38,018</w:t>
            </w:r>
          </w:p>
        </w:tc>
        <w:tc>
          <w:tcPr>
            <w:tcW w:w="340" w:type="dxa"/>
            <w:vAlign w:val="bottom"/>
          </w:tcPr>
          <w:p>
            <w:pPr>
              <w:spacing w:after="0"/>
              <w:rPr>
                <w:sz w:val="15"/>
                <w:szCs w:val="15"/>
                <w:color w:val="auto"/>
              </w:rPr>
            </w:pP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62,274</w:t>
            </w:r>
          </w:p>
        </w:tc>
        <w:tc>
          <w:tcPr>
            <w:tcW w:w="5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124,550</w:t>
            </w:r>
          </w:p>
        </w:tc>
        <w:tc>
          <w:tcPr>
            <w:tcW w:w="6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149,694</w:t>
            </w:r>
          </w:p>
        </w:tc>
        <w:tc>
          <w:tcPr>
            <w:tcW w:w="0" w:type="dxa"/>
            <w:vAlign w:val="bottom"/>
          </w:tcPr>
          <w:p>
            <w:pPr>
              <w:spacing w:after="0"/>
              <w:rPr>
                <w:sz w:val="1"/>
                <w:szCs w:val="1"/>
                <w:color w:val="auto"/>
              </w:rPr>
            </w:pPr>
          </w:p>
        </w:tc>
      </w:tr>
      <w:tr>
        <w:trPr>
          <w:trHeight w:val="176"/>
        </w:trPr>
        <w:tc>
          <w:tcPr>
            <w:tcW w:w="4320" w:type="dxa"/>
            <w:vAlign w:val="bottom"/>
          </w:tcPr>
          <w:p>
            <w:pPr>
              <w:ind w:left="220"/>
              <w:spacing w:after="0"/>
              <w:rPr>
                <w:sz w:val="20"/>
                <w:szCs w:val="20"/>
                <w:color w:val="auto"/>
              </w:rPr>
            </w:pPr>
            <w:r>
              <w:rPr>
                <w:rFonts w:ascii="Arial" w:cs="Arial" w:eastAsia="Arial" w:hAnsi="Arial"/>
                <w:sz w:val="14"/>
                <w:szCs w:val="14"/>
                <w:color w:val="auto"/>
              </w:rPr>
              <w:t>Itron International</w:t>
            </w: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(525,411)</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7,515</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(492,700)</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22,969</w:t>
            </w:r>
          </w:p>
        </w:tc>
        <w:tc>
          <w:tcPr>
            <w:tcW w:w="0" w:type="dxa"/>
            <w:vAlign w:val="bottom"/>
          </w:tcPr>
          <w:p>
            <w:pPr>
              <w:spacing w:after="0"/>
              <w:rPr>
                <w:sz w:val="1"/>
                <w:szCs w:val="1"/>
                <w:color w:val="auto"/>
              </w:rPr>
            </w:pPr>
          </w:p>
        </w:tc>
      </w:tr>
      <w:tr>
        <w:trPr>
          <w:trHeight w:val="181"/>
        </w:trPr>
        <w:tc>
          <w:tcPr>
            <w:tcW w:w="4320" w:type="dxa"/>
            <w:vAlign w:val="bottom"/>
          </w:tcPr>
          <w:p>
            <w:pPr>
              <w:ind w:left="220"/>
              <w:spacing w:after="0"/>
              <w:rPr>
                <w:sz w:val="20"/>
                <w:szCs w:val="20"/>
                <w:color w:val="auto"/>
              </w:rPr>
            </w:pPr>
            <w:r>
              <w:rPr>
                <w:rFonts w:ascii="Arial" w:cs="Arial" w:eastAsia="Arial" w:hAnsi="Arial"/>
                <w:sz w:val="14"/>
                <w:szCs w:val="14"/>
                <w:color w:val="auto"/>
              </w:rPr>
              <w:t>Corporate unallocated</w:t>
            </w:r>
          </w:p>
        </w:tc>
        <w:tc>
          <w:tcPr>
            <w:tcW w:w="1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(9,859)</w:t>
            </w:r>
          </w:p>
        </w:tc>
        <w:tc>
          <w:tcPr>
            <w:tcW w:w="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(10,853)</w:t>
            </w: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(30,928)</w:t>
            </w:r>
          </w:p>
        </w:tc>
        <w:tc>
          <w:tcPr>
            <w:tcW w:w="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(32,099)</w:t>
            </w:r>
          </w:p>
        </w:tc>
        <w:tc>
          <w:tcPr>
            <w:tcW w:w="0" w:type="dxa"/>
            <w:vAlign w:val="bottom"/>
          </w:tcPr>
          <w:p>
            <w:pPr>
              <w:spacing w:after="0"/>
              <w:rPr>
                <w:sz w:val="1"/>
                <w:szCs w:val="1"/>
                <w:color w:val="auto"/>
              </w:rPr>
            </w:pPr>
          </w:p>
        </w:tc>
      </w:tr>
      <w:tr>
        <w:trPr>
          <w:trHeight w:val="169"/>
        </w:trPr>
        <w:tc>
          <w:tcPr>
            <w:tcW w:w="4320" w:type="dxa"/>
            <w:vAlign w:val="bottom"/>
          </w:tcPr>
          <w:p>
            <w:pPr>
              <w:ind w:left="420"/>
              <w:spacing w:after="0"/>
              <w:rPr>
                <w:sz w:val="20"/>
                <w:szCs w:val="20"/>
                <w:color w:val="auto"/>
              </w:rPr>
            </w:pPr>
            <w:r>
              <w:rPr>
                <w:rFonts w:ascii="Arial" w:cs="Arial" w:eastAsia="Arial" w:hAnsi="Arial"/>
                <w:sz w:val="14"/>
                <w:szCs w:val="14"/>
                <w:color w:val="auto"/>
              </w:rPr>
              <w:t>Total Company</w:t>
            </w:r>
          </w:p>
        </w:tc>
        <w:tc>
          <w:tcPr>
            <w:tcW w:w="1200" w:type="dxa"/>
            <w:vAlign w:val="bottom"/>
          </w:tcPr>
          <w:p>
            <w:pPr>
              <w:spacing w:after="0"/>
              <w:rPr>
                <w:sz w:val="14"/>
                <w:szCs w:val="1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(497,252)</w:t>
            </w:r>
          </w:p>
        </w:tc>
        <w:tc>
          <w:tcPr>
            <w:tcW w:w="340" w:type="dxa"/>
            <w:vAlign w:val="bottom"/>
          </w:tcPr>
          <w:p>
            <w:pPr>
              <w:spacing w:after="0"/>
              <w:rPr>
                <w:sz w:val="14"/>
                <w:szCs w:val="14"/>
                <w:color w:val="auto"/>
              </w:rPr>
            </w:pP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58,936</w:t>
            </w:r>
          </w:p>
        </w:tc>
        <w:tc>
          <w:tcPr>
            <w:tcW w:w="340" w:type="dxa"/>
            <w:vAlign w:val="bottom"/>
          </w:tcPr>
          <w:p>
            <w:pPr>
              <w:spacing w:after="0"/>
              <w:rPr>
                <w:sz w:val="14"/>
                <w:szCs w:val="14"/>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(399,078)</w:t>
            </w:r>
          </w:p>
        </w:tc>
        <w:tc>
          <w:tcPr>
            <w:tcW w:w="300" w:type="dxa"/>
            <w:vAlign w:val="bottom"/>
          </w:tcPr>
          <w:p>
            <w:pPr>
              <w:spacing w:after="0"/>
              <w:rPr>
                <w:sz w:val="14"/>
                <w:szCs w:val="14"/>
                <w:color w:val="auto"/>
              </w:rPr>
            </w:pPr>
          </w:p>
        </w:tc>
        <w:tc>
          <w:tcPr>
            <w:tcW w:w="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140,564</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4320" w:type="dxa"/>
            <w:vAlign w:val="bottom"/>
            <w:vMerge w:val="restart"/>
          </w:tcPr>
          <w:p>
            <w:pPr>
              <w:spacing w:after="0"/>
              <w:rPr>
                <w:sz w:val="20"/>
                <w:szCs w:val="20"/>
                <w:color w:val="auto"/>
              </w:rPr>
            </w:pPr>
            <w:r>
              <w:rPr>
                <w:rFonts w:ascii="Arial" w:cs="Arial" w:eastAsia="Arial" w:hAnsi="Arial"/>
                <w:sz w:val="14"/>
                <w:szCs w:val="14"/>
                <w:color w:val="auto"/>
              </w:rPr>
              <w:t>(Units in thousands)</w:t>
            </w:r>
          </w:p>
        </w:tc>
        <w:tc>
          <w:tcPr>
            <w:tcW w:w="2760" w:type="dxa"/>
            <w:vAlign w:val="bottom"/>
            <w:gridSpan w:val="4"/>
          </w:tcPr>
          <w:p>
            <w:pPr>
              <w:ind w:left="200"/>
              <w:spacing w:after="0"/>
              <w:rPr>
                <w:sz w:val="20"/>
                <w:szCs w:val="20"/>
                <w:color w:val="auto"/>
              </w:rPr>
            </w:pPr>
            <w:r>
              <w:rPr>
                <w:rFonts w:ascii="Arial" w:cs="Arial" w:eastAsia="Arial" w:hAnsi="Arial"/>
                <w:sz w:val="14"/>
                <w:szCs w:val="14"/>
                <w:b w:val="1"/>
                <w:bCs w:val="1"/>
                <w:color w:val="auto"/>
              </w:rPr>
              <w:t>METER AND MODULE SUMMARY</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320" w:type="dxa"/>
            <w:vAlign w:val="bottom"/>
            <w:vMerge w:val="continue"/>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60" w:type="dxa"/>
            <w:vAlign w:val="bottom"/>
            <w:gridSpan w:val="4"/>
            <w:vMerge w:val="restart"/>
          </w:tcPr>
          <w:p>
            <w:pPr>
              <w:jc w:val="right"/>
              <w:ind w:right="188"/>
              <w:spacing w:after="0"/>
              <w:rPr>
                <w:sz w:val="20"/>
                <w:szCs w:val="20"/>
                <w:color w:val="auto"/>
              </w:rPr>
            </w:pPr>
            <w:r>
              <w:rPr>
                <w:rFonts w:ascii="Arial" w:cs="Arial" w:eastAsia="Arial" w:hAnsi="Arial"/>
                <w:sz w:val="14"/>
                <w:szCs w:val="14"/>
                <w:b w:val="1"/>
                <w:bCs w:val="1"/>
                <w:color w:val="auto"/>
                <w:w w:val="95"/>
              </w:rPr>
              <w:t>Three Months Ended September 30,</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80" w:type="dxa"/>
            <w:vAlign w:val="bottom"/>
            <w:gridSpan w:val="4"/>
            <w:vMerge w:val="restart"/>
          </w:tcPr>
          <w:p>
            <w:pPr>
              <w:jc w:val="right"/>
              <w:ind w:right="268"/>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174"/>
        </w:trPr>
        <w:tc>
          <w:tcPr>
            <w:tcW w:w="4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vMerge w:val="continue"/>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64"/>
        </w:trPr>
        <w:tc>
          <w:tcPr>
            <w:tcW w:w="4320" w:type="dxa"/>
            <w:vAlign w:val="bottom"/>
          </w:tcPr>
          <w:p>
            <w:pPr>
              <w:spacing w:after="0"/>
              <w:rPr>
                <w:sz w:val="20"/>
                <w:szCs w:val="20"/>
                <w:color w:val="auto"/>
              </w:rPr>
            </w:pPr>
            <w:r>
              <w:rPr>
                <w:rFonts w:ascii="Arial" w:cs="Arial" w:eastAsia="Arial" w:hAnsi="Arial"/>
                <w:sz w:val="14"/>
                <w:szCs w:val="14"/>
                <w:color w:val="auto"/>
              </w:rPr>
              <w:t>Total meters (standard, advanced, and smart)</w:t>
            </w: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320" w:type="dxa"/>
            <w:vAlign w:val="bottom"/>
          </w:tcPr>
          <w:p>
            <w:pPr>
              <w:ind w:left="220"/>
              <w:spacing w:after="0"/>
              <w:rPr>
                <w:sz w:val="20"/>
                <w:szCs w:val="20"/>
                <w:color w:val="auto"/>
              </w:rPr>
            </w:pPr>
            <w:r>
              <w:rPr>
                <w:rFonts w:ascii="Arial" w:cs="Arial" w:eastAsia="Arial" w:hAnsi="Arial"/>
                <w:sz w:val="14"/>
                <w:szCs w:val="14"/>
                <w:color w:val="auto"/>
              </w:rPr>
              <w:t>Itron North America</w:t>
            </w: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20" w:type="dxa"/>
            <w:vAlign w:val="bottom"/>
          </w:tcPr>
          <w:p>
            <w:pPr>
              <w:ind w:left="420"/>
              <w:spacing w:after="0"/>
              <w:rPr>
                <w:sz w:val="20"/>
                <w:szCs w:val="20"/>
                <w:color w:val="auto"/>
              </w:rPr>
            </w:pPr>
            <w:r>
              <w:rPr>
                <w:rFonts w:ascii="Arial" w:cs="Arial" w:eastAsia="Arial" w:hAnsi="Arial"/>
                <w:sz w:val="14"/>
                <w:szCs w:val="14"/>
                <w:color w:val="auto"/>
              </w:rPr>
              <w:t>Electricity</w:t>
            </w: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1,680</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1,800</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4,770</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4,990</w:t>
            </w:r>
          </w:p>
        </w:tc>
        <w:tc>
          <w:tcPr>
            <w:tcW w:w="0" w:type="dxa"/>
            <w:vAlign w:val="bottom"/>
          </w:tcPr>
          <w:p>
            <w:pPr>
              <w:spacing w:after="0"/>
              <w:rPr>
                <w:sz w:val="1"/>
                <w:szCs w:val="1"/>
                <w:color w:val="auto"/>
              </w:rPr>
            </w:pPr>
          </w:p>
        </w:tc>
      </w:tr>
      <w:tr>
        <w:trPr>
          <w:trHeight w:val="176"/>
        </w:trPr>
        <w:tc>
          <w:tcPr>
            <w:tcW w:w="4320" w:type="dxa"/>
            <w:vAlign w:val="bottom"/>
          </w:tcPr>
          <w:p>
            <w:pPr>
              <w:ind w:left="420"/>
              <w:spacing w:after="0"/>
              <w:rPr>
                <w:sz w:val="20"/>
                <w:szCs w:val="20"/>
                <w:color w:val="auto"/>
              </w:rPr>
            </w:pPr>
            <w:r>
              <w:rPr>
                <w:rFonts w:ascii="Arial" w:cs="Arial" w:eastAsia="Arial" w:hAnsi="Arial"/>
                <w:sz w:val="14"/>
                <w:szCs w:val="14"/>
                <w:color w:val="auto"/>
              </w:rPr>
              <w:t>Gas</w:t>
            </w: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120</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160</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400</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176"/>
        </w:trPr>
        <w:tc>
          <w:tcPr>
            <w:tcW w:w="4320" w:type="dxa"/>
            <w:vAlign w:val="bottom"/>
          </w:tcPr>
          <w:p>
            <w:pPr>
              <w:ind w:left="220"/>
              <w:spacing w:after="0"/>
              <w:rPr>
                <w:sz w:val="20"/>
                <w:szCs w:val="20"/>
                <w:color w:val="auto"/>
              </w:rPr>
            </w:pPr>
            <w:r>
              <w:rPr>
                <w:rFonts w:ascii="Arial" w:cs="Arial" w:eastAsia="Arial" w:hAnsi="Arial"/>
                <w:sz w:val="14"/>
                <w:szCs w:val="14"/>
                <w:color w:val="auto"/>
              </w:rPr>
              <w:t>Itron International</w:t>
            </w: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20" w:type="dxa"/>
            <w:vAlign w:val="bottom"/>
          </w:tcPr>
          <w:p>
            <w:pPr>
              <w:ind w:left="420"/>
              <w:spacing w:after="0"/>
              <w:rPr>
                <w:sz w:val="20"/>
                <w:szCs w:val="20"/>
                <w:color w:val="auto"/>
              </w:rPr>
            </w:pPr>
            <w:r>
              <w:rPr>
                <w:rFonts w:ascii="Arial" w:cs="Arial" w:eastAsia="Arial" w:hAnsi="Arial"/>
                <w:sz w:val="14"/>
                <w:szCs w:val="14"/>
                <w:color w:val="auto"/>
              </w:rPr>
              <w:t>Electricity</w:t>
            </w: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2,120</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2,020</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5,610</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5,590</w:t>
            </w:r>
          </w:p>
        </w:tc>
        <w:tc>
          <w:tcPr>
            <w:tcW w:w="0" w:type="dxa"/>
            <w:vAlign w:val="bottom"/>
          </w:tcPr>
          <w:p>
            <w:pPr>
              <w:spacing w:after="0"/>
              <w:rPr>
                <w:sz w:val="1"/>
                <w:szCs w:val="1"/>
                <w:color w:val="auto"/>
              </w:rPr>
            </w:pPr>
          </w:p>
        </w:tc>
      </w:tr>
      <w:tr>
        <w:trPr>
          <w:trHeight w:val="176"/>
        </w:trPr>
        <w:tc>
          <w:tcPr>
            <w:tcW w:w="4320" w:type="dxa"/>
            <w:vAlign w:val="bottom"/>
          </w:tcPr>
          <w:p>
            <w:pPr>
              <w:ind w:left="420"/>
              <w:spacing w:after="0"/>
              <w:rPr>
                <w:sz w:val="20"/>
                <w:szCs w:val="20"/>
                <w:color w:val="auto"/>
              </w:rPr>
            </w:pPr>
            <w:r>
              <w:rPr>
                <w:rFonts w:ascii="Arial" w:cs="Arial" w:eastAsia="Arial" w:hAnsi="Arial"/>
                <w:sz w:val="14"/>
                <w:szCs w:val="14"/>
                <w:color w:val="auto"/>
              </w:rPr>
              <w:t>Gas</w:t>
            </w: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1,000</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940</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3,050</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2,940</w:t>
            </w:r>
          </w:p>
        </w:tc>
        <w:tc>
          <w:tcPr>
            <w:tcW w:w="0" w:type="dxa"/>
            <w:vAlign w:val="bottom"/>
          </w:tcPr>
          <w:p>
            <w:pPr>
              <w:spacing w:after="0"/>
              <w:rPr>
                <w:sz w:val="1"/>
                <w:szCs w:val="1"/>
                <w:color w:val="auto"/>
              </w:rPr>
            </w:pPr>
          </w:p>
        </w:tc>
      </w:tr>
      <w:tr>
        <w:trPr>
          <w:trHeight w:val="181"/>
        </w:trPr>
        <w:tc>
          <w:tcPr>
            <w:tcW w:w="4320" w:type="dxa"/>
            <w:vAlign w:val="bottom"/>
          </w:tcPr>
          <w:p>
            <w:pPr>
              <w:ind w:left="420"/>
              <w:spacing w:after="0"/>
              <w:rPr>
                <w:sz w:val="20"/>
                <w:szCs w:val="20"/>
                <w:color w:val="auto"/>
              </w:rPr>
            </w:pPr>
            <w:r>
              <w:rPr>
                <w:rFonts w:ascii="Arial" w:cs="Arial" w:eastAsia="Arial" w:hAnsi="Arial"/>
                <w:sz w:val="14"/>
                <w:szCs w:val="14"/>
                <w:color w:val="auto"/>
              </w:rPr>
              <w:t>Water</w:t>
            </w:r>
          </w:p>
        </w:tc>
        <w:tc>
          <w:tcPr>
            <w:tcW w:w="1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2,370</w:t>
            </w:r>
          </w:p>
        </w:tc>
        <w:tc>
          <w:tcPr>
            <w:tcW w:w="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2,290</w:t>
            </w: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7,330</w:t>
            </w:r>
          </w:p>
        </w:tc>
        <w:tc>
          <w:tcPr>
            <w:tcW w:w="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6,960</w:t>
            </w:r>
          </w:p>
        </w:tc>
        <w:tc>
          <w:tcPr>
            <w:tcW w:w="0" w:type="dxa"/>
            <w:vAlign w:val="bottom"/>
          </w:tcPr>
          <w:p>
            <w:pPr>
              <w:spacing w:after="0"/>
              <w:rPr>
                <w:sz w:val="1"/>
                <w:szCs w:val="1"/>
                <w:color w:val="auto"/>
              </w:rPr>
            </w:pPr>
          </w:p>
        </w:tc>
      </w:tr>
      <w:tr>
        <w:trPr>
          <w:trHeight w:val="169"/>
        </w:trPr>
        <w:tc>
          <w:tcPr>
            <w:tcW w:w="4320" w:type="dxa"/>
            <w:vAlign w:val="bottom"/>
          </w:tcPr>
          <w:p>
            <w:pPr>
              <w:ind w:left="220"/>
              <w:spacing w:after="0"/>
              <w:rPr>
                <w:sz w:val="20"/>
                <w:szCs w:val="20"/>
                <w:color w:val="auto"/>
              </w:rPr>
            </w:pPr>
            <w:r>
              <w:rPr>
                <w:rFonts w:ascii="Arial" w:cs="Arial" w:eastAsia="Arial" w:hAnsi="Arial"/>
                <w:sz w:val="14"/>
                <w:szCs w:val="14"/>
                <w:color w:val="auto"/>
              </w:rPr>
              <w:t>Total meters</w:t>
            </w:r>
          </w:p>
        </w:tc>
        <w:tc>
          <w:tcPr>
            <w:tcW w:w="1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7,290</w:t>
            </w:r>
          </w:p>
        </w:tc>
        <w:tc>
          <w:tcPr>
            <w:tcW w:w="3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7,210</w:t>
            </w:r>
          </w:p>
        </w:tc>
        <w:tc>
          <w:tcPr>
            <w:tcW w:w="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21,160</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20,900</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4"/>
                <w:szCs w:val="14"/>
                <w:color w:val="auto"/>
              </w:rPr>
              <w:t>Additional meter information (Total Company)</w:t>
            </w:r>
          </w:p>
        </w:tc>
        <w:tc>
          <w:tcPr>
            <w:tcW w:w="1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3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320" w:type="dxa"/>
            <w:vAlign w:val="bottom"/>
          </w:tcPr>
          <w:p>
            <w:pPr>
              <w:ind w:left="220"/>
              <w:spacing w:after="0"/>
              <w:rPr>
                <w:sz w:val="20"/>
                <w:szCs w:val="20"/>
                <w:color w:val="auto"/>
              </w:rPr>
            </w:pPr>
            <w:r>
              <w:rPr>
                <w:rFonts w:ascii="Arial" w:cs="Arial" w:eastAsia="Arial" w:hAnsi="Arial"/>
                <w:sz w:val="14"/>
                <w:szCs w:val="14"/>
                <w:color w:val="auto"/>
              </w:rPr>
              <w:t>Advanced meters</w:t>
            </w: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1,280</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1,110</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3,310</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2,830</w:t>
            </w:r>
          </w:p>
        </w:tc>
        <w:tc>
          <w:tcPr>
            <w:tcW w:w="0" w:type="dxa"/>
            <w:vAlign w:val="bottom"/>
          </w:tcPr>
          <w:p>
            <w:pPr>
              <w:spacing w:after="0"/>
              <w:rPr>
                <w:sz w:val="1"/>
                <w:szCs w:val="1"/>
                <w:color w:val="auto"/>
              </w:rPr>
            </w:pPr>
          </w:p>
        </w:tc>
      </w:tr>
      <w:tr>
        <w:trPr>
          <w:trHeight w:val="176"/>
        </w:trPr>
        <w:tc>
          <w:tcPr>
            <w:tcW w:w="4320" w:type="dxa"/>
            <w:vAlign w:val="bottom"/>
          </w:tcPr>
          <w:p>
            <w:pPr>
              <w:ind w:left="220"/>
              <w:spacing w:after="0"/>
              <w:rPr>
                <w:sz w:val="20"/>
                <w:szCs w:val="20"/>
                <w:color w:val="auto"/>
              </w:rPr>
            </w:pPr>
            <w:r>
              <w:rPr>
                <w:rFonts w:ascii="Arial" w:cs="Arial" w:eastAsia="Arial" w:hAnsi="Arial"/>
                <w:sz w:val="14"/>
                <w:szCs w:val="14"/>
                <w:color w:val="auto"/>
              </w:rPr>
              <w:t>Smart meters</w:t>
            </w: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1,100</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1,130</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3,000</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2,990</w:t>
            </w:r>
          </w:p>
        </w:tc>
        <w:tc>
          <w:tcPr>
            <w:tcW w:w="0" w:type="dxa"/>
            <w:vAlign w:val="bottom"/>
          </w:tcPr>
          <w:p>
            <w:pPr>
              <w:spacing w:after="0"/>
              <w:rPr>
                <w:sz w:val="1"/>
                <w:szCs w:val="1"/>
                <w:color w:val="auto"/>
              </w:rPr>
            </w:pPr>
          </w:p>
        </w:tc>
      </w:tr>
      <w:tr>
        <w:trPr>
          <w:trHeight w:val="181"/>
        </w:trPr>
        <w:tc>
          <w:tcPr>
            <w:tcW w:w="4320" w:type="dxa"/>
            <w:vAlign w:val="bottom"/>
          </w:tcPr>
          <w:p>
            <w:pPr>
              <w:spacing w:after="0"/>
              <w:rPr>
                <w:sz w:val="20"/>
                <w:szCs w:val="20"/>
                <w:color w:val="auto"/>
              </w:rPr>
            </w:pPr>
            <w:r>
              <w:rPr>
                <w:rFonts w:ascii="Arial" w:cs="Arial" w:eastAsia="Arial" w:hAnsi="Arial"/>
                <w:sz w:val="14"/>
                <w:szCs w:val="14"/>
                <w:color w:val="auto"/>
              </w:rPr>
              <w:t>Standalone advanced and smart communication modules</w:t>
            </w:r>
          </w:p>
        </w:tc>
        <w:tc>
          <w:tcPr>
            <w:tcW w:w="1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1,560</w:t>
            </w:r>
          </w:p>
        </w:tc>
        <w:tc>
          <w:tcPr>
            <w:tcW w:w="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1,620</w:t>
            </w: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4,840</w:t>
            </w:r>
          </w:p>
        </w:tc>
        <w:tc>
          <w:tcPr>
            <w:tcW w:w="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4,410</w:t>
            </w:r>
          </w:p>
        </w:tc>
        <w:tc>
          <w:tcPr>
            <w:tcW w:w="0" w:type="dxa"/>
            <w:vAlign w:val="bottom"/>
          </w:tcPr>
          <w:p>
            <w:pPr>
              <w:spacing w:after="0"/>
              <w:rPr>
                <w:sz w:val="1"/>
                <w:szCs w:val="1"/>
                <w:color w:val="auto"/>
              </w:rPr>
            </w:pPr>
          </w:p>
        </w:tc>
      </w:tr>
      <w:tr>
        <w:trPr>
          <w:trHeight w:val="169"/>
        </w:trPr>
        <w:tc>
          <w:tcPr>
            <w:tcW w:w="4320" w:type="dxa"/>
            <w:vAlign w:val="bottom"/>
          </w:tcPr>
          <w:p>
            <w:pPr>
              <w:ind w:left="420"/>
              <w:spacing w:after="0"/>
              <w:rPr>
                <w:sz w:val="20"/>
                <w:szCs w:val="20"/>
                <w:color w:val="auto"/>
              </w:rPr>
            </w:pPr>
            <w:r>
              <w:rPr>
                <w:rFonts w:ascii="Arial" w:cs="Arial" w:eastAsia="Arial" w:hAnsi="Arial"/>
                <w:sz w:val="14"/>
                <w:szCs w:val="14"/>
                <w:color w:val="auto"/>
              </w:rPr>
              <w:t>Advanced and smart meters and communication modules</w:t>
            </w:r>
          </w:p>
        </w:tc>
        <w:tc>
          <w:tcPr>
            <w:tcW w:w="1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3,940</w:t>
            </w:r>
          </w:p>
        </w:tc>
        <w:tc>
          <w:tcPr>
            <w:tcW w:w="3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3,860</w:t>
            </w:r>
          </w:p>
        </w:tc>
        <w:tc>
          <w:tcPr>
            <w:tcW w:w="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11,150</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10,230</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320" w:type="dxa"/>
            <w:vAlign w:val="bottom"/>
          </w:tcPr>
          <w:p>
            <w:pPr>
              <w:spacing w:after="0"/>
              <w:rPr>
                <w:sz w:val="20"/>
                <w:szCs w:val="20"/>
                <w:color w:val="auto"/>
              </w:rPr>
            </w:pPr>
            <w:r>
              <w:rPr>
                <w:rFonts w:ascii="Arial" w:cs="Arial" w:eastAsia="Arial" w:hAnsi="Arial"/>
                <w:sz w:val="14"/>
                <w:szCs w:val="14"/>
                <w:color w:val="auto"/>
                <w:w w:val="98"/>
              </w:rPr>
              <w:t>Meters with other vendors' advanced or smart communication modules</w:t>
            </w:r>
          </w:p>
        </w:tc>
        <w:tc>
          <w:tcPr>
            <w:tcW w:w="1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w:t>
            </w:r>
          </w:p>
        </w:tc>
        <w:tc>
          <w:tcPr>
            <w:tcW w:w="3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130</w:t>
            </w:r>
          </w:p>
        </w:tc>
        <w:tc>
          <w:tcPr>
            <w:tcW w:w="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330</w:t>
            </w:r>
          </w:p>
        </w:tc>
        <w:tc>
          <w:tcPr>
            <w:tcW w:w="3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3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32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60" w:type="dxa"/>
            <w:vAlign w:val="bottom"/>
          </w:tcPr>
          <w:p>
            <w:pPr>
              <w:spacing w:after="0"/>
              <w:rPr>
                <w:sz w:val="20"/>
                <w:szCs w:val="20"/>
                <w:color w:val="auto"/>
              </w:rPr>
            </w:pPr>
            <w:r>
              <w:rPr>
                <w:rFonts w:ascii="Arial" w:cs="Arial" w:eastAsia="Arial" w:hAnsi="Arial"/>
                <w:sz w:val="14"/>
                <w:szCs w:val="14"/>
                <w:color w:val="auto"/>
              </w:rPr>
              <w:t>(Unaudited, in thousands)</w:t>
            </w:r>
          </w:p>
        </w:tc>
        <w:tc>
          <w:tcPr>
            <w:tcW w:w="340" w:type="dxa"/>
            <w:vAlign w:val="bottom"/>
          </w:tcPr>
          <w:p>
            <w:pPr>
              <w:spacing w:after="0"/>
              <w:rPr>
                <w:sz w:val="15"/>
                <w:szCs w:val="15"/>
                <w:color w:val="auto"/>
              </w:rPr>
            </w:pPr>
          </w:p>
        </w:tc>
        <w:tc>
          <w:tcPr>
            <w:tcW w:w="18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w w:val="99"/>
              </w:rPr>
              <w:t>September 30, 2011</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December 31, 2010</w:t>
            </w:r>
          </w:p>
        </w:tc>
        <w:tc>
          <w:tcPr>
            <w:tcW w:w="0" w:type="dxa"/>
            <w:vAlign w:val="bottom"/>
          </w:tcPr>
          <w:p>
            <w:pPr>
              <w:spacing w:after="0"/>
              <w:rPr>
                <w:sz w:val="1"/>
                <w:szCs w:val="1"/>
                <w:color w:val="auto"/>
              </w:rPr>
            </w:pPr>
          </w:p>
        </w:tc>
      </w:tr>
      <w:tr>
        <w:trPr>
          <w:trHeight w:val="174"/>
        </w:trPr>
        <w:tc>
          <w:tcPr>
            <w:tcW w:w="66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vMerge w:val="continue"/>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6660" w:type="dxa"/>
            <w:vAlign w:val="bottom"/>
          </w:tcPr>
          <w:p>
            <w:pPr>
              <w:ind w:left="2840"/>
              <w:spacing w:after="0"/>
              <w:rPr>
                <w:sz w:val="20"/>
                <w:szCs w:val="20"/>
                <w:color w:val="auto"/>
              </w:rPr>
            </w:pPr>
            <w:r>
              <w:rPr>
                <w:rFonts w:ascii="Arial" w:cs="Arial" w:eastAsia="Arial" w:hAnsi="Arial"/>
                <w:sz w:val="14"/>
                <w:szCs w:val="14"/>
                <w:b w:val="1"/>
                <w:bCs w:val="1"/>
                <w:color w:val="auto"/>
              </w:rPr>
              <w:t>ASSETS</w:t>
            </w:r>
          </w:p>
        </w:tc>
        <w:tc>
          <w:tcPr>
            <w:tcW w:w="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660" w:type="dxa"/>
            <w:vAlign w:val="bottom"/>
          </w:tcPr>
          <w:p>
            <w:pPr>
              <w:spacing w:after="0"/>
              <w:rPr>
                <w:sz w:val="20"/>
                <w:szCs w:val="20"/>
                <w:color w:val="auto"/>
              </w:rPr>
            </w:pPr>
            <w:r>
              <w:rPr>
                <w:rFonts w:ascii="Arial" w:cs="Arial" w:eastAsia="Arial" w:hAnsi="Arial"/>
                <w:sz w:val="14"/>
                <w:szCs w:val="14"/>
                <w:color w:val="auto"/>
              </w:rPr>
              <w:t>Current assets</w:t>
            </w:r>
          </w:p>
        </w:tc>
        <w:tc>
          <w:tcPr>
            <w:tcW w:w="3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60" w:type="dxa"/>
            <w:vAlign w:val="bottom"/>
          </w:tcPr>
          <w:p>
            <w:pPr>
              <w:ind w:left="420"/>
              <w:spacing w:after="0"/>
              <w:rPr>
                <w:sz w:val="20"/>
                <w:szCs w:val="20"/>
                <w:color w:val="auto"/>
              </w:rPr>
            </w:pPr>
            <w:r>
              <w:rPr>
                <w:rFonts w:ascii="Arial" w:cs="Arial" w:eastAsia="Arial" w:hAnsi="Arial"/>
                <w:sz w:val="14"/>
                <w:szCs w:val="14"/>
                <w:color w:val="auto"/>
              </w:rPr>
              <w:t>Cash and cash equivalents</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48"/>
              <w:spacing w:after="0"/>
              <w:rPr>
                <w:sz w:val="20"/>
                <w:szCs w:val="20"/>
                <w:color w:val="auto"/>
              </w:rPr>
            </w:pPr>
            <w:r>
              <w:rPr>
                <w:rFonts w:ascii="Arial" w:cs="Arial" w:eastAsia="Arial" w:hAnsi="Arial"/>
                <w:sz w:val="14"/>
                <w:szCs w:val="14"/>
                <w:color w:val="auto"/>
              </w:rPr>
              <w:t>129,514</w:t>
            </w:r>
          </w:p>
        </w:tc>
        <w:tc>
          <w:tcPr>
            <w:tcW w:w="8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148"/>
              <w:spacing w:after="0"/>
              <w:rPr>
                <w:sz w:val="20"/>
                <w:szCs w:val="20"/>
                <w:color w:val="auto"/>
              </w:rPr>
            </w:pPr>
            <w:r>
              <w:rPr>
                <w:rFonts w:ascii="Arial" w:cs="Arial" w:eastAsia="Arial" w:hAnsi="Arial"/>
                <w:sz w:val="14"/>
                <w:szCs w:val="14"/>
                <w:color w:val="auto"/>
              </w:rPr>
              <w:t>169,477</w:t>
            </w:r>
          </w:p>
        </w:tc>
        <w:tc>
          <w:tcPr>
            <w:tcW w:w="0" w:type="dxa"/>
            <w:vAlign w:val="bottom"/>
          </w:tcPr>
          <w:p>
            <w:pPr>
              <w:spacing w:after="0"/>
              <w:rPr>
                <w:sz w:val="1"/>
                <w:szCs w:val="1"/>
                <w:color w:val="auto"/>
              </w:rPr>
            </w:pPr>
          </w:p>
        </w:tc>
      </w:tr>
      <w:tr>
        <w:trPr>
          <w:trHeight w:val="176"/>
        </w:trPr>
        <w:tc>
          <w:tcPr>
            <w:tcW w:w="6660" w:type="dxa"/>
            <w:vAlign w:val="bottom"/>
          </w:tcPr>
          <w:p>
            <w:pPr>
              <w:ind w:left="420"/>
              <w:spacing w:after="0"/>
              <w:rPr>
                <w:sz w:val="20"/>
                <w:szCs w:val="20"/>
                <w:color w:val="auto"/>
              </w:rPr>
            </w:pPr>
            <w:r>
              <w:rPr>
                <w:rFonts w:ascii="Arial" w:cs="Arial" w:eastAsia="Arial" w:hAnsi="Arial"/>
                <w:sz w:val="14"/>
                <w:szCs w:val="14"/>
                <w:color w:val="auto"/>
              </w:rPr>
              <w:t>Accounts receivable, net</w:t>
            </w:r>
          </w:p>
        </w:tc>
        <w:tc>
          <w:tcPr>
            <w:tcW w:w="340" w:type="dxa"/>
            <w:vAlign w:val="bottom"/>
          </w:tcPr>
          <w:p>
            <w:pPr>
              <w:spacing w:after="0"/>
              <w:rPr>
                <w:sz w:val="15"/>
                <w:szCs w:val="15"/>
                <w:color w:val="auto"/>
              </w:rPr>
            </w:pPr>
          </w:p>
        </w:tc>
        <w:tc>
          <w:tcPr>
            <w:tcW w:w="1800" w:type="dxa"/>
            <w:vAlign w:val="bottom"/>
          </w:tcPr>
          <w:p>
            <w:pPr>
              <w:jc w:val="right"/>
              <w:ind w:right="148"/>
              <w:spacing w:after="0"/>
              <w:rPr>
                <w:sz w:val="20"/>
                <w:szCs w:val="20"/>
                <w:color w:val="auto"/>
              </w:rPr>
            </w:pPr>
            <w:r>
              <w:rPr>
                <w:rFonts w:ascii="Arial" w:cs="Arial" w:eastAsia="Arial" w:hAnsi="Arial"/>
                <w:sz w:val="14"/>
                <w:szCs w:val="14"/>
                <w:color w:val="auto"/>
              </w:rPr>
              <w:t>377,107</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tcPr>
          <w:p>
            <w:pPr>
              <w:jc w:val="right"/>
              <w:ind w:right="148"/>
              <w:spacing w:after="0"/>
              <w:rPr>
                <w:sz w:val="20"/>
                <w:szCs w:val="20"/>
                <w:color w:val="auto"/>
              </w:rPr>
            </w:pPr>
            <w:r>
              <w:rPr>
                <w:rFonts w:ascii="Arial" w:cs="Arial" w:eastAsia="Arial" w:hAnsi="Arial"/>
                <w:sz w:val="14"/>
                <w:szCs w:val="14"/>
                <w:color w:val="auto"/>
              </w:rPr>
              <w:t>371,662</w:t>
            </w:r>
          </w:p>
        </w:tc>
        <w:tc>
          <w:tcPr>
            <w:tcW w:w="0" w:type="dxa"/>
            <w:vAlign w:val="bottom"/>
          </w:tcPr>
          <w:p>
            <w:pPr>
              <w:spacing w:after="0"/>
              <w:rPr>
                <w:sz w:val="1"/>
                <w:szCs w:val="1"/>
                <w:color w:val="auto"/>
              </w:rPr>
            </w:pPr>
          </w:p>
        </w:tc>
      </w:tr>
      <w:tr>
        <w:trPr>
          <w:trHeight w:val="176"/>
        </w:trPr>
        <w:tc>
          <w:tcPr>
            <w:tcW w:w="6660" w:type="dxa"/>
            <w:vAlign w:val="bottom"/>
          </w:tcPr>
          <w:p>
            <w:pPr>
              <w:ind w:left="420"/>
              <w:spacing w:after="0"/>
              <w:rPr>
                <w:sz w:val="20"/>
                <w:szCs w:val="20"/>
                <w:color w:val="auto"/>
              </w:rPr>
            </w:pPr>
            <w:r>
              <w:rPr>
                <w:rFonts w:ascii="Arial" w:cs="Arial" w:eastAsia="Arial" w:hAnsi="Arial"/>
                <w:sz w:val="14"/>
                <w:szCs w:val="14"/>
                <w:color w:val="auto"/>
              </w:rPr>
              <w:t>Inventories</w:t>
            </w:r>
          </w:p>
        </w:tc>
        <w:tc>
          <w:tcPr>
            <w:tcW w:w="340" w:type="dxa"/>
            <w:vAlign w:val="bottom"/>
          </w:tcPr>
          <w:p>
            <w:pPr>
              <w:spacing w:after="0"/>
              <w:rPr>
                <w:sz w:val="15"/>
                <w:szCs w:val="15"/>
                <w:color w:val="auto"/>
              </w:rPr>
            </w:pPr>
          </w:p>
        </w:tc>
        <w:tc>
          <w:tcPr>
            <w:tcW w:w="1800" w:type="dxa"/>
            <w:vAlign w:val="bottom"/>
          </w:tcPr>
          <w:p>
            <w:pPr>
              <w:jc w:val="right"/>
              <w:ind w:right="148"/>
              <w:spacing w:after="0"/>
              <w:rPr>
                <w:sz w:val="20"/>
                <w:szCs w:val="20"/>
                <w:color w:val="auto"/>
              </w:rPr>
            </w:pPr>
            <w:r>
              <w:rPr>
                <w:rFonts w:ascii="Arial" w:cs="Arial" w:eastAsia="Arial" w:hAnsi="Arial"/>
                <w:sz w:val="14"/>
                <w:szCs w:val="14"/>
                <w:color w:val="auto"/>
              </w:rPr>
              <w:t>240,565</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tcPr>
          <w:p>
            <w:pPr>
              <w:jc w:val="right"/>
              <w:ind w:right="148"/>
              <w:spacing w:after="0"/>
              <w:rPr>
                <w:sz w:val="20"/>
                <w:szCs w:val="20"/>
                <w:color w:val="auto"/>
              </w:rPr>
            </w:pPr>
            <w:r>
              <w:rPr>
                <w:rFonts w:ascii="Arial" w:cs="Arial" w:eastAsia="Arial" w:hAnsi="Arial"/>
                <w:sz w:val="14"/>
                <w:szCs w:val="14"/>
                <w:color w:val="auto"/>
              </w:rPr>
              <w:t>208,157</w:t>
            </w:r>
          </w:p>
        </w:tc>
        <w:tc>
          <w:tcPr>
            <w:tcW w:w="0" w:type="dxa"/>
            <w:vAlign w:val="bottom"/>
          </w:tcPr>
          <w:p>
            <w:pPr>
              <w:spacing w:after="0"/>
              <w:rPr>
                <w:sz w:val="1"/>
                <w:szCs w:val="1"/>
                <w:color w:val="auto"/>
              </w:rPr>
            </w:pPr>
          </w:p>
        </w:tc>
      </w:tr>
      <w:tr>
        <w:trPr>
          <w:trHeight w:val="176"/>
        </w:trPr>
        <w:tc>
          <w:tcPr>
            <w:tcW w:w="6660" w:type="dxa"/>
            <w:vAlign w:val="bottom"/>
          </w:tcPr>
          <w:p>
            <w:pPr>
              <w:ind w:left="420"/>
              <w:spacing w:after="0"/>
              <w:rPr>
                <w:sz w:val="20"/>
                <w:szCs w:val="20"/>
                <w:color w:val="auto"/>
              </w:rPr>
            </w:pPr>
            <w:r>
              <w:rPr>
                <w:rFonts w:ascii="Arial" w:cs="Arial" w:eastAsia="Arial" w:hAnsi="Arial"/>
                <w:sz w:val="14"/>
                <w:szCs w:val="14"/>
                <w:color w:val="auto"/>
              </w:rPr>
              <w:t>Deferred tax assets current, net</w:t>
            </w:r>
          </w:p>
        </w:tc>
        <w:tc>
          <w:tcPr>
            <w:tcW w:w="340" w:type="dxa"/>
            <w:vAlign w:val="bottom"/>
          </w:tcPr>
          <w:p>
            <w:pPr>
              <w:spacing w:after="0"/>
              <w:rPr>
                <w:sz w:val="15"/>
                <w:szCs w:val="15"/>
                <w:color w:val="auto"/>
              </w:rPr>
            </w:pPr>
          </w:p>
        </w:tc>
        <w:tc>
          <w:tcPr>
            <w:tcW w:w="1800" w:type="dxa"/>
            <w:vAlign w:val="bottom"/>
          </w:tcPr>
          <w:p>
            <w:pPr>
              <w:jc w:val="right"/>
              <w:ind w:right="148"/>
              <w:spacing w:after="0"/>
              <w:rPr>
                <w:sz w:val="20"/>
                <w:szCs w:val="20"/>
                <w:color w:val="auto"/>
              </w:rPr>
            </w:pPr>
            <w:r>
              <w:rPr>
                <w:rFonts w:ascii="Arial" w:cs="Arial" w:eastAsia="Arial" w:hAnsi="Arial"/>
                <w:sz w:val="14"/>
                <w:szCs w:val="14"/>
                <w:color w:val="auto"/>
              </w:rPr>
              <w:t>44,953</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tcPr>
          <w:p>
            <w:pPr>
              <w:jc w:val="right"/>
              <w:ind w:right="148"/>
              <w:spacing w:after="0"/>
              <w:rPr>
                <w:sz w:val="20"/>
                <w:szCs w:val="20"/>
                <w:color w:val="auto"/>
              </w:rPr>
            </w:pPr>
            <w:r>
              <w:rPr>
                <w:rFonts w:ascii="Arial" w:cs="Arial" w:eastAsia="Arial" w:hAnsi="Arial"/>
                <w:sz w:val="14"/>
                <w:szCs w:val="14"/>
                <w:color w:val="auto"/>
              </w:rPr>
              <w:t>55,351</w:t>
            </w:r>
          </w:p>
        </w:tc>
        <w:tc>
          <w:tcPr>
            <w:tcW w:w="0" w:type="dxa"/>
            <w:vAlign w:val="bottom"/>
          </w:tcPr>
          <w:p>
            <w:pPr>
              <w:spacing w:after="0"/>
              <w:rPr>
                <w:sz w:val="1"/>
                <w:szCs w:val="1"/>
                <w:color w:val="auto"/>
              </w:rPr>
            </w:pPr>
          </w:p>
        </w:tc>
      </w:tr>
      <w:tr>
        <w:trPr>
          <w:trHeight w:val="181"/>
        </w:trPr>
        <w:tc>
          <w:tcPr>
            <w:tcW w:w="6660" w:type="dxa"/>
            <w:vAlign w:val="bottom"/>
          </w:tcPr>
          <w:p>
            <w:pPr>
              <w:ind w:left="420"/>
              <w:spacing w:after="0"/>
              <w:rPr>
                <w:sz w:val="20"/>
                <w:szCs w:val="20"/>
                <w:color w:val="auto"/>
              </w:rPr>
            </w:pPr>
            <w:r>
              <w:rPr>
                <w:rFonts w:ascii="Arial" w:cs="Arial" w:eastAsia="Arial" w:hAnsi="Arial"/>
                <w:sz w:val="14"/>
                <w:szCs w:val="14"/>
                <w:color w:val="auto"/>
              </w:rPr>
              <w:t>Other current assets</w:t>
            </w:r>
          </w:p>
        </w:tc>
        <w:tc>
          <w:tcPr>
            <w:tcW w:w="3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88,214</w:t>
            </w:r>
          </w:p>
        </w:tc>
        <w:tc>
          <w:tcPr>
            <w:tcW w:w="4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77,570</w:t>
            </w:r>
          </w:p>
        </w:tc>
        <w:tc>
          <w:tcPr>
            <w:tcW w:w="0" w:type="dxa"/>
            <w:vAlign w:val="bottom"/>
          </w:tcPr>
          <w:p>
            <w:pPr>
              <w:spacing w:after="0"/>
              <w:rPr>
                <w:sz w:val="1"/>
                <w:szCs w:val="1"/>
                <w:color w:val="auto"/>
              </w:rPr>
            </w:pPr>
          </w:p>
        </w:tc>
      </w:tr>
      <w:tr>
        <w:trPr>
          <w:trHeight w:val="176"/>
        </w:trPr>
        <w:tc>
          <w:tcPr>
            <w:tcW w:w="6660" w:type="dxa"/>
            <w:vAlign w:val="bottom"/>
          </w:tcPr>
          <w:p>
            <w:pPr>
              <w:ind w:left="620"/>
              <w:spacing w:after="0"/>
              <w:rPr>
                <w:sz w:val="20"/>
                <w:szCs w:val="20"/>
                <w:color w:val="auto"/>
              </w:rPr>
            </w:pPr>
            <w:r>
              <w:rPr>
                <w:rFonts w:ascii="Arial" w:cs="Arial" w:eastAsia="Arial" w:hAnsi="Arial"/>
                <w:sz w:val="14"/>
                <w:szCs w:val="14"/>
                <w:color w:val="auto"/>
              </w:rPr>
              <w:t>Total current assets</w:t>
            </w:r>
          </w:p>
        </w:tc>
        <w:tc>
          <w:tcPr>
            <w:tcW w:w="340" w:type="dxa"/>
            <w:vAlign w:val="bottom"/>
          </w:tcPr>
          <w:p>
            <w:pPr>
              <w:spacing w:after="0"/>
              <w:rPr>
                <w:sz w:val="15"/>
                <w:szCs w:val="15"/>
                <w:color w:val="auto"/>
              </w:rPr>
            </w:pPr>
          </w:p>
        </w:tc>
        <w:tc>
          <w:tcPr>
            <w:tcW w:w="1800" w:type="dxa"/>
            <w:vAlign w:val="bottom"/>
          </w:tcPr>
          <w:p>
            <w:pPr>
              <w:jc w:val="right"/>
              <w:ind w:right="148"/>
              <w:spacing w:after="0"/>
              <w:rPr>
                <w:sz w:val="20"/>
                <w:szCs w:val="20"/>
                <w:color w:val="auto"/>
              </w:rPr>
            </w:pPr>
            <w:r>
              <w:rPr>
                <w:rFonts w:ascii="Arial" w:cs="Arial" w:eastAsia="Arial" w:hAnsi="Arial"/>
                <w:sz w:val="14"/>
                <w:szCs w:val="14"/>
                <w:color w:val="auto"/>
              </w:rPr>
              <w:t>880,353</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tcPr>
          <w:p>
            <w:pPr>
              <w:jc w:val="right"/>
              <w:ind w:right="148"/>
              <w:spacing w:after="0"/>
              <w:rPr>
                <w:sz w:val="20"/>
                <w:szCs w:val="20"/>
                <w:color w:val="auto"/>
              </w:rPr>
            </w:pPr>
            <w:r>
              <w:rPr>
                <w:rFonts w:ascii="Arial" w:cs="Arial" w:eastAsia="Arial" w:hAnsi="Arial"/>
                <w:sz w:val="14"/>
                <w:szCs w:val="14"/>
                <w:color w:val="auto"/>
              </w:rPr>
              <w:t>882,217</w:t>
            </w:r>
          </w:p>
        </w:tc>
        <w:tc>
          <w:tcPr>
            <w:tcW w:w="0" w:type="dxa"/>
            <w:vAlign w:val="bottom"/>
          </w:tcPr>
          <w:p>
            <w:pPr>
              <w:spacing w:after="0"/>
              <w:rPr>
                <w:sz w:val="1"/>
                <w:szCs w:val="1"/>
                <w:color w:val="auto"/>
              </w:rPr>
            </w:pPr>
          </w:p>
        </w:tc>
      </w:tr>
      <w:tr>
        <w:trPr>
          <w:trHeight w:val="339"/>
        </w:trPr>
        <w:tc>
          <w:tcPr>
            <w:tcW w:w="6660" w:type="dxa"/>
            <w:vAlign w:val="bottom"/>
          </w:tcPr>
          <w:p>
            <w:pPr>
              <w:spacing w:after="0"/>
              <w:rPr>
                <w:sz w:val="20"/>
                <w:szCs w:val="20"/>
                <w:color w:val="auto"/>
              </w:rPr>
            </w:pPr>
            <w:r>
              <w:rPr>
                <w:rFonts w:ascii="Arial" w:cs="Arial" w:eastAsia="Arial" w:hAnsi="Arial"/>
                <w:sz w:val="14"/>
                <w:szCs w:val="14"/>
                <w:color w:val="auto"/>
              </w:rPr>
              <w:t>Property, plant, and equipment, net</w:t>
            </w:r>
          </w:p>
        </w:tc>
        <w:tc>
          <w:tcPr>
            <w:tcW w:w="340" w:type="dxa"/>
            <w:vAlign w:val="bottom"/>
          </w:tcPr>
          <w:p>
            <w:pPr>
              <w:spacing w:after="0"/>
              <w:rPr>
                <w:sz w:val="24"/>
                <w:szCs w:val="24"/>
                <w:color w:val="auto"/>
              </w:rPr>
            </w:pPr>
          </w:p>
        </w:tc>
        <w:tc>
          <w:tcPr>
            <w:tcW w:w="1800" w:type="dxa"/>
            <w:vAlign w:val="bottom"/>
          </w:tcPr>
          <w:p>
            <w:pPr>
              <w:jc w:val="right"/>
              <w:ind w:right="148"/>
              <w:spacing w:after="0"/>
              <w:rPr>
                <w:sz w:val="20"/>
                <w:szCs w:val="20"/>
                <w:color w:val="auto"/>
              </w:rPr>
            </w:pPr>
            <w:r>
              <w:rPr>
                <w:rFonts w:ascii="Arial" w:cs="Arial" w:eastAsia="Arial" w:hAnsi="Arial"/>
                <w:sz w:val="14"/>
                <w:szCs w:val="14"/>
                <w:color w:val="auto"/>
              </w:rPr>
              <w:t>287,565</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jc w:val="right"/>
              <w:ind w:right="148"/>
              <w:spacing w:after="0"/>
              <w:rPr>
                <w:sz w:val="20"/>
                <w:szCs w:val="20"/>
                <w:color w:val="auto"/>
              </w:rPr>
            </w:pPr>
            <w:r>
              <w:rPr>
                <w:rFonts w:ascii="Arial" w:cs="Arial" w:eastAsia="Arial" w:hAnsi="Arial"/>
                <w:sz w:val="14"/>
                <w:szCs w:val="14"/>
                <w:color w:val="auto"/>
              </w:rPr>
              <w:t>299,242</w:t>
            </w:r>
          </w:p>
        </w:tc>
        <w:tc>
          <w:tcPr>
            <w:tcW w:w="0" w:type="dxa"/>
            <w:vAlign w:val="bottom"/>
          </w:tcPr>
          <w:p>
            <w:pPr>
              <w:spacing w:after="0"/>
              <w:rPr>
                <w:sz w:val="1"/>
                <w:szCs w:val="1"/>
                <w:color w:val="auto"/>
              </w:rPr>
            </w:pPr>
          </w:p>
        </w:tc>
      </w:tr>
      <w:tr>
        <w:trPr>
          <w:trHeight w:val="176"/>
        </w:trPr>
        <w:tc>
          <w:tcPr>
            <w:tcW w:w="6660" w:type="dxa"/>
            <w:vAlign w:val="bottom"/>
          </w:tcPr>
          <w:p>
            <w:pPr>
              <w:spacing w:after="0"/>
              <w:rPr>
                <w:sz w:val="20"/>
                <w:szCs w:val="20"/>
                <w:color w:val="auto"/>
              </w:rPr>
            </w:pPr>
            <w:r>
              <w:rPr>
                <w:rFonts w:ascii="Arial" w:cs="Arial" w:eastAsia="Arial" w:hAnsi="Arial"/>
                <w:sz w:val="14"/>
                <w:szCs w:val="14"/>
                <w:color w:val="auto"/>
              </w:rPr>
              <w:t>Deferred tax assets noncurrent, net</w:t>
            </w:r>
          </w:p>
        </w:tc>
        <w:tc>
          <w:tcPr>
            <w:tcW w:w="340" w:type="dxa"/>
            <w:vAlign w:val="bottom"/>
          </w:tcPr>
          <w:p>
            <w:pPr>
              <w:spacing w:after="0"/>
              <w:rPr>
                <w:sz w:val="15"/>
                <w:szCs w:val="15"/>
                <w:color w:val="auto"/>
              </w:rPr>
            </w:pPr>
          </w:p>
        </w:tc>
        <w:tc>
          <w:tcPr>
            <w:tcW w:w="1800" w:type="dxa"/>
            <w:vAlign w:val="bottom"/>
          </w:tcPr>
          <w:p>
            <w:pPr>
              <w:jc w:val="right"/>
              <w:ind w:right="148"/>
              <w:spacing w:after="0"/>
              <w:rPr>
                <w:sz w:val="20"/>
                <w:szCs w:val="20"/>
                <w:color w:val="auto"/>
              </w:rPr>
            </w:pPr>
            <w:r>
              <w:rPr>
                <w:rFonts w:ascii="Arial" w:cs="Arial" w:eastAsia="Arial" w:hAnsi="Arial"/>
                <w:sz w:val="14"/>
                <w:szCs w:val="14"/>
                <w:color w:val="auto"/>
              </w:rPr>
              <w:t>28,053</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tcPr>
          <w:p>
            <w:pPr>
              <w:jc w:val="right"/>
              <w:ind w:right="148"/>
              <w:spacing w:after="0"/>
              <w:rPr>
                <w:sz w:val="20"/>
                <w:szCs w:val="20"/>
                <w:color w:val="auto"/>
              </w:rPr>
            </w:pPr>
            <w:r>
              <w:rPr>
                <w:rFonts w:ascii="Arial" w:cs="Arial" w:eastAsia="Arial" w:hAnsi="Arial"/>
                <w:sz w:val="14"/>
                <w:szCs w:val="14"/>
                <w:color w:val="auto"/>
              </w:rPr>
              <w:t>35,050</w:t>
            </w:r>
          </w:p>
        </w:tc>
        <w:tc>
          <w:tcPr>
            <w:tcW w:w="0" w:type="dxa"/>
            <w:vAlign w:val="bottom"/>
          </w:tcPr>
          <w:p>
            <w:pPr>
              <w:spacing w:after="0"/>
              <w:rPr>
                <w:sz w:val="1"/>
                <w:szCs w:val="1"/>
                <w:color w:val="auto"/>
              </w:rPr>
            </w:pPr>
          </w:p>
        </w:tc>
      </w:tr>
      <w:tr>
        <w:trPr>
          <w:trHeight w:val="176"/>
        </w:trPr>
        <w:tc>
          <w:tcPr>
            <w:tcW w:w="6660" w:type="dxa"/>
            <w:vAlign w:val="bottom"/>
          </w:tcPr>
          <w:p>
            <w:pPr>
              <w:spacing w:after="0"/>
              <w:rPr>
                <w:sz w:val="20"/>
                <w:szCs w:val="20"/>
                <w:color w:val="auto"/>
              </w:rPr>
            </w:pPr>
            <w:r>
              <w:rPr>
                <w:rFonts w:ascii="Arial" w:cs="Arial" w:eastAsia="Arial" w:hAnsi="Arial"/>
                <w:sz w:val="14"/>
                <w:szCs w:val="14"/>
                <w:color w:val="auto"/>
              </w:rPr>
              <w:t>Other long-term assets</w:t>
            </w:r>
          </w:p>
        </w:tc>
        <w:tc>
          <w:tcPr>
            <w:tcW w:w="340" w:type="dxa"/>
            <w:vAlign w:val="bottom"/>
          </w:tcPr>
          <w:p>
            <w:pPr>
              <w:spacing w:after="0"/>
              <w:rPr>
                <w:sz w:val="15"/>
                <w:szCs w:val="15"/>
                <w:color w:val="auto"/>
              </w:rPr>
            </w:pPr>
          </w:p>
        </w:tc>
        <w:tc>
          <w:tcPr>
            <w:tcW w:w="1800" w:type="dxa"/>
            <w:vAlign w:val="bottom"/>
          </w:tcPr>
          <w:p>
            <w:pPr>
              <w:jc w:val="right"/>
              <w:ind w:right="148"/>
              <w:spacing w:after="0"/>
              <w:rPr>
                <w:sz w:val="20"/>
                <w:szCs w:val="20"/>
                <w:color w:val="auto"/>
              </w:rPr>
            </w:pPr>
            <w:r>
              <w:rPr>
                <w:rFonts w:ascii="Arial" w:cs="Arial" w:eastAsia="Arial" w:hAnsi="Arial"/>
                <w:sz w:val="14"/>
                <w:szCs w:val="14"/>
                <w:color w:val="auto"/>
              </w:rPr>
              <w:t>66,878</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tcPr>
          <w:p>
            <w:pPr>
              <w:jc w:val="right"/>
              <w:ind w:right="148"/>
              <w:spacing w:after="0"/>
              <w:rPr>
                <w:sz w:val="20"/>
                <w:szCs w:val="20"/>
                <w:color w:val="auto"/>
              </w:rPr>
            </w:pPr>
            <w:r>
              <w:rPr>
                <w:rFonts w:ascii="Arial" w:cs="Arial" w:eastAsia="Arial" w:hAnsi="Arial"/>
                <w:sz w:val="14"/>
                <w:szCs w:val="14"/>
                <w:color w:val="auto"/>
              </w:rPr>
              <w:t>28,242</w:t>
            </w:r>
          </w:p>
        </w:tc>
        <w:tc>
          <w:tcPr>
            <w:tcW w:w="0" w:type="dxa"/>
            <w:vAlign w:val="bottom"/>
          </w:tcPr>
          <w:p>
            <w:pPr>
              <w:spacing w:after="0"/>
              <w:rPr>
                <w:sz w:val="1"/>
                <w:szCs w:val="1"/>
                <w:color w:val="auto"/>
              </w:rPr>
            </w:pPr>
          </w:p>
        </w:tc>
      </w:tr>
      <w:tr>
        <w:trPr>
          <w:trHeight w:val="176"/>
        </w:trPr>
        <w:tc>
          <w:tcPr>
            <w:tcW w:w="6660" w:type="dxa"/>
            <w:vAlign w:val="bottom"/>
          </w:tcPr>
          <w:p>
            <w:pPr>
              <w:spacing w:after="0"/>
              <w:rPr>
                <w:sz w:val="20"/>
                <w:szCs w:val="20"/>
                <w:color w:val="auto"/>
              </w:rPr>
            </w:pPr>
            <w:r>
              <w:rPr>
                <w:rFonts w:ascii="Arial" w:cs="Arial" w:eastAsia="Arial" w:hAnsi="Arial"/>
                <w:sz w:val="14"/>
                <w:szCs w:val="14"/>
                <w:color w:val="auto"/>
              </w:rPr>
              <w:t>Intangible assets, net</w:t>
            </w:r>
          </w:p>
        </w:tc>
        <w:tc>
          <w:tcPr>
            <w:tcW w:w="340" w:type="dxa"/>
            <w:vAlign w:val="bottom"/>
          </w:tcPr>
          <w:p>
            <w:pPr>
              <w:spacing w:after="0"/>
              <w:rPr>
                <w:sz w:val="15"/>
                <w:szCs w:val="15"/>
                <w:color w:val="auto"/>
              </w:rPr>
            </w:pPr>
          </w:p>
        </w:tc>
        <w:tc>
          <w:tcPr>
            <w:tcW w:w="1800" w:type="dxa"/>
            <w:vAlign w:val="bottom"/>
          </w:tcPr>
          <w:p>
            <w:pPr>
              <w:jc w:val="right"/>
              <w:ind w:right="148"/>
              <w:spacing w:after="0"/>
              <w:rPr>
                <w:sz w:val="20"/>
                <w:szCs w:val="20"/>
                <w:color w:val="auto"/>
              </w:rPr>
            </w:pPr>
            <w:r>
              <w:rPr>
                <w:rFonts w:ascii="Arial" w:cs="Arial" w:eastAsia="Arial" w:hAnsi="Arial"/>
                <w:sz w:val="14"/>
                <w:szCs w:val="14"/>
                <w:color w:val="auto"/>
              </w:rPr>
              <w:t>264,223</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tcPr>
          <w:p>
            <w:pPr>
              <w:jc w:val="right"/>
              <w:ind w:right="148"/>
              <w:spacing w:after="0"/>
              <w:rPr>
                <w:sz w:val="20"/>
                <w:szCs w:val="20"/>
                <w:color w:val="auto"/>
              </w:rPr>
            </w:pPr>
            <w:r>
              <w:rPr>
                <w:rFonts w:ascii="Arial" w:cs="Arial" w:eastAsia="Arial" w:hAnsi="Arial"/>
                <w:sz w:val="14"/>
                <w:szCs w:val="14"/>
                <w:color w:val="auto"/>
              </w:rPr>
              <w:t>291,670</w:t>
            </w:r>
          </w:p>
        </w:tc>
        <w:tc>
          <w:tcPr>
            <w:tcW w:w="0" w:type="dxa"/>
            <w:vAlign w:val="bottom"/>
          </w:tcPr>
          <w:p>
            <w:pPr>
              <w:spacing w:after="0"/>
              <w:rPr>
                <w:sz w:val="1"/>
                <w:szCs w:val="1"/>
                <w:color w:val="auto"/>
              </w:rPr>
            </w:pPr>
          </w:p>
        </w:tc>
      </w:tr>
      <w:tr>
        <w:trPr>
          <w:trHeight w:val="181"/>
        </w:trPr>
        <w:tc>
          <w:tcPr>
            <w:tcW w:w="6660" w:type="dxa"/>
            <w:vAlign w:val="bottom"/>
          </w:tcPr>
          <w:p>
            <w:pPr>
              <w:spacing w:after="0"/>
              <w:rPr>
                <w:sz w:val="20"/>
                <w:szCs w:val="20"/>
                <w:color w:val="auto"/>
              </w:rPr>
            </w:pPr>
            <w:r>
              <w:rPr>
                <w:rFonts w:ascii="Arial" w:cs="Arial" w:eastAsia="Arial" w:hAnsi="Arial"/>
                <w:sz w:val="14"/>
                <w:szCs w:val="14"/>
                <w:color w:val="auto"/>
              </w:rPr>
              <w:t>Goodwill</w:t>
            </w:r>
          </w:p>
        </w:tc>
        <w:tc>
          <w:tcPr>
            <w:tcW w:w="3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714,606</w:t>
            </w:r>
          </w:p>
        </w:tc>
        <w:tc>
          <w:tcPr>
            <w:tcW w:w="4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1,209,376</w:t>
            </w:r>
          </w:p>
        </w:tc>
        <w:tc>
          <w:tcPr>
            <w:tcW w:w="0" w:type="dxa"/>
            <w:vAlign w:val="bottom"/>
          </w:tcPr>
          <w:p>
            <w:pPr>
              <w:spacing w:after="0"/>
              <w:rPr>
                <w:sz w:val="1"/>
                <w:szCs w:val="1"/>
                <w:color w:val="auto"/>
              </w:rPr>
            </w:pPr>
          </w:p>
        </w:tc>
      </w:tr>
      <w:tr>
        <w:trPr>
          <w:trHeight w:val="169"/>
        </w:trPr>
        <w:tc>
          <w:tcPr>
            <w:tcW w:w="6660" w:type="dxa"/>
            <w:vAlign w:val="bottom"/>
          </w:tcPr>
          <w:p>
            <w:pPr>
              <w:ind w:left="620"/>
              <w:spacing w:after="0"/>
              <w:rPr>
                <w:sz w:val="20"/>
                <w:szCs w:val="20"/>
                <w:color w:val="auto"/>
              </w:rPr>
            </w:pPr>
            <w:r>
              <w:rPr>
                <w:rFonts w:ascii="Arial" w:cs="Arial" w:eastAsia="Arial" w:hAnsi="Arial"/>
                <w:sz w:val="14"/>
                <w:szCs w:val="14"/>
                <w:color w:val="auto"/>
              </w:rPr>
              <w:t>Total assets</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2,241,678</w:t>
            </w:r>
          </w:p>
        </w:tc>
        <w:tc>
          <w:tcPr>
            <w:tcW w:w="480" w:type="dxa"/>
            <w:vAlign w:val="bottom"/>
          </w:tcPr>
          <w:p>
            <w:pPr>
              <w:spacing w:after="0"/>
              <w:rPr>
                <w:sz w:val="14"/>
                <w:szCs w:val="14"/>
                <w:color w:val="auto"/>
              </w:rPr>
            </w:pPr>
          </w:p>
        </w:tc>
        <w:tc>
          <w:tcPr>
            <w:tcW w:w="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2,745,797</w:t>
            </w:r>
          </w:p>
        </w:tc>
        <w:tc>
          <w:tcPr>
            <w:tcW w:w="0" w:type="dxa"/>
            <w:vAlign w:val="bottom"/>
          </w:tcPr>
          <w:p>
            <w:pPr>
              <w:spacing w:after="0"/>
              <w:rPr>
                <w:sz w:val="1"/>
                <w:szCs w:val="1"/>
                <w:color w:val="auto"/>
              </w:rPr>
            </w:pPr>
          </w:p>
        </w:tc>
      </w:tr>
      <w:tr>
        <w:trPr>
          <w:trHeight w:val="20"/>
        </w:trPr>
        <w:tc>
          <w:tcPr>
            <w:tcW w:w="6660" w:type="dxa"/>
            <w:vAlign w:val="bottom"/>
            <w:vMerge w:val="restart"/>
          </w:tcPr>
          <w:p>
            <w:pPr>
              <w:ind w:left="1560"/>
              <w:spacing w:after="0"/>
              <w:rPr>
                <w:sz w:val="20"/>
                <w:szCs w:val="20"/>
                <w:color w:val="auto"/>
              </w:rPr>
            </w:pPr>
            <w:r>
              <w:rPr>
                <w:rFonts w:ascii="Arial" w:cs="Arial" w:eastAsia="Arial" w:hAnsi="Arial"/>
                <w:sz w:val="14"/>
                <w:szCs w:val="14"/>
                <w:b w:val="1"/>
                <w:bCs w:val="1"/>
                <w:color w:val="auto"/>
              </w:rPr>
              <w:t>LIABILITIES AND SHAREHOLDERS' EQUITY</w:t>
            </w:r>
          </w:p>
        </w:tc>
        <w:tc>
          <w:tcPr>
            <w:tcW w:w="3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66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660" w:type="dxa"/>
            <w:vAlign w:val="bottom"/>
          </w:tcPr>
          <w:p>
            <w:pPr>
              <w:spacing w:after="0"/>
              <w:rPr>
                <w:sz w:val="20"/>
                <w:szCs w:val="20"/>
                <w:color w:val="auto"/>
              </w:rPr>
            </w:pPr>
            <w:r>
              <w:rPr>
                <w:rFonts w:ascii="Arial" w:cs="Arial" w:eastAsia="Arial" w:hAnsi="Arial"/>
                <w:sz w:val="14"/>
                <w:szCs w:val="14"/>
                <w:color w:val="auto"/>
              </w:rPr>
              <w:t>Current liabilities</w:t>
            </w:r>
          </w:p>
        </w:tc>
        <w:tc>
          <w:tcPr>
            <w:tcW w:w="3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60" w:type="dxa"/>
            <w:vAlign w:val="bottom"/>
          </w:tcPr>
          <w:p>
            <w:pPr>
              <w:ind w:left="420"/>
              <w:spacing w:after="0"/>
              <w:rPr>
                <w:sz w:val="20"/>
                <w:szCs w:val="20"/>
                <w:color w:val="auto"/>
              </w:rPr>
            </w:pPr>
            <w:r>
              <w:rPr>
                <w:rFonts w:ascii="Arial" w:cs="Arial" w:eastAsia="Arial" w:hAnsi="Arial"/>
                <w:sz w:val="14"/>
                <w:szCs w:val="14"/>
                <w:color w:val="auto"/>
              </w:rPr>
              <w:t>Accounts payable</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48"/>
              <w:spacing w:after="0"/>
              <w:rPr>
                <w:sz w:val="20"/>
                <w:szCs w:val="20"/>
                <w:color w:val="auto"/>
              </w:rPr>
            </w:pPr>
            <w:r>
              <w:rPr>
                <w:rFonts w:ascii="Arial" w:cs="Arial" w:eastAsia="Arial" w:hAnsi="Arial"/>
                <w:sz w:val="14"/>
                <w:szCs w:val="14"/>
                <w:color w:val="auto"/>
              </w:rPr>
              <w:t>260,148</w:t>
            </w:r>
          </w:p>
        </w:tc>
        <w:tc>
          <w:tcPr>
            <w:tcW w:w="8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148"/>
              <w:spacing w:after="0"/>
              <w:rPr>
                <w:sz w:val="20"/>
                <w:szCs w:val="20"/>
                <w:color w:val="auto"/>
              </w:rPr>
            </w:pPr>
            <w:r>
              <w:rPr>
                <w:rFonts w:ascii="Arial" w:cs="Arial" w:eastAsia="Arial" w:hAnsi="Arial"/>
                <w:sz w:val="14"/>
                <w:szCs w:val="14"/>
                <w:color w:val="auto"/>
              </w:rPr>
              <w:t>241,949</w:t>
            </w:r>
          </w:p>
        </w:tc>
        <w:tc>
          <w:tcPr>
            <w:tcW w:w="0" w:type="dxa"/>
            <w:vAlign w:val="bottom"/>
          </w:tcPr>
          <w:p>
            <w:pPr>
              <w:spacing w:after="0"/>
              <w:rPr>
                <w:sz w:val="1"/>
                <w:szCs w:val="1"/>
                <w:color w:val="auto"/>
              </w:rPr>
            </w:pPr>
          </w:p>
        </w:tc>
      </w:tr>
      <w:tr>
        <w:trPr>
          <w:trHeight w:val="176"/>
        </w:trPr>
        <w:tc>
          <w:tcPr>
            <w:tcW w:w="6660" w:type="dxa"/>
            <w:vAlign w:val="bottom"/>
          </w:tcPr>
          <w:p>
            <w:pPr>
              <w:ind w:left="420"/>
              <w:spacing w:after="0"/>
              <w:rPr>
                <w:sz w:val="20"/>
                <w:szCs w:val="20"/>
                <w:color w:val="auto"/>
              </w:rPr>
            </w:pPr>
            <w:r>
              <w:rPr>
                <w:rFonts w:ascii="Arial" w:cs="Arial" w:eastAsia="Arial" w:hAnsi="Arial"/>
                <w:sz w:val="14"/>
                <w:szCs w:val="14"/>
                <w:color w:val="auto"/>
              </w:rPr>
              <w:t>Other current liabilities</w:t>
            </w:r>
          </w:p>
        </w:tc>
        <w:tc>
          <w:tcPr>
            <w:tcW w:w="340" w:type="dxa"/>
            <w:vAlign w:val="bottom"/>
          </w:tcPr>
          <w:p>
            <w:pPr>
              <w:spacing w:after="0"/>
              <w:rPr>
                <w:sz w:val="15"/>
                <w:szCs w:val="15"/>
                <w:color w:val="auto"/>
              </w:rPr>
            </w:pPr>
          </w:p>
        </w:tc>
        <w:tc>
          <w:tcPr>
            <w:tcW w:w="1800" w:type="dxa"/>
            <w:vAlign w:val="bottom"/>
          </w:tcPr>
          <w:p>
            <w:pPr>
              <w:jc w:val="right"/>
              <w:ind w:right="148"/>
              <w:spacing w:after="0"/>
              <w:rPr>
                <w:sz w:val="20"/>
                <w:szCs w:val="20"/>
                <w:color w:val="auto"/>
              </w:rPr>
            </w:pPr>
            <w:r>
              <w:rPr>
                <w:rFonts w:ascii="Arial" w:cs="Arial" w:eastAsia="Arial" w:hAnsi="Arial"/>
                <w:sz w:val="14"/>
                <w:szCs w:val="14"/>
                <w:color w:val="auto"/>
              </w:rPr>
              <w:t>31,198</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tcPr>
          <w:p>
            <w:pPr>
              <w:jc w:val="right"/>
              <w:ind w:right="148"/>
              <w:spacing w:after="0"/>
              <w:rPr>
                <w:sz w:val="20"/>
                <w:szCs w:val="20"/>
                <w:color w:val="auto"/>
              </w:rPr>
            </w:pPr>
            <w:r>
              <w:rPr>
                <w:rFonts w:ascii="Arial" w:cs="Arial" w:eastAsia="Arial" w:hAnsi="Arial"/>
                <w:sz w:val="14"/>
                <w:szCs w:val="14"/>
                <w:color w:val="auto"/>
              </w:rPr>
              <w:t>49,690</w:t>
            </w:r>
          </w:p>
        </w:tc>
        <w:tc>
          <w:tcPr>
            <w:tcW w:w="0" w:type="dxa"/>
            <w:vAlign w:val="bottom"/>
          </w:tcPr>
          <w:p>
            <w:pPr>
              <w:spacing w:after="0"/>
              <w:rPr>
                <w:sz w:val="1"/>
                <w:szCs w:val="1"/>
                <w:color w:val="auto"/>
              </w:rPr>
            </w:pPr>
          </w:p>
        </w:tc>
      </w:tr>
      <w:tr>
        <w:trPr>
          <w:trHeight w:val="176"/>
        </w:trPr>
        <w:tc>
          <w:tcPr>
            <w:tcW w:w="6660" w:type="dxa"/>
            <w:vAlign w:val="bottom"/>
          </w:tcPr>
          <w:p>
            <w:pPr>
              <w:ind w:left="420"/>
              <w:spacing w:after="0"/>
              <w:rPr>
                <w:sz w:val="20"/>
                <w:szCs w:val="20"/>
                <w:color w:val="auto"/>
              </w:rPr>
            </w:pPr>
            <w:r>
              <w:rPr>
                <w:rFonts w:ascii="Arial" w:cs="Arial" w:eastAsia="Arial" w:hAnsi="Arial"/>
                <w:sz w:val="14"/>
                <w:szCs w:val="14"/>
                <w:color w:val="auto"/>
              </w:rPr>
              <w:t>Wages and benefits payable</w:t>
            </w:r>
          </w:p>
        </w:tc>
        <w:tc>
          <w:tcPr>
            <w:tcW w:w="340" w:type="dxa"/>
            <w:vAlign w:val="bottom"/>
          </w:tcPr>
          <w:p>
            <w:pPr>
              <w:spacing w:after="0"/>
              <w:rPr>
                <w:sz w:val="15"/>
                <w:szCs w:val="15"/>
                <w:color w:val="auto"/>
              </w:rPr>
            </w:pPr>
          </w:p>
        </w:tc>
        <w:tc>
          <w:tcPr>
            <w:tcW w:w="1800" w:type="dxa"/>
            <w:vAlign w:val="bottom"/>
          </w:tcPr>
          <w:p>
            <w:pPr>
              <w:jc w:val="right"/>
              <w:ind w:right="148"/>
              <w:spacing w:after="0"/>
              <w:rPr>
                <w:sz w:val="20"/>
                <w:szCs w:val="20"/>
                <w:color w:val="auto"/>
              </w:rPr>
            </w:pPr>
            <w:r>
              <w:rPr>
                <w:rFonts w:ascii="Arial" w:cs="Arial" w:eastAsia="Arial" w:hAnsi="Arial"/>
                <w:sz w:val="14"/>
                <w:szCs w:val="14"/>
                <w:color w:val="auto"/>
              </w:rPr>
              <w:t>83,173</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tcPr>
          <w:p>
            <w:pPr>
              <w:jc w:val="right"/>
              <w:ind w:right="148"/>
              <w:spacing w:after="0"/>
              <w:rPr>
                <w:sz w:val="20"/>
                <w:szCs w:val="20"/>
                <w:color w:val="auto"/>
              </w:rPr>
            </w:pPr>
            <w:r>
              <w:rPr>
                <w:rFonts w:ascii="Arial" w:cs="Arial" w:eastAsia="Arial" w:hAnsi="Arial"/>
                <w:sz w:val="14"/>
                <w:szCs w:val="14"/>
                <w:color w:val="auto"/>
              </w:rPr>
              <w:t>110,479</w:t>
            </w:r>
          </w:p>
        </w:tc>
        <w:tc>
          <w:tcPr>
            <w:tcW w:w="0" w:type="dxa"/>
            <w:vAlign w:val="bottom"/>
          </w:tcPr>
          <w:p>
            <w:pPr>
              <w:spacing w:after="0"/>
              <w:rPr>
                <w:sz w:val="1"/>
                <w:szCs w:val="1"/>
                <w:color w:val="auto"/>
              </w:rPr>
            </w:pPr>
          </w:p>
        </w:tc>
      </w:tr>
      <w:tr>
        <w:trPr>
          <w:trHeight w:val="176"/>
        </w:trPr>
        <w:tc>
          <w:tcPr>
            <w:tcW w:w="6660" w:type="dxa"/>
            <w:vAlign w:val="bottom"/>
          </w:tcPr>
          <w:p>
            <w:pPr>
              <w:ind w:left="420"/>
              <w:spacing w:after="0"/>
              <w:rPr>
                <w:sz w:val="20"/>
                <w:szCs w:val="20"/>
                <w:color w:val="auto"/>
              </w:rPr>
            </w:pPr>
            <w:r>
              <w:rPr>
                <w:rFonts w:ascii="Arial" w:cs="Arial" w:eastAsia="Arial" w:hAnsi="Arial"/>
                <w:sz w:val="14"/>
                <w:szCs w:val="14"/>
                <w:color w:val="auto"/>
              </w:rPr>
              <w:t>Taxes payable</w:t>
            </w:r>
          </w:p>
        </w:tc>
        <w:tc>
          <w:tcPr>
            <w:tcW w:w="340" w:type="dxa"/>
            <w:vAlign w:val="bottom"/>
          </w:tcPr>
          <w:p>
            <w:pPr>
              <w:spacing w:after="0"/>
              <w:rPr>
                <w:sz w:val="15"/>
                <w:szCs w:val="15"/>
                <w:color w:val="auto"/>
              </w:rPr>
            </w:pPr>
          </w:p>
        </w:tc>
        <w:tc>
          <w:tcPr>
            <w:tcW w:w="1800" w:type="dxa"/>
            <w:vAlign w:val="bottom"/>
          </w:tcPr>
          <w:p>
            <w:pPr>
              <w:jc w:val="right"/>
              <w:ind w:right="148"/>
              <w:spacing w:after="0"/>
              <w:rPr>
                <w:sz w:val="20"/>
                <w:szCs w:val="20"/>
                <w:color w:val="auto"/>
              </w:rPr>
            </w:pPr>
            <w:r>
              <w:rPr>
                <w:rFonts w:ascii="Arial" w:cs="Arial" w:eastAsia="Arial" w:hAnsi="Arial"/>
                <w:sz w:val="14"/>
                <w:szCs w:val="14"/>
                <w:color w:val="auto"/>
              </w:rPr>
              <w:t>23,812</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tcPr>
          <w:p>
            <w:pPr>
              <w:jc w:val="right"/>
              <w:ind w:right="148"/>
              <w:spacing w:after="0"/>
              <w:rPr>
                <w:sz w:val="20"/>
                <w:szCs w:val="20"/>
                <w:color w:val="auto"/>
              </w:rPr>
            </w:pPr>
            <w:r>
              <w:rPr>
                <w:rFonts w:ascii="Arial" w:cs="Arial" w:eastAsia="Arial" w:hAnsi="Arial"/>
                <w:sz w:val="14"/>
                <w:szCs w:val="14"/>
                <w:color w:val="auto"/>
              </w:rPr>
              <w:t>19,725</w:t>
            </w:r>
          </w:p>
        </w:tc>
        <w:tc>
          <w:tcPr>
            <w:tcW w:w="0" w:type="dxa"/>
            <w:vAlign w:val="bottom"/>
          </w:tcPr>
          <w:p>
            <w:pPr>
              <w:spacing w:after="0"/>
              <w:rPr>
                <w:sz w:val="1"/>
                <w:szCs w:val="1"/>
                <w:color w:val="auto"/>
              </w:rPr>
            </w:pPr>
          </w:p>
        </w:tc>
      </w:tr>
      <w:tr>
        <w:trPr>
          <w:trHeight w:val="176"/>
        </w:trPr>
        <w:tc>
          <w:tcPr>
            <w:tcW w:w="6660" w:type="dxa"/>
            <w:vAlign w:val="bottom"/>
          </w:tcPr>
          <w:p>
            <w:pPr>
              <w:ind w:left="420"/>
              <w:spacing w:after="0"/>
              <w:rPr>
                <w:sz w:val="20"/>
                <w:szCs w:val="20"/>
                <w:color w:val="auto"/>
              </w:rPr>
            </w:pPr>
            <w:r>
              <w:rPr>
                <w:rFonts w:ascii="Arial" w:cs="Arial" w:eastAsia="Arial" w:hAnsi="Arial"/>
                <w:sz w:val="14"/>
                <w:szCs w:val="14"/>
                <w:color w:val="auto"/>
              </w:rPr>
              <w:t>Current portion of debt</w:t>
            </w:r>
          </w:p>
        </w:tc>
        <w:tc>
          <w:tcPr>
            <w:tcW w:w="340" w:type="dxa"/>
            <w:vAlign w:val="bottom"/>
          </w:tcPr>
          <w:p>
            <w:pPr>
              <w:spacing w:after="0"/>
              <w:rPr>
                <w:sz w:val="15"/>
                <w:szCs w:val="15"/>
                <w:color w:val="auto"/>
              </w:rPr>
            </w:pPr>
          </w:p>
        </w:tc>
        <w:tc>
          <w:tcPr>
            <w:tcW w:w="1800" w:type="dxa"/>
            <w:vAlign w:val="bottom"/>
          </w:tcPr>
          <w:p>
            <w:pPr>
              <w:jc w:val="right"/>
              <w:ind w:right="148"/>
              <w:spacing w:after="0"/>
              <w:rPr>
                <w:sz w:val="20"/>
                <w:szCs w:val="20"/>
                <w:color w:val="auto"/>
              </w:rPr>
            </w:pPr>
            <w:r>
              <w:rPr>
                <w:rFonts w:ascii="Arial" w:cs="Arial" w:eastAsia="Arial" w:hAnsi="Arial"/>
                <w:sz w:val="14"/>
                <w:szCs w:val="14"/>
                <w:color w:val="auto"/>
              </w:rPr>
              <w:t>15,000</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tcPr>
          <w:p>
            <w:pPr>
              <w:jc w:val="right"/>
              <w:ind w:right="148"/>
              <w:spacing w:after="0"/>
              <w:rPr>
                <w:sz w:val="20"/>
                <w:szCs w:val="20"/>
                <w:color w:val="auto"/>
              </w:rPr>
            </w:pPr>
            <w:r>
              <w:rPr>
                <w:rFonts w:ascii="Arial" w:cs="Arial" w:eastAsia="Arial" w:hAnsi="Arial"/>
                <w:sz w:val="14"/>
                <w:szCs w:val="14"/>
                <w:color w:val="auto"/>
              </w:rPr>
              <w:t>228,721</w:t>
            </w:r>
          </w:p>
        </w:tc>
        <w:tc>
          <w:tcPr>
            <w:tcW w:w="0" w:type="dxa"/>
            <w:vAlign w:val="bottom"/>
          </w:tcPr>
          <w:p>
            <w:pPr>
              <w:spacing w:after="0"/>
              <w:rPr>
                <w:sz w:val="1"/>
                <w:szCs w:val="1"/>
                <w:color w:val="auto"/>
              </w:rPr>
            </w:pPr>
          </w:p>
        </w:tc>
      </w:tr>
      <w:tr>
        <w:trPr>
          <w:trHeight w:val="176"/>
        </w:trPr>
        <w:tc>
          <w:tcPr>
            <w:tcW w:w="6660" w:type="dxa"/>
            <w:vAlign w:val="bottom"/>
          </w:tcPr>
          <w:p>
            <w:pPr>
              <w:ind w:left="420"/>
              <w:spacing w:after="0"/>
              <w:rPr>
                <w:sz w:val="20"/>
                <w:szCs w:val="20"/>
                <w:color w:val="auto"/>
              </w:rPr>
            </w:pPr>
            <w:r>
              <w:rPr>
                <w:rFonts w:ascii="Arial" w:cs="Arial" w:eastAsia="Arial" w:hAnsi="Arial"/>
                <w:sz w:val="14"/>
                <w:szCs w:val="14"/>
                <w:color w:val="auto"/>
              </w:rPr>
              <w:t>Current portion of warranty</w:t>
            </w:r>
          </w:p>
        </w:tc>
        <w:tc>
          <w:tcPr>
            <w:tcW w:w="340" w:type="dxa"/>
            <w:vAlign w:val="bottom"/>
          </w:tcPr>
          <w:p>
            <w:pPr>
              <w:spacing w:after="0"/>
              <w:rPr>
                <w:sz w:val="15"/>
                <w:szCs w:val="15"/>
                <w:color w:val="auto"/>
              </w:rPr>
            </w:pPr>
          </w:p>
        </w:tc>
        <w:tc>
          <w:tcPr>
            <w:tcW w:w="1800" w:type="dxa"/>
            <w:vAlign w:val="bottom"/>
          </w:tcPr>
          <w:p>
            <w:pPr>
              <w:jc w:val="right"/>
              <w:ind w:right="148"/>
              <w:spacing w:after="0"/>
              <w:rPr>
                <w:sz w:val="20"/>
                <w:szCs w:val="20"/>
                <w:color w:val="auto"/>
              </w:rPr>
            </w:pPr>
            <w:r>
              <w:rPr>
                <w:rFonts w:ascii="Arial" w:cs="Arial" w:eastAsia="Arial" w:hAnsi="Arial"/>
                <w:sz w:val="14"/>
                <w:szCs w:val="14"/>
                <w:color w:val="auto"/>
              </w:rPr>
              <w:t>50,798</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tcPr>
          <w:p>
            <w:pPr>
              <w:jc w:val="right"/>
              <w:ind w:right="148"/>
              <w:spacing w:after="0"/>
              <w:rPr>
                <w:sz w:val="20"/>
                <w:szCs w:val="20"/>
                <w:color w:val="auto"/>
              </w:rPr>
            </w:pPr>
            <w:r>
              <w:rPr>
                <w:rFonts w:ascii="Arial" w:cs="Arial" w:eastAsia="Arial" w:hAnsi="Arial"/>
                <w:sz w:val="14"/>
                <w:szCs w:val="14"/>
                <w:color w:val="auto"/>
              </w:rPr>
              <w:t>24,912</w:t>
            </w:r>
          </w:p>
        </w:tc>
        <w:tc>
          <w:tcPr>
            <w:tcW w:w="0" w:type="dxa"/>
            <w:vAlign w:val="bottom"/>
          </w:tcPr>
          <w:p>
            <w:pPr>
              <w:spacing w:after="0"/>
              <w:rPr>
                <w:sz w:val="1"/>
                <w:szCs w:val="1"/>
                <w:color w:val="auto"/>
              </w:rPr>
            </w:pPr>
          </w:p>
        </w:tc>
      </w:tr>
      <w:tr>
        <w:trPr>
          <w:trHeight w:val="181"/>
        </w:trPr>
        <w:tc>
          <w:tcPr>
            <w:tcW w:w="6660" w:type="dxa"/>
            <w:vAlign w:val="bottom"/>
          </w:tcPr>
          <w:p>
            <w:pPr>
              <w:ind w:left="420"/>
              <w:spacing w:after="0"/>
              <w:rPr>
                <w:sz w:val="20"/>
                <w:szCs w:val="20"/>
                <w:color w:val="auto"/>
              </w:rPr>
            </w:pPr>
            <w:r>
              <w:rPr>
                <w:rFonts w:ascii="Arial" w:cs="Arial" w:eastAsia="Arial" w:hAnsi="Arial"/>
                <w:sz w:val="14"/>
                <w:szCs w:val="14"/>
                <w:color w:val="auto"/>
              </w:rPr>
              <w:t>Unearned revenue</w:t>
            </w:r>
          </w:p>
        </w:tc>
        <w:tc>
          <w:tcPr>
            <w:tcW w:w="3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43,814</w:t>
            </w:r>
          </w:p>
        </w:tc>
        <w:tc>
          <w:tcPr>
            <w:tcW w:w="4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28,258</w:t>
            </w:r>
          </w:p>
        </w:tc>
        <w:tc>
          <w:tcPr>
            <w:tcW w:w="0" w:type="dxa"/>
            <w:vAlign w:val="bottom"/>
          </w:tcPr>
          <w:p>
            <w:pPr>
              <w:spacing w:after="0"/>
              <w:rPr>
                <w:sz w:val="1"/>
                <w:szCs w:val="1"/>
                <w:color w:val="auto"/>
              </w:rPr>
            </w:pPr>
          </w:p>
        </w:tc>
      </w:tr>
      <w:tr>
        <w:trPr>
          <w:trHeight w:val="176"/>
        </w:trPr>
        <w:tc>
          <w:tcPr>
            <w:tcW w:w="6660" w:type="dxa"/>
            <w:vAlign w:val="bottom"/>
          </w:tcPr>
          <w:p>
            <w:pPr>
              <w:ind w:left="620"/>
              <w:spacing w:after="0"/>
              <w:rPr>
                <w:sz w:val="20"/>
                <w:szCs w:val="20"/>
                <w:color w:val="auto"/>
              </w:rPr>
            </w:pPr>
            <w:r>
              <w:rPr>
                <w:rFonts w:ascii="Arial" w:cs="Arial" w:eastAsia="Arial" w:hAnsi="Arial"/>
                <w:sz w:val="14"/>
                <w:szCs w:val="14"/>
                <w:color w:val="auto"/>
              </w:rPr>
              <w:t>Total current liabilities</w:t>
            </w:r>
          </w:p>
        </w:tc>
        <w:tc>
          <w:tcPr>
            <w:tcW w:w="340" w:type="dxa"/>
            <w:vAlign w:val="bottom"/>
          </w:tcPr>
          <w:p>
            <w:pPr>
              <w:spacing w:after="0"/>
              <w:rPr>
                <w:sz w:val="15"/>
                <w:szCs w:val="15"/>
                <w:color w:val="auto"/>
              </w:rPr>
            </w:pPr>
          </w:p>
        </w:tc>
        <w:tc>
          <w:tcPr>
            <w:tcW w:w="1800" w:type="dxa"/>
            <w:vAlign w:val="bottom"/>
          </w:tcPr>
          <w:p>
            <w:pPr>
              <w:jc w:val="right"/>
              <w:ind w:right="148"/>
              <w:spacing w:after="0"/>
              <w:rPr>
                <w:sz w:val="20"/>
                <w:szCs w:val="20"/>
                <w:color w:val="auto"/>
              </w:rPr>
            </w:pPr>
            <w:r>
              <w:rPr>
                <w:rFonts w:ascii="Arial" w:cs="Arial" w:eastAsia="Arial" w:hAnsi="Arial"/>
                <w:sz w:val="14"/>
                <w:szCs w:val="14"/>
                <w:color w:val="auto"/>
              </w:rPr>
              <w:t>507,943</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tcPr>
          <w:p>
            <w:pPr>
              <w:jc w:val="right"/>
              <w:ind w:right="148"/>
              <w:spacing w:after="0"/>
              <w:rPr>
                <w:sz w:val="20"/>
                <w:szCs w:val="20"/>
                <w:color w:val="auto"/>
              </w:rPr>
            </w:pPr>
            <w:r>
              <w:rPr>
                <w:rFonts w:ascii="Arial" w:cs="Arial" w:eastAsia="Arial" w:hAnsi="Arial"/>
                <w:sz w:val="14"/>
                <w:szCs w:val="14"/>
                <w:color w:val="auto"/>
              </w:rPr>
              <w:t>703,734</w:t>
            </w:r>
          </w:p>
        </w:tc>
        <w:tc>
          <w:tcPr>
            <w:tcW w:w="0" w:type="dxa"/>
            <w:vAlign w:val="bottom"/>
          </w:tcPr>
          <w:p>
            <w:pPr>
              <w:spacing w:after="0"/>
              <w:rPr>
                <w:sz w:val="1"/>
                <w:szCs w:val="1"/>
                <w:color w:val="auto"/>
              </w:rPr>
            </w:pPr>
          </w:p>
        </w:tc>
      </w:tr>
      <w:tr>
        <w:trPr>
          <w:trHeight w:val="339"/>
        </w:trPr>
        <w:tc>
          <w:tcPr>
            <w:tcW w:w="6660" w:type="dxa"/>
            <w:vAlign w:val="bottom"/>
          </w:tcPr>
          <w:p>
            <w:pPr>
              <w:spacing w:after="0"/>
              <w:rPr>
                <w:sz w:val="20"/>
                <w:szCs w:val="20"/>
                <w:color w:val="auto"/>
              </w:rPr>
            </w:pPr>
            <w:r>
              <w:rPr>
                <w:rFonts w:ascii="Arial" w:cs="Arial" w:eastAsia="Arial" w:hAnsi="Arial"/>
                <w:sz w:val="14"/>
                <w:szCs w:val="14"/>
                <w:color w:val="auto"/>
              </w:rPr>
              <w:t>Long-term debt</w:t>
            </w:r>
          </w:p>
        </w:tc>
        <w:tc>
          <w:tcPr>
            <w:tcW w:w="340" w:type="dxa"/>
            <w:vAlign w:val="bottom"/>
          </w:tcPr>
          <w:p>
            <w:pPr>
              <w:spacing w:after="0"/>
              <w:rPr>
                <w:sz w:val="24"/>
                <w:szCs w:val="24"/>
                <w:color w:val="auto"/>
              </w:rPr>
            </w:pPr>
          </w:p>
        </w:tc>
        <w:tc>
          <w:tcPr>
            <w:tcW w:w="1800" w:type="dxa"/>
            <w:vAlign w:val="bottom"/>
          </w:tcPr>
          <w:p>
            <w:pPr>
              <w:jc w:val="right"/>
              <w:ind w:right="148"/>
              <w:spacing w:after="0"/>
              <w:rPr>
                <w:sz w:val="20"/>
                <w:szCs w:val="20"/>
                <w:color w:val="auto"/>
              </w:rPr>
            </w:pPr>
            <w:r>
              <w:rPr>
                <w:rFonts w:ascii="Arial" w:cs="Arial" w:eastAsia="Arial" w:hAnsi="Arial"/>
                <w:sz w:val="14"/>
                <w:szCs w:val="14"/>
                <w:color w:val="auto"/>
              </w:rPr>
              <w:t>481,252</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jc w:val="right"/>
              <w:ind w:right="148"/>
              <w:spacing w:after="0"/>
              <w:rPr>
                <w:sz w:val="20"/>
                <w:szCs w:val="20"/>
                <w:color w:val="auto"/>
              </w:rPr>
            </w:pPr>
            <w:r>
              <w:rPr>
                <w:rFonts w:ascii="Arial" w:cs="Arial" w:eastAsia="Arial" w:hAnsi="Arial"/>
                <w:sz w:val="14"/>
                <w:szCs w:val="14"/>
                <w:color w:val="auto"/>
              </w:rPr>
              <w:t>382,220</w:t>
            </w:r>
          </w:p>
        </w:tc>
        <w:tc>
          <w:tcPr>
            <w:tcW w:w="0" w:type="dxa"/>
            <w:vAlign w:val="bottom"/>
          </w:tcPr>
          <w:p>
            <w:pPr>
              <w:spacing w:after="0"/>
              <w:rPr>
                <w:sz w:val="1"/>
                <w:szCs w:val="1"/>
                <w:color w:val="auto"/>
              </w:rPr>
            </w:pPr>
          </w:p>
        </w:tc>
      </w:tr>
      <w:tr>
        <w:trPr>
          <w:trHeight w:val="176"/>
        </w:trPr>
        <w:tc>
          <w:tcPr>
            <w:tcW w:w="6660" w:type="dxa"/>
            <w:vAlign w:val="bottom"/>
          </w:tcPr>
          <w:p>
            <w:pPr>
              <w:spacing w:after="0"/>
              <w:rPr>
                <w:sz w:val="20"/>
                <w:szCs w:val="20"/>
                <w:color w:val="auto"/>
              </w:rPr>
            </w:pPr>
            <w:r>
              <w:rPr>
                <w:rFonts w:ascii="Arial" w:cs="Arial" w:eastAsia="Arial" w:hAnsi="Arial"/>
                <w:sz w:val="14"/>
                <w:szCs w:val="14"/>
                <w:color w:val="auto"/>
              </w:rPr>
              <w:t>Long-term warranty</w:t>
            </w:r>
          </w:p>
        </w:tc>
        <w:tc>
          <w:tcPr>
            <w:tcW w:w="340" w:type="dxa"/>
            <w:vAlign w:val="bottom"/>
          </w:tcPr>
          <w:p>
            <w:pPr>
              <w:spacing w:after="0"/>
              <w:rPr>
                <w:sz w:val="15"/>
                <w:szCs w:val="15"/>
                <w:color w:val="auto"/>
              </w:rPr>
            </w:pPr>
          </w:p>
        </w:tc>
        <w:tc>
          <w:tcPr>
            <w:tcW w:w="1800" w:type="dxa"/>
            <w:vAlign w:val="bottom"/>
          </w:tcPr>
          <w:p>
            <w:pPr>
              <w:jc w:val="right"/>
              <w:ind w:right="148"/>
              <w:spacing w:after="0"/>
              <w:rPr>
                <w:sz w:val="20"/>
                <w:szCs w:val="20"/>
                <w:color w:val="auto"/>
              </w:rPr>
            </w:pPr>
            <w:r>
              <w:rPr>
                <w:rFonts w:ascii="Arial" w:cs="Arial" w:eastAsia="Arial" w:hAnsi="Arial"/>
                <w:sz w:val="14"/>
                <w:szCs w:val="14"/>
                <w:color w:val="auto"/>
              </w:rPr>
              <w:t>28,234</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tcPr>
          <w:p>
            <w:pPr>
              <w:jc w:val="right"/>
              <w:ind w:right="148"/>
              <w:spacing w:after="0"/>
              <w:rPr>
                <w:sz w:val="20"/>
                <w:szCs w:val="20"/>
                <w:color w:val="auto"/>
              </w:rPr>
            </w:pPr>
            <w:r>
              <w:rPr>
                <w:rFonts w:ascii="Arial" w:cs="Arial" w:eastAsia="Arial" w:hAnsi="Arial"/>
                <w:sz w:val="14"/>
                <w:szCs w:val="14"/>
                <w:color w:val="auto"/>
              </w:rPr>
              <w:t>26,371</w:t>
            </w:r>
          </w:p>
        </w:tc>
        <w:tc>
          <w:tcPr>
            <w:tcW w:w="0" w:type="dxa"/>
            <w:vAlign w:val="bottom"/>
          </w:tcPr>
          <w:p>
            <w:pPr>
              <w:spacing w:after="0"/>
              <w:rPr>
                <w:sz w:val="1"/>
                <w:szCs w:val="1"/>
                <w:color w:val="auto"/>
              </w:rPr>
            </w:pPr>
          </w:p>
        </w:tc>
      </w:tr>
      <w:tr>
        <w:trPr>
          <w:trHeight w:val="176"/>
        </w:trPr>
        <w:tc>
          <w:tcPr>
            <w:tcW w:w="6660" w:type="dxa"/>
            <w:vAlign w:val="bottom"/>
          </w:tcPr>
          <w:p>
            <w:pPr>
              <w:spacing w:after="0"/>
              <w:rPr>
                <w:sz w:val="20"/>
                <w:szCs w:val="20"/>
                <w:color w:val="auto"/>
              </w:rPr>
            </w:pPr>
            <w:r>
              <w:rPr>
                <w:rFonts w:ascii="Arial" w:cs="Arial" w:eastAsia="Arial" w:hAnsi="Arial"/>
                <w:sz w:val="14"/>
                <w:szCs w:val="14"/>
                <w:color w:val="auto"/>
              </w:rPr>
              <w:t>Pension plan benefit liability</w:t>
            </w:r>
          </w:p>
        </w:tc>
        <w:tc>
          <w:tcPr>
            <w:tcW w:w="340" w:type="dxa"/>
            <w:vAlign w:val="bottom"/>
          </w:tcPr>
          <w:p>
            <w:pPr>
              <w:spacing w:after="0"/>
              <w:rPr>
                <w:sz w:val="15"/>
                <w:szCs w:val="15"/>
                <w:color w:val="auto"/>
              </w:rPr>
            </w:pPr>
          </w:p>
        </w:tc>
        <w:tc>
          <w:tcPr>
            <w:tcW w:w="1800" w:type="dxa"/>
            <w:vAlign w:val="bottom"/>
          </w:tcPr>
          <w:p>
            <w:pPr>
              <w:jc w:val="right"/>
              <w:ind w:right="148"/>
              <w:spacing w:after="0"/>
              <w:rPr>
                <w:sz w:val="20"/>
                <w:szCs w:val="20"/>
                <w:color w:val="auto"/>
              </w:rPr>
            </w:pPr>
            <w:r>
              <w:rPr>
                <w:rFonts w:ascii="Arial" w:cs="Arial" w:eastAsia="Arial" w:hAnsi="Arial"/>
                <w:sz w:val="14"/>
                <w:szCs w:val="14"/>
                <w:color w:val="auto"/>
              </w:rPr>
              <w:t>66,550</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tcPr>
          <w:p>
            <w:pPr>
              <w:jc w:val="right"/>
              <w:ind w:right="148"/>
              <w:spacing w:after="0"/>
              <w:rPr>
                <w:sz w:val="20"/>
                <w:szCs w:val="20"/>
                <w:color w:val="auto"/>
              </w:rPr>
            </w:pPr>
            <w:r>
              <w:rPr>
                <w:rFonts w:ascii="Arial" w:cs="Arial" w:eastAsia="Arial" w:hAnsi="Arial"/>
                <w:sz w:val="14"/>
                <w:szCs w:val="14"/>
                <w:color w:val="auto"/>
              </w:rPr>
              <w:t>61,450</w:t>
            </w:r>
          </w:p>
        </w:tc>
        <w:tc>
          <w:tcPr>
            <w:tcW w:w="0" w:type="dxa"/>
            <w:vAlign w:val="bottom"/>
          </w:tcPr>
          <w:p>
            <w:pPr>
              <w:spacing w:after="0"/>
              <w:rPr>
                <w:sz w:val="1"/>
                <w:szCs w:val="1"/>
                <w:color w:val="auto"/>
              </w:rPr>
            </w:pPr>
          </w:p>
        </w:tc>
      </w:tr>
      <w:tr>
        <w:trPr>
          <w:trHeight w:val="176"/>
        </w:trPr>
        <w:tc>
          <w:tcPr>
            <w:tcW w:w="6660" w:type="dxa"/>
            <w:vAlign w:val="bottom"/>
          </w:tcPr>
          <w:p>
            <w:pPr>
              <w:spacing w:after="0"/>
              <w:rPr>
                <w:sz w:val="20"/>
                <w:szCs w:val="20"/>
                <w:color w:val="auto"/>
              </w:rPr>
            </w:pPr>
            <w:r>
              <w:rPr>
                <w:rFonts w:ascii="Arial" w:cs="Arial" w:eastAsia="Arial" w:hAnsi="Arial"/>
                <w:sz w:val="14"/>
                <w:szCs w:val="14"/>
                <w:color w:val="auto"/>
              </w:rPr>
              <w:t>Deferred tax liabilities noncurrent, net</w:t>
            </w:r>
          </w:p>
        </w:tc>
        <w:tc>
          <w:tcPr>
            <w:tcW w:w="340" w:type="dxa"/>
            <w:vAlign w:val="bottom"/>
          </w:tcPr>
          <w:p>
            <w:pPr>
              <w:spacing w:after="0"/>
              <w:rPr>
                <w:sz w:val="15"/>
                <w:szCs w:val="15"/>
                <w:color w:val="auto"/>
              </w:rPr>
            </w:pPr>
          </w:p>
        </w:tc>
        <w:tc>
          <w:tcPr>
            <w:tcW w:w="1800" w:type="dxa"/>
            <w:vAlign w:val="bottom"/>
          </w:tcPr>
          <w:p>
            <w:pPr>
              <w:jc w:val="right"/>
              <w:ind w:right="148"/>
              <w:spacing w:after="0"/>
              <w:rPr>
                <w:sz w:val="20"/>
                <w:szCs w:val="20"/>
                <w:color w:val="auto"/>
              </w:rPr>
            </w:pPr>
            <w:r>
              <w:rPr>
                <w:rFonts w:ascii="Arial" w:cs="Arial" w:eastAsia="Arial" w:hAnsi="Arial"/>
                <w:sz w:val="14"/>
                <w:szCs w:val="14"/>
                <w:color w:val="auto"/>
              </w:rPr>
              <w:t>41,974</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tcPr>
          <w:p>
            <w:pPr>
              <w:jc w:val="right"/>
              <w:ind w:right="148"/>
              <w:spacing w:after="0"/>
              <w:rPr>
                <w:sz w:val="20"/>
                <w:szCs w:val="20"/>
                <w:color w:val="auto"/>
              </w:rPr>
            </w:pPr>
            <w:r>
              <w:rPr>
                <w:rFonts w:ascii="Arial" w:cs="Arial" w:eastAsia="Arial" w:hAnsi="Arial"/>
                <w:sz w:val="14"/>
                <w:szCs w:val="14"/>
                <w:color w:val="auto"/>
              </w:rPr>
              <w:t>54,412</w:t>
            </w:r>
          </w:p>
        </w:tc>
        <w:tc>
          <w:tcPr>
            <w:tcW w:w="0" w:type="dxa"/>
            <w:vAlign w:val="bottom"/>
          </w:tcPr>
          <w:p>
            <w:pPr>
              <w:spacing w:after="0"/>
              <w:rPr>
                <w:sz w:val="1"/>
                <w:szCs w:val="1"/>
                <w:color w:val="auto"/>
              </w:rPr>
            </w:pPr>
          </w:p>
        </w:tc>
      </w:tr>
      <w:tr>
        <w:trPr>
          <w:trHeight w:val="181"/>
        </w:trPr>
        <w:tc>
          <w:tcPr>
            <w:tcW w:w="6660" w:type="dxa"/>
            <w:vAlign w:val="bottom"/>
          </w:tcPr>
          <w:p>
            <w:pPr>
              <w:spacing w:after="0"/>
              <w:rPr>
                <w:sz w:val="20"/>
                <w:szCs w:val="20"/>
                <w:color w:val="auto"/>
              </w:rPr>
            </w:pPr>
            <w:r>
              <w:rPr>
                <w:rFonts w:ascii="Arial" w:cs="Arial" w:eastAsia="Arial" w:hAnsi="Arial"/>
                <w:sz w:val="14"/>
                <w:szCs w:val="14"/>
                <w:color w:val="auto"/>
              </w:rPr>
              <w:t>Other long-term obligations</w:t>
            </w:r>
          </w:p>
        </w:tc>
        <w:tc>
          <w:tcPr>
            <w:tcW w:w="3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88,744</w:t>
            </w:r>
          </w:p>
        </w:tc>
        <w:tc>
          <w:tcPr>
            <w:tcW w:w="4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89,315</w:t>
            </w:r>
          </w:p>
        </w:tc>
        <w:tc>
          <w:tcPr>
            <w:tcW w:w="0" w:type="dxa"/>
            <w:vAlign w:val="bottom"/>
          </w:tcPr>
          <w:p>
            <w:pPr>
              <w:spacing w:after="0"/>
              <w:rPr>
                <w:sz w:val="1"/>
                <w:szCs w:val="1"/>
                <w:color w:val="auto"/>
              </w:rPr>
            </w:pPr>
          </w:p>
        </w:tc>
      </w:tr>
      <w:tr>
        <w:trPr>
          <w:trHeight w:val="176"/>
        </w:trPr>
        <w:tc>
          <w:tcPr>
            <w:tcW w:w="6660" w:type="dxa"/>
            <w:vAlign w:val="bottom"/>
          </w:tcPr>
          <w:p>
            <w:pPr>
              <w:ind w:left="620"/>
              <w:spacing w:after="0"/>
              <w:rPr>
                <w:sz w:val="20"/>
                <w:szCs w:val="20"/>
                <w:color w:val="auto"/>
              </w:rPr>
            </w:pPr>
            <w:r>
              <w:rPr>
                <w:rFonts w:ascii="Arial" w:cs="Arial" w:eastAsia="Arial" w:hAnsi="Arial"/>
                <w:sz w:val="14"/>
                <w:szCs w:val="14"/>
                <w:color w:val="auto"/>
              </w:rPr>
              <w:t>Total liabilities</w:t>
            </w:r>
          </w:p>
        </w:tc>
        <w:tc>
          <w:tcPr>
            <w:tcW w:w="340" w:type="dxa"/>
            <w:vAlign w:val="bottom"/>
          </w:tcPr>
          <w:p>
            <w:pPr>
              <w:spacing w:after="0"/>
              <w:rPr>
                <w:sz w:val="15"/>
                <w:szCs w:val="15"/>
                <w:color w:val="auto"/>
              </w:rPr>
            </w:pPr>
          </w:p>
        </w:tc>
        <w:tc>
          <w:tcPr>
            <w:tcW w:w="1800" w:type="dxa"/>
            <w:vAlign w:val="bottom"/>
          </w:tcPr>
          <w:p>
            <w:pPr>
              <w:jc w:val="right"/>
              <w:ind w:right="148"/>
              <w:spacing w:after="0"/>
              <w:rPr>
                <w:sz w:val="20"/>
                <w:szCs w:val="20"/>
                <w:color w:val="auto"/>
              </w:rPr>
            </w:pPr>
            <w:r>
              <w:rPr>
                <w:rFonts w:ascii="Arial" w:cs="Arial" w:eastAsia="Arial" w:hAnsi="Arial"/>
                <w:sz w:val="14"/>
                <w:szCs w:val="14"/>
                <w:color w:val="auto"/>
              </w:rPr>
              <w:t>1,214,697</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tcPr>
          <w:p>
            <w:pPr>
              <w:jc w:val="right"/>
              <w:ind w:right="148"/>
              <w:spacing w:after="0"/>
              <w:rPr>
                <w:sz w:val="20"/>
                <w:szCs w:val="20"/>
                <w:color w:val="auto"/>
              </w:rPr>
            </w:pPr>
            <w:r>
              <w:rPr>
                <w:rFonts w:ascii="Arial" w:cs="Arial" w:eastAsia="Arial" w:hAnsi="Arial"/>
                <w:sz w:val="14"/>
                <w:szCs w:val="14"/>
                <w:color w:val="auto"/>
              </w:rPr>
              <w:t>1,317,502</w:t>
            </w:r>
          </w:p>
        </w:tc>
        <w:tc>
          <w:tcPr>
            <w:tcW w:w="0" w:type="dxa"/>
            <w:vAlign w:val="bottom"/>
          </w:tcPr>
          <w:p>
            <w:pPr>
              <w:spacing w:after="0"/>
              <w:rPr>
                <w:sz w:val="1"/>
                <w:szCs w:val="1"/>
                <w:color w:val="auto"/>
              </w:rPr>
            </w:pPr>
          </w:p>
        </w:tc>
      </w:tr>
      <w:tr>
        <w:trPr>
          <w:trHeight w:val="346"/>
        </w:trPr>
        <w:tc>
          <w:tcPr>
            <w:tcW w:w="6660" w:type="dxa"/>
            <w:vAlign w:val="bottom"/>
          </w:tcPr>
          <w:p>
            <w:pPr>
              <w:spacing w:after="0"/>
              <w:rPr>
                <w:sz w:val="20"/>
                <w:szCs w:val="20"/>
                <w:color w:val="auto"/>
              </w:rPr>
            </w:pPr>
            <w:r>
              <w:rPr>
                <w:rFonts w:ascii="Arial" w:cs="Arial" w:eastAsia="Arial" w:hAnsi="Arial"/>
                <w:sz w:val="14"/>
                <w:szCs w:val="14"/>
                <w:color w:val="auto"/>
              </w:rPr>
              <w:t>Commitments and contingencies</w:t>
            </w:r>
          </w:p>
        </w:tc>
        <w:tc>
          <w:tcPr>
            <w:tcW w:w="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6660" w:type="dxa"/>
            <w:vAlign w:val="bottom"/>
          </w:tcPr>
          <w:p>
            <w:pPr>
              <w:spacing w:after="0"/>
              <w:rPr>
                <w:sz w:val="20"/>
                <w:szCs w:val="20"/>
                <w:color w:val="auto"/>
              </w:rPr>
            </w:pPr>
            <w:r>
              <w:rPr>
                <w:rFonts w:ascii="Arial" w:cs="Arial" w:eastAsia="Arial" w:hAnsi="Arial"/>
                <w:sz w:val="14"/>
                <w:szCs w:val="14"/>
                <w:color w:val="auto"/>
              </w:rPr>
              <w:t>Shareholders' equity</w:t>
            </w:r>
          </w:p>
        </w:tc>
        <w:tc>
          <w:tcPr>
            <w:tcW w:w="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660" w:type="dxa"/>
            <w:vAlign w:val="bottom"/>
          </w:tcPr>
          <w:p>
            <w:pPr>
              <w:ind w:left="420"/>
              <w:spacing w:after="0"/>
              <w:rPr>
                <w:sz w:val="20"/>
                <w:szCs w:val="20"/>
                <w:color w:val="auto"/>
              </w:rPr>
            </w:pPr>
            <w:r>
              <w:rPr>
                <w:rFonts w:ascii="Arial" w:cs="Arial" w:eastAsia="Arial" w:hAnsi="Arial"/>
                <w:sz w:val="14"/>
                <w:szCs w:val="14"/>
                <w:color w:val="auto"/>
              </w:rPr>
              <w:t>Preferred stock</w:t>
            </w:r>
          </w:p>
        </w:tc>
        <w:tc>
          <w:tcPr>
            <w:tcW w:w="340" w:type="dxa"/>
            <w:vAlign w:val="bottom"/>
          </w:tcPr>
          <w:p>
            <w:pPr>
              <w:spacing w:after="0"/>
              <w:rPr>
                <w:sz w:val="15"/>
                <w:szCs w:val="15"/>
                <w:color w:val="auto"/>
              </w:rPr>
            </w:pPr>
          </w:p>
        </w:tc>
        <w:tc>
          <w:tcPr>
            <w:tcW w:w="18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660" w:type="dxa"/>
            <w:vAlign w:val="bottom"/>
          </w:tcPr>
          <w:p>
            <w:pPr>
              <w:ind w:left="420"/>
              <w:spacing w:after="0"/>
              <w:rPr>
                <w:sz w:val="20"/>
                <w:szCs w:val="20"/>
                <w:color w:val="auto"/>
              </w:rPr>
            </w:pPr>
            <w:r>
              <w:rPr>
                <w:rFonts w:ascii="Arial" w:cs="Arial" w:eastAsia="Arial" w:hAnsi="Arial"/>
                <w:sz w:val="14"/>
                <w:szCs w:val="14"/>
                <w:color w:val="auto"/>
              </w:rPr>
              <w:t>Common stock</w:t>
            </w:r>
          </w:p>
        </w:tc>
        <w:tc>
          <w:tcPr>
            <w:tcW w:w="340" w:type="dxa"/>
            <w:vAlign w:val="bottom"/>
          </w:tcPr>
          <w:p>
            <w:pPr>
              <w:spacing w:after="0"/>
              <w:rPr>
                <w:sz w:val="15"/>
                <w:szCs w:val="15"/>
                <w:color w:val="auto"/>
              </w:rPr>
            </w:pPr>
          </w:p>
        </w:tc>
        <w:tc>
          <w:tcPr>
            <w:tcW w:w="1800" w:type="dxa"/>
            <w:vAlign w:val="bottom"/>
          </w:tcPr>
          <w:p>
            <w:pPr>
              <w:jc w:val="right"/>
              <w:ind w:right="148"/>
              <w:spacing w:after="0"/>
              <w:rPr>
                <w:sz w:val="20"/>
                <w:szCs w:val="20"/>
                <w:color w:val="auto"/>
              </w:rPr>
            </w:pPr>
            <w:r>
              <w:rPr>
                <w:rFonts w:ascii="Arial" w:cs="Arial" w:eastAsia="Arial" w:hAnsi="Arial"/>
                <w:sz w:val="14"/>
                <w:szCs w:val="14"/>
                <w:color w:val="auto"/>
              </w:rPr>
              <w:t>1,343,940</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tcPr>
          <w:p>
            <w:pPr>
              <w:jc w:val="right"/>
              <w:ind w:right="148"/>
              <w:spacing w:after="0"/>
              <w:rPr>
                <w:sz w:val="20"/>
                <w:szCs w:val="20"/>
                <w:color w:val="auto"/>
              </w:rPr>
            </w:pPr>
            <w:r>
              <w:rPr>
                <w:rFonts w:ascii="Arial" w:cs="Arial" w:eastAsia="Arial" w:hAnsi="Arial"/>
                <w:sz w:val="14"/>
                <w:szCs w:val="14"/>
                <w:color w:val="auto"/>
              </w:rPr>
              <w:t>1,328,249</w:t>
            </w:r>
          </w:p>
        </w:tc>
        <w:tc>
          <w:tcPr>
            <w:tcW w:w="0" w:type="dxa"/>
            <w:vAlign w:val="bottom"/>
          </w:tcPr>
          <w:p>
            <w:pPr>
              <w:spacing w:after="0"/>
              <w:rPr>
                <w:sz w:val="1"/>
                <w:szCs w:val="1"/>
                <w:color w:val="auto"/>
              </w:rPr>
            </w:pPr>
          </w:p>
        </w:tc>
      </w:tr>
      <w:tr>
        <w:trPr>
          <w:trHeight w:val="176"/>
        </w:trPr>
        <w:tc>
          <w:tcPr>
            <w:tcW w:w="6660" w:type="dxa"/>
            <w:vAlign w:val="bottom"/>
          </w:tcPr>
          <w:p>
            <w:pPr>
              <w:ind w:left="420"/>
              <w:spacing w:after="0"/>
              <w:rPr>
                <w:sz w:val="20"/>
                <w:szCs w:val="20"/>
                <w:color w:val="auto"/>
              </w:rPr>
            </w:pPr>
            <w:r>
              <w:rPr>
                <w:rFonts w:ascii="Arial" w:cs="Arial" w:eastAsia="Arial" w:hAnsi="Arial"/>
                <w:sz w:val="14"/>
                <w:szCs w:val="14"/>
                <w:color w:val="auto"/>
              </w:rPr>
              <w:t>Accumulated other comprehensive income (loss), net</w:t>
            </w:r>
          </w:p>
        </w:tc>
        <w:tc>
          <w:tcPr>
            <w:tcW w:w="340" w:type="dxa"/>
            <w:vAlign w:val="bottom"/>
          </w:tcPr>
          <w:p>
            <w:pPr>
              <w:spacing w:after="0"/>
              <w:rPr>
                <w:sz w:val="15"/>
                <w:szCs w:val="15"/>
                <w:color w:val="auto"/>
              </w:rPr>
            </w:pPr>
          </w:p>
        </w:tc>
        <w:tc>
          <w:tcPr>
            <w:tcW w:w="1800" w:type="dxa"/>
            <w:vAlign w:val="bottom"/>
          </w:tcPr>
          <w:p>
            <w:pPr>
              <w:jc w:val="right"/>
              <w:ind w:right="148"/>
              <w:spacing w:after="0"/>
              <w:rPr>
                <w:sz w:val="20"/>
                <w:szCs w:val="20"/>
                <w:color w:val="auto"/>
              </w:rPr>
            </w:pPr>
            <w:r>
              <w:rPr>
                <w:rFonts w:ascii="Arial" w:cs="Arial" w:eastAsia="Arial" w:hAnsi="Arial"/>
                <w:sz w:val="14"/>
                <w:szCs w:val="14"/>
                <w:color w:val="auto"/>
              </w:rPr>
              <w:t>3,547</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tcPr>
          <w:p>
            <w:pPr>
              <w:jc w:val="right"/>
              <w:ind w:right="108"/>
              <w:spacing w:after="0"/>
              <w:rPr>
                <w:sz w:val="20"/>
                <w:szCs w:val="20"/>
                <w:color w:val="auto"/>
              </w:rPr>
            </w:pPr>
            <w:r>
              <w:rPr>
                <w:rFonts w:ascii="Arial" w:cs="Arial" w:eastAsia="Arial" w:hAnsi="Arial"/>
                <w:sz w:val="14"/>
                <w:szCs w:val="14"/>
                <w:color w:val="auto"/>
              </w:rPr>
              <w:t>(34,974)</w:t>
            </w:r>
          </w:p>
        </w:tc>
        <w:tc>
          <w:tcPr>
            <w:tcW w:w="0" w:type="dxa"/>
            <w:vAlign w:val="bottom"/>
          </w:tcPr>
          <w:p>
            <w:pPr>
              <w:spacing w:after="0"/>
              <w:rPr>
                <w:sz w:val="1"/>
                <w:szCs w:val="1"/>
                <w:color w:val="auto"/>
              </w:rPr>
            </w:pPr>
          </w:p>
        </w:tc>
      </w:tr>
      <w:tr>
        <w:trPr>
          <w:trHeight w:val="181"/>
        </w:trPr>
        <w:tc>
          <w:tcPr>
            <w:tcW w:w="6660" w:type="dxa"/>
            <w:vAlign w:val="bottom"/>
          </w:tcPr>
          <w:p>
            <w:pPr>
              <w:ind w:left="420"/>
              <w:spacing w:after="0"/>
              <w:rPr>
                <w:sz w:val="20"/>
                <w:szCs w:val="20"/>
                <w:color w:val="auto"/>
              </w:rPr>
            </w:pPr>
            <w:r>
              <w:rPr>
                <w:rFonts w:ascii="Arial" w:cs="Arial" w:eastAsia="Arial" w:hAnsi="Arial"/>
                <w:sz w:val="14"/>
                <w:szCs w:val="14"/>
                <w:color w:val="auto"/>
              </w:rPr>
              <w:t>(Accumulated deficit) retained earnings</w:t>
            </w:r>
          </w:p>
        </w:tc>
        <w:tc>
          <w:tcPr>
            <w:tcW w:w="3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(320,506)</w:t>
            </w:r>
          </w:p>
        </w:tc>
        <w:tc>
          <w:tcPr>
            <w:tcW w:w="4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135,020</w:t>
            </w:r>
          </w:p>
        </w:tc>
        <w:tc>
          <w:tcPr>
            <w:tcW w:w="0" w:type="dxa"/>
            <w:vAlign w:val="bottom"/>
          </w:tcPr>
          <w:p>
            <w:pPr>
              <w:spacing w:after="0"/>
              <w:rPr>
                <w:sz w:val="1"/>
                <w:szCs w:val="1"/>
                <w:color w:val="auto"/>
              </w:rPr>
            </w:pPr>
          </w:p>
        </w:tc>
      </w:tr>
      <w:tr>
        <w:trPr>
          <w:trHeight w:val="169"/>
        </w:trPr>
        <w:tc>
          <w:tcPr>
            <w:tcW w:w="6660" w:type="dxa"/>
            <w:vAlign w:val="bottom"/>
          </w:tcPr>
          <w:p>
            <w:pPr>
              <w:ind w:left="620"/>
              <w:spacing w:after="0"/>
              <w:rPr>
                <w:sz w:val="20"/>
                <w:szCs w:val="20"/>
                <w:color w:val="auto"/>
              </w:rPr>
            </w:pPr>
            <w:r>
              <w:rPr>
                <w:rFonts w:ascii="Arial" w:cs="Arial" w:eastAsia="Arial" w:hAnsi="Arial"/>
                <w:sz w:val="14"/>
                <w:szCs w:val="14"/>
                <w:color w:val="auto"/>
              </w:rPr>
              <w:t>Total shareholders' equity</w:t>
            </w:r>
          </w:p>
        </w:tc>
        <w:tc>
          <w:tcPr>
            <w:tcW w:w="3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1,026,981</w:t>
            </w:r>
          </w:p>
        </w:tc>
        <w:tc>
          <w:tcPr>
            <w:tcW w:w="4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1,428,295</w:t>
            </w:r>
          </w:p>
        </w:tc>
        <w:tc>
          <w:tcPr>
            <w:tcW w:w="0" w:type="dxa"/>
            <w:vAlign w:val="bottom"/>
          </w:tcPr>
          <w:p>
            <w:pPr>
              <w:spacing w:after="0"/>
              <w:rPr>
                <w:sz w:val="1"/>
                <w:szCs w:val="1"/>
                <w:color w:val="auto"/>
              </w:rPr>
            </w:pPr>
          </w:p>
        </w:tc>
      </w:tr>
      <w:tr>
        <w:trPr>
          <w:trHeight w:val="169"/>
        </w:trPr>
        <w:tc>
          <w:tcPr>
            <w:tcW w:w="6660" w:type="dxa"/>
            <w:vAlign w:val="bottom"/>
          </w:tcPr>
          <w:p>
            <w:pPr>
              <w:ind w:left="620"/>
              <w:spacing w:after="0"/>
              <w:rPr>
                <w:sz w:val="20"/>
                <w:szCs w:val="20"/>
                <w:color w:val="auto"/>
              </w:rPr>
            </w:pPr>
            <w:r>
              <w:rPr>
                <w:rFonts w:ascii="Arial" w:cs="Arial" w:eastAsia="Arial" w:hAnsi="Arial"/>
                <w:sz w:val="14"/>
                <w:szCs w:val="14"/>
                <w:color w:val="auto"/>
              </w:rPr>
              <w:t>Total liabilities and shareholders' equity</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2,241,678</w:t>
            </w:r>
          </w:p>
        </w:tc>
        <w:tc>
          <w:tcPr>
            <w:tcW w:w="480" w:type="dxa"/>
            <w:vAlign w:val="bottom"/>
          </w:tcPr>
          <w:p>
            <w:pPr>
              <w:spacing w:after="0"/>
              <w:rPr>
                <w:sz w:val="14"/>
                <w:szCs w:val="14"/>
                <w:color w:val="auto"/>
              </w:rPr>
            </w:pPr>
          </w:p>
        </w:tc>
        <w:tc>
          <w:tcPr>
            <w:tcW w:w="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2,745,797</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6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66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80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7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80" w:type="dxa"/>
            <w:vAlign w:val="bottom"/>
          </w:tcPr>
          <w:p>
            <w:pPr>
              <w:spacing w:after="0"/>
              <w:rPr>
                <w:sz w:val="20"/>
                <w:szCs w:val="20"/>
                <w:color w:val="auto"/>
              </w:rPr>
            </w:pPr>
            <w:r>
              <w:rPr>
                <w:rFonts w:ascii="Arial" w:cs="Arial" w:eastAsia="Arial" w:hAnsi="Arial"/>
                <w:sz w:val="14"/>
                <w:szCs w:val="14"/>
                <w:color w:val="auto"/>
              </w:rPr>
              <w:t>(Unaudited, in thousands)</w:t>
            </w:r>
          </w:p>
        </w:tc>
        <w:tc>
          <w:tcPr>
            <w:tcW w:w="320" w:type="dxa"/>
            <w:vAlign w:val="bottom"/>
          </w:tcPr>
          <w:p>
            <w:pPr>
              <w:spacing w:after="0"/>
              <w:rPr>
                <w:sz w:val="15"/>
                <w:szCs w:val="15"/>
                <w:color w:val="auto"/>
              </w:rPr>
            </w:pPr>
          </w:p>
        </w:tc>
        <w:tc>
          <w:tcPr>
            <w:tcW w:w="2820" w:type="dxa"/>
            <w:vAlign w:val="bottom"/>
            <w:gridSpan w:val="4"/>
            <w:vMerge w:val="restart"/>
          </w:tcPr>
          <w:p>
            <w:pPr>
              <w:jc w:val="right"/>
              <w:ind w:right="428"/>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74"/>
        </w:trPr>
        <w:tc>
          <w:tcPr>
            <w:tcW w:w="8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64"/>
        </w:trPr>
        <w:tc>
          <w:tcPr>
            <w:tcW w:w="8280" w:type="dxa"/>
            <w:vAlign w:val="bottom"/>
          </w:tcPr>
          <w:p>
            <w:pPr>
              <w:spacing w:after="0"/>
              <w:rPr>
                <w:sz w:val="20"/>
                <w:szCs w:val="20"/>
                <w:color w:val="auto"/>
              </w:rPr>
            </w:pPr>
            <w:r>
              <w:rPr>
                <w:rFonts w:ascii="Arial" w:cs="Arial" w:eastAsia="Arial" w:hAnsi="Arial"/>
                <w:sz w:val="14"/>
                <w:szCs w:val="14"/>
                <w:color w:val="auto"/>
              </w:rPr>
              <w:t>Operating activities</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280" w:type="dxa"/>
            <w:vAlign w:val="bottom"/>
          </w:tcPr>
          <w:p>
            <w:pPr>
              <w:ind w:left="420"/>
              <w:spacing w:after="0"/>
              <w:rPr>
                <w:sz w:val="20"/>
                <w:szCs w:val="20"/>
                <w:color w:val="auto"/>
              </w:rPr>
            </w:pPr>
            <w:r>
              <w:rPr>
                <w:rFonts w:ascii="Arial" w:cs="Arial" w:eastAsia="Arial" w:hAnsi="Arial"/>
                <w:sz w:val="14"/>
                <w:szCs w:val="14"/>
                <w:color w:val="auto"/>
              </w:rPr>
              <w:t>Net income (loss)</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(455,526)</w:t>
            </w:r>
          </w:p>
        </w:tc>
        <w:tc>
          <w:tcPr>
            <w:tcW w:w="8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78,200</w:t>
            </w:r>
          </w:p>
        </w:tc>
        <w:tc>
          <w:tcPr>
            <w:tcW w:w="0" w:type="dxa"/>
            <w:vAlign w:val="bottom"/>
          </w:tcPr>
          <w:p>
            <w:pPr>
              <w:spacing w:after="0"/>
              <w:rPr>
                <w:sz w:val="1"/>
                <w:szCs w:val="1"/>
                <w:color w:val="auto"/>
              </w:rPr>
            </w:pPr>
          </w:p>
        </w:tc>
      </w:tr>
      <w:tr>
        <w:trPr>
          <w:trHeight w:val="176"/>
        </w:trPr>
        <w:tc>
          <w:tcPr>
            <w:tcW w:w="8280" w:type="dxa"/>
            <w:vAlign w:val="bottom"/>
          </w:tcPr>
          <w:p>
            <w:pPr>
              <w:ind w:left="42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280" w:type="dxa"/>
            <w:vAlign w:val="bottom"/>
          </w:tcPr>
          <w:p>
            <w:pPr>
              <w:ind w:left="62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5"/>
                <w:szCs w:val="15"/>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96,919</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97,184</w:t>
            </w:r>
          </w:p>
        </w:tc>
        <w:tc>
          <w:tcPr>
            <w:tcW w:w="0" w:type="dxa"/>
            <w:vAlign w:val="bottom"/>
          </w:tcPr>
          <w:p>
            <w:pPr>
              <w:spacing w:after="0"/>
              <w:rPr>
                <w:sz w:val="1"/>
                <w:szCs w:val="1"/>
                <w:color w:val="auto"/>
              </w:rPr>
            </w:pPr>
          </w:p>
        </w:tc>
      </w:tr>
      <w:tr>
        <w:trPr>
          <w:trHeight w:val="176"/>
        </w:trPr>
        <w:tc>
          <w:tcPr>
            <w:tcW w:w="8280" w:type="dxa"/>
            <w:vAlign w:val="bottom"/>
          </w:tcPr>
          <w:p>
            <w:pPr>
              <w:ind w:left="620"/>
              <w:spacing w:after="0"/>
              <w:rPr>
                <w:sz w:val="20"/>
                <w:szCs w:val="20"/>
                <w:color w:val="auto"/>
              </w:rPr>
            </w:pPr>
            <w:r>
              <w:rPr>
                <w:rFonts w:ascii="Arial" w:cs="Arial" w:eastAsia="Arial" w:hAnsi="Arial"/>
                <w:sz w:val="14"/>
                <w:szCs w:val="14"/>
                <w:color w:val="auto"/>
              </w:rPr>
              <w:t>Stock-based compensation</w:t>
            </w:r>
          </w:p>
        </w:tc>
        <w:tc>
          <w:tcPr>
            <w:tcW w:w="320" w:type="dxa"/>
            <w:vAlign w:val="bottom"/>
          </w:tcPr>
          <w:p>
            <w:pPr>
              <w:spacing w:after="0"/>
              <w:rPr>
                <w:sz w:val="15"/>
                <w:szCs w:val="15"/>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12,401</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14,222</w:t>
            </w:r>
          </w:p>
        </w:tc>
        <w:tc>
          <w:tcPr>
            <w:tcW w:w="0" w:type="dxa"/>
            <w:vAlign w:val="bottom"/>
          </w:tcPr>
          <w:p>
            <w:pPr>
              <w:spacing w:after="0"/>
              <w:rPr>
                <w:sz w:val="1"/>
                <w:szCs w:val="1"/>
                <w:color w:val="auto"/>
              </w:rPr>
            </w:pPr>
          </w:p>
        </w:tc>
      </w:tr>
      <w:tr>
        <w:trPr>
          <w:trHeight w:val="176"/>
        </w:trPr>
        <w:tc>
          <w:tcPr>
            <w:tcW w:w="8280" w:type="dxa"/>
            <w:vAlign w:val="bottom"/>
          </w:tcPr>
          <w:p>
            <w:pPr>
              <w:ind w:left="620"/>
              <w:spacing w:after="0"/>
              <w:rPr>
                <w:sz w:val="20"/>
                <w:szCs w:val="20"/>
                <w:color w:val="auto"/>
              </w:rPr>
            </w:pPr>
            <w:r>
              <w:rPr>
                <w:rFonts w:ascii="Arial" w:cs="Arial" w:eastAsia="Arial" w:hAnsi="Arial"/>
                <w:sz w:val="14"/>
                <w:szCs w:val="14"/>
                <w:color w:val="auto"/>
              </w:rPr>
              <w:t>Amortization of prepaid debt fees</w:t>
            </w:r>
          </w:p>
        </w:tc>
        <w:tc>
          <w:tcPr>
            <w:tcW w:w="320" w:type="dxa"/>
            <w:vAlign w:val="bottom"/>
          </w:tcPr>
          <w:p>
            <w:pPr>
              <w:spacing w:after="0"/>
              <w:rPr>
                <w:sz w:val="15"/>
                <w:szCs w:val="15"/>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5,365</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4,219</w:t>
            </w:r>
          </w:p>
        </w:tc>
        <w:tc>
          <w:tcPr>
            <w:tcW w:w="0" w:type="dxa"/>
            <w:vAlign w:val="bottom"/>
          </w:tcPr>
          <w:p>
            <w:pPr>
              <w:spacing w:after="0"/>
              <w:rPr>
                <w:sz w:val="1"/>
                <w:szCs w:val="1"/>
                <w:color w:val="auto"/>
              </w:rPr>
            </w:pPr>
          </w:p>
        </w:tc>
      </w:tr>
      <w:tr>
        <w:trPr>
          <w:trHeight w:val="176"/>
        </w:trPr>
        <w:tc>
          <w:tcPr>
            <w:tcW w:w="8280" w:type="dxa"/>
            <w:vAlign w:val="bottom"/>
          </w:tcPr>
          <w:p>
            <w:pPr>
              <w:ind w:left="620"/>
              <w:spacing w:after="0"/>
              <w:rPr>
                <w:sz w:val="20"/>
                <w:szCs w:val="20"/>
                <w:color w:val="auto"/>
              </w:rPr>
            </w:pPr>
            <w:r>
              <w:rPr>
                <w:rFonts w:ascii="Arial" w:cs="Arial" w:eastAsia="Arial" w:hAnsi="Arial"/>
                <w:sz w:val="14"/>
                <w:szCs w:val="14"/>
                <w:color w:val="auto"/>
              </w:rPr>
              <w:t>Amortization of convertible debt discount</w:t>
            </w:r>
          </w:p>
        </w:tc>
        <w:tc>
          <w:tcPr>
            <w:tcW w:w="320" w:type="dxa"/>
            <w:vAlign w:val="bottom"/>
          </w:tcPr>
          <w:p>
            <w:pPr>
              <w:spacing w:after="0"/>
              <w:rPr>
                <w:sz w:val="15"/>
                <w:szCs w:val="15"/>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5,336</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7,505</w:t>
            </w:r>
          </w:p>
        </w:tc>
        <w:tc>
          <w:tcPr>
            <w:tcW w:w="0" w:type="dxa"/>
            <w:vAlign w:val="bottom"/>
          </w:tcPr>
          <w:p>
            <w:pPr>
              <w:spacing w:after="0"/>
              <w:rPr>
                <w:sz w:val="1"/>
                <w:szCs w:val="1"/>
                <w:color w:val="auto"/>
              </w:rPr>
            </w:pPr>
          </w:p>
        </w:tc>
      </w:tr>
      <w:tr>
        <w:trPr>
          <w:trHeight w:val="176"/>
        </w:trPr>
        <w:tc>
          <w:tcPr>
            <w:tcW w:w="8280" w:type="dxa"/>
            <w:vAlign w:val="bottom"/>
          </w:tcPr>
          <w:p>
            <w:pPr>
              <w:ind w:left="620"/>
              <w:spacing w:after="0"/>
              <w:rPr>
                <w:sz w:val="20"/>
                <w:szCs w:val="20"/>
                <w:color w:val="auto"/>
              </w:rPr>
            </w:pPr>
            <w:r>
              <w:rPr>
                <w:rFonts w:ascii="Arial" w:cs="Arial" w:eastAsia="Arial" w:hAnsi="Arial"/>
                <w:sz w:val="14"/>
                <w:szCs w:val="14"/>
                <w:color w:val="auto"/>
              </w:rPr>
              <w:t>Deferred taxes, net</w:t>
            </w: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(1,410)</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(1,237)</w:t>
            </w:r>
          </w:p>
        </w:tc>
        <w:tc>
          <w:tcPr>
            <w:tcW w:w="0" w:type="dxa"/>
            <w:vAlign w:val="bottom"/>
          </w:tcPr>
          <w:p>
            <w:pPr>
              <w:spacing w:after="0"/>
              <w:rPr>
                <w:sz w:val="1"/>
                <w:szCs w:val="1"/>
                <w:color w:val="auto"/>
              </w:rPr>
            </w:pPr>
          </w:p>
        </w:tc>
      </w:tr>
      <w:tr>
        <w:trPr>
          <w:trHeight w:val="176"/>
        </w:trPr>
        <w:tc>
          <w:tcPr>
            <w:tcW w:w="8280" w:type="dxa"/>
            <w:vAlign w:val="bottom"/>
          </w:tcPr>
          <w:p>
            <w:pPr>
              <w:ind w:left="620"/>
              <w:spacing w:after="0"/>
              <w:rPr>
                <w:sz w:val="20"/>
                <w:szCs w:val="20"/>
                <w:color w:val="auto"/>
              </w:rPr>
            </w:pPr>
            <w:r>
              <w:rPr>
                <w:rFonts w:ascii="Arial" w:cs="Arial" w:eastAsia="Arial" w:hAnsi="Arial"/>
                <w:sz w:val="14"/>
                <w:szCs w:val="14"/>
                <w:color w:val="auto"/>
              </w:rPr>
              <w:t>Goodwill impairment</w:t>
            </w:r>
          </w:p>
        </w:tc>
        <w:tc>
          <w:tcPr>
            <w:tcW w:w="320" w:type="dxa"/>
            <w:vAlign w:val="bottom"/>
          </w:tcPr>
          <w:p>
            <w:pPr>
              <w:spacing w:after="0"/>
              <w:rPr>
                <w:sz w:val="15"/>
                <w:szCs w:val="15"/>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540,400</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8280" w:type="dxa"/>
            <w:vAlign w:val="bottom"/>
          </w:tcPr>
          <w:p>
            <w:pPr>
              <w:ind w:left="620"/>
              <w:spacing w:after="0"/>
              <w:rPr>
                <w:sz w:val="20"/>
                <w:szCs w:val="20"/>
                <w:color w:val="auto"/>
              </w:rPr>
            </w:pPr>
            <w:r>
              <w:rPr>
                <w:rFonts w:ascii="Arial" w:cs="Arial" w:eastAsia="Arial" w:hAnsi="Arial"/>
                <w:sz w:val="14"/>
                <w:szCs w:val="14"/>
                <w:color w:val="auto"/>
              </w:rPr>
              <w:t>Other adjustments, net</w:t>
            </w:r>
          </w:p>
        </w:tc>
        <w:tc>
          <w:tcPr>
            <w:tcW w:w="320" w:type="dxa"/>
            <w:vAlign w:val="bottom"/>
          </w:tcPr>
          <w:p>
            <w:pPr>
              <w:spacing w:after="0"/>
              <w:rPr>
                <w:sz w:val="15"/>
                <w:szCs w:val="15"/>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1,961</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4,008</w:t>
            </w:r>
          </w:p>
        </w:tc>
        <w:tc>
          <w:tcPr>
            <w:tcW w:w="0" w:type="dxa"/>
            <w:vAlign w:val="bottom"/>
          </w:tcPr>
          <w:p>
            <w:pPr>
              <w:spacing w:after="0"/>
              <w:rPr>
                <w:sz w:val="1"/>
                <w:szCs w:val="1"/>
                <w:color w:val="auto"/>
              </w:rPr>
            </w:pPr>
          </w:p>
        </w:tc>
      </w:tr>
      <w:tr>
        <w:trPr>
          <w:trHeight w:val="176"/>
        </w:trPr>
        <w:tc>
          <w:tcPr>
            <w:tcW w:w="8280" w:type="dxa"/>
            <w:vAlign w:val="bottom"/>
          </w:tcPr>
          <w:p>
            <w:pPr>
              <w:spacing w:after="0"/>
              <w:rPr>
                <w:sz w:val="20"/>
                <w:szCs w:val="20"/>
                <w:color w:val="auto"/>
              </w:rPr>
            </w:pPr>
            <w:r>
              <w:rPr>
                <w:rFonts w:ascii="Arial" w:cs="Arial" w:eastAsia="Arial" w:hAnsi="Arial"/>
                <w:sz w:val="14"/>
                <w:szCs w:val="14"/>
                <w:color w:val="auto"/>
              </w:rPr>
              <w:t>Changes in operating assets and liabilities, net of acquisition:</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280" w:type="dxa"/>
            <w:vAlign w:val="bottom"/>
          </w:tcPr>
          <w:p>
            <w:pPr>
              <w:ind w:left="420"/>
              <w:spacing w:after="0"/>
              <w:rPr>
                <w:sz w:val="20"/>
                <w:szCs w:val="20"/>
                <w:color w:val="auto"/>
              </w:rPr>
            </w:pPr>
            <w:r>
              <w:rPr>
                <w:rFonts w:ascii="Arial" w:cs="Arial" w:eastAsia="Arial" w:hAnsi="Arial"/>
                <w:sz w:val="14"/>
                <w:szCs w:val="14"/>
                <w:color w:val="auto"/>
              </w:rPr>
              <w:t>Accounts receivable</w:t>
            </w: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(21,940)</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(53,425)</w:t>
            </w:r>
          </w:p>
        </w:tc>
        <w:tc>
          <w:tcPr>
            <w:tcW w:w="0" w:type="dxa"/>
            <w:vAlign w:val="bottom"/>
          </w:tcPr>
          <w:p>
            <w:pPr>
              <w:spacing w:after="0"/>
              <w:rPr>
                <w:sz w:val="1"/>
                <w:szCs w:val="1"/>
                <w:color w:val="auto"/>
              </w:rPr>
            </w:pPr>
          </w:p>
        </w:tc>
      </w:tr>
      <w:tr>
        <w:trPr>
          <w:trHeight w:val="176"/>
        </w:trPr>
        <w:tc>
          <w:tcPr>
            <w:tcW w:w="8280" w:type="dxa"/>
            <w:vAlign w:val="bottom"/>
          </w:tcPr>
          <w:p>
            <w:pPr>
              <w:ind w:left="420"/>
              <w:spacing w:after="0"/>
              <w:rPr>
                <w:sz w:val="20"/>
                <w:szCs w:val="20"/>
                <w:color w:val="auto"/>
              </w:rPr>
            </w:pPr>
            <w:r>
              <w:rPr>
                <w:rFonts w:ascii="Arial" w:cs="Arial" w:eastAsia="Arial" w:hAnsi="Arial"/>
                <w:sz w:val="14"/>
                <w:szCs w:val="14"/>
                <w:color w:val="auto"/>
              </w:rPr>
              <w:t>Inventories</w:t>
            </w: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(32,750)</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(57,698)</w:t>
            </w:r>
          </w:p>
        </w:tc>
        <w:tc>
          <w:tcPr>
            <w:tcW w:w="0" w:type="dxa"/>
            <w:vAlign w:val="bottom"/>
          </w:tcPr>
          <w:p>
            <w:pPr>
              <w:spacing w:after="0"/>
              <w:rPr>
                <w:sz w:val="1"/>
                <w:szCs w:val="1"/>
                <w:color w:val="auto"/>
              </w:rPr>
            </w:pPr>
          </w:p>
        </w:tc>
      </w:tr>
      <w:tr>
        <w:trPr>
          <w:trHeight w:val="176"/>
        </w:trPr>
        <w:tc>
          <w:tcPr>
            <w:tcW w:w="8280" w:type="dxa"/>
            <w:vAlign w:val="bottom"/>
          </w:tcPr>
          <w:p>
            <w:pPr>
              <w:ind w:left="420"/>
              <w:spacing w:after="0"/>
              <w:rPr>
                <w:sz w:val="20"/>
                <w:szCs w:val="20"/>
                <w:color w:val="auto"/>
              </w:rPr>
            </w:pPr>
            <w:r>
              <w:rPr>
                <w:rFonts w:ascii="Arial" w:cs="Arial" w:eastAsia="Arial" w:hAnsi="Arial"/>
                <w:sz w:val="14"/>
                <w:szCs w:val="14"/>
                <w:color w:val="auto"/>
              </w:rPr>
              <w:t>Other current assets</w:t>
            </w: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(8,672)</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(1,776)</w:t>
            </w:r>
          </w:p>
        </w:tc>
        <w:tc>
          <w:tcPr>
            <w:tcW w:w="0" w:type="dxa"/>
            <w:vAlign w:val="bottom"/>
          </w:tcPr>
          <w:p>
            <w:pPr>
              <w:spacing w:after="0"/>
              <w:rPr>
                <w:sz w:val="1"/>
                <w:szCs w:val="1"/>
                <w:color w:val="auto"/>
              </w:rPr>
            </w:pPr>
          </w:p>
        </w:tc>
      </w:tr>
      <w:tr>
        <w:trPr>
          <w:trHeight w:val="176"/>
        </w:trPr>
        <w:tc>
          <w:tcPr>
            <w:tcW w:w="8280" w:type="dxa"/>
            <w:vAlign w:val="bottom"/>
          </w:tcPr>
          <w:p>
            <w:pPr>
              <w:ind w:left="420"/>
              <w:spacing w:after="0"/>
              <w:rPr>
                <w:sz w:val="20"/>
                <w:szCs w:val="20"/>
                <w:color w:val="auto"/>
              </w:rPr>
            </w:pPr>
            <w:r>
              <w:rPr>
                <w:rFonts w:ascii="Arial" w:cs="Arial" w:eastAsia="Arial" w:hAnsi="Arial"/>
                <w:sz w:val="14"/>
                <w:szCs w:val="14"/>
                <w:color w:val="auto"/>
              </w:rPr>
              <w:t>Other long-term assets</w:t>
            </w: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(17,499)</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1,642</w:t>
            </w:r>
          </w:p>
        </w:tc>
        <w:tc>
          <w:tcPr>
            <w:tcW w:w="0" w:type="dxa"/>
            <w:vAlign w:val="bottom"/>
          </w:tcPr>
          <w:p>
            <w:pPr>
              <w:spacing w:after="0"/>
              <w:rPr>
                <w:sz w:val="1"/>
                <w:szCs w:val="1"/>
                <w:color w:val="auto"/>
              </w:rPr>
            </w:pPr>
          </w:p>
        </w:tc>
      </w:tr>
      <w:tr>
        <w:trPr>
          <w:trHeight w:val="176"/>
        </w:trPr>
        <w:tc>
          <w:tcPr>
            <w:tcW w:w="8280" w:type="dxa"/>
            <w:vAlign w:val="bottom"/>
          </w:tcPr>
          <w:p>
            <w:pPr>
              <w:ind w:left="420"/>
              <w:spacing w:after="0"/>
              <w:rPr>
                <w:sz w:val="20"/>
                <w:szCs w:val="20"/>
                <w:color w:val="auto"/>
              </w:rPr>
            </w:pPr>
            <w:r>
              <w:rPr>
                <w:rFonts w:ascii="Arial" w:cs="Arial" w:eastAsia="Arial" w:hAnsi="Arial"/>
                <w:sz w:val="14"/>
                <w:szCs w:val="14"/>
                <w:color w:val="auto"/>
              </w:rPr>
              <w:t>Accounts payables, other current liabilities, and taxes payable</w:t>
            </w:r>
          </w:p>
        </w:tc>
        <w:tc>
          <w:tcPr>
            <w:tcW w:w="320" w:type="dxa"/>
            <w:vAlign w:val="bottom"/>
          </w:tcPr>
          <w:p>
            <w:pPr>
              <w:spacing w:after="0"/>
              <w:rPr>
                <w:sz w:val="15"/>
                <w:szCs w:val="15"/>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12,347</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38,139</w:t>
            </w:r>
          </w:p>
        </w:tc>
        <w:tc>
          <w:tcPr>
            <w:tcW w:w="0" w:type="dxa"/>
            <w:vAlign w:val="bottom"/>
          </w:tcPr>
          <w:p>
            <w:pPr>
              <w:spacing w:after="0"/>
              <w:rPr>
                <w:sz w:val="1"/>
                <w:szCs w:val="1"/>
                <w:color w:val="auto"/>
              </w:rPr>
            </w:pPr>
          </w:p>
        </w:tc>
      </w:tr>
      <w:tr>
        <w:trPr>
          <w:trHeight w:val="176"/>
        </w:trPr>
        <w:tc>
          <w:tcPr>
            <w:tcW w:w="8280" w:type="dxa"/>
            <w:vAlign w:val="bottom"/>
          </w:tcPr>
          <w:p>
            <w:pPr>
              <w:ind w:left="420"/>
              <w:spacing w:after="0"/>
              <w:rPr>
                <w:sz w:val="20"/>
                <w:szCs w:val="20"/>
                <w:color w:val="auto"/>
              </w:rPr>
            </w:pPr>
            <w:r>
              <w:rPr>
                <w:rFonts w:ascii="Arial" w:cs="Arial" w:eastAsia="Arial" w:hAnsi="Arial"/>
                <w:sz w:val="14"/>
                <w:szCs w:val="14"/>
                <w:color w:val="auto"/>
              </w:rPr>
              <w:t>Wages and benefits payable</w:t>
            </w: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(28,018)</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26,799</w:t>
            </w:r>
          </w:p>
        </w:tc>
        <w:tc>
          <w:tcPr>
            <w:tcW w:w="0" w:type="dxa"/>
            <w:vAlign w:val="bottom"/>
          </w:tcPr>
          <w:p>
            <w:pPr>
              <w:spacing w:after="0"/>
              <w:rPr>
                <w:sz w:val="1"/>
                <w:szCs w:val="1"/>
                <w:color w:val="auto"/>
              </w:rPr>
            </w:pPr>
          </w:p>
        </w:tc>
      </w:tr>
      <w:tr>
        <w:trPr>
          <w:trHeight w:val="176"/>
        </w:trPr>
        <w:tc>
          <w:tcPr>
            <w:tcW w:w="8280" w:type="dxa"/>
            <w:vAlign w:val="bottom"/>
          </w:tcPr>
          <w:p>
            <w:pPr>
              <w:ind w:left="420"/>
              <w:spacing w:after="0"/>
              <w:rPr>
                <w:sz w:val="20"/>
                <w:szCs w:val="20"/>
                <w:color w:val="auto"/>
              </w:rPr>
            </w:pPr>
            <w:r>
              <w:rPr>
                <w:rFonts w:ascii="Arial" w:cs="Arial" w:eastAsia="Arial" w:hAnsi="Arial"/>
                <w:sz w:val="14"/>
                <w:szCs w:val="14"/>
                <w:color w:val="auto"/>
              </w:rPr>
              <w:t>Unearned revenue</w:t>
            </w:r>
          </w:p>
        </w:tc>
        <w:tc>
          <w:tcPr>
            <w:tcW w:w="320" w:type="dxa"/>
            <w:vAlign w:val="bottom"/>
          </w:tcPr>
          <w:p>
            <w:pPr>
              <w:spacing w:after="0"/>
              <w:rPr>
                <w:sz w:val="15"/>
                <w:szCs w:val="15"/>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22,862</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(2,814)</w:t>
            </w:r>
          </w:p>
        </w:tc>
        <w:tc>
          <w:tcPr>
            <w:tcW w:w="0" w:type="dxa"/>
            <w:vAlign w:val="bottom"/>
          </w:tcPr>
          <w:p>
            <w:pPr>
              <w:spacing w:after="0"/>
              <w:rPr>
                <w:sz w:val="1"/>
                <w:szCs w:val="1"/>
                <w:color w:val="auto"/>
              </w:rPr>
            </w:pPr>
          </w:p>
        </w:tc>
      </w:tr>
      <w:tr>
        <w:trPr>
          <w:trHeight w:val="176"/>
        </w:trPr>
        <w:tc>
          <w:tcPr>
            <w:tcW w:w="8280" w:type="dxa"/>
            <w:vAlign w:val="bottom"/>
          </w:tcPr>
          <w:p>
            <w:pPr>
              <w:ind w:left="420"/>
              <w:spacing w:after="0"/>
              <w:rPr>
                <w:sz w:val="20"/>
                <w:szCs w:val="20"/>
                <w:color w:val="auto"/>
              </w:rPr>
            </w:pPr>
            <w:r>
              <w:rPr>
                <w:rFonts w:ascii="Arial" w:cs="Arial" w:eastAsia="Arial" w:hAnsi="Arial"/>
                <w:sz w:val="14"/>
                <w:szCs w:val="14"/>
                <w:color w:val="auto"/>
              </w:rPr>
              <w:t>Warranty</w:t>
            </w:r>
          </w:p>
        </w:tc>
        <w:tc>
          <w:tcPr>
            <w:tcW w:w="320" w:type="dxa"/>
            <w:vAlign w:val="bottom"/>
          </w:tcPr>
          <w:p>
            <w:pPr>
              <w:spacing w:after="0"/>
              <w:rPr>
                <w:sz w:val="15"/>
                <w:szCs w:val="15"/>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28,028</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16,535</w:t>
            </w:r>
          </w:p>
        </w:tc>
        <w:tc>
          <w:tcPr>
            <w:tcW w:w="0" w:type="dxa"/>
            <w:vAlign w:val="bottom"/>
          </w:tcPr>
          <w:p>
            <w:pPr>
              <w:spacing w:after="0"/>
              <w:rPr>
                <w:sz w:val="1"/>
                <w:szCs w:val="1"/>
                <w:color w:val="auto"/>
              </w:rPr>
            </w:pPr>
          </w:p>
        </w:tc>
      </w:tr>
      <w:tr>
        <w:trPr>
          <w:trHeight w:val="181"/>
        </w:trPr>
        <w:tc>
          <w:tcPr>
            <w:tcW w:w="8280" w:type="dxa"/>
            <w:vAlign w:val="bottom"/>
          </w:tcPr>
          <w:p>
            <w:pPr>
              <w:ind w:left="420"/>
              <w:spacing w:after="0"/>
              <w:rPr>
                <w:sz w:val="20"/>
                <w:szCs w:val="20"/>
                <w:color w:val="auto"/>
              </w:rPr>
            </w:pPr>
            <w:r>
              <w:rPr>
                <w:rFonts w:ascii="Arial" w:cs="Arial" w:eastAsia="Arial" w:hAnsi="Arial"/>
                <w:sz w:val="14"/>
                <w:szCs w:val="14"/>
                <w:color w:val="auto"/>
              </w:rPr>
              <w:t>Other operating, net</w:t>
            </w: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(6,003)</w:t>
            </w:r>
          </w:p>
        </w:tc>
        <w:tc>
          <w:tcPr>
            <w:tcW w:w="4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(4,387)</w:t>
            </w:r>
          </w:p>
        </w:tc>
        <w:tc>
          <w:tcPr>
            <w:tcW w:w="0" w:type="dxa"/>
            <w:vAlign w:val="bottom"/>
          </w:tcPr>
          <w:p>
            <w:pPr>
              <w:spacing w:after="0"/>
              <w:rPr>
                <w:sz w:val="1"/>
                <w:szCs w:val="1"/>
                <w:color w:val="auto"/>
              </w:rPr>
            </w:pPr>
          </w:p>
        </w:tc>
      </w:tr>
      <w:tr>
        <w:trPr>
          <w:trHeight w:val="176"/>
        </w:trPr>
        <w:tc>
          <w:tcPr>
            <w:tcW w:w="8280" w:type="dxa"/>
            <w:vAlign w:val="bottom"/>
          </w:tcPr>
          <w:p>
            <w:pPr>
              <w:ind w:left="620"/>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Pr>
          <w:p>
            <w:pPr>
              <w:spacing w:after="0"/>
              <w:rPr>
                <w:sz w:val="15"/>
                <w:szCs w:val="15"/>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153,801</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167,116</w:t>
            </w:r>
          </w:p>
        </w:tc>
        <w:tc>
          <w:tcPr>
            <w:tcW w:w="0" w:type="dxa"/>
            <w:vAlign w:val="bottom"/>
          </w:tcPr>
          <w:p>
            <w:pPr>
              <w:spacing w:after="0"/>
              <w:rPr>
                <w:sz w:val="1"/>
                <w:szCs w:val="1"/>
                <w:color w:val="auto"/>
              </w:rPr>
            </w:pPr>
          </w:p>
        </w:tc>
      </w:tr>
      <w:tr>
        <w:trPr>
          <w:trHeight w:val="339"/>
        </w:trPr>
        <w:tc>
          <w:tcPr>
            <w:tcW w:w="8280" w:type="dxa"/>
            <w:vAlign w:val="bottom"/>
          </w:tcPr>
          <w:p>
            <w:pPr>
              <w:spacing w:after="0"/>
              <w:rPr>
                <w:sz w:val="20"/>
                <w:szCs w:val="20"/>
                <w:color w:val="auto"/>
              </w:rPr>
            </w:pPr>
            <w:r>
              <w:rPr>
                <w:rFonts w:ascii="Arial" w:cs="Arial" w:eastAsia="Arial" w:hAnsi="Arial"/>
                <w:sz w:val="14"/>
                <w:szCs w:val="14"/>
                <w:color w:val="auto"/>
              </w:rPr>
              <w:t>Investing activities</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280" w:type="dxa"/>
            <w:vAlign w:val="bottom"/>
          </w:tcPr>
          <w:p>
            <w:pPr>
              <w:ind w:left="420"/>
              <w:spacing w:after="0"/>
              <w:rPr>
                <w:sz w:val="20"/>
                <w:szCs w:val="20"/>
                <w:color w:val="auto"/>
              </w:rPr>
            </w:pPr>
            <w:r>
              <w:rPr>
                <w:rFonts w:ascii="Arial" w:cs="Arial" w:eastAsia="Arial" w:hAnsi="Arial"/>
                <w:sz w:val="14"/>
                <w:szCs w:val="14"/>
                <w:color w:val="auto"/>
              </w:rPr>
              <w:t>Acquisitions of property, plant, and equipment</w:t>
            </w: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(45,799)</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(45,507)</w:t>
            </w:r>
          </w:p>
        </w:tc>
        <w:tc>
          <w:tcPr>
            <w:tcW w:w="0" w:type="dxa"/>
            <w:vAlign w:val="bottom"/>
          </w:tcPr>
          <w:p>
            <w:pPr>
              <w:spacing w:after="0"/>
              <w:rPr>
                <w:sz w:val="1"/>
                <w:szCs w:val="1"/>
                <w:color w:val="auto"/>
              </w:rPr>
            </w:pPr>
          </w:p>
        </w:tc>
      </w:tr>
      <w:tr>
        <w:trPr>
          <w:trHeight w:val="176"/>
        </w:trPr>
        <w:tc>
          <w:tcPr>
            <w:tcW w:w="8280" w:type="dxa"/>
            <w:vAlign w:val="bottom"/>
          </w:tcPr>
          <w:p>
            <w:pPr>
              <w:ind w:left="420"/>
              <w:spacing w:after="0"/>
              <w:rPr>
                <w:sz w:val="20"/>
                <w:szCs w:val="20"/>
                <w:color w:val="auto"/>
              </w:rPr>
            </w:pPr>
            <w:r>
              <w:rPr>
                <w:rFonts w:ascii="Arial" w:cs="Arial" w:eastAsia="Arial" w:hAnsi="Arial"/>
                <w:sz w:val="14"/>
                <w:szCs w:val="14"/>
                <w:color w:val="auto"/>
              </w:rPr>
              <w:t>Business acquisition, net of cash equivalents acquired</w:t>
            </w: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(14,635)</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8280" w:type="dxa"/>
            <w:vAlign w:val="bottom"/>
          </w:tcPr>
          <w:p>
            <w:pPr>
              <w:ind w:left="420"/>
              <w:spacing w:after="0"/>
              <w:rPr>
                <w:sz w:val="20"/>
                <w:szCs w:val="20"/>
                <w:color w:val="auto"/>
              </w:rPr>
            </w:pPr>
            <w:r>
              <w:rPr>
                <w:rFonts w:ascii="Arial" w:cs="Arial" w:eastAsia="Arial" w:hAnsi="Arial"/>
                <w:sz w:val="14"/>
                <w:szCs w:val="14"/>
                <w:color w:val="auto"/>
              </w:rPr>
              <w:t>Other investing, net</w:t>
            </w: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634</w:t>
            </w:r>
          </w:p>
        </w:tc>
        <w:tc>
          <w:tcPr>
            <w:tcW w:w="4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5,412</w:t>
            </w:r>
          </w:p>
        </w:tc>
        <w:tc>
          <w:tcPr>
            <w:tcW w:w="0" w:type="dxa"/>
            <w:vAlign w:val="bottom"/>
          </w:tcPr>
          <w:p>
            <w:pPr>
              <w:spacing w:after="0"/>
              <w:rPr>
                <w:sz w:val="1"/>
                <w:szCs w:val="1"/>
                <w:color w:val="auto"/>
              </w:rPr>
            </w:pPr>
          </w:p>
        </w:tc>
      </w:tr>
      <w:tr>
        <w:trPr>
          <w:trHeight w:val="176"/>
        </w:trPr>
        <w:tc>
          <w:tcPr>
            <w:tcW w:w="8280" w:type="dxa"/>
            <w:vAlign w:val="bottom"/>
          </w:tcPr>
          <w:p>
            <w:pPr>
              <w:ind w:left="620"/>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(59,800)</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(40,095)</w:t>
            </w:r>
          </w:p>
        </w:tc>
        <w:tc>
          <w:tcPr>
            <w:tcW w:w="0" w:type="dxa"/>
            <w:vAlign w:val="bottom"/>
          </w:tcPr>
          <w:p>
            <w:pPr>
              <w:spacing w:after="0"/>
              <w:rPr>
                <w:sz w:val="1"/>
                <w:szCs w:val="1"/>
                <w:color w:val="auto"/>
              </w:rPr>
            </w:pPr>
          </w:p>
        </w:tc>
      </w:tr>
      <w:tr>
        <w:trPr>
          <w:trHeight w:val="339"/>
        </w:trPr>
        <w:tc>
          <w:tcPr>
            <w:tcW w:w="8280" w:type="dxa"/>
            <w:vAlign w:val="bottom"/>
          </w:tcPr>
          <w:p>
            <w:pPr>
              <w:spacing w:after="0"/>
              <w:rPr>
                <w:sz w:val="20"/>
                <w:szCs w:val="20"/>
                <w:color w:val="auto"/>
              </w:rPr>
            </w:pPr>
            <w:r>
              <w:rPr>
                <w:rFonts w:ascii="Arial" w:cs="Arial" w:eastAsia="Arial" w:hAnsi="Arial"/>
                <w:sz w:val="14"/>
                <w:szCs w:val="14"/>
                <w:color w:val="auto"/>
              </w:rPr>
              <w:t>Financing activities</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280" w:type="dxa"/>
            <w:vAlign w:val="bottom"/>
          </w:tcPr>
          <w:p>
            <w:pPr>
              <w:ind w:left="420"/>
              <w:spacing w:after="0"/>
              <w:rPr>
                <w:sz w:val="20"/>
                <w:szCs w:val="20"/>
                <w:color w:val="auto"/>
              </w:rPr>
            </w:pPr>
            <w:r>
              <w:rPr>
                <w:rFonts w:ascii="Arial" w:cs="Arial" w:eastAsia="Arial" w:hAnsi="Arial"/>
                <w:sz w:val="14"/>
                <w:szCs w:val="14"/>
                <w:color w:val="auto"/>
              </w:rPr>
              <w:t>Proceeds from borrowings</w:t>
            </w:r>
          </w:p>
        </w:tc>
        <w:tc>
          <w:tcPr>
            <w:tcW w:w="320" w:type="dxa"/>
            <w:vAlign w:val="bottom"/>
          </w:tcPr>
          <w:p>
            <w:pPr>
              <w:spacing w:after="0"/>
              <w:rPr>
                <w:sz w:val="15"/>
                <w:szCs w:val="15"/>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670,000</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8280" w:type="dxa"/>
            <w:vAlign w:val="bottom"/>
          </w:tcPr>
          <w:p>
            <w:pPr>
              <w:ind w:left="420"/>
              <w:spacing w:after="0"/>
              <w:rPr>
                <w:sz w:val="20"/>
                <w:szCs w:val="20"/>
                <w:color w:val="auto"/>
              </w:rPr>
            </w:pPr>
            <w:r>
              <w:rPr>
                <w:rFonts w:ascii="Arial" w:cs="Arial" w:eastAsia="Arial" w:hAnsi="Arial"/>
                <w:sz w:val="14"/>
                <w:szCs w:val="14"/>
                <w:color w:val="auto"/>
              </w:rPr>
              <w:t>Payments on debt</w:t>
            </w: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(804,304)</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(106,524)</w:t>
            </w:r>
          </w:p>
        </w:tc>
        <w:tc>
          <w:tcPr>
            <w:tcW w:w="0" w:type="dxa"/>
            <w:vAlign w:val="bottom"/>
          </w:tcPr>
          <w:p>
            <w:pPr>
              <w:spacing w:after="0"/>
              <w:rPr>
                <w:sz w:val="1"/>
                <w:szCs w:val="1"/>
                <w:color w:val="auto"/>
              </w:rPr>
            </w:pPr>
          </w:p>
        </w:tc>
      </w:tr>
      <w:tr>
        <w:trPr>
          <w:trHeight w:val="176"/>
        </w:trPr>
        <w:tc>
          <w:tcPr>
            <w:tcW w:w="8280" w:type="dxa"/>
            <w:vAlign w:val="bottom"/>
          </w:tcPr>
          <w:p>
            <w:pPr>
              <w:ind w:left="420"/>
              <w:spacing w:after="0"/>
              <w:rPr>
                <w:sz w:val="20"/>
                <w:szCs w:val="20"/>
                <w:color w:val="auto"/>
              </w:rPr>
            </w:pPr>
            <w:r>
              <w:rPr>
                <w:rFonts w:ascii="Arial" w:cs="Arial" w:eastAsia="Arial" w:hAnsi="Arial"/>
                <w:sz w:val="14"/>
                <w:szCs w:val="14"/>
                <w:color w:val="auto"/>
              </w:rPr>
              <w:t>Issuance of common stock</w:t>
            </w:r>
          </w:p>
        </w:tc>
        <w:tc>
          <w:tcPr>
            <w:tcW w:w="320" w:type="dxa"/>
            <w:vAlign w:val="bottom"/>
          </w:tcPr>
          <w:p>
            <w:pPr>
              <w:spacing w:after="0"/>
              <w:rPr>
                <w:sz w:val="15"/>
                <w:szCs w:val="15"/>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3,512</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7,931</w:t>
            </w:r>
          </w:p>
        </w:tc>
        <w:tc>
          <w:tcPr>
            <w:tcW w:w="0" w:type="dxa"/>
            <w:vAlign w:val="bottom"/>
          </w:tcPr>
          <w:p>
            <w:pPr>
              <w:spacing w:after="0"/>
              <w:rPr>
                <w:sz w:val="1"/>
                <w:szCs w:val="1"/>
                <w:color w:val="auto"/>
              </w:rPr>
            </w:pPr>
          </w:p>
        </w:tc>
      </w:tr>
      <w:tr>
        <w:trPr>
          <w:trHeight w:val="181"/>
        </w:trPr>
        <w:tc>
          <w:tcPr>
            <w:tcW w:w="8280" w:type="dxa"/>
            <w:vAlign w:val="bottom"/>
          </w:tcPr>
          <w:p>
            <w:pPr>
              <w:ind w:left="420"/>
              <w:spacing w:after="0"/>
              <w:rPr>
                <w:sz w:val="20"/>
                <w:szCs w:val="20"/>
                <w:color w:val="auto"/>
              </w:rPr>
            </w:pPr>
            <w:r>
              <w:rPr>
                <w:rFonts w:ascii="Arial" w:cs="Arial" w:eastAsia="Arial" w:hAnsi="Arial"/>
                <w:sz w:val="14"/>
                <w:szCs w:val="14"/>
                <w:color w:val="auto"/>
              </w:rPr>
              <w:t>Other financing, net</w:t>
            </w: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(5,319)</w:t>
            </w:r>
          </w:p>
        </w:tc>
        <w:tc>
          <w:tcPr>
            <w:tcW w:w="4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(2,330)</w:t>
            </w:r>
          </w:p>
        </w:tc>
        <w:tc>
          <w:tcPr>
            <w:tcW w:w="0" w:type="dxa"/>
            <w:vAlign w:val="bottom"/>
          </w:tcPr>
          <w:p>
            <w:pPr>
              <w:spacing w:after="0"/>
              <w:rPr>
                <w:sz w:val="1"/>
                <w:szCs w:val="1"/>
                <w:color w:val="auto"/>
              </w:rPr>
            </w:pPr>
          </w:p>
        </w:tc>
      </w:tr>
      <w:tr>
        <w:trPr>
          <w:trHeight w:val="176"/>
        </w:trPr>
        <w:tc>
          <w:tcPr>
            <w:tcW w:w="8280" w:type="dxa"/>
            <w:vAlign w:val="bottom"/>
          </w:tcPr>
          <w:p>
            <w:pPr>
              <w:ind w:left="620"/>
              <w:spacing w:after="0"/>
              <w:rPr>
                <w:sz w:val="20"/>
                <w:szCs w:val="20"/>
                <w:color w:val="auto"/>
              </w:rPr>
            </w:pPr>
            <w:r>
              <w:rPr>
                <w:rFonts w:ascii="Arial" w:cs="Arial" w:eastAsia="Arial" w:hAnsi="Arial"/>
                <w:sz w:val="14"/>
                <w:szCs w:val="14"/>
                <w:color w:val="auto"/>
              </w:rPr>
              <w:t>Net cash used in financing activities</w:t>
            </w: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(136,111)</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(100,923)</w:t>
            </w:r>
          </w:p>
        </w:tc>
        <w:tc>
          <w:tcPr>
            <w:tcW w:w="0" w:type="dxa"/>
            <w:vAlign w:val="bottom"/>
          </w:tcPr>
          <w:p>
            <w:pPr>
              <w:spacing w:after="0"/>
              <w:rPr>
                <w:sz w:val="1"/>
                <w:szCs w:val="1"/>
                <w:color w:val="auto"/>
              </w:rPr>
            </w:pPr>
          </w:p>
        </w:tc>
      </w:tr>
      <w:tr>
        <w:trPr>
          <w:trHeight w:val="344"/>
        </w:trPr>
        <w:tc>
          <w:tcPr>
            <w:tcW w:w="8280" w:type="dxa"/>
            <w:vAlign w:val="bottom"/>
          </w:tcPr>
          <w:p>
            <w:pPr>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2,147</w:t>
            </w:r>
          </w:p>
        </w:tc>
        <w:tc>
          <w:tcPr>
            <w:tcW w:w="4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64"/>
        </w:trPr>
        <w:tc>
          <w:tcPr>
            <w:tcW w:w="8280" w:type="dxa"/>
            <w:vAlign w:val="bottom"/>
          </w:tcPr>
          <w:p>
            <w:pPr>
              <w:spacing w:after="0"/>
              <w:rPr>
                <w:sz w:val="20"/>
                <w:szCs w:val="20"/>
                <w:color w:val="auto"/>
              </w:rPr>
            </w:pPr>
            <w:r>
              <w:rPr>
                <w:rFonts w:ascii="Arial" w:cs="Arial" w:eastAsia="Arial" w:hAnsi="Arial"/>
                <w:sz w:val="14"/>
                <w:szCs w:val="14"/>
                <w:color w:val="auto"/>
              </w:rPr>
              <w:t>Increase (decrease) in cash and cash equivalents</w:t>
            </w: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(39,963)</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26,221</w:t>
            </w:r>
          </w:p>
        </w:tc>
        <w:tc>
          <w:tcPr>
            <w:tcW w:w="0" w:type="dxa"/>
            <w:vAlign w:val="bottom"/>
          </w:tcPr>
          <w:p>
            <w:pPr>
              <w:spacing w:after="0"/>
              <w:rPr>
                <w:sz w:val="1"/>
                <w:szCs w:val="1"/>
                <w:color w:val="auto"/>
              </w:rPr>
            </w:pPr>
          </w:p>
        </w:tc>
      </w:tr>
      <w:tr>
        <w:trPr>
          <w:trHeight w:val="181"/>
        </w:trPr>
        <w:tc>
          <w:tcPr>
            <w:tcW w:w="8280" w:type="dxa"/>
            <w:vAlign w:val="bottom"/>
          </w:tcPr>
          <w:p>
            <w:pPr>
              <w:spacing w:after="0"/>
              <w:rPr>
                <w:sz w:val="20"/>
                <w:szCs w:val="20"/>
                <w:color w:val="auto"/>
              </w:rPr>
            </w:pPr>
            <w:r>
              <w:rPr>
                <w:rFonts w:ascii="Arial" w:cs="Arial" w:eastAsia="Arial" w:hAnsi="Arial"/>
                <w:sz w:val="14"/>
                <w:szCs w:val="14"/>
                <w:color w:val="auto"/>
              </w:rPr>
              <w:t>Cash and cash equivalents at beginning of period</w:t>
            </w: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169,477</w:t>
            </w:r>
          </w:p>
        </w:tc>
        <w:tc>
          <w:tcPr>
            <w:tcW w:w="4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121,893</w:t>
            </w:r>
          </w:p>
        </w:tc>
        <w:tc>
          <w:tcPr>
            <w:tcW w:w="0" w:type="dxa"/>
            <w:vAlign w:val="bottom"/>
          </w:tcPr>
          <w:p>
            <w:pPr>
              <w:spacing w:after="0"/>
              <w:rPr>
                <w:sz w:val="1"/>
                <w:szCs w:val="1"/>
                <w:color w:val="auto"/>
              </w:rPr>
            </w:pPr>
          </w:p>
        </w:tc>
      </w:tr>
      <w:tr>
        <w:trPr>
          <w:trHeight w:val="169"/>
        </w:trPr>
        <w:tc>
          <w:tcPr>
            <w:tcW w:w="8280" w:type="dxa"/>
            <w:vAlign w:val="bottom"/>
          </w:tcPr>
          <w:p>
            <w:pPr>
              <w:spacing w:after="0"/>
              <w:rPr>
                <w:sz w:val="20"/>
                <w:szCs w:val="20"/>
                <w:color w:val="auto"/>
              </w:rPr>
            </w:pPr>
            <w:r>
              <w:rPr>
                <w:rFonts w:ascii="Arial" w:cs="Arial" w:eastAsia="Arial" w:hAnsi="Arial"/>
                <w:sz w:val="14"/>
                <w:szCs w:val="14"/>
                <w:color w:val="auto"/>
              </w:rPr>
              <w:t>Cash and cash equivalents at end of period</w:t>
            </w:r>
          </w:p>
        </w:tc>
        <w:tc>
          <w:tcPr>
            <w:tcW w:w="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129,514</w:t>
            </w:r>
          </w:p>
        </w:tc>
        <w:tc>
          <w:tcPr>
            <w:tcW w:w="460" w:type="dxa"/>
            <w:vAlign w:val="bottom"/>
          </w:tcPr>
          <w:p>
            <w:pPr>
              <w:spacing w:after="0"/>
              <w:rPr>
                <w:sz w:val="14"/>
                <w:szCs w:val="14"/>
                <w:color w:val="auto"/>
              </w:rPr>
            </w:pP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148,114</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28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22"/>
          <w:szCs w:val="22"/>
          <w:b w:val="1"/>
          <w:bCs w:val="1"/>
          <w:color w:val="auto"/>
        </w:rPr>
        <w:t>Itron,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About Non-GAAP Financial Measures</w:t>
      </w:r>
    </w:p>
    <w:p>
      <w:pPr>
        <w:spacing w:after="0" w:line="212" w:lineRule="exact"/>
        <w:rPr>
          <w:sz w:val="20"/>
          <w:szCs w:val="20"/>
          <w:color w:val="auto"/>
        </w:rPr>
      </w:pPr>
    </w:p>
    <w:p>
      <w:pPr>
        <w:ind w:right="80"/>
        <w:spacing w:after="0" w:line="247" w:lineRule="auto"/>
        <w:rPr>
          <w:sz w:val="20"/>
          <w:szCs w:val="20"/>
          <w:color w:val="auto"/>
        </w:rPr>
      </w:pPr>
      <w:r>
        <w:rPr>
          <w:rFonts w:ascii="Arial" w:cs="Arial" w:eastAsia="Arial" w:hAnsi="Arial"/>
          <w:sz w:val="21"/>
          <w:szCs w:val="21"/>
          <w:color w:val="auto"/>
        </w:rPr>
        <w:t>The accompanying press release contains non-GAAP financial measures. To supplement our consolidated financial statements, which are prepared and presented in accordance with GAAP, we use certain non-GAAP financial measures, including non-GAAP operating expense, non-GAAP operating income, non-GAAP net income, non-GAAP diluted EPS, adjusted EBITDA, and free cash flow. The presentation of this financial information is not intended to be considered in isolation or as a substitute for, or superior to, the financial information prepared and presented in accordance with GAAP. For more information on these non-GAAP financial measures, please see the table captioned “Reconciliations of Non-GAAP Financial Measures to Most Directly Comparable GAAP Financial Measures.”</w:t>
      </w:r>
    </w:p>
    <w:p>
      <w:pPr>
        <w:spacing w:after="0" w:line="178"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We use these non-GAAP financial measures for financial and operational decision making and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non-recurring discrete cash and non-cash charges that are infrequent in nature such as purchase accounting adjustments, restructuring charges or goodwill impairment charges.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help them analyze the health of our business.</w:t>
      </w:r>
    </w:p>
    <w:p>
      <w:pPr>
        <w:spacing w:after="0" w:line="156"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Non-GAAP operating expense and non-GAAP operating income – We define non-GAAP operating expense as operating expense excluding the expenses related to the amortization of intangible assets, restructuring and goodwill impairment. We define non-GAAP operating income as operating income excluding the expenses related to the amortization of intangible assets, restructuring and goodwill impairment. We consider these non-GAAP financial measures to be useful metrics for management and investors because they exclude the effect of expenses that are related to previous acquisitions and restructurings. By excluding these expenses we believe that it is easier for management and investors to compare our financial results over multiple periods and analyze trends in our operations. For example, expenses related to amortization of intangible assets are now decreasing, which is improving GAAP operating margins, yet the improvement in GAAP operating margins due to this lower expense is not necessarily reflective of an improvement in our core business. There are some limitations related to the use of non-GAAP operating expense and non-GAAP operating income versus operating expense and operating income calculated in accordance with GAAP. Non-GAAP operating expense and non-GAAP operating income exclude some costs that are recurring. Additionally, the expenses that we exclude in our calculation of non-GAAP operating expense and non-GAAP operating income may differ from the expenses that our peer companies exclude when they report the results of their operations. We compensate for these limitations by providing specific information about the GAAP amounts we have excluded from our non-GAAP operating expense and non-GAAP operating income and evaluating non-GAAP operating expense and non-GAAP operating income together with GAAP operating expense and GAAP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257810</wp:posOffset>
            </wp:positionV>
            <wp:extent cx="7272020"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3" w:name="page14"/>
    <w:bookmarkEnd w:id="13"/>
    <w:p>
      <w:pPr>
        <w:ind w:right="180"/>
        <w:spacing w:after="0" w:line="245" w:lineRule="auto"/>
        <w:rPr>
          <w:sz w:val="20"/>
          <w:szCs w:val="20"/>
          <w:color w:val="auto"/>
        </w:rPr>
      </w:pPr>
      <w:r>
        <w:rPr>
          <w:rFonts w:ascii="Arial" w:cs="Arial" w:eastAsia="Arial" w:hAnsi="Arial"/>
          <w:sz w:val="21"/>
          <w:szCs w:val="21"/>
          <w:color w:val="auto"/>
        </w:rPr>
        <w:t>Non-GAAP net income and non-GAAP diluted EPS – We define non-GAAP net income as net income excluding the expenses associated with amortization of intangible assets, restructuring, goodwill impairment, amortization of debt placement fees and amortization of convertible debt discount. We define non-GAAP diluted EPS as non-GAAP net income divided by the weighted average shares, on a diluted basis, outstanding during each period.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and GAAP diluted EPS.</w:t>
      </w:r>
    </w:p>
    <w:p>
      <w:pPr>
        <w:spacing w:after="0" w:line="186"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Adjusted EBITDA – We define adjusted EBITDA as net income (a) minus interest income, (b) plus interest expense, depreciation and amortization of intangible asset expenses, restructuring and goodwill impairment and (c) exclude the tax expense or benefit. We believe that providing this financial measure is important for management and investors to understand our ability to service our debt as it is a measure of the cash generated by our core business.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Management compensates for this limitation by providing a reconciliation of this measure to GAAP net income.</w:t>
      </w:r>
    </w:p>
    <w:p>
      <w:pPr>
        <w:spacing w:after="0" w:line="158" w:lineRule="exact"/>
        <w:rPr>
          <w:sz w:val="20"/>
          <w:szCs w:val="20"/>
          <w:color w:val="auto"/>
        </w:rPr>
      </w:pPr>
    </w:p>
    <w:p>
      <w:pPr>
        <w:ind w:right="120"/>
        <w:spacing w:after="0" w:line="249" w:lineRule="auto"/>
        <w:rPr>
          <w:sz w:val="20"/>
          <w:szCs w:val="20"/>
          <w:color w:val="auto"/>
        </w:rPr>
      </w:pPr>
      <w:r>
        <w:rPr>
          <w:rFonts w:ascii="Arial" w:cs="Arial" w:eastAsia="Arial" w:hAnsi="Arial"/>
          <w:sz w:val="21"/>
          <w:szCs w:val="21"/>
          <w:color w:val="auto"/>
        </w:rPr>
        <w:t>Free cash flow – We define free cash flow as net cash provided by operating activities less cash used for acquisitions of property, plant, and equipment. We believe free cash flow provides investors with a relevant measure of liquidity and a useful basis for assessing our ability to fund our operations and repay our debt. The same limitations described above regarding our use of non-GAAP operating income apply to our use of free cash flow. We compensate for these limitations by providing specific information regarding the GAAP amounts and reconciling to free cash flow.</w:t>
      </w:r>
    </w:p>
    <w:p>
      <w:pPr>
        <w:spacing w:after="0" w:line="179"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The accompanying tables have more detail on the GAAP financial measures that are most directly comparable to the non-GAAP financial measures and the related reconciliations between these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RECONCILIATIONS OF NON-GAAP FINANCIAL MEASURES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 MOST DIRECTLY COMPARABLE GAAP FINANCIAL MEASURES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60" w:type="dxa"/>
            <w:vAlign w:val="bottom"/>
          </w:tcPr>
          <w:p>
            <w:pPr>
              <w:spacing w:after="0"/>
              <w:rPr>
                <w:sz w:val="20"/>
                <w:szCs w:val="20"/>
                <w:color w:val="auto"/>
              </w:rPr>
            </w:pPr>
            <w:r>
              <w:rPr>
                <w:rFonts w:ascii="Arial" w:cs="Arial" w:eastAsia="Arial" w:hAnsi="Arial"/>
                <w:sz w:val="14"/>
                <w:szCs w:val="14"/>
                <w:color w:val="auto"/>
              </w:rPr>
              <w:t>(Unaudited, in thousands, except per share data)</w:t>
            </w:r>
          </w:p>
        </w:tc>
        <w:tc>
          <w:tcPr>
            <w:tcW w:w="280" w:type="dxa"/>
            <w:vAlign w:val="bottom"/>
          </w:tcPr>
          <w:p>
            <w:pPr>
              <w:spacing w:after="0"/>
              <w:rPr>
                <w:sz w:val="15"/>
                <w:szCs w:val="15"/>
                <w:color w:val="auto"/>
              </w:rPr>
            </w:pPr>
          </w:p>
        </w:tc>
        <w:tc>
          <w:tcPr>
            <w:tcW w:w="286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40" w:type="dxa"/>
            <w:vAlign w:val="bottom"/>
            <w:gridSpan w:val="4"/>
            <w:vMerge w:val="restart"/>
          </w:tcPr>
          <w:p>
            <w:pPr>
              <w:jc w:val="right"/>
              <w:ind w:right="368"/>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74"/>
        </w:trPr>
        <w:tc>
          <w:tcPr>
            <w:tcW w:w="50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5"/>
            <w:vMerge w:val="continue"/>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2011</w:t>
            </w:r>
          </w:p>
        </w:tc>
        <w:tc>
          <w:tcPr>
            <w:tcW w:w="4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64"/>
        </w:trPr>
        <w:tc>
          <w:tcPr>
            <w:tcW w:w="5060" w:type="dxa"/>
            <w:vAlign w:val="bottom"/>
          </w:tcPr>
          <w:p>
            <w:pPr>
              <w:spacing w:after="0"/>
              <w:rPr>
                <w:sz w:val="20"/>
                <w:szCs w:val="20"/>
                <w:color w:val="auto"/>
              </w:rPr>
            </w:pPr>
            <w:r>
              <w:rPr>
                <w:rFonts w:ascii="Arial" w:cs="Arial" w:eastAsia="Arial" w:hAnsi="Arial"/>
                <w:sz w:val="14"/>
                <w:szCs w:val="14"/>
                <w:color w:val="auto"/>
              </w:rPr>
              <w:t>Non-GAAP operating expense:</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60" w:type="dxa"/>
            <w:vAlign w:val="bottom"/>
          </w:tcPr>
          <w:p>
            <w:pPr>
              <w:ind w:left="220"/>
              <w:spacing w:after="0"/>
              <w:rPr>
                <w:sz w:val="20"/>
                <w:szCs w:val="20"/>
                <w:color w:val="auto"/>
              </w:rPr>
            </w:pPr>
            <w:r>
              <w:rPr>
                <w:rFonts w:ascii="Arial" w:cs="Arial" w:eastAsia="Arial" w:hAnsi="Arial"/>
                <w:sz w:val="14"/>
                <w:szCs w:val="14"/>
                <w:color w:val="auto"/>
              </w:rPr>
              <w:t>Itron North America - GAAP operating expense</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46,901</w:t>
            </w:r>
          </w:p>
        </w:tc>
        <w:tc>
          <w:tcPr>
            <w:tcW w:w="7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47,277</w:t>
            </w:r>
          </w:p>
        </w:tc>
        <w:tc>
          <w:tcPr>
            <w:tcW w:w="100" w:type="dxa"/>
            <w:vAlign w:val="bottom"/>
          </w:tcPr>
          <w:p>
            <w:pPr>
              <w:spacing w:after="0"/>
              <w:rPr>
                <w:sz w:val="15"/>
                <w:szCs w:val="15"/>
                <w:color w:val="auto"/>
              </w:rPr>
            </w:pPr>
          </w:p>
        </w:tc>
        <w:tc>
          <w:tcPr>
            <w:tcW w:w="4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152,049</w:t>
            </w:r>
          </w:p>
        </w:tc>
        <w:tc>
          <w:tcPr>
            <w:tcW w:w="72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138,988</w:t>
            </w:r>
          </w:p>
        </w:tc>
        <w:tc>
          <w:tcPr>
            <w:tcW w:w="0" w:type="dxa"/>
            <w:vAlign w:val="bottom"/>
          </w:tcPr>
          <w:p>
            <w:pPr>
              <w:spacing w:after="0"/>
              <w:rPr>
                <w:sz w:val="1"/>
                <w:szCs w:val="1"/>
                <w:color w:val="auto"/>
              </w:rPr>
            </w:pPr>
          </w:p>
        </w:tc>
      </w:tr>
      <w:tr>
        <w:trPr>
          <w:trHeight w:val="176"/>
        </w:trPr>
        <w:tc>
          <w:tcPr>
            <w:tcW w:w="5060" w:type="dxa"/>
            <w:vAlign w:val="bottom"/>
          </w:tcPr>
          <w:p>
            <w:pPr>
              <w:ind w:left="420"/>
              <w:spacing w:after="0"/>
              <w:rPr>
                <w:sz w:val="20"/>
                <w:szCs w:val="20"/>
                <w:color w:val="auto"/>
              </w:rPr>
            </w:pPr>
            <w:r>
              <w:rPr>
                <w:rFonts w:ascii="Arial" w:cs="Arial" w:eastAsia="Arial" w:hAnsi="Arial"/>
                <w:sz w:val="14"/>
                <w:szCs w:val="14"/>
                <w:color w:val="auto"/>
              </w:rPr>
              <w:t>Amortization of intangible assets</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(3,513)</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(4,084)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(10,537)</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(12,254)</w:t>
            </w:r>
          </w:p>
        </w:tc>
        <w:tc>
          <w:tcPr>
            <w:tcW w:w="0" w:type="dxa"/>
            <w:vAlign w:val="bottom"/>
          </w:tcPr>
          <w:p>
            <w:pPr>
              <w:spacing w:after="0"/>
              <w:rPr>
                <w:sz w:val="1"/>
                <w:szCs w:val="1"/>
                <w:color w:val="auto"/>
              </w:rPr>
            </w:pPr>
          </w:p>
        </w:tc>
      </w:tr>
      <w:tr>
        <w:trPr>
          <w:trHeight w:val="181"/>
        </w:trPr>
        <w:tc>
          <w:tcPr>
            <w:tcW w:w="5060" w:type="dxa"/>
            <w:vAlign w:val="bottom"/>
          </w:tcPr>
          <w:p>
            <w:pPr>
              <w:ind w:left="420"/>
              <w:spacing w:after="0"/>
              <w:rPr>
                <w:sz w:val="20"/>
                <w:szCs w:val="20"/>
                <w:color w:val="auto"/>
              </w:rPr>
            </w:pPr>
            <w:r>
              <w:rPr>
                <w:rFonts w:ascii="Arial" w:cs="Arial" w:eastAsia="Arial" w:hAnsi="Arial"/>
                <w:sz w:val="14"/>
                <w:szCs w:val="14"/>
                <w:color w:val="auto"/>
              </w:rPr>
              <w:t>Restructuring</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w:t>
            </w:r>
          </w:p>
        </w:tc>
        <w:tc>
          <w:tcPr>
            <w:tcW w:w="3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(420)</w:t>
            </w:r>
          </w:p>
        </w:tc>
        <w:tc>
          <w:tcPr>
            <w:tcW w:w="4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5060" w:type="dxa"/>
            <w:vAlign w:val="bottom"/>
          </w:tcPr>
          <w:p>
            <w:pPr>
              <w:ind w:left="220"/>
              <w:spacing w:after="0"/>
              <w:rPr>
                <w:sz w:val="20"/>
                <w:szCs w:val="20"/>
                <w:color w:val="auto"/>
              </w:rPr>
            </w:pPr>
            <w:r>
              <w:rPr>
                <w:rFonts w:ascii="Arial" w:cs="Arial" w:eastAsia="Arial" w:hAnsi="Arial"/>
                <w:sz w:val="14"/>
                <w:szCs w:val="14"/>
                <w:color w:val="auto"/>
              </w:rPr>
              <w:t>Itron North America - Non-GAAP operating expense</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42,968</w:t>
            </w:r>
          </w:p>
        </w:tc>
        <w:tc>
          <w:tcPr>
            <w:tcW w:w="380" w:type="dxa"/>
            <w:vAlign w:val="bottom"/>
          </w:tcPr>
          <w:p>
            <w:pPr>
              <w:spacing w:after="0"/>
              <w:rPr>
                <w:sz w:val="14"/>
                <w:szCs w:val="14"/>
                <w:color w:val="auto"/>
              </w:rPr>
            </w:pP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43,193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141,092</w:t>
            </w:r>
          </w:p>
        </w:tc>
        <w:tc>
          <w:tcPr>
            <w:tcW w:w="400" w:type="dxa"/>
            <w:vAlign w:val="bottom"/>
          </w:tcPr>
          <w:p>
            <w:pPr>
              <w:spacing w:after="0"/>
              <w:rPr>
                <w:sz w:val="14"/>
                <w:szCs w:val="14"/>
                <w:color w:val="auto"/>
              </w:rPr>
            </w:pP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126,734</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060" w:type="dxa"/>
            <w:vAlign w:val="bottom"/>
          </w:tcPr>
          <w:p>
            <w:pPr>
              <w:ind w:left="220"/>
              <w:spacing w:after="0"/>
              <w:rPr>
                <w:sz w:val="20"/>
                <w:szCs w:val="20"/>
                <w:color w:val="auto"/>
              </w:rPr>
            </w:pPr>
            <w:r>
              <w:rPr>
                <w:rFonts w:ascii="Arial" w:cs="Arial" w:eastAsia="Arial" w:hAnsi="Arial"/>
                <w:sz w:val="14"/>
                <w:szCs w:val="14"/>
                <w:color w:val="auto"/>
              </w:rPr>
              <w:t>Itron International - GAAP operating expense</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616,670</w:t>
            </w:r>
          </w:p>
        </w:tc>
        <w:tc>
          <w:tcPr>
            <w:tcW w:w="7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64,697</w:t>
            </w:r>
          </w:p>
        </w:tc>
        <w:tc>
          <w:tcPr>
            <w:tcW w:w="100" w:type="dxa"/>
            <w:vAlign w:val="bottom"/>
          </w:tcPr>
          <w:p>
            <w:pPr>
              <w:spacing w:after="0"/>
              <w:rPr>
                <w:sz w:val="24"/>
                <w:szCs w:val="24"/>
                <w:color w:val="auto"/>
              </w:rPr>
            </w:pPr>
          </w:p>
        </w:tc>
        <w:tc>
          <w:tcPr>
            <w:tcW w:w="4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767,472</w:t>
            </w:r>
          </w:p>
        </w:tc>
        <w:tc>
          <w:tcPr>
            <w:tcW w:w="72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201,232</w:t>
            </w:r>
          </w:p>
        </w:tc>
        <w:tc>
          <w:tcPr>
            <w:tcW w:w="0" w:type="dxa"/>
            <w:vAlign w:val="bottom"/>
          </w:tcPr>
          <w:p>
            <w:pPr>
              <w:spacing w:after="0"/>
              <w:rPr>
                <w:sz w:val="1"/>
                <w:szCs w:val="1"/>
                <w:color w:val="auto"/>
              </w:rPr>
            </w:pPr>
          </w:p>
        </w:tc>
      </w:tr>
      <w:tr>
        <w:trPr>
          <w:trHeight w:val="176"/>
        </w:trPr>
        <w:tc>
          <w:tcPr>
            <w:tcW w:w="5060" w:type="dxa"/>
            <w:vAlign w:val="bottom"/>
          </w:tcPr>
          <w:p>
            <w:pPr>
              <w:ind w:left="420"/>
              <w:spacing w:after="0"/>
              <w:rPr>
                <w:sz w:val="20"/>
                <w:szCs w:val="20"/>
                <w:color w:val="auto"/>
              </w:rPr>
            </w:pPr>
            <w:r>
              <w:rPr>
                <w:rFonts w:ascii="Arial" w:cs="Arial" w:eastAsia="Arial" w:hAnsi="Arial"/>
                <w:sz w:val="14"/>
                <w:szCs w:val="14"/>
                <w:color w:val="auto"/>
              </w:rPr>
              <w:t>Amortization of intangible assets</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(12,500)</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(12,798)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(37,270)</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(39,205)</w:t>
            </w:r>
          </w:p>
        </w:tc>
        <w:tc>
          <w:tcPr>
            <w:tcW w:w="0" w:type="dxa"/>
            <w:vAlign w:val="bottom"/>
          </w:tcPr>
          <w:p>
            <w:pPr>
              <w:spacing w:after="0"/>
              <w:rPr>
                <w:sz w:val="1"/>
                <w:szCs w:val="1"/>
                <w:color w:val="auto"/>
              </w:rPr>
            </w:pPr>
          </w:p>
        </w:tc>
      </w:tr>
      <w:tr>
        <w:trPr>
          <w:trHeight w:val="176"/>
        </w:trPr>
        <w:tc>
          <w:tcPr>
            <w:tcW w:w="5060" w:type="dxa"/>
            <w:vAlign w:val="bottom"/>
          </w:tcPr>
          <w:p>
            <w:pPr>
              <w:ind w:left="420"/>
              <w:spacing w:after="0"/>
              <w:rPr>
                <w:sz w:val="20"/>
                <w:szCs w:val="20"/>
                <w:color w:val="auto"/>
              </w:rPr>
            </w:pPr>
            <w:r>
              <w:rPr>
                <w:rFonts w:ascii="Arial" w:cs="Arial" w:eastAsia="Arial" w:hAnsi="Arial"/>
                <w:sz w:val="14"/>
                <w:szCs w:val="14"/>
                <w:color w:val="auto"/>
              </w:rPr>
              <w:t>Restructuring</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(665)</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(2,071)</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5060" w:type="dxa"/>
            <w:vAlign w:val="bottom"/>
          </w:tcPr>
          <w:p>
            <w:pPr>
              <w:ind w:left="420"/>
              <w:spacing w:after="0"/>
              <w:rPr>
                <w:sz w:val="20"/>
                <w:szCs w:val="20"/>
                <w:color w:val="auto"/>
              </w:rPr>
            </w:pPr>
            <w:r>
              <w:rPr>
                <w:rFonts w:ascii="Arial" w:cs="Arial" w:eastAsia="Arial" w:hAnsi="Arial"/>
                <w:sz w:val="14"/>
                <w:szCs w:val="14"/>
                <w:color w:val="auto"/>
              </w:rPr>
              <w:t>Goodwill impairment</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(540,400)</w:t>
            </w:r>
          </w:p>
        </w:tc>
        <w:tc>
          <w:tcPr>
            <w:tcW w:w="3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(540,400)</w:t>
            </w:r>
          </w:p>
        </w:tc>
        <w:tc>
          <w:tcPr>
            <w:tcW w:w="4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5060" w:type="dxa"/>
            <w:vAlign w:val="bottom"/>
          </w:tcPr>
          <w:p>
            <w:pPr>
              <w:ind w:left="220"/>
              <w:spacing w:after="0"/>
              <w:rPr>
                <w:sz w:val="20"/>
                <w:szCs w:val="20"/>
                <w:color w:val="auto"/>
              </w:rPr>
            </w:pPr>
            <w:r>
              <w:rPr>
                <w:rFonts w:ascii="Arial" w:cs="Arial" w:eastAsia="Arial" w:hAnsi="Arial"/>
                <w:sz w:val="14"/>
                <w:szCs w:val="14"/>
                <w:color w:val="auto"/>
              </w:rPr>
              <w:t>Itron International - Non-GAAP operating expense</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63,105</w:t>
            </w:r>
          </w:p>
        </w:tc>
        <w:tc>
          <w:tcPr>
            <w:tcW w:w="380" w:type="dxa"/>
            <w:vAlign w:val="bottom"/>
          </w:tcPr>
          <w:p>
            <w:pPr>
              <w:spacing w:after="0"/>
              <w:rPr>
                <w:sz w:val="14"/>
                <w:szCs w:val="14"/>
                <w:color w:val="auto"/>
              </w:rPr>
            </w:pP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51,899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187,731</w:t>
            </w:r>
          </w:p>
        </w:tc>
        <w:tc>
          <w:tcPr>
            <w:tcW w:w="400" w:type="dxa"/>
            <w:vAlign w:val="bottom"/>
          </w:tcPr>
          <w:p>
            <w:pPr>
              <w:spacing w:after="0"/>
              <w:rPr>
                <w:sz w:val="14"/>
                <w:szCs w:val="14"/>
                <w:color w:val="auto"/>
              </w:rPr>
            </w:pP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162,027</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060" w:type="dxa"/>
            <w:vAlign w:val="bottom"/>
          </w:tcPr>
          <w:p>
            <w:pPr>
              <w:ind w:left="220"/>
              <w:spacing w:after="0"/>
              <w:rPr>
                <w:sz w:val="20"/>
                <w:szCs w:val="20"/>
                <w:color w:val="auto"/>
              </w:rPr>
            </w:pPr>
            <w:r>
              <w:rPr>
                <w:rFonts w:ascii="Arial" w:cs="Arial" w:eastAsia="Arial" w:hAnsi="Arial"/>
                <w:sz w:val="14"/>
                <w:szCs w:val="14"/>
                <w:color w:val="auto"/>
              </w:rPr>
              <w:t>Total Company - GAAP operating expense</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673,430</w:t>
            </w:r>
          </w:p>
        </w:tc>
        <w:tc>
          <w:tcPr>
            <w:tcW w:w="7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122,827</w:t>
            </w:r>
          </w:p>
        </w:tc>
        <w:tc>
          <w:tcPr>
            <w:tcW w:w="100" w:type="dxa"/>
            <w:vAlign w:val="bottom"/>
          </w:tcPr>
          <w:p>
            <w:pPr>
              <w:spacing w:after="0"/>
              <w:rPr>
                <w:sz w:val="24"/>
                <w:szCs w:val="24"/>
                <w:color w:val="auto"/>
              </w:rPr>
            </w:pPr>
          </w:p>
        </w:tc>
        <w:tc>
          <w:tcPr>
            <w:tcW w:w="4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950,449</w:t>
            </w:r>
          </w:p>
        </w:tc>
        <w:tc>
          <w:tcPr>
            <w:tcW w:w="72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372,319</w:t>
            </w:r>
          </w:p>
        </w:tc>
        <w:tc>
          <w:tcPr>
            <w:tcW w:w="0" w:type="dxa"/>
            <w:vAlign w:val="bottom"/>
          </w:tcPr>
          <w:p>
            <w:pPr>
              <w:spacing w:after="0"/>
              <w:rPr>
                <w:sz w:val="1"/>
                <w:szCs w:val="1"/>
                <w:color w:val="auto"/>
              </w:rPr>
            </w:pPr>
          </w:p>
        </w:tc>
      </w:tr>
      <w:tr>
        <w:trPr>
          <w:trHeight w:val="176"/>
        </w:trPr>
        <w:tc>
          <w:tcPr>
            <w:tcW w:w="5060" w:type="dxa"/>
            <w:vAlign w:val="bottom"/>
          </w:tcPr>
          <w:p>
            <w:pPr>
              <w:ind w:left="420"/>
              <w:spacing w:after="0"/>
              <w:rPr>
                <w:sz w:val="20"/>
                <w:szCs w:val="20"/>
                <w:color w:val="auto"/>
              </w:rPr>
            </w:pPr>
            <w:r>
              <w:rPr>
                <w:rFonts w:ascii="Arial" w:cs="Arial" w:eastAsia="Arial" w:hAnsi="Arial"/>
                <w:sz w:val="14"/>
                <w:szCs w:val="14"/>
                <w:color w:val="auto"/>
              </w:rPr>
              <w:t>Amortization of intangible assets</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(16,013)</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(16,882)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(47,807)</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(51,459)</w:t>
            </w:r>
          </w:p>
        </w:tc>
        <w:tc>
          <w:tcPr>
            <w:tcW w:w="0" w:type="dxa"/>
            <w:vAlign w:val="bottom"/>
          </w:tcPr>
          <w:p>
            <w:pPr>
              <w:spacing w:after="0"/>
              <w:rPr>
                <w:sz w:val="1"/>
                <w:szCs w:val="1"/>
                <w:color w:val="auto"/>
              </w:rPr>
            </w:pPr>
          </w:p>
        </w:tc>
      </w:tr>
      <w:tr>
        <w:trPr>
          <w:trHeight w:val="176"/>
        </w:trPr>
        <w:tc>
          <w:tcPr>
            <w:tcW w:w="5060" w:type="dxa"/>
            <w:vAlign w:val="bottom"/>
          </w:tcPr>
          <w:p>
            <w:pPr>
              <w:ind w:left="420"/>
              <w:spacing w:after="0"/>
              <w:rPr>
                <w:sz w:val="20"/>
                <w:szCs w:val="20"/>
                <w:color w:val="auto"/>
              </w:rPr>
            </w:pPr>
            <w:r>
              <w:rPr>
                <w:rFonts w:ascii="Arial" w:cs="Arial" w:eastAsia="Arial" w:hAnsi="Arial"/>
                <w:sz w:val="14"/>
                <w:szCs w:val="14"/>
                <w:color w:val="auto"/>
              </w:rPr>
              <w:t>Restructuring</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(1,096)</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(3,003)</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5060" w:type="dxa"/>
            <w:vAlign w:val="bottom"/>
          </w:tcPr>
          <w:p>
            <w:pPr>
              <w:ind w:left="420"/>
              <w:spacing w:after="0"/>
              <w:rPr>
                <w:sz w:val="20"/>
                <w:szCs w:val="20"/>
                <w:color w:val="auto"/>
              </w:rPr>
            </w:pPr>
            <w:r>
              <w:rPr>
                <w:rFonts w:ascii="Arial" w:cs="Arial" w:eastAsia="Arial" w:hAnsi="Arial"/>
                <w:sz w:val="14"/>
                <w:szCs w:val="14"/>
                <w:color w:val="auto"/>
              </w:rPr>
              <w:t>Goodwill impairment</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(540,400)</w:t>
            </w:r>
          </w:p>
        </w:tc>
        <w:tc>
          <w:tcPr>
            <w:tcW w:w="3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(540,400)</w:t>
            </w:r>
          </w:p>
        </w:tc>
        <w:tc>
          <w:tcPr>
            <w:tcW w:w="4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5060" w:type="dxa"/>
            <w:vAlign w:val="bottom"/>
          </w:tcPr>
          <w:p>
            <w:pPr>
              <w:ind w:left="220"/>
              <w:spacing w:after="0"/>
              <w:rPr>
                <w:sz w:val="20"/>
                <w:szCs w:val="20"/>
                <w:color w:val="auto"/>
              </w:rPr>
            </w:pPr>
            <w:r>
              <w:rPr>
                <w:rFonts w:ascii="Arial" w:cs="Arial" w:eastAsia="Arial" w:hAnsi="Arial"/>
                <w:sz w:val="14"/>
                <w:szCs w:val="14"/>
                <w:color w:val="auto"/>
              </w:rPr>
              <w:t>Total Company - Non-GAAP operating expense</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115,921</w:t>
            </w:r>
          </w:p>
        </w:tc>
        <w:tc>
          <w:tcPr>
            <w:tcW w:w="380" w:type="dxa"/>
            <w:vAlign w:val="bottom"/>
          </w:tcPr>
          <w:p>
            <w:pPr>
              <w:spacing w:after="0"/>
              <w:rPr>
                <w:sz w:val="14"/>
                <w:szCs w:val="14"/>
                <w:color w:val="auto"/>
              </w:rPr>
            </w:pP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105,945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359,239</w:t>
            </w:r>
          </w:p>
        </w:tc>
        <w:tc>
          <w:tcPr>
            <w:tcW w:w="400" w:type="dxa"/>
            <w:vAlign w:val="bottom"/>
          </w:tcPr>
          <w:p>
            <w:pPr>
              <w:spacing w:after="0"/>
              <w:rPr>
                <w:sz w:val="14"/>
                <w:szCs w:val="14"/>
                <w:color w:val="auto"/>
              </w:rPr>
            </w:pP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320,860</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4"/>
                <w:szCs w:val="14"/>
                <w:color w:val="auto"/>
              </w:rPr>
              <w:t>Non-GAAP operating income:</w:t>
            </w: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0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060" w:type="dxa"/>
            <w:vAlign w:val="bottom"/>
          </w:tcPr>
          <w:p>
            <w:pPr>
              <w:ind w:left="220"/>
              <w:spacing w:after="0"/>
              <w:rPr>
                <w:sz w:val="20"/>
                <w:szCs w:val="20"/>
                <w:color w:val="auto"/>
              </w:rPr>
            </w:pPr>
            <w:r>
              <w:rPr>
                <w:rFonts w:ascii="Arial" w:cs="Arial" w:eastAsia="Arial" w:hAnsi="Arial"/>
                <w:sz w:val="14"/>
                <w:szCs w:val="14"/>
                <w:color w:val="auto"/>
              </w:rPr>
              <w:t>GAAP operating income (loss)</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(497,252)</w:t>
            </w:r>
          </w:p>
        </w:tc>
        <w:tc>
          <w:tcPr>
            <w:tcW w:w="7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58,936</w:t>
            </w:r>
          </w:p>
        </w:tc>
        <w:tc>
          <w:tcPr>
            <w:tcW w:w="100" w:type="dxa"/>
            <w:vAlign w:val="bottom"/>
          </w:tcPr>
          <w:p>
            <w:pPr>
              <w:spacing w:after="0"/>
              <w:rPr>
                <w:sz w:val="15"/>
                <w:szCs w:val="15"/>
                <w:color w:val="auto"/>
              </w:rPr>
            </w:pPr>
          </w:p>
        </w:tc>
        <w:tc>
          <w:tcPr>
            <w:tcW w:w="4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(399,078)</w:t>
            </w:r>
          </w:p>
        </w:tc>
        <w:tc>
          <w:tcPr>
            <w:tcW w:w="72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140,564</w:t>
            </w:r>
          </w:p>
        </w:tc>
        <w:tc>
          <w:tcPr>
            <w:tcW w:w="0" w:type="dxa"/>
            <w:vAlign w:val="bottom"/>
          </w:tcPr>
          <w:p>
            <w:pPr>
              <w:spacing w:after="0"/>
              <w:rPr>
                <w:sz w:val="1"/>
                <w:szCs w:val="1"/>
                <w:color w:val="auto"/>
              </w:rPr>
            </w:pPr>
          </w:p>
        </w:tc>
      </w:tr>
      <w:tr>
        <w:trPr>
          <w:trHeight w:val="176"/>
        </w:trPr>
        <w:tc>
          <w:tcPr>
            <w:tcW w:w="5060" w:type="dxa"/>
            <w:vAlign w:val="bottom"/>
          </w:tcPr>
          <w:p>
            <w:pPr>
              <w:ind w:left="420"/>
              <w:spacing w:after="0"/>
              <w:rPr>
                <w:sz w:val="20"/>
                <w:szCs w:val="20"/>
                <w:color w:val="auto"/>
              </w:rPr>
            </w:pPr>
            <w:r>
              <w:rPr>
                <w:rFonts w:ascii="Arial" w:cs="Arial" w:eastAsia="Arial" w:hAnsi="Arial"/>
                <w:sz w:val="14"/>
                <w:szCs w:val="14"/>
                <w:color w:val="auto"/>
              </w:rPr>
              <w:t>Amortization of intangible assets</w:t>
            </w:r>
          </w:p>
        </w:tc>
        <w:tc>
          <w:tcPr>
            <w:tcW w:w="28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16,013</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16,882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47,807</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51,459</w:t>
            </w:r>
          </w:p>
        </w:tc>
        <w:tc>
          <w:tcPr>
            <w:tcW w:w="0" w:type="dxa"/>
            <w:vAlign w:val="bottom"/>
          </w:tcPr>
          <w:p>
            <w:pPr>
              <w:spacing w:after="0"/>
              <w:rPr>
                <w:sz w:val="1"/>
                <w:szCs w:val="1"/>
                <w:color w:val="auto"/>
              </w:rPr>
            </w:pPr>
          </w:p>
        </w:tc>
      </w:tr>
      <w:tr>
        <w:trPr>
          <w:trHeight w:val="176"/>
        </w:trPr>
        <w:tc>
          <w:tcPr>
            <w:tcW w:w="5060" w:type="dxa"/>
            <w:vAlign w:val="bottom"/>
          </w:tcPr>
          <w:p>
            <w:pPr>
              <w:ind w:left="420"/>
              <w:spacing w:after="0"/>
              <w:rPr>
                <w:sz w:val="20"/>
                <w:szCs w:val="20"/>
                <w:color w:val="auto"/>
              </w:rPr>
            </w:pPr>
            <w:r>
              <w:rPr>
                <w:rFonts w:ascii="Arial" w:cs="Arial" w:eastAsia="Arial" w:hAnsi="Arial"/>
                <w:sz w:val="14"/>
                <w:szCs w:val="14"/>
                <w:color w:val="auto"/>
              </w:rPr>
              <w:t>Restructuring</w:t>
            </w:r>
          </w:p>
        </w:tc>
        <w:tc>
          <w:tcPr>
            <w:tcW w:w="28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1,096</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3,003</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5060" w:type="dxa"/>
            <w:vAlign w:val="bottom"/>
          </w:tcPr>
          <w:p>
            <w:pPr>
              <w:ind w:left="420"/>
              <w:spacing w:after="0"/>
              <w:rPr>
                <w:sz w:val="20"/>
                <w:szCs w:val="20"/>
                <w:color w:val="auto"/>
              </w:rPr>
            </w:pPr>
            <w:r>
              <w:rPr>
                <w:rFonts w:ascii="Arial" w:cs="Arial" w:eastAsia="Arial" w:hAnsi="Arial"/>
                <w:sz w:val="14"/>
                <w:szCs w:val="14"/>
                <w:color w:val="auto"/>
              </w:rPr>
              <w:t>Goodwill impairment</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540,400</w:t>
            </w:r>
          </w:p>
        </w:tc>
        <w:tc>
          <w:tcPr>
            <w:tcW w:w="3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540,400</w:t>
            </w:r>
          </w:p>
        </w:tc>
        <w:tc>
          <w:tcPr>
            <w:tcW w:w="4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5060" w:type="dxa"/>
            <w:vAlign w:val="bottom"/>
          </w:tcPr>
          <w:p>
            <w:pPr>
              <w:ind w:left="220"/>
              <w:spacing w:after="0"/>
              <w:rPr>
                <w:sz w:val="20"/>
                <w:szCs w:val="20"/>
                <w:color w:val="auto"/>
              </w:rPr>
            </w:pPr>
            <w:r>
              <w:rPr>
                <w:rFonts w:ascii="Arial" w:cs="Arial" w:eastAsia="Arial" w:hAnsi="Arial"/>
                <w:sz w:val="14"/>
                <w:szCs w:val="14"/>
                <w:color w:val="auto"/>
              </w:rPr>
              <w:t>Non-GAAP operating income</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60,257</w:t>
            </w:r>
          </w:p>
        </w:tc>
        <w:tc>
          <w:tcPr>
            <w:tcW w:w="380" w:type="dxa"/>
            <w:vAlign w:val="bottom"/>
          </w:tcPr>
          <w:p>
            <w:pPr>
              <w:spacing w:after="0"/>
              <w:rPr>
                <w:sz w:val="14"/>
                <w:szCs w:val="14"/>
                <w:color w:val="auto"/>
              </w:rPr>
            </w:pP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75,818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192,132</w:t>
            </w:r>
          </w:p>
        </w:tc>
        <w:tc>
          <w:tcPr>
            <w:tcW w:w="400" w:type="dxa"/>
            <w:vAlign w:val="bottom"/>
          </w:tcPr>
          <w:p>
            <w:pPr>
              <w:spacing w:after="0"/>
              <w:rPr>
                <w:sz w:val="14"/>
                <w:szCs w:val="14"/>
                <w:color w:val="auto"/>
              </w:rPr>
            </w:pP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192,023</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4"/>
                <w:szCs w:val="14"/>
                <w:color w:val="auto"/>
              </w:rPr>
              <w:t>Non-GAAP net income:</w:t>
            </w: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0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060" w:type="dxa"/>
            <w:vAlign w:val="bottom"/>
          </w:tcPr>
          <w:p>
            <w:pPr>
              <w:ind w:left="220"/>
              <w:spacing w:after="0"/>
              <w:rPr>
                <w:sz w:val="20"/>
                <w:szCs w:val="20"/>
                <w:color w:val="auto"/>
              </w:rPr>
            </w:pPr>
            <w:r>
              <w:rPr>
                <w:rFonts w:ascii="Arial" w:cs="Arial" w:eastAsia="Arial" w:hAnsi="Arial"/>
                <w:sz w:val="14"/>
                <w:szCs w:val="14"/>
                <w:color w:val="auto"/>
              </w:rPr>
              <w:t>GAAP net income (loss)</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(517,082)</w:t>
            </w:r>
          </w:p>
        </w:tc>
        <w:tc>
          <w:tcPr>
            <w:tcW w:w="7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27,639</w:t>
            </w:r>
          </w:p>
        </w:tc>
        <w:tc>
          <w:tcPr>
            <w:tcW w:w="100" w:type="dxa"/>
            <w:vAlign w:val="bottom"/>
          </w:tcPr>
          <w:p>
            <w:pPr>
              <w:spacing w:after="0"/>
              <w:rPr>
                <w:sz w:val="15"/>
                <w:szCs w:val="15"/>
                <w:color w:val="auto"/>
              </w:rPr>
            </w:pPr>
          </w:p>
        </w:tc>
        <w:tc>
          <w:tcPr>
            <w:tcW w:w="4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(455,526)</w:t>
            </w:r>
          </w:p>
        </w:tc>
        <w:tc>
          <w:tcPr>
            <w:tcW w:w="72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78,200</w:t>
            </w:r>
          </w:p>
        </w:tc>
        <w:tc>
          <w:tcPr>
            <w:tcW w:w="0" w:type="dxa"/>
            <w:vAlign w:val="bottom"/>
          </w:tcPr>
          <w:p>
            <w:pPr>
              <w:spacing w:after="0"/>
              <w:rPr>
                <w:sz w:val="1"/>
                <w:szCs w:val="1"/>
                <w:color w:val="auto"/>
              </w:rPr>
            </w:pPr>
          </w:p>
        </w:tc>
      </w:tr>
      <w:tr>
        <w:trPr>
          <w:trHeight w:val="176"/>
        </w:trPr>
        <w:tc>
          <w:tcPr>
            <w:tcW w:w="5060" w:type="dxa"/>
            <w:vAlign w:val="bottom"/>
          </w:tcPr>
          <w:p>
            <w:pPr>
              <w:ind w:left="420"/>
              <w:spacing w:after="0"/>
              <w:rPr>
                <w:sz w:val="20"/>
                <w:szCs w:val="20"/>
                <w:color w:val="auto"/>
              </w:rPr>
            </w:pPr>
            <w:r>
              <w:rPr>
                <w:rFonts w:ascii="Arial" w:cs="Arial" w:eastAsia="Arial" w:hAnsi="Arial"/>
                <w:sz w:val="14"/>
                <w:szCs w:val="14"/>
                <w:color w:val="auto"/>
              </w:rPr>
              <w:t>Amortization of intangible assets</w:t>
            </w:r>
          </w:p>
        </w:tc>
        <w:tc>
          <w:tcPr>
            <w:tcW w:w="28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16,013</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16,882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47,807</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51,459</w:t>
            </w:r>
          </w:p>
        </w:tc>
        <w:tc>
          <w:tcPr>
            <w:tcW w:w="0" w:type="dxa"/>
            <w:vAlign w:val="bottom"/>
          </w:tcPr>
          <w:p>
            <w:pPr>
              <w:spacing w:after="0"/>
              <w:rPr>
                <w:sz w:val="1"/>
                <w:szCs w:val="1"/>
                <w:color w:val="auto"/>
              </w:rPr>
            </w:pPr>
          </w:p>
        </w:tc>
      </w:tr>
      <w:tr>
        <w:trPr>
          <w:trHeight w:val="176"/>
        </w:trPr>
        <w:tc>
          <w:tcPr>
            <w:tcW w:w="5060" w:type="dxa"/>
            <w:vAlign w:val="bottom"/>
          </w:tcPr>
          <w:p>
            <w:pPr>
              <w:ind w:left="420"/>
              <w:spacing w:after="0"/>
              <w:rPr>
                <w:sz w:val="20"/>
                <w:szCs w:val="20"/>
                <w:color w:val="auto"/>
              </w:rPr>
            </w:pPr>
            <w:r>
              <w:rPr>
                <w:rFonts w:ascii="Arial" w:cs="Arial" w:eastAsia="Arial" w:hAnsi="Arial"/>
                <w:sz w:val="14"/>
                <w:szCs w:val="14"/>
                <w:color w:val="auto"/>
              </w:rPr>
              <w:t>Amortization of debt placement fees</w:t>
            </w:r>
          </w:p>
        </w:tc>
        <w:tc>
          <w:tcPr>
            <w:tcW w:w="28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2,924</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1,404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5,086</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4,063</w:t>
            </w:r>
          </w:p>
        </w:tc>
        <w:tc>
          <w:tcPr>
            <w:tcW w:w="0" w:type="dxa"/>
            <w:vAlign w:val="bottom"/>
          </w:tcPr>
          <w:p>
            <w:pPr>
              <w:spacing w:after="0"/>
              <w:rPr>
                <w:sz w:val="1"/>
                <w:szCs w:val="1"/>
                <w:color w:val="auto"/>
              </w:rPr>
            </w:pPr>
          </w:p>
        </w:tc>
      </w:tr>
      <w:tr>
        <w:trPr>
          <w:trHeight w:val="176"/>
        </w:trPr>
        <w:tc>
          <w:tcPr>
            <w:tcW w:w="5060" w:type="dxa"/>
            <w:vAlign w:val="bottom"/>
          </w:tcPr>
          <w:p>
            <w:pPr>
              <w:ind w:left="420"/>
              <w:spacing w:after="0"/>
              <w:rPr>
                <w:sz w:val="20"/>
                <w:szCs w:val="20"/>
                <w:color w:val="auto"/>
              </w:rPr>
            </w:pPr>
            <w:r>
              <w:rPr>
                <w:rFonts w:ascii="Arial" w:cs="Arial" w:eastAsia="Arial" w:hAnsi="Arial"/>
                <w:sz w:val="14"/>
                <w:szCs w:val="14"/>
                <w:color w:val="auto"/>
              </w:rPr>
              <w:t>Amortization of convertible debt discount</w:t>
            </w:r>
          </w:p>
        </w:tc>
        <w:tc>
          <w:tcPr>
            <w:tcW w:w="28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2,547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5,336</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7,504</w:t>
            </w:r>
          </w:p>
        </w:tc>
        <w:tc>
          <w:tcPr>
            <w:tcW w:w="0" w:type="dxa"/>
            <w:vAlign w:val="bottom"/>
          </w:tcPr>
          <w:p>
            <w:pPr>
              <w:spacing w:after="0"/>
              <w:rPr>
                <w:sz w:val="1"/>
                <w:szCs w:val="1"/>
                <w:color w:val="auto"/>
              </w:rPr>
            </w:pPr>
          </w:p>
        </w:tc>
      </w:tr>
      <w:tr>
        <w:trPr>
          <w:trHeight w:val="176"/>
        </w:trPr>
        <w:tc>
          <w:tcPr>
            <w:tcW w:w="5060" w:type="dxa"/>
            <w:vAlign w:val="bottom"/>
          </w:tcPr>
          <w:p>
            <w:pPr>
              <w:ind w:left="420"/>
              <w:spacing w:after="0"/>
              <w:rPr>
                <w:sz w:val="20"/>
                <w:szCs w:val="20"/>
                <w:color w:val="auto"/>
              </w:rPr>
            </w:pPr>
            <w:r>
              <w:rPr>
                <w:rFonts w:ascii="Arial" w:cs="Arial" w:eastAsia="Arial" w:hAnsi="Arial"/>
                <w:sz w:val="14"/>
                <w:szCs w:val="14"/>
                <w:color w:val="auto"/>
              </w:rPr>
              <w:t>Restructuring</w:t>
            </w:r>
          </w:p>
        </w:tc>
        <w:tc>
          <w:tcPr>
            <w:tcW w:w="28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1,096</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3,003</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060" w:type="dxa"/>
            <w:vAlign w:val="bottom"/>
          </w:tcPr>
          <w:p>
            <w:pPr>
              <w:ind w:left="420"/>
              <w:spacing w:after="0"/>
              <w:rPr>
                <w:sz w:val="20"/>
                <w:szCs w:val="20"/>
                <w:color w:val="auto"/>
              </w:rPr>
            </w:pPr>
            <w:r>
              <w:rPr>
                <w:rFonts w:ascii="Arial" w:cs="Arial" w:eastAsia="Arial" w:hAnsi="Arial"/>
                <w:sz w:val="14"/>
                <w:szCs w:val="14"/>
                <w:color w:val="auto"/>
              </w:rPr>
              <w:t>Goodwill impairment</w:t>
            </w:r>
          </w:p>
        </w:tc>
        <w:tc>
          <w:tcPr>
            <w:tcW w:w="28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540,400</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540,400</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5060" w:type="dxa"/>
            <w:vAlign w:val="bottom"/>
          </w:tcPr>
          <w:p>
            <w:pPr>
              <w:ind w:left="420"/>
              <w:spacing w:after="0"/>
              <w:rPr>
                <w:sz w:val="20"/>
                <w:szCs w:val="20"/>
                <w:color w:val="auto"/>
              </w:rPr>
            </w:pPr>
            <w:r>
              <w:rPr>
                <w:rFonts w:ascii="Arial" w:cs="Arial" w:eastAsia="Arial" w:hAnsi="Arial"/>
                <w:sz w:val="14"/>
                <w:szCs w:val="14"/>
                <w:color w:val="auto"/>
              </w:rPr>
              <w:t>Income tax effect of non-GAAP adjustments</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(5,576)</w:t>
            </w:r>
          </w:p>
        </w:tc>
        <w:tc>
          <w:tcPr>
            <w:tcW w:w="3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(6,547)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(18,667)</w:t>
            </w:r>
          </w:p>
        </w:tc>
        <w:tc>
          <w:tcPr>
            <w:tcW w:w="4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(20,520)</w:t>
            </w:r>
          </w:p>
        </w:tc>
        <w:tc>
          <w:tcPr>
            <w:tcW w:w="0" w:type="dxa"/>
            <w:vAlign w:val="bottom"/>
          </w:tcPr>
          <w:p>
            <w:pPr>
              <w:spacing w:after="0"/>
              <w:rPr>
                <w:sz w:val="1"/>
                <w:szCs w:val="1"/>
                <w:color w:val="auto"/>
              </w:rPr>
            </w:pPr>
          </w:p>
        </w:tc>
      </w:tr>
      <w:tr>
        <w:trPr>
          <w:trHeight w:val="169"/>
        </w:trPr>
        <w:tc>
          <w:tcPr>
            <w:tcW w:w="5060" w:type="dxa"/>
            <w:vAlign w:val="bottom"/>
          </w:tcPr>
          <w:p>
            <w:pPr>
              <w:ind w:left="220"/>
              <w:spacing w:after="0"/>
              <w:rPr>
                <w:sz w:val="20"/>
                <w:szCs w:val="20"/>
                <w:color w:val="auto"/>
              </w:rPr>
            </w:pPr>
            <w:r>
              <w:rPr>
                <w:rFonts w:ascii="Arial" w:cs="Arial" w:eastAsia="Arial" w:hAnsi="Arial"/>
                <w:sz w:val="14"/>
                <w:szCs w:val="14"/>
                <w:color w:val="auto"/>
              </w:rPr>
              <w:t>Non-GAAP net income</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37,775</w:t>
            </w:r>
          </w:p>
        </w:tc>
        <w:tc>
          <w:tcPr>
            <w:tcW w:w="380" w:type="dxa"/>
            <w:vAlign w:val="bottom"/>
          </w:tcPr>
          <w:p>
            <w:pPr>
              <w:spacing w:after="0"/>
              <w:rPr>
                <w:sz w:val="14"/>
                <w:szCs w:val="14"/>
                <w:color w:val="auto"/>
              </w:rPr>
            </w:pP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41,925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127,439</w:t>
            </w:r>
          </w:p>
        </w:tc>
        <w:tc>
          <w:tcPr>
            <w:tcW w:w="400" w:type="dxa"/>
            <w:vAlign w:val="bottom"/>
          </w:tcPr>
          <w:p>
            <w:pPr>
              <w:spacing w:after="0"/>
              <w:rPr>
                <w:sz w:val="14"/>
                <w:szCs w:val="14"/>
                <w:color w:val="auto"/>
              </w:rPr>
            </w:pP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120,706</w:t>
            </w:r>
          </w:p>
        </w:tc>
        <w:tc>
          <w:tcPr>
            <w:tcW w:w="0" w:type="dxa"/>
            <w:vAlign w:val="bottom"/>
          </w:tcPr>
          <w:p>
            <w:pPr>
              <w:spacing w:after="0"/>
              <w:rPr>
                <w:sz w:val="1"/>
                <w:szCs w:val="1"/>
                <w:color w:val="auto"/>
              </w:rPr>
            </w:pPr>
          </w:p>
        </w:tc>
      </w:tr>
      <w:tr>
        <w:trPr>
          <w:trHeight w:val="20"/>
        </w:trPr>
        <w:tc>
          <w:tcPr>
            <w:tcW w:w="5060" w:type="dxa"/>
            <w:vAlign w:val="bottom"/>
            <w:vMerge w:val="restart"/>
          </w:tcPr>
          <w:p>
            <w:pPr>
              <w:ind w:left="220"/>
              <w:spacing w:after="0"/>
              <w:rPr>
                <w:sz w:val="20"/>
                <w:szCs w:val="20"/>
                <w:color w:val="auto"/>
              </w:rPr>
            </w:pPr>
            <w:r>
              <w:rPr>
                <w:rFonts w:ascii="Arial" w:cs="Arial" w:eastAsia="Arial" w:hAnsi="Arial"/>
                <w:sz w:val="14"/>
                <w:szCs w:val="14"/>
                <w:color w:val="auto"/>
              </w:rPr>
              <w:t>Non-GAAP diluted EPS</w:t>
            </w: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gridSpan w:val="2"/>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gridSpan w:val="2"/>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060" w:type="dxa"/>
            <w:vAlign w:val="bottom"/>
            <w:vMerge w:val="continue"/>
          </w:tcPr>
          <w:p>
            <w:pPr>
              <w:spacing w:after="0"/>
              <w:rPr>
                <w:sz w:val="14"/>
                <w:szCs w:val="14"/>
                <w:color w:val="auto"/>
              </w:rPr>
            </w:pPr>
          </w:p>
        </w:tc>
        <w:tc>
          <w:tcPr>
            <w:tcW w:w="2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0.92</w:t>
            </w:r>
          </w:p>
        </w:tc>
        <w:tc>
          <w:tcPr>
            <w:tcW w:w="38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3.10</w:t>
            </w:r>
          </w:p>
        </w:tc>
        <w:tc>
          <w:tcPr>
            <w:tcW w:w="4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5060" w:type="dxa"/>
            <w:vAlign w:val="bottom"/>
          </w:tcPr>
          <w:p>
            <w:pPr>
              <w:ind w:left="220"/>
              <w:spacing w:after="0"/>
              <w:rPr>
                <w:sz w:val="20"/>
                <w:szCs w:val="20"/>
                <w:color w:val="auto"/>
              </w:rPr>
            </w:pPr>
            <w:r>
              <w:rPr>
                <w:rFonts w:ascii="Arial" w:cs="Arial" w:eastAsia="Arial" w:hAnsi="Arial"/>
                <w:sz w:val="14"/>
                <w:szCs w:val="14"/>
                <w:color w:val="auto"/>
              </w:rPr>
              <w:t>Weighted average common shares outstanding - Diluted</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41,033</w:t>
            </w:r>
          </w:p>
        </w:tc>
        <w:tc>
          <w:tcPr>
            <w:tcW w:w="3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40,828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41,049</w:t>
            </w:r>
          </w:p>
        </w:tc>
        <w:tc>
          <w:tcPr>
            <w:tcW w:w="4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40,950</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4"/>
                <w:szCs w:val="14"/>
                <w:color w:val="auto"/>
              </w:rPr>
              <w:t>Adjusted EBITDA:</w:t>
            </w: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0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060" w:type="dxa"/>
            <w:vAlign w:val="bottom"/>
          </w:tcPr>
          <w:p>
            <w:pPr>
              <w:ind w:left="220"/>
              <w:spacing w:after="0"/>
              <w:rPr>
                <w:sz w:val="20"/>
                <w:szCs w:val="20"/>
                <w:color w:val="auto"/>
              </w:rPr>
            </w:pPr>
            <w:r>
              <w:rPr>
                <w:rFonts w:ascii="Arial" w:cs="Arial" w:eastAsia="Arial" w:hAnsi="Arial"/>
                <w:sz w:val="14"/>
                <w:szCs w:val="14"/>
                <w:color w:val="auto"/>
              </w:rPr>
              <w:t>GAAP net income (loss)</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(517,082)</w:t>
            </w:r>
          </w:p>
        </w:tc>
        <w:tc>
          <w:tcPr>
            <w:tcW w:w="7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27,639</w:t>
            </w:r>
          </w:p>
        </w:tc>
        <w:tc>
          <w:tcPr>
            <w:tcW w:w="100" w:type="dxa"/>
            <w:vAlign w:val="bottom"/>
          </w:tcPr>
          <w:p>
            <w:pPr>
              <w:spacing w:after="0"/>
              <w:rPr>
                <w:sz w:val="15"/>
                <w:szCs w:val="15"/>
                <w:color w:val="auto"/>
              </w:rPr>
            </w:pPr>
          </w:p>
        </w:tc>
        <w:tc>
          <w:tcPr>
            <w:tcW w:w="4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(455,526)</w:t>
            </w:r>
          </w:p>
        </w:tc>
        <w:tc>
          <w:tcPr>
            <w:tcW w:w="72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78,200</w:t>
            </w:r>
          </w:p>
        </w:tc>
        <w:tc>
          <w:tcPr>
            <w:tcW w:w="0" w:type="dxa"/>
            <w:vAlign w:val="bottom"/>
          </w:tcPr>
          <w:p>
            <w:pPr>
              <w:spacing w:after="0"/>
              <w:rPr>
                <w:sz w:val="1"/>
                <w:szCs w:val="1"/>
                <w:color w:val="auto"/>
              </w:rPr>
            </w:pPr>
          </w:p>
        </w:tc>
      </w:tr>
      <w:tr>
        <w:trPr>
          <w:trHeight w:val="176"/>
        </w:trPr>
        <w:tc>
          <w:tcPr>
            <w:tcW w:w="5060" w:type="dxa"/>
            <w:vAlign w:val="bottom"/>
          </w:tcPr>
          <w:p>
            <w:pPr>
              <w:ind w:left="420"/>
              <w:spacing w:after="0"/>
              <w:rPr>
                <w:sz w:val="20"/>
                <w:szCs w:val="20"/>
                <w:color w:val="auto"/>
              </w:rPr>
            </w:pPr>
            <w:r>
              <w:rPr>
                <w:rFonts w:ascii="Arial" w:cs="Arial" w:eastAsia="Arial" w:hAnsi="Arial"/>
                <w:sz w:val="14"/>
                <w:szCs w:val="14"/>
                <w:color w:val="auto"/>
              </w:rPr>
              <w:t>Interest income</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(155)</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(631)</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(444)</w:t>
            </w:r>
          </w:p>
        </w:tc>
        <w:tc>
          <w:tcPr>
            <w:tcW w:w="0" w:type="dxa"/>
            <w:vAlign w:val="bottom"/>
          </w:tcPr>
          <w:p>
            <w:pPr>
              <w:spacing w:after="0"/>
              <w:rPr>
                <w:sz w:val="1"/>
                <w:szCs w:val="1"/>
                <w:color w:val="auto"/>
              </w:rPr>
            </w:pPr>
          </w:p>
        </w:tc>
      </w:tr>
      <w:tr>
        <w:trPr>
          <w:trHeight w:val="176"/>
        </w:trPr>
        <w:tc>
          <w:tcPr>
            <w:tcW w:w="5060" w:type="dxa"/>
            <w:vAlign w:val="bottom"/>
          </w:tcPr>
          <w:p>
            <w:pPr>
              <w:ind w:left="420"/>
              <w:spacing w:after="0"/>
              <w:rPr>
                <w:sz w:val="20"/>
                <w:szCs w:val="20"/>
                <w:color w:val="auto"/>
              </w:rPr>
            </w:pPr>
            <w:r>
              <w:rPr>
                <w:rFonts w:ascii="Arial" w:cs="Arial" w:eastAsia="Arial" w:hAnsi="Arial"/>
                <w:sz w:val="14"/>
                <w:szCs w:val="14"/>
                <w:color w:val="auto"/>
              </w:rPr>
              <w:t>Interest expense</w:t>
            </w:r>
          </w:p>
        </w:tc>
        <w:tc>
          <w:tcPr>
            <w:tcW w:w="28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10,796</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13,328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34,330</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42,216</w:t>
            </w:r>
          </w:p>
        </w:tc>
        <w:tc>
          <w:tcPr>
            <w:tcW w:w="0" w:type="dxa"/>
            <w:vAlign w:val="bottom"/>
          </w:tcPr>
          <w:p>
            <w:pPr>
              <w:spacing w:after="0"/>
              <w:rPr>
                <w:sz w:val="1"/>
                <w:szCs w:val="1"/>
                <w:color w:val="auto"/>
              </w:rPr>
            </w:pPr>
          </w:p>
        </w:tc>
      </w:tr>
      <w:tr>
        <w:trPr>
          <w:trHeight w:val="176"/>
        </w:trPr>
        <w:tc>
          <w:tcPr>
            <w:tcW w:w="5060" w:type="dxa"/>
            <w:vAlign w:val="bottom"/>
          </w:tcPr>
          <w:p>
            <w:pPr>
              <w:ind w:left="420"/>
              <w:spacing w:after="0"/>
              <w:rPr>
                <w:sz w:val="20"/>
                <w:szCs w:val="20"/>
                <w:color w:val="auto"/>
              </w:rPr>
            </w:pPr>
            <w:r>
              <w:rPr>
                <w:rFonts w:ascii="Arial" w:cs="Arial" w:eastAsia="Arial" w:hAnsi="Arial"/>
                <w:sz w:val="14"/>
                <w:szCs w:val="14"/>
                <w:color w:val="auto"/>
              </w:rPr>
              <w:t>Income tax provision</w:t>
            </w:r>
          </w:p>
        </w:tc>
        <w:tc>
          <w:tcPr>
            <w:tcW w:w="28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6,042</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13,712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15,529</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15,152</w:t>
            </w:r>
          </w:p>
        </w:tc>
        <w:tc>
          <w:tcPr>
            <w:tcW w:w="0" w:type="dxa"/>
            <w:vAlign w:val="bottom"/>
          </w:tcPr>
          <w:p>
            <w:pPr>
              <w:spacing w:after="0"/>
              <w:rPr>
                <w:sz w:val="1"/>
                <w:szCs w:val="1"/>
                <w:color w:val="auto"/>
              </w:rPr>
            </w:pPr>
          </w:p>
        </w:tc>
      </w:tr>
      <w:tr>
        <w:trPr>
          <w:trHeight w:val="176"/>
        </w:trPr>
        <w:tc>
          <w:tcPr>
            <w:tcW w:w="5060" w:type="dxa"/>
            <w:vAlign w:val="bottom"/>
          </w:tcPr>
          <w:p>
            <w:pPr>
              <w:ind w:left="42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32,620</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32,113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96,919</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97,184</w:t>
            </w:r>
          </w:p>
        </w:tc>
        <w:tc>
          <w:tcPr>
            <w:tcW w:w="0" w:type="dxa"/>
            <w:vAlign w:val="bottom"/>
          </w:tcPr>
          <w:p>
            <w:pPr>
              <w:spacing w:after="0"/>
              <w:rPr>
                <w:sz w:val="1"/>
                <w:szCs w:val="1"/>
                <w:color w:val="auto"/>
              </w:rPr>
            </w:pPr>
          </w:p>
        </w:tc>
      </w:tr>
      <w:tr>
        <w:trPr>
          <w:trHeight w:val="176"/>
        </w:trPr>
        <w:tc>
          <w:tcPr>
            <w:tcW w:w="5060" w:type="dxa"/>
            <w:vAlign w:val="bottom"/>
          </w:tcPr>
          <w:p>
            <w:pPr>
              <w:ind w:left="420"/>
              <w:spacing w:after="0"/>
              <w:rPr>
                <w:sz w:val="20"/>
                <w:szCs w:val="20"/>
                <w:color w:val="auto"/>
              </w:rPr>
            </w:pPr>
            <w:r>
              <w:rPr>
                <w:rFonts w:ascii="Arial" w:cs="Arial" w:eastAsia="Arial" w:hAnsi="Arial"/>
                <w:sz w:val="14"/>
                <w:szCs w:val="14"/>
                <w:color w:val="auto"/>
              </w:rPr>
              <w:t>Restructuring</w:t>
            </w:r>
          </w:p>
        </w:tc>
        <w:tc>
          <w:tcPr>
            <w:tcW w:w="28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1,096</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3,003</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5060" w:type="dxa"/>
            <w:vAlign w:val="bottom"/>
          </w:tcPr>
          <w:p>
            <w:pPr>
              <w:ind w:left="420"/>
              <w:spacing w:after="0"/>
              <w:rPr>
                <w:sz w:val="20"/>
                <w:szCs w:val="20"/>
                <w:color w:val="auto"/>
              </w:rPr>
            </w:pPr>
            <w:r>
              <w:rPr>
                <w:rFonts w:ascii="Arial" w:cs="Arial" w:eastAsia="Arial" w:hAnsi="Arial"/>
                <w:sz w:val="14"/>
                <w:szCs w:val="14"/>
                <w:color w:val="auto"/>
              </w:rPr>
              <w:t>Goodwill impairment</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540,400</w:t>
            </w:r>
          </w:p>
        </w:tc>
        <w:tc>
          <w:tcPr>
            <w:tcW w:w="3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540,400</w:t>
            </w:r>
          </w:p>
        </w:tc>
        <w:tc>
          <w:tcPr>
            <w:tcW w:w="4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5060" w:type="dxa"/>
            <w:vAlign w:val="bottom"/>
          </w:tcPr>
          <w:p>
            <w:pPr>
              <w:ind w:left="220"/>
              <w:spacing w:after="0"/>
              <w:rPr>
                <w:sz w:val="20"/>
                <w:szCs w:val="20"/>
                <w:color w:val="auto"/>
              </w:rPr>
            </w:pPr>
            <w:r>
              <w:rPr>
                <w:rFonts w:ascii="Arial" w:cs="Arial" w:eastAsia="Arial" w:hAnsi="Arial"/>
                <w:sz w:val="14"/>
                <w:szCs w:val="14"/>
                <w:color w:val="auto"/>
              </w:rPr>
              <w:t>Adjusted EBITDA</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73,717</w:t>
            </w:r>
          </w:p>
        </w:tc>
        <w:tc>
          <w:tcPr>
            <w:tcW w:w="380" w:type="dxa"/>
            <w:vAlign w:val="bottom"/>
          </w:tcPr>
          <w:p>
            <w:pPr>
              <w:spacing w:after="0"/>
              <w:rPr>
                <w:sz w:val="14"/>
                <w:szCs w:val="14"/>
                <w:color w:val="auto"/>
              </w:rPr>
            </w:pP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86,626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234,024</w:t>
            </w:r>
          </w:p>
        </w:tc>
        <w:tc>
          <w:tcPr>
            <w:tcW w:w="400" w:type="dxa"/>
            <w:vAlign w:val="bottom"/>
          </w:tcPr>
          <w:p>
            <w:pPr>
              <w:spacing w:after="0"/>
              <w:rPr>
                <w:sz w:val="14"/>
                <w:szCs w:val="14"/>
                <w:color w:val="auto"/>
              </w:rPr>
            </w:pP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232,308</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4"/>
                <w:szCs w:val="14"/>
                <w:color w:val="auto"/>
              </w:rPr>
              <w:t>Free Cash Flow:</w:t>
            </w: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0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060" w:type="dxa"/>
            <w:vAlign w:val="bottom"/>
          </w:tcPr>
          <w:p>
            <w:pPr>
              <w:ind w:left="420"/>
              <w:spacing w:after="0"/>
              <w:rPr>
                <w:sz w:val="20"/>
                <w:szCs w:val="20"/>
                <w:color w:val="auto"/>
              </w:rPr>
            </w:pPr>
            <w:r>
              <w:rPr>
                <w:rFonts w:ascii="Arial" w:cs="Arial" w:eastAsia="Arial" w:hAnsi="Arial"/>
                <w:sz w:val="14"/>
                <w:szCs w:val="14"/>
                <w:color w:val="auto"/>
              </w:rPr>
              <w:t>Net cash provided by operating activities</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66,109</w:t>
            </w:r>
          </w:p>
        </w:tc>
        <w:tc>
          <w:tcPr>
            <w:tcW w:w="7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50,030</w:t>
            </w:r>
          </w:p>
        </w:tc>
        <w:tc>
          <w:tcPr>
            <w:tcW w:w="100" w:type="dxa"/>
            <w:vAlign w:val="bottom"/>
          </w:tcPr>
          <w:p>
            <w:pPr>
              <w:spacing w:after="0"/>
              <w:rPr>
                <w:sz w:val="15"/>
                <w:szCs w:val="15"/>
                <w:color w:val="auto"/>
              </w:rPr>
            </w:pPr>
          </w:p>
        </w:tc>
        <w:tc>
          <w:tcPr>
            <w:tcW w:w="4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153,801</w:t>
            </w:r>
          </w:p>
        </w:tc>
        <w:tc>
          <w:tcPr>
            <w:tcW w:w="72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167,116</w:t>
            </w:r>
          </w:p>
        </w:tc>
        <w:tc>
          <w:tcPr>
            <w:tcW w:w="0" w:type="dxa"/>
            <w:vAlign w:val="bottom"/>
          </w:tcPr>
          <w:p>
            <w:pPr>
              <w:spacing w:after="0"/>
              <w:rPr>
                <w:sz w:val="1"/>
                <w:szCs w:val="1"/>
                <w:color w:val="auto"/>
              </w:rPr>
            </w:pPr>
          </w:p>
        </w:tc>
      </w:tr>
      <w:tr>
        <w:trPr>
          <w:trHeight w:val="181"/>
        </w:trPr>
        <w:tc>
          <w:tcPr>
            <w:tcW w:w="5060" w:type="dxa"/>
            <w:vAlign w:val="bottom"/>
          </w:tcPr>
          <w:p>
            <w:pPr>
              <w:ind w:left="420"/>
              <w:spacing w:after="0"/>
              <w:rPr>
                <w:sz w:val="20"/>
                <w:szCs w:val="20"/>
                <w:color w:val="auto"/>
              </w:rPr>
            </w:pPr>
            <w:r>
              <w:rPr>
                <w:rFonts w:ascii="Arial" w:cs="Arial" w:eastAsia="Arial" w:hAnsi="Arial"/>
                <w:sz w:val="14"/>
                <w:szCs w:val="14"/>
                <w:color w:val="auto"/>
              </w:rPr>
              <w:t>Acquisitions of property, plant, and equipment</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(17,087)</w:t>
            </w:r>
          </w:p>
        </w:tc>
        <w:tc>
          <w:tcPr>
            <w:tcW w:w="3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(17,791)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(45,799)</w:t>
            </w:r>
          </w:p>
        </w:tc>
        <w:tc>
          <w:tcPr>
            <w:tcW w:w="4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(45,507)</w:t>
            </w:r>
          </w:p>
        </w:tc>
        <w:tc>
          <w:tcPr>
            <w:tcW w:w="0" w:type="dxa"/>
            <w:vAlign w:val="bottom"/>
          </w:tcPr>
          <w:p>
            <w:pPr>
              <w:spacing w:after="0"/>
              <w:rPr>
                <w:sz w:val="1"/>
                <w:szCs w:val="1"/>
                <w:color w:val="auto"/>
              </w:rPr>
            </w:pPr>
          </w:p>
        </w:tc>
      </w:tr>
      <w:tr>
        <w:trPr>
          <w:trHeight w:val="169"/>
        </w:trPr>
        <w:tc>
          <w:tcPr>
            <w:tcW w:w="5060" w:type="dxa"/>
            <w:vAlign w:val="bottom"/>
          </w:tcPr>
          <w:p>
            <w:pPr>
              <w:ind w:left="220"/>
              <w:spacing w:after="0"/>
              <w:rPr>
                <w:sz w:val="20"/>
                <w:szCs w:val="20"/>
                <w:color w:val="auto"/>
              </w:rPr>
            </w:pPr>
            <w:r>
              <w:rPr>
                <w:rFonts w:ascii="Arial" w:cs="Arial" w:eastAsia="Arial" w:hAnsi="Arial"/>
                <w:sz w:val="14"/>
                <w:szCs w:val="14"/>
                <w:color w:val="auto"/>
              </w:rPr>
              <w:t>Free Cash Flow</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49,022</w:t>
            </w:r>
          </w:p>
        </w:tc>
        <w:tc>
          <w:tcPr>
            <w:tcW w:w="380" w:type="dxa"/>
            <w:vAlign w:val="bottom"/>
          </w:tcPr>
          <w:p>
            <w:pPr>
              <w:spacing w:after="0"/>
              <w:rPr>
                <w:sz w:val="14"/>
                <w:szCs w:val="14"/>
                <w:color w:val="auto"/>
              </w:rPr>
            </w:pP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32,239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108,002</w:t>
            </w:r>
          </w:p>
        </w:tc>
        <w:tc>
          <w:tcPr>
            <w:tcW w:w="400" w:type="dxa"/>
            <w:vAlign w:val="bottom"/>
          </w:tcPr>
          <w:p>
            <w:pPr>
              <w:spacing w:after="0"/>
              <w:rPr>
                <w:sz w:val="14"/>
                <w:szCs w:val="14"/>
                <w:color w:val="auto"/>
              </w:rPr>
            </w:pP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121,609</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Itron, Inc.</w:t>
      </w:r>
    </w:p>
    <w:p>
      <w:pPr>
        <w:spacing w:after="0" w:line="230" w:lineRule="auto"/>
        <w:rPr>
          <w:sz w:val="20"/>
          <w:szCs w:val="20"/>
          <w:color w:val="auto"/>
        </w:rPr>
      </w:pPr>
      <w:r>
        <w:rPr>
          <w:rFonts w:ascii="Arial" w:cs="Arial" w:eastAsia="Arial" w:hAnsi="Arial"/>
          <w:sz w:val="22"/>
          <w:szCs w:val="22"/>
          <w:color w:val="auto"/>
        </w:rPr>
        <w:t>Barbara Doyle, 509-891-3443</w:t>
      </w:r>
    </w:p>
    <w:p>
      <w:pPr>
        <w:spacing w:after="0" w:line="231" w:lineRule="auto"/>
        <w:rPr>
          <w:sz w:val="20"/>
          <w:szCs w:val="20"/>
          <w:color w:val="auto"/>
        </w:rPr>
      </w:pPr>
      <w:r>
        <w:rPr>
          <w:rFonts w:ascii="Arial" w:cs="Arial" w:eastAsia="Arial" w:hAnsi="Arial"/>
          <w:sz w:val="22"/>
          <w:szCs w:val="22"/>
          <w:color w:val="auto"/>
        </w:rPr>
        <w:t>Vice President, Investor Relations</w:t>
      </w:r>
    </w:p>
    <w:p>
      <w:pPr>
        <w:spacing w:after="0" w:line="231" w:lineRule="auto"/>
        <w:rPr>
          <w:sz w:val="20"/>
          <w:szCs w:val="20"/>
          <w:color w:val="auto"/>
        </w:rPr>
      </w:pPr>
      <w:r>
        <w:rPr>
          <w:rFonts w:ascii="Arial" w:cs="Arial" w:eastAsia="Arial" w:hAnsi="Arial"/>
          <w:sz w:val="22"/>
          <w:szCs w:val="22"/>
          <w:u w:val="single" w:color="auto"/>
          <w:color w:val="auto"/>
        </w:rPr>
        <w:t>barbara.doyle@itron.com</w:t>
      </w:r>
    </w:p>
    <w:p>
      <w:pPr>
        <w:spacing w:after="0" w:line="230"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Marni Pilcher, 509-891-3847</w:t>
      </w:r>
    </w:p>
    <w:p>
      <w:pPr>
        <w:spacing w:after="0" w:line="231" w:lineRule="auto"/>
        <w:rPr>
          <w:sz w:val="20"/>
          <w:szCs w:val="20"/>
          <w:color w:val="auto"/>
        </w:rPr>
      </w:pPr>
      <w:r>
        <w:rPr>
          <w:rFonts w:ascii="Arial" w:cs="Arial" w:eastAsia="Arial" w:hAnsi="Arial"/>
          <w:sz w:val="22"/>
          <w:szCs w:val="22"/>
          <w:color w:val="auto"/>
        </w:rPr>
        <w:t>Director, Investor Relations</w:t>
      </w:r>
    </w:p>
    <w:p>
      <w:pPr>
        <w:spacing w:after="0"/>
        <w:rPr>
          <w:sz w:val="20"/>
          <w:szCs w:val="20"/>
          <w:color w:val="auto"/>
        </w:rPr>
      </w:pPr>
      <w:r>
        <w:rPr>
          <w:rFonts w:ascii="Arial" w:cs="Arial" w:eastAsia="Arial" w:hAnsi="Arial"/>
          <w:sz w:val="22"/>
          <w:szCs w:val="22"/>
          <w:u w:val="single" w:color="auto"/>
          <w:color w:val="auto"/>
        </w:rPr>
        <w:t>marni.pilcher@itron.com</w:t>
      </w:r>
    </w:p>
    <w:sectPr>
      <w:pgSz w:w="11900" w:h="16838" w:orient="portrait"/>
      <w:cols w:equalWidth="0" w:num="1">
        <w:col w:w="11420"/>
      </w:cols>
      <w:pgMar w:left="240" w:top="13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2019-12-10T07:15:05Z</dcterms:created>
  <dcterms:modified xsi:type="dcterms:W3CDTF">2019-12-10T07:15:05Z</dcterms:modified>
</cp:coreProperties>
</file>