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February 14, 2014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333-143048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120650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POST-EFFECTIVE AMENDMENT No. 1 TO</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jc w:val="center"/>
        <w:spacing w:after="0" w:line="230" w:lineRule="auto"/>
        <w:rPr>
          <w:sz w:val="20"/>
          <w:szCs w:val="20"/>
          <w:color w:val="auto"/>
        </w:rPr>
      </w:pPr>
      <w:r>
        <w:rPr>
          <w:rFonts w:ascii="Arial" w:cs="Arial" w:eastAsia="Arial" w:hAnsi="Arial"/>
          <w:sz w:val="22"/>
          <w:szCs w:val="22"/>
          <w:b w:val="1"/>
          <w:bCs w:val="1"/>
          <w:i w:val="1"/>
          <w:iCs w:val="1"/>
          <w:color w:val="auto"/>
        </w:rPr>
        <w:t>REGISTRATION STATEMENT 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ITRON,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440"/>
        <w:spacing w:after="0"/>
        <w:rPr>
          <w:sz w:val="20"/>
          <w:szCs w:val="20"/>
          <w:color w:val="auto"/>
        </w:rPr>
      </w:pPr>
      <w:r>
        <w:rPr>
          <w:rFonts w:ascii="Arial" w:cs="Arial" w:eastAsia="Arial" w:hAnsi="Arial"/>
          <w:sz w:val="16"/>
          <w:szCs w:val="16"/>
          <w:b w:val="1"/>
          <w:bCs w:val="1"/>
          <w:color w:val="auto"/>
        </w:rPr>
        <w:t>Washington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91-1011792</w:t>
      </w:r>
    </w:p>
    <w:p>
      <w:pPr>
        <w:spacing w:after="0" w:line="31" w:lineRule="exact"/>
        <w:rPr>
          <w:sz w:val="24"/>
          <w:szCs w:val="24"/>
          <w:color w:val="auto"/>
        </w:rPr>
      </w:pPr>
    </w:p>
    <w:p>
      <w:pPr>
        <w:sectPr>
          <w:pgSz w:w="11900" w:h="16838" w:orient="portrait"/>
          <w:cols w:equalWidth="0" w:num="2">
            <w:col w:w="7500" w:space="720"/>
            <w:col w:w="3200"/>
          </w:cols>
          <w:pgMar w:left="240" w:top="229" w:right="239" w:bottom="1440" w:gutter="0" w:footer="0" w:header="0"/>
          <w:type w:val="continuous"/>
        </w:sectPr>
      </w:pPr>
    </w:p>
    <w:p>
      <w:pPr>
        <w:spacing w:after="0" w:line="12" w:lineRule="exact"/>
        <w:rPr>
          <w:sz w:val="24"/>
          <w:szCs w:val="24"/>
          <w:color w:val="auto"/>
        </w:rPr>
      </w:pPr>
    </w:p>
    <w:p>
      <w:pPr>
        <w:ind w:left="2000"/>
        <w:spacing w:after="0"/>
        <w:rPr>
          <w:sz w:val="20"/>
          <w:szCs w:val="20"/>
          <w:color w:val="auto"/>
        </w:rPr>
      </w:pPr>
      <w:r>
        <w:rPr>
          <w:rFonts w:ascii="Arial" w:cs="Arial" w:eastAsia="Arial" w:hAnsi="Arial"/>
          <w:sz w:val="13"/>
          <w:szCs w:val="13"/>
          <w:b w:val="1"/>
          <w:bCs w:val="1"/>
          <w:color w:val="auto"/>
        </w:rPr>
        <w:t>(State or other jurisdiction of</w:t>
      </w:r>
    </w:p>
    <w:p>
      <w:pPr>
        <w:ind w:left="19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340"/>
          </w:cols>
          <w:pgMar w:left="240" w:top="229" w:right="239" w:bottom="1440" w:gutter="0" w:footer="0" w:header="0"/>
          <w:type w:val="continuous"/>
        </w:sectPr>
      </w:pPr>
    </w:p>
    <w:p>
      <w:pPr>
        <w:spacing w:after="0" w:line="2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Liberty Lake, Washington 99019</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1420"/>
          </w:cols>
          <w:pgMar w:left="240" w:top="229" w:right="239" w:bottom="1440" w:gutter="0" w:footer="0" w:header="0"/>
          <w:type w:val="continuous"/>
        </w:sectPr>
      </w:pP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2000 STOCK INCENTIVE PLAN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 of the plan)</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Steven M. Helmbrecht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Itron,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2111 N. Molter Road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Liberty Lake, Washington 99019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(509) 924-9900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Copy to</w:t>
      </w:r>
      <w:r>
        <w:rPr>
          <w:rFonts w:ascii="Arial" w:cs="Arial" w:eastAsia="Arial" w:hAnsi="Arial"/>
          <w:sz w:val="18"/>
          <w:szCs w:val="18"/>
          <w:b w:val="1"/>
          <w:bCs w:val="1"/>
          <w:i w:val="1"/>
          <w:iCs w:val="1"/>
          <w:color w:val="auto"/>
        </w:rPr>
        <w:t>:</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Andrew Bor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Perkins Coie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1201 Third Avenue, Suite 4900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Seattle, Washington 98101-3099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(206) 359-8000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237490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9"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41"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229"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NOTE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DEREGISTRATION OF SECURITIES</w:t>
      </w:r>
    </w:p>
    <w:p>
      <w:pPr>
        <w:spacing w:after="0" w:line="229"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 xml:space="preserve">This Post-Effective Amendment No. 1 to the Registration Statement on Form S-8 filed by the Registrant on May 17, 2007 (File No. 333-143048 ) (the “Registration Statement”) is being filed for the purpose of deregistering </w:t>
      </w:r>
      <w:r>
        <w:rPr>
          <w:rFonts w:ascii="Arial" w:cs="Arial" w:eastAsia="Arial" w:hAnsi="Arial"/>
          <w:sz w:val="18"/>
          <w:szCs w:val="18"/>
          <w:b w:val="1"/>
          <w:bCs w:val="1"/>
          <w:color w:val="auto"/>
        </w:rPr>
        <w:t>144,522</w:t>
      </w:r>
      <w:r>
        <w:rPr>
          <w:rFonts w:ascii="Arial" w:cs="Arial" w:eastAsia="Arial" w:hAnsi="Arial"/>
          <w:sz w:val="18"/>
          <w:szCs w:val="18"/>
          <w:color w:val="auto"/>
        </w:rPr>
        <w:t xml:space="preserve"> shares of the Registrant’s Common Stock that were originally registered for issuance under the Registrant’s Amended and Restated 2000 Stock Incentive Plan (the “Prior Plan”).</w:t>
      </w:r>
    </w:p>
    <w:p>
      <w:pPr>
        <w:spacing w:after="0" w:line="18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On May 4, 2010, the shareholders of the Registrant approved the Registrant’s 2010 Stock Incentive Plan (the “Plan”) and, in connection therewith, no further awards can be made under the Prior Plan. A maximum of 3,500,000 shares of the Registrant’s Common Stock are authorized for issuance under the Plan. Shares granted after December 31, 2009 under the Prior Plan were counted against the authorized shares for the Plan. Shares covered by awards under the Prior Plan after December 31, 2009 that are forfeited, cancelled or otherwise expire without having been exercised or settled, or that are settled by cash or other non-share consideration, become available for issuance pursuant to a new award under the Plan and are credited to the Plan pool at a ratio of one share for options and SARs, or 1.7 shares for restricted stock, restricted stock units, or other stock-based awards. As of January 31, 2014, </w:t>
      </w:r>
      <w:r>
        <w:rPr>
          <w:rFonts w:ascii="Arial" w:cs="Arial" w:eastAsia="Arial" w:hAnsi="Arial"/>
          <w:sz w:val="16"/>
          <w:szCs w:val="16"/>
          <w:b w:val="1"/>
          <w:bCs w:val="1"/>
          <w:color w:val="auto"/>
        </w:rPr>
        <w:t>144,522</w:t>
      </w:r>
      <w:r>
        <w:rPr>
          <w:rFonts w:ascii="Arial" w:cs="Arial" w:eastAsia="Arial" w:hAnsi="Arial"/>
          <w:sz w:val="16"/>
          <w:szCs w:val="16"/>
          <w:color w:val="auto"/>
        </w:rPr>
        <w:t xml:space="preserve"> shares had ceased to be subject to awards under the Prior Plan and had become available for registration and issuance under the Plan. Accordingly, the Registrant hereby deregisters </w:t>
      </w:r>
      <w:r>
        <w:rPr>
          <w:rFonts w:ascii="Arial" w:cs="Arial" w:eastAsia="Arial" w:hAnsi="Arial"/>
          <w:sz w:val="16"/>
          <w:szCs w:val="16"/>
          <w:b w:val="1"/>
          <w:bCs w:val="1"/>
          <w:color w:val="auto"/>
        </w:rPr>
        <w:t>144,522</w:t>
      </w:r>
      <w:r>
        <w:rPr>
          <w:rFonts w:ascii="Arial" w:cs="Arial" w:eastAsia="Arial" w:hAnsi="Arial"/>
          <w:sz w:val="16"/>
          <w:szCs w:val="16"/>
          <w:color w:val="auto"/>
        </w:rPr>
        <w:t xml:space="preserve"> shares (the “Carryover Shares”) that have not and will not be issued under the Prior Plan, but which instead are available for issuance under the Plan. The Registration Statement will remain in effect to cover potential issuances of shares pursuant to the terms of outstanding awards thereunder. If any shares subject to those outstanding awards under the Prior Plan subsequently become available for issuance under the Plan, one or more future post-effective amendments to the Registration Statement will be filed to deregister such shares and any remaining shares registered but which remain unsold at the termination of the offering under the Registration Statement.</w:t>
      </w:r>
    </w:p>
    <w:p>
      <w:pPr>
        <w:spacing w:after="0" w:line="169"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Contemporaneously with the filing of this Post-Effective Amendment No. 1 to the Registration Statement, the Registrant is filing a Registration Statement on Form S-8 to register the Carryover Shares authorized for issuance pursuant to the Plan.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Exhibits.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(see signature page)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270"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Pursuant to the requirements of the Securities Act of 1933, the Registrant certifies that it has reasonable grounds to believe that it meets all of the requirements for filing on Form S-8 and has duly caused this Post-Effective Amendment No. 1 to the Registration Statement to be signed on its behalf by the undersigned, thereunto duly authorized, in the City of Liberty Lake, State of Washington, on the 14</w:t>
      </w:r>
      <w:r>
        <w:rPr>
          <w:rFonts w:ascii="Arial" w:cs="Arial" w:eastAsia="Arial" w:hAnsi="Arial"/>
          <w:sz w:val="14"/>
          <w:szCs w:val="14"/>
          <w:color w:val="auto"/>
        </w:rPr>
        <w:t>th</w:t>
      </w:r>
      <w:r>
        <w:rPr>
          <w:rFonts w:ascii="Arial" w:cs="Arial" w:eastAsia="Arial" w:hAnsi="Arial"/>
          <w:sz w:val="17"/>
          <w:szCs w:val="17"/>
          <w:color w:val="auto"/>
        </w:rPr>
        <w:t xml:space="preserve"> day of February, 2014.</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ITRON, INC.</w:t>
      </w:r>
    </w:p>
    <w:p>
      <w:pPr>
        <w:spacing w:after="0" w:line="225" w:lineRule="exact"/>
        <w:rPr>
          <w:sz w:val="20"/>
          <w:szCs w:val="20"/>
          <w:color w:val="auto"/>
        </w:rPr>
      </w:pPr>
    </w:p>
    <w:p>
      <w:pPr>
        <w:jc w:val="center"/>
        <w:ind w:left="6860"/>
        <w:spacing w:after="0"/>
        <w:rPr>
          <w:sz w:val="20"/>
          <w:szCs w:val="20"/>
          <w:color w:val="auto"/>
        </w:rPr>
      </w:pPr>
      <w:r>
        <w:rPr>
          <w:rFonts w:ascii="Arial" w:cs="Arial" w:eastAsia="Arial" w:hAnsi="Arial"/>
          <w:sz w:val="18"/>
          <w:szCs w:val="18"/>
          <w:color w:val="auto"/>
        </w:rPr>
        <w:t>/s/ STEVEN M. HELMBRECHT</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Steven M. Helmbrecht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-97790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jc w:val="center"/>
        <w:ind w:left="6860"/>
        <w:spacing w:after="0"/>
        <w:rPr>
          <w:sz w:val="20"/>
          <w:szCs w:val="20"/>
          <w:color w:val="auto"/>
        </w:rPr>
      </w:pPr>
      <w:r>
        <w:rPr>
          <w:rFonts w:ascii="Arial" w:cs="Arial" w:eastAsia="Arial" w:hAnsi="Arial"/>
          <w:sz w:val="14"/>
          <w:szCs w:val="14"/>
          <w:b w:val="1"/>
          <w:bCs w:val="1"/>
          <w:color w:val="auto"/>
        </w:rPr>
        <w:t>Executive Vice President and Chief Financial Officer</w:t>
      </w:r>
    </w:p>
    <w:p>
      <w:pPr>
        <w:spacing w:after="0" w:line="200" w:lineRule="exact"/>
        <w:rPr>
          <w:sz w:val="20"/>
          <w:szCs w:val="20"/>
          <w:color w:val="auto"/>
        </w:rPr>
      </w:pPr>
    </w:p>
    <w:p>
      <w:pPr>
        <w:spacing w:after="0" w:line="22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Each person whose individual signature appears below hereby authorizes Philip C. Mezey and Steven M. Helmbrecht, or either of them, as attorneys-in-fact, with full power of substitution, to execute in the name and on the behalf of each person, individually and in each capacity stated below, and to file, any and all amendments to the Registration Statement or this Post-Effective Amendment No. 1 to the Registration Statement.</w:t>
      </w:r>
    </w:p>
    <w:p>
      <w:pPr>
        <w:spacing w:after="0" w:line="166"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 has been signed by the following persons in the capacities indicated below on the 14</w:t>
      </w:r>
      <w:r>
        <w:rPr>
          <w:rFonts w:ascii="Arial" w:cs="Arial" w:eastAsia="Arial" w:hAnsi="Arial"/>
          <w:sz w:val="15"/>
          <w:szCs w:val="15"/>
          <w:color w:val="auto"/>
        </w:rPr>
        <w:t>th</w:t>
      </w:r>
      <w:r>
        <w:rPr>
          <w:rFonts w:ascii="Arial" w:cs="Arial" w:eastAsia="Arial" w:hAnsi="Arial"/>
          <w:sz w:val="18"/>
          <w:szCs w:val="18"/>
          <w:color w:val="auto"/>
        </w:rPr>
        <w:t xml:space="preserve"> day of February, 2014.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22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1760" w:type="dxa"/>
            <w:vAlign w:val="bottom"/>
          </w:tcPr>
          <w:p>
            <w:pPr>
              <w:spacing w:after="0"/>
              <w:rPr>
                <w:sz w:val="14"/>
                <w:szCs w:val="14"/>
                <w:color w:val="auto"/>
              </w:rPr>
            </w:pPr>
          </w:p>
        </w:tc>
      </w:tr>
      <w:tr>
        <w:trPr>
          <w:trHeight w:val="426"/>
        </w:trPr>
        <w:tc>
          <w:tcPr>
            <w:tcW w:w="5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5"/>
                <w:szCs w:val="15"/>
                <w:color w:val="auto"/>
                <w:w w:val="96"/>
              </w:rPr>
              <w:t>S</w:t>
            </w:r>
            <w:r>
              <w:rPr>
                <w:rFonts w:ascii="Arial" w:cs="Arial" w:eastAsia="Arial" w:hAnsi="Arial"/>
                <w:sz w:val="18"/>
                <w:szCs w:val="18"/>
                <w:color w:val="auto"/>
                <w:w w:val="96"/>
              </w:rPr>
              <w:t>/ PHILIP C. MEZEY</w:t>
            </w:r>
          </w:p>
        </w:tc>
        <w:tc>
          <w:tcPr>
            <w:tcW w:w="5140" w:type="dxa"/>
            <w:vAlign w:val="bottom"/>
            <w:gridSpan w:val="3"/>
          </w:tcPr>
          <w:p>
            <w:pPr>
              <w:jc w:val="center"/>
              <w:ind w:left="1230"/>
              <w:spacing w:after="0"/>
              <w:rPr>
                <w:sz w:val="20"/>
                <w:szCs w:val="20"/>
                <w:color w:val="auto"/>
              </w:rPr>
            </w:pPr>
            <w:r>
              <w:rPr>
                <w:rFonts w:ascii="Arial" w:cs="Arial" w:eastAsia="Arial" w:hAnsi="Arial"/>
                <w:sz w:val="18"/>
                <w:szCs w:val="18"/>
                <w:color w:val="auto"/>
                <w:w w:val="91"/>
              </w:rPr>
              <w:t>President and Chief Executive Officer, Director</w:t>
            </w:r>
          </w:p>
        </w:tc>
      </w:tr>
      <w:tr>
        <w:trPr>
          <w:trHeight w:val="210"/>
        </w:trPr>
        <w:tc>
          <w:tcPr>
            <w:tcW w:w="5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Philip C. Mezey</w:t>
            </w:r>
          </w:p>
        </w:tc>
        <w:tc>
          <w:tcPr>
            <w:tcW w:w="5140" w:type="dxa"/>
            <w:vAlign w:val="bottom"/>
            <w:gridSpan w:val="3"/>
          </w:tcPr>
          <w:p>
            <w:pPr>
              <w:jc w:val="center"/>
              <w:ind w:left="1230"/>
              <w:spacing w:after="0"/>
              <w:rPr>
                <w:sz w:val="20"/>
                <w:szCs w:val="20"/>
                <w:color w:val="auto"/>
              </w:rPr>
            </w:pPr>
            <w:r>
              <w:rPr>
                <w:rFonts w:ascii="Arial" w:cs="Arial" w:eastAsia="Arial" w:hAnsi="Arial"/>
                <w:sz w:val="18"/>
                <w:szCs w:val="18"/>
                <w:color w:val="auto"/>
                <w:w w:val="94"/>
              </w:rPr>
              <w:t>(Principal Executive Officer)</w:t>
            </w:r>
          </w:p>
        </w:tc>
      </w:tr>
      <w:tr>
        <w:trPr>
          <w:trHeight w:val="431"/>
        </w:trPr>
        <w:tc>
          <w:tcPr>
            <w:tcW w:w="5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7"/>
              </w:rPr>
              <w:t>/</w:t>
            </w:r>
            <w:r>
              <w:rPr>
                <w:rFonts w:ascii="Arial" w:cs="Arial" w:eastAsia="Arial" w:hAnsi="Arial"/>
                <w:sz w:val="15"/>
                <w:szCs w:val="15"/>
                <w:color w:val="auto"/>
                <w:w w:val="97"/>
              </w:rPr>
              <w:t>S</w:t>
            </w:r>
            <w:r>
              <w:rPr>
                <w:rFonts w:ascii="Arial" w:cs="Arial" w:eastAsia="Arial" w:hAnsi="Arial"/>
                <w:sz w:val="18"/>
                <w:szCs w:val="18"/>
                <w:color w:val="auto"/>
                <w:w w:val="97"/>
              </w:rPr>
              <w:t>/ STEVEN M. HELMBRECHT</w:t>
            </w:r>
          </w:p>
        </w:tc>
        <w:tc>
          <w:tcPr>
            <w:tcW w:w="5140" w:type="dxa"/>
            <w:vAlign w:val="bottom"/>
            <w:gridSpan w:val="3"/>
          </w:tcPr>
          <w:p>
            <w:pPr>
              <w:jc w:val="center"/>
              <w:ind w:left="1230"/>
              <w:spacing w:after="0"/>
              <w:rPr>
                <w:sz w:val="20"/>
                <w:szCs w:val="20"/>
                <w:color w:val="auto"/>
              </w:rPr>
            </w:pPr>
            <w:r>
              <w:rPr>
                <w:rFonts w:ascii="Arial" w:cs="Arial" w:eastAsia="Arial" w:hAnsi="Arial"/>
                <w:sz w:val="18"/>
                <w:szCs w:val="18"/>
                <w:color w:val="auto"/>
                <w:w w:val="91"/>
              </w:rPr>
              <w:t>Executive Vice President and Chief Financial Officer</w:t>
            </w:r>
          </w:p>
        </w:tc>
      </w:tr>
      <w:tr>
        <w:trPr>
          <w:trHeight w:val="210"/>
        </w:trPr>
        <w:tc>
          <w:tcPr>
            <w:tcW w:w="5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Steven M. Helmbrecht</w:t>
            </w:r>
          </w:p>
        </w:tc>
        <w:tc>
          <w:tcPr>
            <w:tcW w:w="5140" w:type="dxa"/>
            <w:vAlign w:val="bottom"/>
            <w:gridSpan w:val="3"/>
          </w:tcPr>
          <w:p>
            <w:pPr>
              <w:jc w:val="center"/>
              <w:ind w:left="1230"/>
              <w:spacing w:after="0"/>
              <w:rPr>
                <w:sz w:val="20"/>
                <w:szCs w:val="20"/>
                <w:color w:val="auto"/>
              </w:rPr>
            </w:pPr>
            <w:r>
              <w:rPr>
                <w:rFonts w:ascii="Arial" w:cs="Arial" w:eastAsia="Arial" w:hAnsi="Arial"/>
                <w:sz w:val="18"/>
                <w:szCs w:val="18"/>
                <w:color w:val="auto"/>
                <w:w w:val="93"/>
              </w:rPr>
              <w:t>(Principal Financial and Accounting Officer)</w:t>
            </w:r>
          </w:p>
        </w:tc>
      </w:tr>
      <w:tr>
        <w:trPr>
          <w:trHeight w:val="431"/>
        </w:trPr>
        <w:tc>
          <w:tcPr>
            <w:tcW w:w="5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5"/>
                <w:szCs w:val="15"/>
                <w:color w:val="auto"/>
                <w:w w:val="96"/>
              </w:rPr>
              <w:t>S</w:t>
            </w:r>
            <w:r>
              <w:rPr>
                <w:rFonts w:ascii="Arial" w:cs="Arial" w:eastAsia="Arial" w:hAnsi="Arial"/>
                <w:sz w:val="18"/>
                <w:szCs w:val="18"/>
                <w:color w:val="auto"/>
                <w:w w:val="96"/>
              </w:rPr>
              <w:t>/ KIRBY A. DYESS</w:t>
            </w:r>
          </w:p>
        </w:tc>
        <w:tc>
          <w:tcPr>
            <w:tcW w:w="5140" w:type="dxa"/>
            <w:vAlign w:val="bottom"/>
            <w:gridSpan w:val="3"/>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180"/>
        </w:trPr>
        <w:tc>
          <w:tcPr>
            <w:tcW w:w="5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Kirby A. Dyess</w:t>
            </w:r>
          </w:p>
        </w:tc>
        <w:tc>
          <w:tcPr>
            <w:tcW w:w="3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408"/>
        </w:trPr>
        <w:tc>
          <w:tcPr>
            <w:tcW w:w="5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4"/>
              </w:rPr>
              <w:t>/</w:t>
            </w:r>
            <w:r>
              <w:rPr>
                <w:rFonts w:ascii="Arial" w:cs="Arial" w:eastAsia="Arial" w:hAnsi="Arial"/>
                <w:sz w:val="15"/>
                <w:szCs w:val="15"/>
                <w:color w:val="auto"/>
                <w:w w:val="94"/>
              </w:rPr>
              <w:t>S</w:t>
            </w:r>
            <w:r>
              <w:rPr>
                <w:rFonts w:ascii="Arial" w:cs="Arial" w:eastAsia="Arial" w:hAnsi="Arial"/>
                <w:sz w:val="18"/>
                <w:szCs w:val="18"/>
                <w:color w:val="auto"/>
                <w:w w:val="94"/>
              </w:rPr>
              <w:t>/ JON E. ELIASSEN</w:t>
            </w:r>
          </w:p>
        </w:tc>
        <w:tc>
          <w:tcPr>
            <w:tcW w:w="5140" w:type="dxa"/>
            <w:vAlign w:val="bottom"/>
            <w:gridSpan w:val="3"/>
          </w:tcPr>
          <w:p>
            <w:pPr>
              <w:jc w:val="center"/>
              <w:ind w:left="1230"/>
              <w:spacing w:after="0"/>
              <w:rPr>
                <w:sz w:val="20"/>
                <w:szCs w:val="20"/>
                <w:color w:val="auto"/>
              </w:rPr>
            </w:pPr>
            <w:r>
              <w:rPr>
                <w:rFonts w:ascii="Arial" w:cs="Arial" w:eastAsia="Arial" w:hAnsi="Arial"/>
                <w:sz w:val="18"/>
                <w:szCs w:val="18"/>
                <w:color w:val="auto"/>
                <w:w w:val="92"/>
              </w:rPr>
              <w:t>Chairman of the Board, Director</w:t>
            </w:r>
          </w:p>
        </w:tc>
      </w:tr>
      <w:tr>
        <w:trPr>
          <w:trHeight w:val="180"/>
        </w:trPr>
        <w:tc>
          <w:tcPr>
            <w:tcW w:w="5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Jon E. Eliassen</w:t>
            </w:r>
          </w:p>
        </w:tc>
        <w:tc>
          <w:tcPr>
            <w:tcW w:w="3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408"/>
        </w:trPr>
        <w:tc>
          <w:tcPr>
            <w:tcW w:w="5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S</w:t>
            </w:r>
            <w:r>
              <w:rPr>
                <w:rFonts w:ascii="Arial" w:cs="Arial" w:eastAsia="Arial" w:hAnsi="Arial"/>
                <w:sz w:val="18"/>
                <w:szCs w:val="18"/>
                <w:color w:val="auto"/>
                <w:w w:val="95"/>
              </w:rPr>
              <w:t>/ CHARLES H. GAYLORD, JR.</w:t>
            </w:r>
          </w:p>
        </w:tc>
        <w:tc>
          <w:tcPr>
            <w:tcW w:w="5140" w:type="dxa"/>
            <w:vAlign w:val="bottom"/>
            <w:gridSpan w:val="3"/>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180"/>
        </w:trPr>
        <w:tc>
          <w:tcPr>
            <w:tcW w:w="5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Charles H. Gaylord, Jr.</w:t>
            </w:r>
          </w:p>
        </w:tc>
        <w:tc>
          <w:tcPr>
            <w:tcW w:w="3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408"/>
        </w:trPr>
        <w:tc>
          <w:tcPr>
            <w:tcW w:w="5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S</w:t>
            </w:r>
            <w:r>
              <w:rPr>
                <w:rFonts w:ascii="Arial" w:cs="Arial" w:eastAsia="Arial" w:hAnsi="Arial"/>
                <w:sz w:val="18"/>
                <w:szCs w:val="18"/>
                <w:color w:val="auto"/>
                <w:w w:val="98"/>
              </w:rPr>
              <w:t>/ THOMAS S. GLANVILLE</w:t>
            </w:r>
          </w:p>
        </w:tc>
        <w:tc>
          <w:tcPr>
            <w:tcW w:w="5140" w:type="dxa"/>
            <w:vAlign w:val="bottom"/>
            <w:gridSpan w:val="3"/>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180"/>
        </w:trPr>
        <w:tc>
          <w:tcPr>
            <w:tcW w:w="5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Thomas S. Glanville</w:t>
            </w:r>
          </w:p>
        </w:tc>
        <w:tc>
          <w:tcPr>
            <w:tcW w:w="3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408"/>
        </w:trPr>
        <w:tc>
          <w:tcPr>
            <w:tcW w:w="5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S</w:t>
            </w:r>
            <w:r>
              <w:rPr>
                <w:rFonts w:ascii="Arial" w:cs="Arial" w:eastAsia="Arial" w:hAnsi="Arial"/>
                <w:sz w:val="18"/>
                <w:szCs w:val="18"/>
                <w:color w:val="auto"/>
                <w:w w:val="95"/>
              </w:rPr>
              <w:t>/ SHARON L. NELSON</w:t>
            </w:r>
          </w:p>
        </w:tc>
        <w:tc>
          <w:tcPr>
            <w:tcW w:w="5140" w:type="dxa"/>
            <w:vAlign w:val="bottom"/>
            <w:gridSpan w:val="3"/>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180"/>
        </w:trPr>
        <w:tc>
          <w:tcPr>
            <w:tcW w:w="5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2"/>
              </w:rPr>
              <w:t>Sharon L. Nelson</w:t>
            </w:r>
          </w:p>
        </w:tc>
        <w:tc>
          <w:tcPr>
            <w:tcW w:w="3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408"/>
        </w:trPr>
        <w:tc>
          <w:tcPr>
            <w:tcW w:w="5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5"/>
              </w:rPr>
              <w:t>/</w:t>
            </w:r>
            <w:r>
              <w:rPr>
                <w:rFonts w:ascii="Arial" w:cs="Arial" w:eastAsia="Arial" w:hAnsi="Arial"/>
                <w:sz w:val="15"/>
                <w:szCs w:val="15"/>
                <w:color w:val="auto"/>
                <w:w w:val="95"/>
              </w:rPr>
              <w:t>S</w:t>
            </w:r>
            <w:r>
              <w:rPr>
                <w:rFonts w:ascii="Arial" w:cs="Arial" w:eastAsia="Arial" w:hAnsi="Arial"/>
                <w:sz w:val="18"/>
                <w:szCs w:val="18"/>
                <w:color w:val="auto"/>
                <w:w w:val="95"/>
              </w:rPr>
              <w:t>/ GARY E. PRUITT</w:t>
            </w:r>
          </w:p>
        </w:tc>
        <w:tc>
          <w:tcPr>
            <w:tcW w:w="5140" w:type="dxa"/>
            <w:vAlign w:val="bottom"/>
            <w:gridSpan w:val="3"/>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180"/>
        </w:trPr>
        <w:tc>
          <w:tcPr>
            <w:tcW w:w="5180" w:type="dxa"/>
            <w:vAlign w:val="bottom"/>
            <w:gridSpan w:val="3"/>
          </w:tcPr>
          <w:p>
            <w:pPr>
              <w:jc w:val="center"/>
              <w:spacing w:after="0"/>
              <w:rPr>
                <w:sz w:val="20"/>
                <w:szCs w:val="20"/>
                <w:color w:val="auto"/>
              </w:rPr>
            </w:pPr>
            <w:r>
              <w:rPr>
                <w:rFonts w:ascii="Arial" w:cs="Arial" w:eastAsia="Arial" w:hAnsi="Arial"/>
                <w:sz w:val="14"/>
                <w:szCs w:val="14"/>
                <w:b w:val="1"/>
                <w:bCs w:val="1"/>
                <w:color w:val="auto"/>
              </w:rPr>
              <w:t>Gary E. Pruitt</w:t>
            </w:r>
          </w:p>
        </w:tc>
        <w:tc>
          <w:tcPr>
            <w:tcW w:w="3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408"/>
        </w:trPr>
        <w:tc>
          <w:tcPr>
            <w:tcW w:w="5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S</w:t>
            </w:r>
            <w:r>
              <w:rPr>
                <w:rFonts w:ascii="Arial" w:cs="Arial" w:eastAsia="Arial" w:hAnsi="Arial"/>
                <w:sz w:val="18"/>
                <w:szCs w:val="18"/>
                <w:color w:val="auto"/>
                <w:w w:val="98"/>
              </w:rPr>
              <w:t>/ MICHAEL V. PULLI</w:t>
            </w:r>
          </w:p>
        </w:tc>
        <w:tc>
          <w:tcPr>
            <w:tcW w:w="5140" w:type="dxa"/>
            <w:vAlign w:val="bottom"/>
            <w:gridSpan w:val="3"/>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180"/>
        </w:trPr>
        <w:tc>
          <w:tcPr>
            <w:tcW w:w="5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Michael V. Pulli</w:t>
            </w:r>
          </w:p>
        </w:tc>
        <w:tc>
          <w:tcPr>
            <w:tcW w:w="3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408"/>
        </w:trPr>
        <w:tc>
          <w:tcPr>
            <w:tcW w:w="5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S</w:t>
            </w:r>
            <w:r>
              <w:rPr>
                <w:rFonts w:ascii="Arial" w:cs="Arial" w:eastAsia="Arial" w:hAnsi="Arial"/>
                <w:sz w:val="18"/>
                <w:szCs w:val="18"/>
                <w:color w:val="auto"/>
                <w:w w:val="98"/>
              </w:rPr>
              <w:t>/ GRAHAM M. WILSON</w:t>
            </w:r>
          </w:p>
        </w:tc>
        <w:tc>
          <w:tcPr>
            <w:tcW w:w="5140" w:type="dxa"/>
            <w:vAlign w:val="bottom"/>
            <w:gridSpan w:val="3"/>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180"/>
        </w:trPr>
        <w:tc>
          <w:tcPr>
            <w:tcW w:w="5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Graham M. Wilson</w:t>
            </w:r>
          </w:p>
        </w:tc>
        <w:tc>
          <w:tcPr>
            <w:tcW w:w="3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408"/>
        </w:trPr>
        <w:tc>
          <w:tcPr>
            <w:tcW w:w="51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8"/>
              </w:rPr>
              <w:t>/</w:t>
            </w:r>
            <w:r>
              <w:rPr>
                <w:rFonts w:ascii="Arial" w:cs="Arial" w:eastAsia="Arial" w:hAnsi="Arial"/>
                <w:sz w:val="15"/>
                <w:szCs w:val="15"/>
                <w:color w:val="auto"/>
                <w:w w:val="98"/>
              </w:rPr>
              <w:t>S</w:t>
            </w:r>
            <w:r>
              <w:rPr>
                <w:rFonts w:ascii="Arial" w:cs="Arial" w:eastAsia="Arial" w:hAnsi="Arial"/>
                <w:sz w:val="18"/>
                <w:szCs w:val="18"/>
                <w:color w:val="auto"/>
                <w:w w:val="98"/>
              </w:rPr>
              <w:t>/ LYNDA L. ZIEGLER</w:t>
            </w:r>
          </w:p>
        </w:tc>
        <w:tc>
          <w:tcPr>
            <w:tcW w:w="5140" w:type="dxa"/>
            <w:vAlign w:val="bottom"/>
            <w:gridSpan w:val="3"/>
          </w:tcPr>
          <w:p>
            <w:pPr>
              <w:jc w:val="center"/>
              <w:ind w:left="1210"/>
              <w:spacing w:after="0"/>
              <w:rPr>
                <w:sz w:val="20"/>
                <w:szCs w:val="20"/>
                <w:color w:val="auto"/>
              </w:rPr>
            </w:pPr>
            <w:r>
              <w:rPr>
                <w:rFonts w:ascii="Arial" w:cs="Arial" w:eastAsia="Arial" w:hAnsi="Arial"/>
                <w:sz w:val="18"/>
                <w:szCs w:val="18"/>
                <w:color w:val="auto"/>
                <w:w w:val="95"/>
              </w:rPr>
              <w:t>Director</w:t>
            </w:r>
          </w:p>
        </w:tc>
      </w:tr>
      <w:tr>
        <w:trPr>
          <w:trHeight w:val="180"/>
        </w:trPr>
        <w:tc>
          <w:tcPr>
            <w:tcW w:w="5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Lynda L. Ziegler</w:t>
            </w:r>
          </w:p>
        </w:tc>
        <w:tc>
          <w:tcPr>
            <w:tcW w:w="3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340"/>
        </w:trPr>
        <w:tc>
          <w:tcPr>
            <w:tcW w:w="2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140" w:type="dxa"/>
            <w:vAlign w:val="bottom"/>
            <w:gridSpan w:val="3"/>
          </w:tcPr>
          <w:p>
            <w:pPr>
              <w:ind w:left="400"/>
              <w:spacing w:after="0"/>
              <w:rPr>
                <w:sz w:val="20"/>
                <w:szCs w:val="20"/>
                <w:color w:val="auto"/>
              </w:rPr>
            </w:pPr>
            <w:r>
              <w:rPr>
                <w:rFonts w:ascii="Arial" w:cs="Arial" w:eastAsia="Arial" w:hAnsi="Arial"/>
                <w:sz w:val="18"/>
                <w:szCs w:val="18"/>
                <w:color w:val="auto"/>
              </w:rPr>
              <w:t>II-2</w:t>
            </w:r>
          </w:p>
        </w:tc>
      </w:tr>
    </w:tbl>
    <w:p>
      <w:pPr>
        <w:sectPr>
          <w:pgSz w:w="11900" w:h="16838" w:orient="portrait"/>
          <w:cols w:equalWidth="0" w:num="1">
            <w:col w:w="11320"/>
          </w:cols>
          <w:pgMar w:left="240" w:top="270" w:right="339" w:bottom="1440" w:gutter="0" w:footer="0" w:header="0"/>
        </w:sectPr>
      </w:pPr>
    </w:p>
    <w:bookmarkStart w:id="3" w:name="page4"/>
    <w:bookmarkEnd w:id="3"/>
    <w:p>
      <w:pPr>
        <w:jc w:val="right"/>
        <w:ind w:right="35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28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10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(see signature page)</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II-3</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2019-12-05T21:51:14Z</dcterms:created>
  <dcterms:modified xsi:type="dcterms:W3CDTF">2019-12-05T21:51:14Z</dcterms:modified>
</cp:coreProperties>
</file>