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495300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233"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233"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233"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July 31, 2014 there were outstanding 39,244,810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5">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9">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0">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2">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2">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2">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2">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3">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34</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51</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6"/>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(in thousands, except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929,711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326,312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322,587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646,572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630,000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299,711</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94,398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87,689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37,680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38,317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71,912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131,114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281,110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279,388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31,927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36,466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(loss) attributable to noncontrolling interests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Itron,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39,356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39,678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39,724</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(24,120)</w:t>
            </w:r>
          </w:p>
        </w:tc>
      </w:tr>
      <w:tr>
        <w:trPr>
          <w:trHeight w:val="229"/>
        </w:trPr>
        <w:tc>
          <w:tcPr>
            <w:tcW w:w="5160" w:type="dxa"/>
            <w:vAlign w:val="bottom"/>
          </w:tcPr>
          <w:p>
            <w:pPr>
              <w:ind w:left="200"/>
              <w:spacing w:after="0"/>
              <w:rPr>
                <w:sz w:val="20"/>
                <w:szCs w:val="20"/>
                <w:color w:val="auto"/>
              </w:rPr>
            </w:pPr>
            <w:r>
              <w:rPr>
                <w:rFonts w:ascii="Arial" w:cs="Arial" w:eastAsia="Arial" w:hAnsi="Arial"/>
                <w:sz w:val="18"/>
                <w:szCs w:val="18"/>
                <w:color w:val="auto"/>
                <w:w w:val="92"/>
              </w:rPr>
              <w:t>Net unrealized gain (loss) on derivative instruments, designated as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cash flow hedges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hedging loss (gain) reclassified into 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11,848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(loss) attributable to noncontrolling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interests, net of tax:</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Amounts attributable to noncontrolling interests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11,263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3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ITRON, INC.</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CONSOLIDATED BALANCE SHEETS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8"/>
              </w:rPr>
              <w:t>(in thousands)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June 30, 2014</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26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3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124,805</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369,473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356,709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177,467</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Deferred tax assets current,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37,103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37,110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103,275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825,941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799,366</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234,840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246,820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58,880</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31,862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33,027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195,840</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541,539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548,578</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1,871,750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1,882,511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280" w:type="dxa"/>
            <w:vAlign w:val="bottom"/>
          </w:tcPr>
          <w:p>
            <w:pPr>
              <w:spacing w:after="0"/>
              <w:rPr>
                <w:sz w:val="24"/>
                <w:szCs w:val="24"/>
                <w:color w:val="auto"/>
              </w:rPr>
            </w:pPr>
          </w:p>
        </w:tc>
        <w:tc>
          <w:tcPr>
            <w:tcW w:w="6040" w:type="dxa"/>
            <w:vAlign w:val="bottom"/>
            <w:gridSpan w:val="3"/>
          </w:tcPr>
          <w:p>
            <w:pPr>
              <w:jc w:val="right"/>
              <w:ind w:right="2530"/>
              <w:spacing w:after="0"/>
              <w:rPr>
                <w:sz w:val="20"/>
                <w:szCs w:val="20"/>
                <w:color w:val="auto"/>
              </w:rPr>
            </w:pPr>
            <w:r>
              <w:rPr>
                <w:rFonts w:ascii="Arial" w:cs="Arial" w:eastAsia="Arial" w:hAnsi="Arial"/>
                <w:sz w:val="18"/>
                <w:szCs w:val="18"/>
                <w:b w:val="1"/>
                <w:bCs w:val="1"/>
                <w:color w:val="auto"/>
              </w:rPr>
              <w:t>LIABILITIES AND EQUITY</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3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199,769</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69,064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70,768</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89,314</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26,250</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23,689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21,048</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37,163</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492,561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455,012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297,500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352,500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24,098</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Pension plan benefit liability</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87,988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88,687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84,608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81,917</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1,009,540</w:t>
            </w: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Preferred stock</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1,290,629</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(32,832)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(21,722)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(413,671)</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866,050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855,236</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883,936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872,971</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3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1,871,750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1,882,511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138"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49,031</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10,122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(8,046)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(11,543)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Goodwill 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Restructuring expense, non-cash</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(25,124)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4,489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67,191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18,974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Business acquisitions, net of cash and cash equivalents acquired</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(29,514)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(51,250)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(16,126)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(55,680)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(3,393)</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124,805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136,411</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114,780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103,662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Property, plant, and equipment purchased but not yet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7,284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8,200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3,804</w:t>
            </w:r>
          </w:p>
        </w:tc>
      </w:tr>
      <w:tr>
        <w:trPr>
          <w:trHeight w:val="27"/>
        </w:trPr>
        <w:tc>
          <w:tcPr>
            <w:tcW w:w="7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electricity, natural gas,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2014 and 2013, the Consolidated Balance Sheets as of June 30, 2014 and December 31, 2013, and the Consolidated Statements of Cash Flows for the six months ended June 30, 2014 and 2013 of Itron, Inc. and its subsidiaries. All entries required for the fair presentation of the financial statements are of a normal recurring nature, except as disclosed.</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2013 audited financial statements and notes included in our Annual Report on Form 10-K filed with the SEC on February 26, 2014. The results of operations for the three and six months ended June 30, 2014 are not necessarily indicative of the results expected for the full fiscal year or for any other fiscal period.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Ineffective portions of cash flow hedges are recognized in other income (expense)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 contract counterparties are credit-worthy multinational commercial banks, with whom we have master netting agreements; however, our derivative positions are not recorded on a net basis in the Consolidated Balance Sheets. There are no credit-risk-related contingent features within our derivative instruments. Refer to Note 7 and Note 13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result in awards that are significantly greater or less than the estimates made in earlier quarters.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control efforts during manufacturing reduce our exposure to warranty claims. When our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termination of a contract in accordance with the contract terms or the cessation of the use of the rights conveyed by the contract, whichever occurs later.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the Company's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reported separately as treasury stock on the financial statements; the value of the repurchased shares is deducted from common stock.</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The majority of our revenue is recognized when products are shipped to or received by a customer or when services are provided.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Hardware revenues are recognized at the time of shipment, receipt by the customer, or, if applicable, upon completion of customer acceptance provisions.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network software revenue is recognized when shipped if all other revenue recognition criteria are met and services are not essential to the functionality of the software. If implementation services are essential to the functionality of the network software, software and implementation revenues are recognized using the percentage-of-completion methodology of contract accounting when project costs are reliably estimated.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data collection system does not use standard internet protocols and network design services are deemed complex and extensive, revenue from network software and services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$86.3 million and $69.8 million at June 30, 2014 and December 31, 2013 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$27.7 million and $23.5 million at June 30, 2014 and December 31, 2013 and are recorded within other assets in the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For ESPP awards, the fair value is the difference between the market close price of our common stock on the date of purchase and the discounted purchase price. For performance-based restricted stock units and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calculating the estimated annual ETR, we analyze various factors, including the forecast mix of earnings in domestic and international jurisdictions, new or revised tax legislation and accounting pronouncements, tax credits, state income taxes, adjustments to valuation allowances, and uncertain tax positions, among other items.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firstLine="8"/>
        <w:spacing w:after="0" w:line="292"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jurisdictions to our tax positions. The effect on deferred tax assets and liabilities of a change in tax rates is recognized in the period that includes the enactment date. A valuation allowance is recorded to reduce the carrying amount of deferred tax assets if it is more likely than not that such assets will not be realized. We do not record tax liabilities on undistributed earnings of international subsidiaries that are permanently reinvested.</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utilize a two step approach to account for uncertain tax positions. A tax position is first evaluated for recognition based on its technical merits. Tax positions that have a greater than 50%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recognition threshold or upon expiration of the statute of limitations. We classify interest expense and penalties related to uncertain tax positions and interest income on tax overpayments as part of income tax expense.</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w:t>
      </w:r>
      <w:r>
        <w:rPr>
          <w:rFonts w:ascii="Arial" w:cs="Arial" w:eastAsia="Arial" w:hAnsi="Arial"/>
          <w:sz w:val="16"/>
          <w:szCs w:val="16"/>
          <w:color w:val="auto"/>
        </w:rPr>
        <w:t>606 (ASU 2014-09), to supersede nearly all existing revenue recognition guidance under U.S. GAAP. The core principle of ASU 2014-09 is to</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revenues when promised goods or services are transferred to customers in an amount that reflects the consideration that is expected to be received for those goods or services. ASU 2014-09 is effective for us on January 1, 2017 using either the retrospective or modified-retrospective transition method. We are currently evaluating the impact of our pending adoption of ASU 2014-09 on our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54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6"/>
          </w:tcPr>
          <w:p>
            <w:pPr>
              <w:ind w:left="240"/>
              <w:spacing w:after="0"/>
              <w:rPr>
                <w:sz w:val="20"/>
                <w:szCs w:val="20"/>
                <w:color w:val="auto"/>
              </w:rPr>
            </w:pPr>
            <w:r>
              <w:rPr>
                <w:rFonts w:ascii="Arial" w:cs="Arial" w:eastAsia="Arial" w:hAnsi="Arial"/>
                <w:sz w:val="16"/>
                <w:szCs w:val="16"/>
                <w:b w:val="1"/>
                <w:bCs w:val="1"/>
                <w:color w:val="auto"/>
              </w:rPr>
              <w:t>(in thousands, except per share data)</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shareholders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19,259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12,399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14,969</w:t>
            </w:r>
          </w:p>
        </w:tc>
      </w:tr>
      <w:tr>
        <w:trPr>
          <w:trHeight w:val="270"/>
        </w:trPr>
        <w:tc>
          <w:tcPr>
            <w:tcW w:w="5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39,356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39,426</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39,544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39,678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39,724</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Earnings per common share - Basic</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0.38</w:t>
            </w:r>
          </w:p>
        </w:tc>
      </w:tr>
      <w:tr>
        <w:trPr>
          <w:trHeight w:val="73"/>
        </w:trPr>
        <w:tc>
          <w:tcPr>
            <w:tcW w:w="516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242"/>
        </w:trPr>
        <w:tc>
          <w:tcPr>
            <w:tcW w:w="51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per common share - 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1.2 million and 1.3 million stock-based awards were excluded from the calculation of diluted EPS for the three and six months ended June 30, 2014, and approximately 1.1 million and 1.2 million stock-based awards were excluded from the calculation of diluted EPS for the three and six months ended June 30, 2013, because they were anti-dilutive. These stock-based awards could be dilutive in future periods.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2014 and December 31, 2013.</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March 8, 2013, the Board authorized a 12-month repurchase program of up to $50 million in shares of our common stock. The March 8, 2013 authorization expired on March 7, 2014. From January 1, 2014 through March 7, 2014, we repurchased 75,203 shares of our common stock, totaling $2.9 million.</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February 7, 2014, the Board authorized a 12-month repurchase program of up to $50 million in shares of our common stock, to begin on March 8, 2014, upon the expiration of the previous stock repurchase program. From March 8, 2014 through June 30, 2014, we repurchased 107,477 shares of our common stock, totaling $4.2 million, and $45.8 million remains under the current program for future purchases.</w:t>
      </w:r>
    </w:p>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8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2014</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$7,355 and $8,368)</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341,937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328,240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27,536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28,469</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369,473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356,709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2014 and December 31, 2013, $4.3 million and $3.2 million, respectively, were recorded within trade receivables as billed but not yet paid by customers, in accordance with contract retainage provisions. At June 30, 2014 and December 31, 2013, contract retainage amounts that were unbilled and classified as unbilled receivables were $3.1 million and $4.3 million, respectively. These contract retainage amounts within trade receivables and unbilled receivables are expected to be collected within the following 12 months.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2014 and December 31, 2013, long-term unbilled receivables totaled $4.7 million. These long-term unbilled receivables are classified within other long-term assets, as collection is not anticipated within the following 12 months. We had no long-term billed contract retainage receivables at June 30, 2014 and December 31, 2013, as we expect to collect all contract retainage receivables within the following 12 months.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2980" w:type="dxa"/>
            <w:vAlign w:val="bottom"/>
            <w:gridSpan w:val="5"/>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3"/>
          </w:tcPr>
          <w:p>
            <w:pPr>
              <w:jc w:val="right"/>
              <w:ind w:right="598"/>
              <w:spacing w:after="0"/>
              <w:rPr>
                <w:sz w:val="20"/>
                <w:szCs w:val="20"/>
                <w:color w:val="auto"/>
              </w:rPr>
            </w:pPr>
            <w:r>
              <w:rPr>
                <w:rFonts w:ascii="Arial" w:cs="Arial" w:eastAsia="Arial" w:hAnsi="Arial"/>
                <w:sz w:val="16"/>
                <w:szCs w:val="16"/>
                <w:b w:val="1"/>
                <w:bCs w:val="1"/>
                <w:color w:val="auto"/>
                <w:w w:val="99"/>
              </w:rPr>
              <w:t>(in thousands)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14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Provision (release) of doubtful accounts, net</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7,355</w:t>
            </w:r>
          </w:p>
        </w:tc>
        <w:tc>
          <w:tcPr>
            <w:tcW w:w="114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Inventories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gridSpan w:val="3"/>
          </w:tcPr>
          <w:p>
            <w:pPr>
              <w:jc w:val="right"/>
              <w:ind w:right="578"/>
              <w:spacing w:after="0"/>
              <w:rPr>
                <w:sz w:val="20"/>
                <w:szCs w:val="20"/>
                <w:color w:val="auto"/>
              </w:rPr>
            </w:pPr>
            <w:r>
              <w:rPr>
                <w:rFonts w:ascii="Arial" w:cs="Arial" w:eastAsia="Arial" w:hAnsi="Arial"/>
                <w:sz w:val="16"/>
                <w:szCs w:val="16"/>
                <w:b w:val="1"/>
                <w:bCs w:val="1"/>
                <w:color w:val="auto"/>
              </w:rPr>
              <w:t>June 30, 2014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gridSpan w:val="5"/>
          </w:tcPr>
          <w:p>
            <w:pPr>
              <w:ind w:left="20"/>
              <w:spacing w:after="0"/>
              <w:rPr>
                <w:sz w:val="20"/>
                <w:szCs w:val="20"/>
                <w:color w:val="auto"/>
              </w:rPr>
            </w:pPr>
            <w:r>
              <w:rPr>
                <w:rFonts w:ascii="Arial" w:cs="Arial" w:eastAsia="Arial" w:hAnsi="Arial"/>
                <w:sz w:val="16"/>
                <w:szCs w:val="16"/>
                <w:b w:val="1"/>
                <w:bCs w:val="1"/>
                <w:color w:val="auto"/>
              </w:rPr>
              <w:t>December 31, 2013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106,842</w:t>
            </w:r>
          </w:p>
        </w:tc>
        <w:tc>
          <w:tcPr>
            <w:tcW w:w="58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102,596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13,981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13,770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71,590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192,413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177,467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inventory levels may vary from period to period as a result of our factory scheduling and the timing of contract fulfillments, which may include the buildup of materials in preparation for customer orders or finished goods for shipment.</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Consigned inventory is held at third-party locations; however, we retain title to the inventory until it is purchased by the third-party. Consigned inventory, consisting of raw materials and finished goods, was $3.4 million and $6.4 million at June 30, 2014 and December 31, 2013, respectively.</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8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2014</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312,657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309,525</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102,395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99,654</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145,926</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23,957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24,005</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18,123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14,257</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603,201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593,367</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(368,361)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(346,547)</w:t>
            </w:r>
          </w:p>
        </w:tc>
      </w:tr>
      <w:tr>
        <w:trPr>
          <w:trHeight w:val="217"/>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234,840</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246,820</w:t>
            </w:r>
          </w:p>
        </w:tc>
      </w:tr>
      <w:tr>
        <w:trPr>
          <w:trHeight w:val="33"/>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400" w:type="dxa"/>
            <w:vAlign w:val="bottom"/>
          </w:tcPr>
          <w:p>
            <w:pPr>
              <w:spacing w:after="0"/>
              <w:rPr>
                <w:sz w:val="20"/>
                <w:szCs w:val="20"/>
                <w:color w:val="auto"/>
              </w:rPr>
            </w:pPr>
          </w:p>
        </w:tc>
        <w:tc>
          <w:tcPr>
            <w:tcW w:w="330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Pr>
          <w:p>
            <w:pPr>
              <w:spacing w:after="0"/>
              <w:rPr>
                <w:sz w:val="20"/>
                <w:szCs w:val="20"/>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13,905</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14,027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28,427</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28,040</w:t>
            </w:r>
          </w:p>
        </w:tc>
      </w:tr>
      <w:tr>
        <w:trPr>
          <w:trHeight w:val="33"/>
        </w:trPr>
        <w:tc>
          <w:tcPr>
            <w:tcW w:w="4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2014</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 Assets</w:t>
            </w:r>
          </w:p>
        </w:tc>
        <w:tc>
          <w:tcPr>
            <w:tcW w:w="14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(366,898)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428,890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72,873</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289,640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(181,738)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107,902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291,185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(173,952)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117,233</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11,586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11,089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800,703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(627,776)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804,281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195,840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 activity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899"/>
              <w:spacing w:after="0"/>
              <w:rPr>
                <w:sz w:val="20"/>
                <w:szCs w:val="20"/>
                <w:color w:val="auto"/>
              </w:rPr>
            </w:pPr>
            <w:r>
              <w:rPr>
                <w:rFonts w:ascii="Arial" w:cs="Arial" w:eastAsia="Arial" w:hAnsi="Arial"/>
                <w:sz w:val="16"/>
                <w:szCs w:val="16"/>
                <w:b w:val="1"/>
                <w:bCs w:val="1"/>
                <w:color w:val="auto"/>
                <w:w w:val="95"/>
              </w:rPr>
              <w:t>2013</w:t>
            </w: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804,281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802,540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(16,894)</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36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800,703</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784,146</w:t>
            </w: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For the six months ended June 30, 2013, the adjustment of $1.5 million to intangible assets acquired is associated with the correction of an error for a long-term revenue contract from the SmartSynch acquisition, which occurred in 2012. During the second quarter of 2013, we finalized the purchase price allocation related to the SmartSynch acquisition, which was completed on May 1, 2012, and recorded certain adjustments that are reflected as </w:t>
      </w:r>
      <w:r>
        <w:rPr>
          <w:rFonts w:ascii="Arial" w:cs="Arial" w:eastAsia="Arial" w:hAnsi="Arial"/>
          <w:sz w:val="17"/>
          <w:szCs w:val="17"/>
          <w:i w:val="1"/>
          <w:iCs w:val="1"/>
          <w:color w:val="auto"/>
        </w:rPr>
        <w:t>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acquired</w:t>
      </w:r>
      <w:r>
        <w:rPr>
          <w:rFonts w:ascii="Arial" w:cs="Arial" w:eastAsia="Arial" w:hAnsi="Arial"/>
          <w:sz w:val="17"/>
          <w:szCs w:val="17"/>
          <w:color w:val="auto"/>
        </w:rPr>
        <w:t>. These adjustments primarily affected the fair value calculation of certain accrued liabilities associated with specific contracts. Among these</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was the correction of an error associated with a long-term revenue contract acquired from SmartSynch. In May 2013, we determined that certain manufacturing costs were not reflected in the model used to value this contract as acquisition. Once these costs were properly added to the total cost and profitability estimates, we determined the total contract would result in a loss over the contract term. Previously, we had recognized a customer relationship intangible asset of $1.5 million associated with this contract, with amortization scheduled to begin in 2014 based on the contract's original projected cash flow. Since the contract is in an overall loss position, we determined that the intangible asset had no value. We reduced the value of this intangible asset to zero with a corresponding adjustment to goodwill.</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annual amortization expense is as follows:</w:t>
      </w: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5805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2014 (amount remaining at June 30, 2014)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Beyond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intangible assets subject to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Estimated Annual</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1294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22,200</w:t>
      </w:r>
    </w:p>
    <w:p>
      <w:pPr>
        <w:spacing w:after="0" w:line="9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35,643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28,062</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20,895</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14,674</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51,453</w:t>
      </w:r>
    </w:p>
    <w:p>
      <w:pPr>
        <w:spacing w:after="0" w:line="86"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172,927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1294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680" w:space="720"/>
            <w:col w:w="2020"/>
          </w:cols>
          <w:pgMar w:left="240" w:top="125" w:right="239" w:bottom="1440" w:gutter="0" w:footer="0" w:header="0"/>
          <w:type w:val="continuous"/>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as of June 30, 2014:</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Balance at January 1, 2014</w:t>
            </w: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493,610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1,318,271</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(433,378)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(336,315)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(769,693)</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60,232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548,578</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(4,613)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(6,062)</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Balance at June 30, 2014</w:t>
            </w: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487,903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390,265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1,301,772</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(429,082)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(331,151)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(760,233)</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58,821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390,265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541,539</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our 2013 annual goodwill impairment test, we determined that the carrying value of the Electricity reporting unit exceeded its fair value, primarily due to delays in global smart grid projects and lower volumes and pricing pressures in certain regions in Europe and Asia/Pacific. The revised forecast for the Electricity business drove a decrease in the fair value of the reporting unit. As a result, we performed the second step of the goodwill impairment test for the Electricity reporting unit, which indicated a goodwill impairment of $173.2 million. This charge was recorded during the fourth quarter of 2013. Upon finalizing our 2013 goodwill analysis late in the year-end reporting process, we determined $977,000 of additional goodwill impairment expense should have been recognized. In accordance with relevant accounting guidance, we evaluated the materiality of the error from a qualitative and quantitative perspective. Based on such evaluation, we concluded that recognizing the incremental goodwill impairment during the three months ended March 31, 2014 would not be material, quantitatively or qualitatively, to our results of operations for the three months ended March 31, 2014 or our expected full year results of operations for 2014 and would not have had a material impact on our results for the year ended December 31, 2013.</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 for a description of our reporting units and the methods used to determine the fair values of our reporting units and to determine the amount of any goodwill impairment.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accumulated impairment losses associated with our international subsidiaries are recorded in their respective functional currency; therefore, the carrying amounts of these balances increase or decrease, with a corresponding change in accumulated OCI, due to changes in foreign currency exchange rates.</w:t>
      </w: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2014</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247,500</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258,750</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120,000</w:t>
            </w:r>
          </w:p>
        </w:tc>
      </w:tr>
      <w:tr>
        <w:trPr>
          <w:trHeight w:val="47"/>
        </w:trPr>
        <w:tc>
          <w:tcPr>
            <w:tcW w:w="4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400" w:type="dxa"/>
            <w:vAlign w:val="bottom"/>
          </w:tcPr>
          <w:p>
            <w:pPr>
              <w:spacing w:after="0"/>
              <w:rPr>
                <w:sz w:val="18"/>
                <w:szCs w:val="18"/>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327,500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378,750</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26,250</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297,500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352,500</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credit facility is dated August 5, 2011. The credit facility consists of a $300 million U.S. dollar term loan (the term loan) and a multicurrency revolving line of credit (the revolver) with a principal amount of up to $660 million. Both the term loan and the revolver mature on August 8, 2016. Amounts borrowed under the revolver are classified as long-term and, during the credit facility term, may be repaid and reborrowed until the revolver's maturity, at which time the revolver will terminate, and all outstanding</w:t>
      </w:r>
    </w:p>
    <w:p>
      <w:pPr>
        <w:sectPr>
          <w:pgSz w:w="11900" w:h="16838" w:orient="portrait"/>
          <w:cols w:equalWidth="0" w:num="1">
            <w:col w:w="11420"/>
          </w:cols>
          <w:pgMar w:left="240" w:top="125" w:right="23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loans, together with all accrued and unpaid interest, must be repaid. Amounts not borrowed under the revolver are subject to a commitment fee, which is paid in arrears on the last day of each fiscal quarter, ranging from 0.20% to 0.40% per annum depending on our total leverage ratio as of the most recently ended fiscal quarter. Amounts repaid on the term loan may not be reborrowed. The credit facility permits us and certain of our foreign subsidiaries to borrow in U.S. dollars, euros, British pounds, or, with lender approval, other currencies readily convertible into U.S. dollars. All obligations under the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credit facility, are guaranteed by the foreign subsidiary and by its direct and indirect foreign parents. The credit facility includes debt covenants, which contain certain financial ratio thresholds and place certain restrictions on the incurrence of debt, investments, and the issuance of dividends. We were in compliance with the debt covenants under the credit facility at June 30, 2014.</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Scheduled principal repayments for the term loan are due quarterly in the amount of $7.5 million from September 2014 through June 2016 with the remainder due at maturity on August 8, 2016. The term loan may be repaid early in whole or in part, subject to certain minimum thresholds, without penalty.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plus an applicable margin, or (2) the Alternate Base Rate, plus an applicable margin. The Alternate Base Rate election is equal to the greatest of three rates: (i) the prime rate, (ii) the Federal Reserve effective rate plus 1/2 of 1%, or (iii) one month LIBOR plus 1%. At June 30, 2014, the interest rate for both the term loan and the revolver was 1.65% (the LIBOR rate plus a margin of 1.50%).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899"/>
              <w:spacing w:after="0"/>
              <w:rPr>
                <w:sz w:val="20"/>
                <w:szCs w:val="20"/>
                <w:color w:val="auto"/>
              </w:rPr>
            </w:pPr>
            <w:r>
              <w:rPr>
                <w:rFonts w:ascii="Arial" w:cs="Arial" w:eastAsia="Arial" w:hAnsi="Arial"/>
                <w:sz w:val="16"/>
                <w:szCs w:val="16"/>
                <w:b w:val="1"/>
                <w:bCs w:val="1"/>
                <w:color w:val="auto"/>
                <w:w w:val="95"/>
              </w:rPr>
              <w:t>2013</w:t>
            </w: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33"/>
        </w:trPr>
        <w:tc>
          <w:tcPr>
            <w:tcW w:w="67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2014, $80.0 million was outstanding under the credit facility revolver, and $49.8 million was utilized by outstanding standby letters of credit, resulting in $530.2 million available for additional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Unamortized prepaid debt fees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2014</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Unamortized prepaid debt fees</w:t>
            </w:r>
          </w:p>
        </w:tc>
        <w:tc>
          <w:tcPr>
            <w:tcW w:w="1720" w:type="dxa"/>
            <w:vAlign w:val="bottom"/>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3,052</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3,810</w:t>
            </w:r>
          </w:p>
        </w:tc>
      </w:tr>
      <w:tr>
        <w:trPr>
          <w:trHeight w:val="33"/>
        </w:trPr>
        <w:tc>
          <w:tcPr>
            <w:tcW w:w="6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700" w:type="dxa"/>
            <w:vAlign w:val="bottom"/>
          </w:tcPr>
          <w:p>
            <w:pPr>
              <w:spacing w:after="0"/>
              <w:rPr>
                <w:sz w:val="18"/>
                <w:szCs w:val="18"/>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2013</w:t>
            </w:r>
          </w:p>
        </w:tc>
      </w:tr>
      <w:tr>
        <w:trPr>
          <w:trHeight w:val="33"/>
        </w:trPr>
        <w:tc>
          <w:tcPr>
            <w:tcW w:w="47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tcPr>
          <w:p>
            <w:pPr>
              <w:spacing w:after="0"/>
              <w:rPr>
                <w:sz w:val="20"/>
                <w:szCs w:val="20"/>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
        </w:trPr>
        <w:tc>
          <w:tcPr>
            <w:tcW w:w="7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746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2"/>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7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Liability Derivatives</w:t>
            </w:r>
          </w:p>
        </w:tc>
        <w:tc>
          <w:tcPr>
            <w:tcW w:w="2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1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2"/>
              </w:rPr>
              <w:t>Derivatives designated as hedging instruments under ASC 815-20</w:t>
            </w:r>
          </w:p>
        </w:tc>
        <w:tc>
          <w:tcPr>
            <w:tcW w:w="2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1,557</w:t>
            </w: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Other long-term obligations</w:t>
            </w:r>
          </w:p>
        </w:tc>
        <w:tc>
          <w:tcPr>
            <w:tcW w:w="134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47"/>
        </w:trPr>
        <w:tc>
          <w:tcPr>
            <w:tcW w:w="73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Other current liabilities</w:t>
            </w:r>
          </w:p>
        </w:tc>
        <w:tc>
          <w:tcPr>
            <w:tcW w:w="134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47"/>
        </w:trPr>
        <w:tc>
          <w:tcPr>
            <w:tcW w:w="4700" w:type="dxa"/>
            <w:vAlign w:val="bottom"/>
            <w:tcBorders>
              <w:bottom w:val="single" w:sz="8" w:color="CCEEFF"/>
            </w:tcBorders>
          </w:tcPr>
          <w:p>
            <w:pPr>
              <w:spacing w:after="0"/>
              <w:rPr>
                <w:sz w:val="4"/>
                <w:szCs w:val="4"/>
                <w:color w:val="auto"/>
              </w:rPr>
            </w:pPr>
          </w:p>
        </w:tc>
        <w:tc>
          <w:tcPr>
            <w:tcW w:w="2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55"/>
        </w:trPr>
        <w:tc>
          <w:tcPr>
            <w:tcW w:w="4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OCI during the reporting periods for our derivative and nonderivative hedging instruments, net of tax,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2013</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loss on hedging instruments at January 1,</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(16,069)</w:t>
            </w:r>
          </w:p>
        </w:tc>
      </w:tr>
      <w:tr>
        <w:trPr>
          <w:trHeight w:val="224"/>
        </w:trPr>
        <w:tc>
          <w:tcPr>
            <w:tcW w:w="7440" w:type="dxa"/>
            <w:vAlign w:val="bottom"/>
          </w:tcPr>
          <w:p>
            <w:pPr>
              <w:ind w:left="180"/>
              <w:spacing w:after="0"/>
              <w:rPr>
                <w:sz w:val="20"/>
                <w:szCs w:val="20"/>
                <w:color w:val="auto"/>
              </w:rPr>
            </w:pPr>
            <w:r>
              <w:rPr>
                <w:rFonts w:ascii="Arial" w:cs="Arial" w:eastAsia="Arial" w:hAnsi="Arial"/>
                <w:sz w:val="16"/>
                <w:szCs w:val="16"/>
                <w:color w:val="auto"/>
              </w:rPr>
              <w:t>Unrealized gain (loss) on derivative instruments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772</w:t>
            </w:r>
          </w:p>
        </w:tc>
      </w:tr>
      <w:tr>
        <w:trPr>
          <w:trHeight w:val="47"/>
        </w:trPr>
        <w:tc>
          <w:tcPr>
            <w:tcW w:w="7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losses reclassified into net income (loss)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unrealized loss on hedging instruments at June 30,</w:t>
            </w:r>
          </w:p>
        </w:tc>
        <w:tc>
          <w:tcPr>
            <w:tcW w:w="124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(15,592)</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(15,297)</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Included in the net unrealized loss on hedging instruments at June 30, 2014 and 2013 is a loss of $14.4 million, net of tax, related to our nonderivative net investment hedge, which terminated in 2011. This loss on our net investment hedge will remain in accumulated OCI until such time when earnings are impacted by a sale or liquidation of the associated foreign operation.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8"/>
              </w:rPr>
              <w:t>Assets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Cash Collateral Received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June 30, 2014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Cash Collateral Pledged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June 30, 2014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2,104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2,176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consist of foreign exchange forward and interest rate swap contracts with nine counterparties at June 30, 2014 and seven counterparties at December 31, 2013. No derivative asset or liability balance with any of our counterparties was individually significant at June 30, 2014 or December 31, 2013.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 These cash flow hedges are expected to be highly effective in achieving offsetting cash flows attributable to the hedged risk through the term of the hedge. Consequently, effective changes in the fair value of the interest rate swaps are recorded as a component of OCI and are recognized in earnings when the hedged item affects earnings. The amounts paid or received on the hedges are recognized as adjustments to interest expense. The amount of net losses expected to be reclassified into earnings in the next 12 months is $1.6 million. At June 30, 2014, our LIBOR-based debt balance was $327.5 million.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three and six months ended June 30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tcPr>
          <w:p>
            <w:pPr>
              <w:jc w:val="center"/>
              <w:ind w:right="117"/>
              <w:spacing w:after="0"/>
              <w:rPr>
                <w:sz w:val="20"/>
                <w:szCs w:val="20"/>
                <w:color w:val="auto"/>
              </w:rPr>
            </w:pPr>
            <w:r>
              <w:rPr>
                <w:rFonts w:ascii="Arial" w:cs="Arial" w:eastAsia="Arial" w:hAnsi="Arial"/>
                <w:sz w:val="13"/>
                <w:szCs w:val="13"/>
                <w:b w:val="1"/>
                <w:bCs w:val="1"/>
                <w:color w:val="auto"/>
                <w:w w:val="88"/>
              </w:rPr>
              <w:t>Amount of Gain (Loss)</w:t>
            </w:r>
          </w:p>
        </w:tc>
        <w:tc>
          <w:tcPr>
            <w:tcW w:w="120" w:type="dxa"/>
            <w:vAlign w:val="bottom"/>
          </w:tcPr>
          <w:p>
            <w:pPr>
              <w:spacing w:after="0"/>
              <w:rPr>
                <w:sz w:val="12"/>
                <w:szCs w:val="12"/>
                <w:color w:val="auto"/>
              </w:rPr>
            </w:pPr>
          </w:p>
        </w:tc>
        <w:tc>
          <w:tcPr>
            <w:tcW w:w="3260" w:type="dxa"/>
            <w:vAlign w:val="bottom"/>
            <w:gridSpan w:val="5"/>
          </w:tcPr>
          <w:p>
            <w:pPr>
              <w:jc w:val="right"/>
              <w:ind w:right="257"/>
              <w:spacing w:after="0"/>
              <w:rPr>
                <w:sz w:val="20"/>
                <w:szCs w:val="20"/>
                <w:color w:val="auto"/>
              </w:rPr>
            </w:pPr>
            <w:r>
              <w:rPr>
                <w:rFonts w:ascii="Arial" w:cs="Arial" w:eastAsia="Arial" w:hAnsi="Arial"/>
                <w:sz w:val="13"/>
                <w:szCs w:val="13"/>
                <w:b w:val="1"/>
                <w:bCs w:val="1"/>
                <w:color w:val="auto"/>
              </w:rPr>
              <w:t>Gain (Loss) Reclassified from Accumulated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5"/>
          </w:tcPr>
          <w:p>
            <w:pPr>
              <w:jc w:val="right"/>
              <w:ind w:right="217"/>
              <w:spacing w:after="0"/>
              <w:rPr>
                <w:sz w:val="20"/>
                <w:szCs w:val="20"/>
                <w:color w:val="auto"/>
              </w:rPr>
            </w:pPr>
            <w:r>
              <w:rPr>
                <w:rFonts w:ascii="Arial" w:cs="Arial" w:eastAsia="Arial" w:hAnsi="Arial"/>
                <w:sz w:val="13"/>
                <w:szCs w:val="13"/>
                <w:b w:val="1"/>
                <w:bCs w:val="1"/>
                <w:color w:val="auto"/>
              </w:rPr>
              <w:t>Gain (Loss) Recognized in Income 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00" w:type="dxa"/>
            <w:vAlign w:val="bottom"/>
          </w:tcPr>
          <w:p>
            <w:pPr>
              <w:spacing w:after="0"/>
              <w:rPr>
                <w:sz w:val="12"/>
                <w:szCs w:val="12"/>
                <w:color w:val="auto"/>
              </w:rPr>
            </w:pPr>
          </w:p>
        </w:tc>
        <w:tc>
          <w:tcPr>
            <w:tcW w:w="1780" w:type="dxa"/>
            <w:vAlign w:val="bottom"/>
            <w:gridSpan w:val="3"/>
          </w:tcPr>
          <w:p>
            <w:pPr>
              <w:jc w:val="center"/>
              <w:ind w:right="117"/>
              <w:spacing w:after="0" w:line="144" w:lineRule="exact"/>
              <w:rPr>
                <w:sz w:val="20"/>
                <w:szCs w:val="20"/>
                <w:color w:val="auto"/>
              </w:rPr>
            </w:pPr>
            <w:r>
              <w:rPr>
                <w:rFonts w:ascii="Arial" w:cs="Arial" w:eastAsia="Arial" w:hAnsi="Arial"/>
                <w:sz w:val="13"/>
                <w:szCs w:val="13"/>
                <w:b w:val="1"/>
                <w:bCs w:val="1"/>
                <w:color w:val="auto"/>
                <w:w w:val="89"/>
              </w:rPr>
              <w:t>Recognized in OCI on</w:t>
            </w:r>
          </w:p>
        </w:tc>
        <w:tc>
          <w:tcPr>
            <w:tcW w:w="120" w:type="dxa"/>
            <w:vAlign w:val="bottom"/>
          </w:tcPr>
          <w:p>
            <w:pPr>
              <w:spacing w:after="0"/>
              <w:rPr>
                <w:sz w:val="12"/>
                <w:szCs w:val="12"/>
                <w:color w:val="auto"/>
              </w:rPr>
            </w:pPr>
          </w:p>
        </w:tc>
        <w:tc>
          <w:tcPr>
            <w:tcW w:w="3260" w:type="dxa"/>
            <w:vAlign w:val="bottom"/>
            <w:gridSpan w:val="5"/>
          </w:tcPr>
          <w:p>
            <w:pPr>
              <w:jc w:val="right"/>
              <w:ind w:right="457"/>
              <w:spacing w:after="0" w:line="144" w:lineRule="exact"/>
              <w:rPr>
                <w:sz w:val="20"/>
                <w:szCs w:val="20"/>
                <w:color w:val="auto"/>
              </w:rPr>
            </w:pPr>
            <w:r>
              <w:rPr>
                <w:rFonts w:ascii="Arial" w:cs="Arial" w:eastAsia="Arial" w:hAnsi="Arial"/>
                <w:sz w:val="13"/>
                <w:szCs w:val="13"/>
                <w:b w:val="1"/>
                <w:bCs w:val="1"/>
                <w:color w:val="auto"/>
              </w:rPr>
              <w:t>OCI into Income (Effective Portion)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5"/>
          </w:tcPr>
          <w:p>
            <w:pPr>
              <w:jc w:val="right"/>
              <w:ind w:right="377"/>
              <w:spacing w:after="0" w:line="144" w:lineRule="exact"/>
              <w:rPr>
                <w:sz w:val="20"/>
                <w:szCs w:val="20"/>
                <w:color w:val="auto"/>
              </w:rPr>
            </w:pPr>
            <w:r>
              <w:rPr>
                <w:rFonts w:ascii="Arial" w:cs="Arial" w:eastAsia="Arial" w:hAnsi="Arial"/>
                <w:sz w:val="13"/>
                <w:szCs w:val="13"/>
                <w:b w:val="1"/>
                <w:bCs w:val="1"/>
                <w:color w:val="auto"/>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5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Cash Flow</w:t>
            </w:r>
          </w:p>
        </w:tc>
        <w:tc>
          <w:tcPr>
            <w:tcW w:w="200" w:type="dxa"/>
            <w:vAlign w:val="bottom"/>
          </w:tcPr>
          <w:p>
            <w:pPr>
              <w:spacing w:after="0"/>
              <w:rPr>
                <w:sz w:val="2"/>
                <w:szCs w:val="2"/>
                <w:color w:val="auto"/>
              </w:rPr>
            </w:pPr>
          </w:p>
        </w:tc>
        <w:tc>
          <w:tcPr>
            <w:tcW w:w="1780" w:type="dxa"/>
            <w:vAlign w:val="bottom"/>
            <w:gridSpan w:val="3"/>
            <w:vMerge w:val="restart"/>
          </w:tcPr>
          <w:p>
            <w:pPr>
              <w:jc w:val="center"/>
              <w:ind w:right="117"/>
              <w:spacing w:after="0" w:line="135" w:lineRule="exact"/>
              <w:rPr>
                <w:sz w:val="20"/>
                <w:szCs w:val="20"/>
                <w:color w:val="auto"/>
              </w:rPr>
            </w:pPr>
            <w:r>
              <w:rPr>
                <w:rFonts w:ascii="Arial" w:cs="Arial" w:eastAsia="Arial" w:hAnsi="Arial"/>
                <w:sz w:val="13"/>
                <w:szCs w:val="13"/>
                <w:b w:val="1"/>
                <w:bCs w:val="1"/>
                <w:color w:val="auto"/>
                <w:w w:val="90"/>
              </w:rPr>
              <w:t>Derivative (Effective</w:t>
            </w: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Hedging Relationships</w:t>
            </w:r>
          </w:p>
        </w:tc>
        <w:tc>
          <w:tcPr>
            <w:tcW w:w="200" w:type="dxa"/>
            <w:vAlign w:val="bottom"/>
          </w:tcPr>
          <w:p>
            <w:pPr>
              <w:spacing w:after="0"/>
              <w:rPr>
                <w:sz w:val="15"/>
                <w:szCs w:val="15"/>
                <w:color w:val="auto"/>
              </w:rPr>
            </w:pPr>
          </w:p>
        </w:tc>
        <w:tc>
          <w:tcPr>
            <w:tcW w:w="1180" w:type="dxa"/>
            <w:vAlign w:val="bottom"/>
            <w:gridSpan w:val="2"/>
          </w:tcPr>
          <w:p>
            <w:pPr>
              <w:jc w:val="center"/>
              <w:ind w:left="357"/>
              <w:spacing w:after="0"/>
              <w:rPr>
                <w:sz w:val="20"/>
                <w:szCs w:val="20"/>
                <w:color w:val="auto"/>
              </w:rPr>
            </w:pPr>
            <w:r>
              <w:rPr>
                <w:rFonts w:ascii="Arial" w:cs="Arial" w:eastAsia="Arial" w:hAnsi="Arial"/>
                <w:sz w:val="13"/>
                <w:szCs w:val="13"/>
                <w:b w:val="1"/>
                <w:bCs w:val="1"/>
                <w:color w:val="auto"/>
                <w:w w:val="88"/>
              </w:rPr>
              <w:t>Portion)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500"/>
              <w:spacing w:after="0"/>
              <w:rPr>
                <w:sz w:val="20"/>
                <w:szCs w:val="20"/>
                <w:color w:val="auto"/>
              </w:rPr>
            </w:pPr>
            <w:r>
              <w:rPr>
                <w:rFonts w:ascii="Arial" w:cs="Arial" w:eastAsia="Arial" w:hAnsi="Arial"/>
                <w:sz w:val="13"/>
                <w:szCs w:val="13"/>
                <w:b w:val="1"/>
                <w:bCs w:val="1"/>
                <w:color w:val="auto"/>
              </w:rPr>
              <w:t>Location</w:t>
            </w:r>
          </w:p>
        </w:tc>
        <w:tc>
          <w:tcPr>
            <w:tcW w:w="220" w:type="dxa"/>
            <w:vAlign w:val="bottom"/>
          </w:tcPr>
          <w:p>
            <w:pPr>
              <w:spacing w:after="0"/>
              <w:rPr>
                <w:sz w:val="15"/>
                <w:szCs w:val="15"/>
                <w:color w:val="auto"/>
              </w:rPr>
            </w:pPr>
          </w:p>
        </w:tc>
        <w:tc>
          <w:tcPr>
            <w:tcW w:w="1440" w:type="dxa"/>
            <w:vAlign w:val="bottom"/>
            <w:gridSpan w:val="2"/>
          </w:tcPr>
          <w:p>
            <w:pPr>
              <w:jc w:val="right"/>
              <w:ind w:right="39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Arial" w:cs="Arial" w:eastAsia="Arial" w:hAnsi="Arial"/>
                <w:sz w:val="13"/>
                <w:szCs w:val="13"/>
                <w:b w:val="1"/>
                <w:bCs w:val="1"/>
                <w:color w:val="auto"/>
              </w:rPr>
              <w:t>Location</w:t>
            </w:r>
          </w:p>
        </w:tc>
        <w:tc>
          <w:tcPr>
            <w:tcW w:w="580" w:type="dxa"/>
            <w:vAlign w:val="bottom"/>
          </w:tcPr>
          <w:p>
            <w:pPr>
              <w:spacing w:after="0"/>
              <w:rPr>
                <w:sz w:val="15"/>
                <w:szCs w:val="15"/>
                <w:color w:val="auto"/>
              </w:rPr>
            </w:pPr>
          </w:p>
        </w:tc>
        <w:tc>
          <w:tcPr>
            <w:tcW w:w="1040" w:type="dxa"/>
            <w:vAlign w:val="bottom"/>
            <w:gridSpan w:val="2"/>
          </w:tcPr>
          <w:p>
            <w:pPr>
              <w:jc w:val="right"/>
              <w:ind w:right="37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2014</w:t>
            </w: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2013</w:t>
            </w:r>
          </w:p>
        </w:tc>
        <w:tc>
          <w:tcPr>
            <w:tcW w:w="1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2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w:t>
            </w:r>
          </w:p>
        </w:tc>
        <w:tc>
          <w:tcPr>
            <w:tcW w:w="3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2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left="357"/>
              <w:spacing w:after="0"/>
              <w:rPr>
                <w:sz w:val="20"/>
                <w:szCs w:val="20"/>
                <w:color w:val="auto"/>
              </w:rPr>
            </w:pPr>
            <w:r>
              <w:rPr>
                <w:rFonts w:ascii="Arial" w:cs="Arial" w:eastAsia="Arial" w:hAnsi="Arial"/>
                <w:sz w:val="13"/>
                <w:szCs w:val="13"/>
                <w:b w:val="1"/>
                <w:bCs w:val="1"/>
                <w:color w:val="auto"/>
                <w:w w:val="84"/>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ind w:left="38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w w:val="84"/>
              </w:rPr>
              <w:t>(in thousands)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ind w:left="40"/>
              <w:spacing w:after="0"/>
              <w:rPr>
                <w:sz w:val="20"/>
                <w:szCs w:val="20"/>
                <w:color w:val="auto"/>
              </w:rPr>
            </w:pPr>
            <w:r>
              <w:rPr>
                <w:rFonts w:ascii="Arial" w:cs="Arial" w:eastAsia="Arial" w:hAnsi="Arial"/>
                <w:sz w:val="13"/>
                <w:szCs w:val="13"/>
                <w:b w:val="1"/>
                <w:bCs w:val="1"/>
                <w:color w:val="auto"/>
              </w:rPr>
              <w:t>Three Months Ended June 30,</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(616)</w:t>
            </w:r>
          </w:p>
        </w:tc>
        <w:tc>
          <w:tcPr>
            <w:tcW w:w="4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1,336</w:t>
            </w:r>
          </w:p>
        </w:tc>
        <w:tc>
          <w:tcPr>
            <w:tcW w:w="1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w w:val="97"/>
              </w:rPr>
              <w:t>Interest expense</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(426)</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Six Months Ended June 30,</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540" w:type="dxa"/>
            <w:vAlign w:val="bottom"/>
            <w:gridSpan w:val="2"/>
          </w:tcPr>
          <w:p>
            <w:pPr>
              <w:ind w:left="380"/>
              <w:spacing w:after="0"/>
              <w:rPr>
                <w:sz w:val="20"/>
                <w:szCs w:val="20"/>
                <w:color w:val="auto"/>
              </w:rPr>
            </w:pPr>
            <w:r>
              <w:rPr>
                <w:rFonts w:ascii="Arial" w:cs="Arial" w:eastAsia="Arial" w:hAnsi="Arial"/>
                <w:sz w:val="13"/>
                <w:szCs w:val="13"/>
                <w:color w:val="auto"/>
              </w:rPr>
              <w:t>Interest rate swap contracts</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(771)</w:t>
            </w:r>
          </w:p>
        </w:tc>
        <w:tc>
          <w:tcPr>
            <w:tcW w:w="4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color w:val="auto"/>
              </w:rPr>
              <w:t>1,244</w:t>
            </w:r>
          </w:p>
        </w:tc>
        <w:tc>
          <w:tcPr>
            <w:tcW w:w="120" w:type="dxa"/>
            <w:vAlign w:val="bottom"/>
          </w:tcPr>
          <w:p>
            <w:pPr>
              <w:spacing w:after="0"/>
              <w:rPr>
                <w:sz w:val="15"/>
                <w:szCs w:val="15"/>
                <w:color w:val="auto"/>
              </w:rPr>
            </w:pPr>
          </w:p>
        </w:tc>
        <w:tc>
          <w:tcPr>
            <w:tcW w:w="1600" w:type="dxa"/>
            <w:vAlign w:val="bottom"/>
            <w:gridSpan w:val="2"/>
            <w:vMerge w:val="restart"/>
          </w:tcPr>
          <w:p>
            <w:pPr>
              <w:ind w:left="640"/>
              <w:spacing w:after="0"/>
              <w:rPr>
                <w:sz w:val="20"/>
                <w:szCs w:val="20"/>
                <w:color w:val="auto"/>
              </w:rPr>
            </w:pPr>
            <w:r>
              <w:rPr>
                <w:rFonts w:ascii="Arial" w:cs="Arial" w:eastAsia="Arial" w:hAnsi="Arial"/>
                <w:sz w:val="13"/>
                <w:szCs w:val="13"/>
                <w:color w:val="auto"/>
                <w:w w:val="97"/>
              </w:rPr>
              <w:t>Interest expense</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auto"/>
              </w:rPr>
              <w:t>(845)</w:t>
            </w:r>
          </w:p>
        </w:tc>
        <w:tc>
          <w:tcPr>
            <w:tcW w:w="700" w:type="dxa"/>
            <w:vAlign w:val="bottom"/>
            <w:vMerge w:val="restart"/>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3"/>
                <w:szCs w:val="13"/>
                <w:color w:val="auto"/>
                <w:w w:val="95"/>
              </w:rPr>
              <w:t>Interest expense</w:t>
            </w:r>
          </w:p>
        </w:tc>
        <w:tc>
          <w:tcPr>
            <w:tcW w:w="580" w:type="dxa"/>
            <w:vAlign w:val="bottom"/>
            <w:vMerge w:val="restart"/>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259 contracts were entered into during the six months ended June 30, 2014), which are not designated for hedge accounting, with the intent to reduce earnings volatility associated with certain of these non-functional currency assets and liabilities. The notional amounts of the contracts ranged from</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$224,000 to $16.6 million, offsetting our exposures to the euro, South African rand, Saudi riyal, Canadian dollar, Australian dollar, Chinese yuan renminbi, and various other currencies.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three and six months ended June 30 was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Derivatives Not Designated as</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Hedging Instrument under ASC 815-20</w:t>
            </w:r>
          </w:p>
        </w:tc>
        <w:tc>
          <w:tcPr>
            <w:tcW w:w="1060" w:type="dxa"/>
            <w:vAlign w:val="bottom"/>
          </w:tcPr>
          <w:p>
            <w:pPr>
              <w:spacing w:after="0"/>
              <w:rPr>
                <w:sz w:val="18"/>
                <w:szCs w:val="18"/>
                <w:color w:val="auto"/>
              </w:rPr>
            </w:pPr>
          </w:p>
        </w:tc>
        <w:tc>
          <w:tcPr>
            <w:tcW w:w="508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Gain (Loss) Recognized on Derivatives in Other Income (Expense)</w:t>
            </w:r>
          </w:p>
        </w:tc>
        <w:tc>
          <w:tcPr>
            <w:tcW w:w="1040" w:type="dxa"/>
            <w:vAlign w:val="bottom"/>
          </w:tcPr>
          <w:p>
            <w:pPr>
              <w:spacing w:after="0"/>
              <w:rPr>
                <w:sz w:val="18"/>
                <w:szCs w:val="18"/>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4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92"/>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92"/>
              </w:rPr>
              <w:t>Six Months Ended</w:t>
            </w:r>
          </w:p>
        </w:tc>
        <w:tc>
          <w:tcPr>
            <w:tcW w:w="1040" w:type="dxa"/>
            <w:vAlign w:val="bottom"/>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4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90"/>
              </w:rPr>
              <w:t>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90"/>
              </w:rPr>
              <w:t>June 30,</w:t>
            </w: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20"/>
                <w:szCs w:val="20"/>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w w:val="95"/>
              </w:rPr>
              <w:t>2013</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(1,083)</w:t>
            </w:r>
          </w:p>
        </w:tc>
        <w:tc>
          <w:tcPr>
            <w:tcW w:w="122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(1,931)</w:t>
            </w: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r>
      <w:tr>
        <w:trPr>
          <w:trHeight w:val="33"/>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2013.</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2014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 in other long-term assets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w:t>
            </w:r>
          </w:p>
        </w:tc>
      </w:tr>
      <w:tr>
        <w:trPr>
          <w:trHeight w:val="270"/>
        </w:trPr>
        <w:tc>
          <w:tcPr>
            <w:tcW w:w="6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portion of pension plan liability in wages and benefits payable</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3,721</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portion of pension plan liability</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88,687</w:t>
            </w:r>
          </w:p>
        </w:tc>
      </w:tr>
      <w:tr>
        <w:trPr>
          <w:trHeight w:val="270"/>
        </w:trPr>
        <w:tc>
          <w:tcPr>
            <w:tcW w:w="674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pension plan benefit liability</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$361,000 and $110,000 to the defined benefit pension plans for the six months ended June 30, 2014 and 2013, respectively. The timing of contributions can vary by plan and from year to year. For 2014, assuming that actual plan asset returns are consistent with our expected rate of return, and that interest rates remain constant, we expect to contribute approximately $445,000 to our defined benefit pension plans. We contributed $436,000 to the defined benefit pension plans for the year ended December 31,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1,586</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3,137</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stock-based compensation expense for awards of stock options, stock sold pursuant to our ESPP (until October 1, 2013), and the issuance of restricted stock units and unrestricted stock awards. We expense stock-based compensation primarily using the straight-line method over the requisite service period. For the three and six months ended June 30, stock-based compensation expense and the related tax benefit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4,094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4,158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7,894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8,393</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ESPP</w:t>
            </w:r>
          </w:p>
        </w:tc>
        <w:tc>
          <w:tcPr>
            <w:tcW w:w="1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stock splits, dividends, and other similar events, 7,473,956 shares of common stock are reserved and authorized for issuance under our Amended and Restated 2010 Stock Incentive Plan (Stock Incentive Plan). Awards consist of stock options, restricted stock units, and unrestricted stock awards. At June 30, 2014, 3,705,089 shares were available for grant under the Stock Incentive Plan. The Stock Incentive Plan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310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r>
      <w:tr>
        <w:trPr>
          <w:trHeight w:val="33"/>
        </w:trPr>
        <w:tc>
          <w:tcPr>
            <w:tcW w:w="4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41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xml:space="preserve">2014 </w:t>
            </w:r>
            <w:r>
              <w:rPr>
                <w:rFonts w:ascii="Arial" w:cs="Arial" w:eastAsia="Arial" w:hAnsi="Arial"/>
                <w:sz w:val="21"/>
                <w:szCs w:val="21"/>
                <w:b w:val="1"/>
                <w:bCs w:val="1"/>
                <w:color w:val="auto"/>
                <w:vertAlign w:val="superscript"/>
              </w:rPr>
              <w:t>(1)</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xml:space="preserve">2013 </w:t>
            </w:r>
            <w:r>
              <w:rPr>
                <w:rFonts w:ascii="Arial" w:cs="Arial" w:eastAsia="Arial" w:hAnsi="Arial"/>
                <w:sz w:val="21"/>
                <w:szCs w:val="21"/>
                <w:b w:val="1"/>
                <w:bCs w:val="1"/>
                <w:color w:val="auto"/>
                <w:vertAlign w:val="superscript"/>
              </w:rPr>
              <w:t>(1)</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r>
      <w:tr>
        <w:trPr>
          <w:trHeight w:val="23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8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gridSpan w:val="3"/>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184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7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33"/>
        </w:trPr>
        <w:tc>
          <w:tcPr>
            <w:tcW w:w="4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8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Expected term (years)</w:t>
            </w:r>
          </w:p>
        </w:tc>
        <w:tc>
          <w:tcPr>
            <w:tcW w:w="184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7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There were no employee stock options granted for the three months ended June 30, 2014 and 2013.</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six months ended June 30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4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Intrinsic Value</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(years)</w:t>
            </w:r>
          </w:p>
        </w:tc>
        <w:tc>
          <w:tcPr>
            <w:tcW w:w="160" w:type="dxa"/>
            <w:vAlign w:val="bottom"/>
          </w:tcPr>
          <w:p>
            <w:pPr>
              <w:spacing w:after="0"/>
              <w:rPr>
                <w:sz w:val="18"/>
                <w:szCs w:val="18"/>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2013</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54.06</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42.76</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15.44</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23.36</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49.92</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June 30, 2013</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53.71</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54.79</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35.19</w:t>
            </w: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13.64</w:t>
            </w: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23.70</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43.82</w:t>
            </w: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June 30,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53.43</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June 30,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58.53</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June 30,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39.35</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30"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2014, total unrecognized stock-based compensation expense related to nonvested stock options was approximately $3.9 million, which is expected to be recognized over a weighted average period of approximately 2.0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2013, the performance-based restricted stock units to be issued under the Long-Term Performance Restricted Stock Unit Award Agreement (Performance Award Agreement) are determined based on (1) our achievement of specified non-GAAP EPS targets, as established by the Board at the beginning of each year for each of the calendar years contained in the performance periods (2-year and 3-year awards in 2013 and 3-year awards in subsequent years) (the performance condition) and (2) our total shareholder return (TSR) relative to the TSR attained by companies that are included in the Russell 3000 Index during the performance periods (the market condition). Compensation expense, net of forfeitures, is recognized on a straight-line basis, and the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Depending on the level of achievement of the performance condition, the actual number of shares to be earned ranges between 0% and 160% of the awards originally granted.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 multiplier market condition, we utilize a Monte Carlo valuation model to determine the fair value of the awards at the grant date. This pricing model uses multiple simulations to evaluate the probability of our achievement of various stock price levels to</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determine our expected TSR performance ranking. The weighted-average assumptions used to estimate the fair value of performance-based restricted stock units awarded and the resulting weighted average fair-value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9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r>
      <w:tr>
        <w:trPr>
          <w:trHeight w:val="33"/>
        </w:trPr>
        <w:tc>
          <w:tcPr>
            <w:tcW w:w="4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416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47"/>
        </w:trPr>
        <w:tc>
          <w:tcPr>
            <w:tcW w:w="4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24"/>
        </w:trPr>
        <w:tc>
          <w:tcPr>
            <w:tcW w:w="4160" w:type="dxa"/>
            <w:vAlign w:val="bottom"/>
          </w:tcPr>
          <w:p>
            <w:pPr>
              <w:ind w:left="40"/>
              <w:spacing w:after="0"/>
              <w:rPr>
                <w:sz w:val="20"/>
                <w:szCs w:val="20"/>
                <w:color w:val="auto"/>
              </w:rPr>
            </w:pPr>
            <w:r>
              <w:rPr>
                <w:rFonts w:ascii="Arial" w:cs="Arial" w:eastAsia="Arial" w:hAnsi="Arial"/>
                <w:sz w:val="16"/>
                <w:szCs w:val="16"/>
                <w:color w:val="auto"/>
              </w:rPr>
              <w:t>Expected term (years)</w:t>
            </w:r>
          </w:p>
        </w:tc>
        <w:tc>
          <w:tcPr>
            <w:tcW w:w="11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2.5</w:t>
            </w:r>
          </w:p>
        </w:tc>
      </w:tr>
      <w:tr>
        <w:trPr>
          <w:trHeight w:val="47"/>
        </w:trPr>
        <w:tc>
          <w:tcPr>
            <w:tcW w:w="4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70"/>
        </w:trPr>
        <w:tc>
          <w:tcPr>
            <w:tcW w:w="4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Weighted-average fair value</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41.47</w:t>
            </w:r>
          </w:p>
        </w:tc>
        <w:tc>
          <w:tcPr>
            <w:tcW w:w="100" w:type="dxa"/>
            <w:vAlign w:val="bottom"/>
          </w:tcPr>
          <w:p>
            <w:pPr>
              <w:spacing w:after="0"/>
              <w:rPr>
                <w:sz w:val="20"/>
                <w:szCs w:val="20"/>
                <w:color w:val="auto"/>
              </w:rPr>
            </w:pP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45.70</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45.03</w:t>
            </w:r>
          </w:p>
        </w:tc>
      </w:tr>
    </w:tbl>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six months ended June 30: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2013</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42.51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13,562</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June 30, 2013</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35.49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12,818</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June 30, 2014</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7"/>
        </w:trPr>
        <w:tc>
          <w:tcPr>
            <w:tcW w:w="43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June 30, 2014</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3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June 30, 2014</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23,682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64"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Restricted stock units granted in 2013 and 2014 do not include awards under the Performance Award Agreement for the respective years, as these awards are not granted until attainment of annual performance goals has been determined at the conclusion of the performance period, which had not occurred as of June 30, 2013 and 2014, respectively.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2014, unrecognized compensation expense on restricted stock units was $24.0 million, which is expected to be recognized over a weighted average period of approximately 1.9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and six months ended June 30: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6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(in thousands, except per share data)</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4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35.82</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45.37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38.23</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45.40</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Under the terms of the ESPP, employees can deduct up to 10% of their regular cash compensation to purchase our common stock at a discount from the fair market value of the stock at the end of each fiscal quarter, subject to other limitations under the plan. The sale of the stock to the employees occurs at the beginning of the subsequent quarter. Effective October 1, 2013, we changed the terms of the ESPP to reduce the discount from 15% to 5% from the fair market value of the stock at the end of each fiscal quarter. As a result of this change, the ESPP is no longer considered compensatory, and no compensation expense is recognized for future sales of our common stock to employees. Prior to October 1, 2013, the plan was considered compensatory.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and six months ended June 30:</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3080" w:type="dxa"/>
            <w:vAlign w:val="bottom"/>
            <w:gridSpan w:val="2"/>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jc w:val="right"/>
              <w:ind w:right="1099"/>
              <w:spacing w:after="0"/>
              <w:rPr>
                <w:sz w:val="20"/>
                <w:szCs w:val="20"/>
                <w:color w:val="auto"/>
              </w:rPr>
            </w:pPr>
            <w:r>
              <w:rPr>
                <w:rFonts w:ascii="Arial" w:cs="Arial" w:eastAsia="Arial" w:hAnsi="Arial"/>
                <w:sz w:val="16"/>
                <w:szCs w:val="16"/>
                <w:b w:val="1"/>
                <w:bCs w:val="1"/>
                <w:color w:val="auto"/>
              </w:rPr>
              <w:t>2014</w:t>
            </w: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w w:val="95"/>
              </w:rPr>
              <w:t>(in thousands, except per share data)</w:t>
            </w: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of stock sold to employees</w:t>
            </w:r>
            <w:r>
              <w:rPr>
                <w:rFonts w:ascii="Arial" w:cs="Arial" w:eastAsia="Arial" w:hAnsi="Arial"/>
                <w:sz w:val="21"/>
                <w:szCs w:val="21"/>
                <w:color w:val="auto"/>
                <w:vertAlign w:val="superscript"/>
              </w:rPr>
              <w:t>(1)</w:t>
            </w:r>
          </w:p>
        </w:tc>
        <w:tc>
          <w:tcPr>
            <w:tcW w:w="1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34</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70"/>
        </w:trPr>
        <w:tc>
          <w:tcPr>
            <w:tcW w:w="4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per ESPP award</w:t>
            </w:r>
            <w:r>
              <w:rPr>
                <w:rFonts w:ascii="Arial" w:cs="Arial" w:eastAsia="Arial" w:hAnsi="Arial"/>
                <w:sz w:val="21"/>
                <w:szCs w:val="21"/>
                <w:color w:val="auto"/>
                <w:vertAlign w:val="superscript"/>
              </w:rPr>
              <w:t>(2)</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6.69</w:t>
            </w:r>
          </w:p>
        </w:tc>
      </w:tr>
    </w:tbl>
    <w:p>
      <w:pPr>
        <w:spacing w:after="0" w:line="17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74" w:lineRule="exact"/>
        <w:rPr>
          <w:rFonts w:ascii="Arial" w:cs="Arial" w:eastAsia="Arial" w:hAnsi="Arial"/>
          <w:sz w:val="21"/>
          <w:szCs w:val="21"/>
          <w:color w:val="auto"/>
          <w:vertAlign w:val="superscript"/>
        </w:rPr>
      </w:pPr>
    </w:p>
    <w:p>
      <w:pPr>
        <w:ind w:left="340" w:hanging="332"/>
        <w:spacing w:after="0" w:line="211"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Effective October 1, 2013, the ESPP is no longer compensatory, and therefore the weighted average fair value per award is not applicable for the three and six months ended June 30, 2014.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472,000 shares of common stock available for future issuance under the ESPP at June 30, 2014.</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provisions as a percentage of income (loss) before tax typically differ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expense for the three and six months ended June 30, 2014 was lower than the federal statutory rate of 35% due to the forecasted mix of earnings in domestic and international jurisdictions, estimated benefits of foreign tax credits, the benefit of certain interest expense deductions, and an election under U.S. Internal Revenue Code Section 338 with respect to a foreign acquisition in 2007.</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tax expense for the three months ended June 30, 2013 was lower than the federal statutory rate of 35% due to the forecasted mix of earnings in domestic and international jurisdictions, the benefit of certain interest expense deductions, and an election under U.S. Internal Revenue Code Section 338 with respect to a foreign acquisition in 2007. Our tax benefit for the six months ended June 30, 2013 reflects the favorable discrete tax benefit for the retroactive extension of the 2012 research and experimentation credit in the amount of $4.0 million. The American Taxpayer Relief Act of 2012 was signed into law on January 2, 2013 and extended several business tax provisions including the research and experimentation credit. Our annual estimated effective tax rate for 2013 was favorably impacted due to the forecasted mix of earnings in domestic and international jurisdictions, the benefit of certain interest expense deductions, and an election under U.S. Internal Revenue Code Section 338 with respect to a foreign acquisition in 2007.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2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9"/>
              </w:rPr>
              <w:t>(in thousands)</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1,782</w:t>
            </w:r>
          </w:p>
        </w:tc>
        <w:tc>
          <w:tcPr>
            <w:tcW w:w="13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1,239</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37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recorded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June 30, 2014</w:t>
            </w:r>
          </w:p>
        </w:tc>
        <w:tc>
          <w:tcPr>
            <w:tcW w:w="520" w:type="dxa"/>
            <w:vAlign w:val="bottom"/>
          </w:tcPr>
          <w:p>
            <w:pPr>
              <w:spacing w:after="0"/>
              <w:rPr>
                <w:sz w:val="18"/>
                <w:szCs w:val="18"/>
                <w:color w:val="auto"/>
              </w:rPr>
            </w:pPr>
          </w:p>
        </w:tc>
        <w:tc>
          <w:tcPr>
            <w:tcW w:w="21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December 31, 2013</w:t>
            </w:r>
          </w:p>
        </w:tc>
      </w:tr>
      <w:tr>
        <w:trPr>
          <w:trHeight w:val="33"/>
        </w:trPr>
        <w:tc>
          <w:tcPr>
            <w:tcW w:w="7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w w:val="94"/>
              </w:rPr>
              <w:t>(in thousands)</w:t>
            </w:r>
          </w:p>
        </w:tc>
        <w:tc>
          <w:tcPr>
            <w:tcW w:w="10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560" w:type="dxa"/>
            <w:vAlign w:val="bottom"/>
            <w:tcBorders>
              <w:bottom w:val="single" w:sz="8" w:color="CCEEFF"/>
            </w:tcBorders>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2,020</w:t>
            </w:r>
          </w:p>
        </w:tc>
        <w:tc>
          <w:tcPr>
            <w:tcW w:w="11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2,078</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4,426</w:t>
            </w:r>
          </w:p>
        </w:tc>
        <w:tc>
          <w:tcPr>
            <w:tcW w:w="11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3,075</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June 30, 2014</w:t>
            </w:r>
          </w:p>
        </w:tc>
        <w:tc>
          <w:tcPr>
            <w:tcW w:w="560" w:type="dxa"/>
            <w:vAlign w:val="bottom"/>
          </w:tcPr>
          <w:p>
            <w:pPr>
              <w:spacing w:after="0"/>
              <w:rPr>
                <w:sz w:val="18"/>
                <w:szCs w:val="18"/>
                <w:color w:val="auto"/>
              </w:rPr>
            </w:pPr>
          </w:p>
        </w:tc>
        <w:tc>
          <w:tcPr>
            <w:tcW w:w="21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December 31, 2013</w:t>
            </w:r>
          </w:p>
        </w:tc>
      </w:tr>
      <w:tr>
        <w:trPr>
          <w:trHeight w:val="33"/>
        </w:trPr>
        <w:tc>
          <w:tcPr>
            <w:tcW w:w="7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w w:val="97"/>
              </w:rPr>
              <w:t>(in thousands)</w:t>
            </w:r>
          </w:p>
        </w:tc>
        <w:tc>
          <w:tcPr>
            <w:tcW w:w="108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152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39,262</w:t>
            </w:r>
          </w:p>
        </w:tc>
        <w:tc>
          <w:tcPr>
            <w:tcW w:w="1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28,615</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w w:val="85"/>
              </w:rPr>
              <w:t>38,044</w:t>
            </w:r>
          </w:p>
        </w:tc>
        <w:tc>
          <w:tcPr>
            <w:tcW w:w="10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27,694</w:t>
            </w:r>
          </w:p>
        </w:tc>
      </w:tr>
    </w:tbl>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June 30, 2014, we have increased our unrecognized tax benefits related to uncertain tax positions by $10.6 million and related penalties due to tax positions relating to various intercompany transactions.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$2.0 million within the next twelve months due to the expiration of the statute of limitations. At June 30, 2014, we are not able to reasonably estimate the timing of future cash flows related to our uncertain tax positions.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2014</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2013</w:t>
            </w:r>
          </w:p>
        </w:tc>
      </w:tr>
      <w:tr>
        <w:trPr>
          <w:trHeight w:val="33"/>
        </w:trPr>
        <w:tc>
          <w:tcPr>
            <w:tcW w:w="7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(in thousands)</w:t>
            </w:r>
          </w:p>
        </w:tc>
      </w:tr>
      <w:tr>
        <w:trPr>
          <w:trHeight w:val="303"/>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660,000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(120,000)</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(49,491)</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530,153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490,509</w:t>
            </w:r>
          </w:p>
        </w:tc>
      </w:tr>
      <w:tr>
        <w:trPr>
          <w:trHeight w:val="73"/>
        </w:trPr>
        <w:tc>
          <w:tcPr>
            <w:tcW w:w="72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115,269</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(31,705)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(31,714)</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(4,252)</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81,346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79,303</w:t>
            </w:r>
          </w:p>
        </w:tc>
      </w:tr>
      <w:tr>
        <w:trPr>
          <w:trHeight w:val="73"/>
        </w:trPr>
        <w:tc>
          <w:tcPr>
            <w:tcW w:w="72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145,045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186,446</w:t>
            </w:r>
          </w:p>
        </w:tc>
      </w:tr>
    </w:tbl>
    <w:p>
      <w:pPr>
        <w:spacing w:after="0" w:line="19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2010 and 2011, Transdata Incorporated (Transdata) filed lawsuits against four of our customers, CenterPoint Energy (CenterPoint), TriCounty Electric Cooperative, Inc. (Tri-County), San Diego Gas &amp; Electric Company (San Diego), and Texas-New Mexico Power Company (TNMP), as well as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 CenterPoint, Tri-County, San Diego, and TNMP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has issued re-examination certificates confirming the patentability of the original claims and allowing</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new claims added by Transdata. The parties conducted a claim construction hearing on February 5, 2013 on one claim term -- "electric meter circuitry." After initially adopting the defendants' proposed construction of the term, the Court granted Transdata's motion for reconsideration by order of June 25, 2013, and has adopted Transdata's proposed construction. On October 1, 2013, the Court issued an order construing other claim terms. Fact discovery closed on June 29, 2014. Opening expert reports were due July 30, and rebuttal reports are due on September 15, 2014. No trials are scheduled.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Itron and its subsidiaries are parties to various employment-related proceedings in jurisdictions where it does business. None of</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proceedings are individually material to Itron, and we believe that we have made adequate provision such that the ultimate disposition of the proceedings will not materially affect Itron's business or financial condition.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 series of cases, approximately 300 former employees of Itron Sistemas e Technologia Ltda. (Itron Brazil), the majority of whose employment contracts were terminated in 2011, have sued Itron Brazil seeking payment of overtime and salary differential and alleging that the assumption of the employment relationship by Itron Brazil constituted illegal outsourcing under Brazilian law. In 2008, Itron Brazil entered into an agreement to provide installation and maintenance services to one of its customers and, to perform such services, hired over 800 employees of the previous provider of such services. In 2011, Itron Brazil determined to terminate the contract with its customer, which led to the termination of approximately 870 employees. Under applicable statutes of limitation, most additional employee claims must have been brought prior to October 31, 2013. Itron Brazil intends to vigorously defend these cases, but the ultimate outcome of the cases cannot be determined at this time.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31, 2013, we received a claim from one of our customers relating to alleged defects in meters sold to this customer since the year 2000. The customer asserts that it should be compensated for product and other related costs. We have engaged the customer in discussions to determine the factual basis for the claim. Since the discussions and related analysis are at an early stage, we are not yet able to estimate a potential range of loss. Currently, we do not believe that the outcome of this matter will have a material adverse effect on our business or financial condition, although an unfavorable outcome could have a material adverse effect on our results of operations for the period in which such a loss is recognized.</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 2012, we completed the acquisition of SmartSynch, Inc. On or about April 25, 2012, SmartSynch entered into a contract with a third party supplier to work with the supplier to develop a new joint product that would be marketed and sold to customers. SmartSynch failed to inform us prior to the completion of our acquisition that the contract had been executed. On July 25, 2012, after receiving an invoice for license fees purportedly owed under the contract, we commenced an action against the third party supplier in the Court of Chancery of the State of Delaware seeking a declaration that the contract was unenforceable or, in the alternative, seeking reformation of the contract. On August 21, 2012, the supplier filed a counterclaim for breach of contract, among other claims, seeking damages in excess of $60 million. Discovery is ongoing, and trial has been scheduled for February 2015. We intend to assert our position and defend against the counterclaim vigorously.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46,024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53,605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1,483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2,822</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(3,877)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(5,289)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(10,388)</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42,549</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50,632</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42,549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50,632</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23,689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24,709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24,709</w:t>
            </w:r>
          </w:p>
        </w:tc>
      </w:tr>
      <w:tr>
        <w:trPr>
          <w:trHeight w:val="244"/>
        </w:trPr>
        <w:tc>
          <w:tcPr>
            <w:tcW w:w="424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18,860</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25,923</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18,860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25,923</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for the three and six months ended June 30 was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gridSpan w:val="3"/>
          </w:tcPr>
          <w:p>
            <w:pPr>
              <w:ind w:left="84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 (income)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5,572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2,680</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8,460</w:t>
            </w:r>
          </w:p>
        </w:tc>
      </w:tr>
      <w:tr>
        <w:trPr>
          <w:trHeight w:val="33"/>
        </w:trPr>
        <w:tc>
          <w:tcPr>
            <w:tcW w:w="4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Warranty expense decreased during the three and six months ended June 30, 2014, compared with the same periods in 2013 primarily due to a $5.1 million reduction based on revised estimates for certain customers.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33,590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32,363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31,960</w:t>
            </w:r>
          </w:p>
        </w:tc>
        <w:tc>
          <w:tcPr>
            <w:tcW w:w="0" w:type="dxa"/>
            <w:vAlign w:val="bottom"/>
          </w:tcPr>
          <w:p>
            <w:pPr>
              <w:spacing w:after="0"/>
              <w:rPr>
                <w:sz w:val="1"/>
                <w:szCs w:val="1"/>
                <w:color w:val="auto"/>
              </w:rPr>
            </w:pPr>
          </w:p>
        </w:tc>
      </w:tr>
      <w:tr>
        <w:trPr>
          <w:trHeight w:val="224"/>
        </w:trPr>
        <w:tc>
          <w:tcPr>
            <w:tcW w:w="424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1,664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24"/>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47"/>
        </w:trPr>
        <w:tc>
          <w:tcPr>
            <w:tcW w:w="424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33,958</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33,395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33,958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33,395</w:t>
            </w: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200"/>
              <w:spacing w:after="0"/>
              <w:rPr>
                <w:sz w:val="20"/>
                <w:szCs w:val="20"/>
                <w:color w:val="auto"/>
              </w:rPr>
            </w:pPr>
            <w:r>
              <w:rPr>
                <w:rFonts w:ascii="Arial" w:cs="Arial" w:eastAsia="Arial" w:hAnsi="Arial"/>
                <w:sz w:val="16"/>
                <w:szCs w:val="16"/>
                <w:color w:val="auto"/>
              </w:rPr>
              <w:t>warranty</w:t>
            </w:r>
          </w:p>
        </w:tc>
        <w:tc>
          <w:tcPr>
            <w:tcW w:w="10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2,472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Long-term unearned revenue for extended warranty within</w:t>
            </w:r>
          </w:p>
        </w:tc>
        <w:tc>
          <w:tcPr>
            <w:tcW w:w="108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31,483</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30,923</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31,483</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30,923</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other long-term obligations</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4,713</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5,662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10,976</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10,500</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2014</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20" w:type="dxa"/>
            <w:vAlign w:val="bottom"/>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2,015</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r>
      <w:tr>
        <w:trPr>
          <w:trHeight w:val="33"/>
        </w:trPr>
        <w:tc>
          <w:tcPr>
            <w:tcW w:w="6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10, 2013, our management approved new projects to restructure our operations to improve profitability and increase efficiencies. These restructuring projects will reduce headcount and close or consolidate several manufacturing and office facilities. Overall, we expect to reduce our work force by approximately 9%.</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began implementing these projects in the third quarter of 2013, and we expect to substantially complete these projects by the middle of 2015. Certain aspects of the projects are subject to a variety of labor and employment laws, rules, and regulations, which could result in a delay in implementing the projects at some locations.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2014, the total expected costs decreased $2.4 million from our December 31, 2013 expected costs. This decrease was primarily the result of a reassessment of certain restructuring actions during the second quarter of 2014. This was partially offset by additional workforce reductions from the planned consolidation of certain corporate functions.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six months ended June 30, 2014, and the remaining expected restructuring costs as of June 30, 2014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Costs Recognized During</w:t>
            </w: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10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Costs Recognized in Prior</w:t>
            </w:r>
          </w:p>
        </w:tc>
        <w:tc>
          <w:tcPr>
            <w:tcW w:w="160" w:type="dxa"/>
            <w:vAlign w:val="bottom"/>
          </w:tcPr>
          <w:p>
            <w:pPr>
              <w:spacing w:after="0"/>
              <w:rPr>
                <w:sz w:val="17"/>
                <w:szCs w:val="17"/>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the Six Months Ended</w:t>
            </w:r>
          </w:p>
        </w:tc>
        <w:tc>
          <w:tcPr>
            <w:tcW w:w="180" w:type="dxa"/>
            <w:vAlign w:val="bottom"/>
          </w:tcPr>
          <w:p>
            <w:pPr>
              <w:spacing w:after="0"/>
              <w:rPr>
                <w:sz w:val="17"/>
                <w:szCs w:val="17"/>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Remaining Costs to be</w:t>
            </w: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2014</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Periods</w:t>
            </w: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June 30, 2014</w:t>
            </w:r>
          </w:p>
        </w:tc>
        <w:tc>
          <w:tcPr>
            <w:tcW w:w="20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Recognized at June 30, 2014</w:t>
            </w: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4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296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1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47"/>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r>
      <w:tr>
        <w:trPr>
          <w:trHeight w:val="284"/>
        </w:trPr>
        <w:tc>
          <w:tcPr>
            <w:tcW w:w="29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28,930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31,099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w:t>
            </w:r>
          </w:p>
        </w:tc>
      </w:tr>
      <w:tr>
        <w:trPr>
          <w:trHeight w:val="257"/>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4,369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5,779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4,962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100</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within the restructuring related balance sheet accounts during the six months ended June 30, 2014: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2"/>
              </w:rPr>
              <w:t>Asset Impairments &amp;</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Loss on Sale or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Accrued Costs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11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36,341</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Costs incurred and charged to expense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(2,269)</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(9,103)</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44"/>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 June 30,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19,628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4,966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24,594</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to exit facilities, such as costs to relocate inventory and equipment and contract cancellation costs, once the operations in those facilities have ceased. Costs associated with restructuring activities are generally presented as restructuring expense in the Consolidated Statements of Operations,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portions of the restructuring related liability balances were $19.1 million and $30.3 million as of June 30, 2014 and December 31, 2013, respectively. The current portion of the liability is classified within "Other current liabilities" on the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Balance Sheets. The long-term portions of the restructuring related liability balances were $5.5 million and $6.0 million as of June 30, 2014 and December 31, 2013, respectively. The long-term portion of the restructuring liability is classified within "Other long-term obligations" on the Consolidated Balance Sheets.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plan are not material to our operating segments or consolidated results.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2011 Projects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fourth quarter of 2011, we announced the approval of projects to restructure our manufacturing operations to increase efficiency and lower our cost of manufacturing. We began implementing these projects in the fourth quarter of 2011.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2013, we had substantially completed these restructuring projects, resulting in approximately $74.1 million of restructuring expense, which was recognized from the fourth quarter of 2011 through the second quarter of 2013.</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Other Comprehensive Income (Loss)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OCI is reflected as a net increase (decrease) to Itron, Inc. shareholders’ equity and is not reflected in our results of operations. The before-tax amount, income tax (provision) benefit, and net-of-tax amount related to each component of other comprehensive income (loss) during the reporting periods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Pr>
          <w:p>
            <w:pPr>
              <w:spacing w:after="0"/>
              <w:rPr>
                <w:sz w:val="18"/>
                <w:szCs w:val="18"/>
                <w:color w:val="auto"/>
              </w:rPr>
            </w:pPr>
          </w:p>
        </w:tc>
        <w:tc>
          <w:tcPr>
            <w:tcW w:w="23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(20,649)</w:t>
            </w:r>
          </w:p>
        </w:tc>
      </w:tr>
      <w:tr>
        <w:trPr>
          <w:trHeight w:val="220"/>
        </w:trPr>
        <w:tc>
          <w:tcPr>
            <w:tcW w:w="562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5620" w:type="dxa"/>
            <w:vAlign w:val="bottom"/>
          </w:tcPr>
          <w:p>
            <w:pPr>
              <w:ind w:left="200"/>
              <w:spacing w:after="0"/>
              <w:rPr>
                <w:sz w:val="20"/>
                <w:szCs w:val="20"/>
                <w:color w:val="auto"/>
              </w:rPr>
            </w:pPr>
            <w:r>
              <w:rPr>
                <w:rFonts w:ascii="Arial" w:cs="Arial" w:eastAsia="Arial" w:hAnsi="Arial"/>
                <w:sz w:val="16"/>
                <w:szCs w:val="16"/>
                <w:color w:val="auto"/>
              </w:rPr>
              <w:t>hedges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1,336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1,244</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(19,688)</w:t>
            </w:r>
          </w:p>
        </w:tc>
      </w:tr>
      <w:tr>
        <w:trPr>
          <w:trHeight w:val="189"/>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(3,471)</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hedges</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(3,857)</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9"/>
        </w:trPr>
        <w:tc>
          <w:tcPr>
            <w:tcW w:w="5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(24,120)</w:t>
            </w:r>
          </w:p>
        </w:tc>
      </w:tr>
      <w:tr>
        <w:trPr>
          <w:trHeight w:val="220"/>
        </w:trPr>
        <w:tc>
          <w:tcPr>
            <w:tcW w:w="562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5620" w:type="dxa"/>
            <w:vAlign w:val="bottom"/>
          </w:tcPr>
          <w:p>
            <w:pPr>
              <w:ind w:left="200"/>
              <w:spacing w:after="0"/>
              <w:rPr>
                <w:sz w:val="20"/>
                <w:szCs w:val="20"/>
                <w:color w:val="auto"/>
              </w:rPr>
            </w:pPr>
            <w:r>
              <w:rPr>
                <w:rFonts w:ascii="Arial" w:cs="Arial" w:eastAsia="Arial" w:hAnsi="Arial"/>
                <w:sz w:val="16"/>
                <w:szCs w:val="16"/>
                <w:color w:val="auto"/>
              </w:rPr>
              <w:t>hedges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(23,545)</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accumulated other comprehensive income (loss)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Pension Plan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Benefit Liability</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(34,384)</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(23,914)</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(23,545)</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(57,929)</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(11,369)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(11,415)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(11,369)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(11,110)</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rPr>
              <w:t>Amount Reclassified from AOCI</w:t>
            </w:r>
            <w:r>
              <w:rPr>
                <w:rFonts w:ascii="Arial" w:cs="Arial" w:eastAsia="Arial" w:hAnsi="Arial"/>
                <w:sz w:val="21"/>
                <w:szCs w:val="21"/>
                <w:b w:val="1"/>
                <w:bCs w:val="1"/>
                <w:color w:val="auto"/>
                <w:vertAlign w:val="superscript"/>
              </w:rPr>
              <w:t>(1)</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240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Six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6"/>
                <w:szCs w:val="16"/>
                <w:b w:val="1"/>
                <w:bCs w:val="1"/>
                <w:color w:val="auto"/>
                <w:w w:val="94"/>
              </w:rPr>
              <w:t>Affected Line Item in the Income</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860"/>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Amortization of defined benefit pension</w:t>
            </w: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items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4"/>
        </w:trPr>
        <w:tc>
          <w:tcPr>
            <w:tcW w:w="3100" w:type="dxa"/>
            <w:vAlign w:val="bottom"/>
          </w:tcPr>
          <w:p>
            <w:pPr>
              <w:ind w:left="200"/>
              <w:spacing w:after="0"/>
              <w:rPr>
                <w:sz w:val="20"/>
                <w:szCs w:val="20"/>
                <w:color w:val="auto"/>
              </w:rPr>
            </w:pPr>
            <w:r>
              <w:rPr>
                <w:rFonts w:ascii="Arial" w:cs="Arial" w:eastAsia="Arial" w:hAnsi="Arial"/>
                <w:sz w:val="16"/>
                <w:szCs w:val="16"/>
                <w:color w:val="auto"/>
              </w:rPr>
              <w:t>Actuarial losses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(497)</w:t>
            </w:r>
          </w:p>
        </w:tc>
        <w:tc>
          <w:tcPr>
            <w:tcW w:w="250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1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03"/>
        </w:trPr>
        <w:tc>
          <w:tcPr>
            <w:tcW w:w="3100" w:type="dxa"/>
            <w:vAlign w:val="bottom"/>
            <w:tcBorders>
              <w:bottom w:val="single" w:sz="8" w:color="CCEEFF"/>
            </w:tcBorders>
            <w:vMerge w:val="continue"/>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100" w:type="dxa"/>
            <w:vAlign w:val="bottom"/>
          </w:tcPr>
          <w:p>
            <w:pPr>
              <w:ind w:left="360"/>
              <w:spacing w:after="0"/>
              <w:rPr>
                <w:sz w:val="20"/>
                <w:szCs w:val="20"/>
                <w:color w:val="auto"/>
              </w:rPr>
            </w:pPr>
            <w:r>
              <w:rPr>
                <w:rFonts w:ascii="Arial" w:cs="Arial" w:eastAsia="Arial" w:hAnsi="Arial"/>
                <w:sz w:val="16"/>
                <w:szCs w:val="16"/>
                <w:color w:val="auto"/>
              </w:rPr>
              <w:t>Total, before tax</w:t>
            </w: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Tax benefit (provision)</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217"/>
        </w:trPr>
        <w:tc>
          <w:tcPr>
            <w:tcW w:w="3100" w:type="dxa"/>
            <w:vAlign w:val="bottom"/>
          </w:tcPr>
          <w:p>
            <w:pPr>
              <w:ind w:left="360"/>
              <w:spacing w:after="0"/>
              <w:rPr>
                <w:sz w:val="20"/>
                <w:szCs w:val="20"/>
                <w:color w:val="auto"/>
              </w:rPr>
            </w:pPr>
            <w:r>
              <w:rPr>
                <w:rFonts w:ascii="Arial" w:cs="Arial" w:eastAsia="Arial" w:hAnsi="Arial"/>
                <w:sz w:val="16"/>
                <w:szCs w:val="16"/>
                <w:color w:val="auto"/>
              </w:rPr>
              <w:t>Total, net of tax</w:t>
            </w: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w w:val="98"/>
              </w:rPr>
              <w:t>Total reclassifications for the period, net</w:t>
            </w:r>
          </w:p>
        </w:tc>
        <w:tc>
          <w:tcPr>
            <w:tcW w:w="920" w:type="dxa"/>
            <w:vAlign w:val="bottom"/>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of tax</w:t>
            </w:r>
          </w:p>
        </w:tc>
        <w:tc>
          <w:tcPr>
            <w:tcW w:w="9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Amounts in parenthesis indicate debits to the Consolidated Statements of Operations.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pacing w:after="0" w:line="16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values at June 30, 2014 and December 31, 2013 do not reflect subsequent changes in the economy, interest rates, and other variables that may affect the determination of fair value. The following table presents the fair values of our financial instruments as of the balance sheet dates: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2014</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December 31, 2013</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00" w:type="dxa"/>
            <w:vAlign w:val="bottom"/>
          </w:tcPr>
          <w:p>
            <w:pPr>
              <w:spacing w:after="0"/>
              <w:rPr>
                <w:sz w:val="18"/>
                <w:szCs w:val="18"/>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00" w:type="dxa"/>
            <w:vAlign w:val="bottom"/>
          </w:tcPr>
          <w:p>
            <w:pPr>
              <w:spacing w:after="0"/>
              <w:rPr>
                <w:sz w:val="18"/>
                <w:szCs w:val="18"/>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114,780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124,805</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247,500</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246,918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258,750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258,011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119,609</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2,031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 valued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2013, we separated the management of our Energy operating segment into Electricity and Gas to allow each business line to develop its own go-to-market strategy, prioritize its marketing and product development requirements, and focus on its strategic investments. Our sales, marketing, and delivery functions are managed under three business lines - Electricity, Gas, and Water. Our product development and manufacturing operations are now managed on a worldwide basis to promote a global perspective in our operations and processes while maintaining alignment with the business lines. The transition to the new organizational structure, including changes to operations and financial reporting systems, was completed in the fourth quarter of 2013. Our historical segment information for the three and six months ended June 30, 2013 has been recast to reflect our new operating segments.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2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80"/>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86"/>
              </w:rPr>
              <w:t>Segment Products</w:t>
            </w: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2"/>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Electricity</w:t>
            </w:r>
          </w:p>
        </w:tc>
        <w:tc>
          <w:tcPr>
            <w:tcW w:w="10020" w:type="dxa"/>
            <w:vAlign w:val="bottom"/>
            <w:gridSpan w:val="13"/>
          </w:tcPr>
          <w:p>
            <w:pPr>
              <w:ind w:left="20"/>
              <w:spacing w:after="0"/>
              <w:rPr>
                <w:sz w:val="20"/>
                <w:szCs w:val="20"/>
                <w:color w:val="auto"/>
              </w:rPr>
            </w:pPr>
            <w:r>
              <w:rPr>
                <w:rFonts w:ascii="Arial" w:cs="Arial" w:eastAsia="Arial" w:hAnsi="Arial"/>
                <w:sz w:val="18"/>
                <w:szCs w:val="18"/>
                <w:color w:val="auto"/>
                <w:w w:val="91"/>
              </w:rPr>
              <w:t>Standard electricity (electromechanical and electronic) meters; advanced electricity meters and communication modules; smart electricity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3"/>
          </w:tcPr>
          <w:p>
            <w:pPr>
              <w:ind w:left="20"/>
              <w:spacing w:after="0"/>
              <w:rPr>
                <w:sz w:val="20"/>
                <w:szCs w:val="20"/>
                <w:color w:val="auto"/>
              </w:rPr>
            </w:pPr>
            <w:r>
              <w:rPr>
                <w:rFonts w:ascii="Arial" w:cs="Arial" w:eastAsia="Arial" w:hAnsi="Arial"/>
                <w:sz w:val="18"/>
                <w:szCs w:val="18"/>
                <w:color w:val="auto"/>
                <w:w w:val="94"/>
              </w:rPr>
              <w:t>meters; smart electricity communication modules; prepayment systems, including smart key, keypad, and smart card communication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3"/>
          </w:tcPr>
          <w:p>
            <w:pPr>
              <w:ind w:left="20"/>
              <w:spacing w:after="0"/>
              <w:rPr>
                <w:sz w:val="20"/>
                <w:szCs w:val="20"/>
                <w:color w:val="auto"/>
              </w:rPr>
            </w:pPr>
            <w:r>
              <w:rPr>
                <w:rFonts w:ascii="Arial" w:cs="Arial" w:eastAsia="Arial" w:hAnsi="Arial"/>
                <w:sz w:val="18"/>
                <w:szCs w:val="18"/>
                <w:color w:val="auto"/>
                <w:w w:val="95"/>
              </w:rPr>
              <w:t>technologies; advanced systems including handheld, mobile, and fixed network collection technologies; smart network technologies;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3"/>
          </w:tcPr>
          <w:p>
            <w:pPr>
              <w:ind w:left="20"/>
              <w:spacing w:after="0"/>
              <w:rPr>
                <w:sz w:val="20"/>
                <w:szCs w:val="20"/>
                <w:color w:val="auto"/>
              </w:rPr>
            </w:pPr>
            <w:r>
              <w:rPr>
                <w:rFonts w:ascii="Arial" w:cs="Arial" w:eastAsia="Arial" w:hAnsi="Arial"/>
                <w:sz w:val="18"/>
                <w:szCs w:val="18"/>
                <w:color w:val="auto"/>
                <w:w w:val="95"/>
              </w:rPr>
              <w:t>meter data management software; knowledge application solutions; and professional services including implementation, installation,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consulting, and analysis.</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85"/>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Gas</w:t>
            </w:r>
          </w:p>
        </w:tc>
        <w:tc>
          <w:tcPr>
            <w:tcW w:w="2460" w:type="dxa"/>
            <w:vAlign w:val="bottom"/>
          </w:tcPr>
          <w:p>
            <w:pPr>
              <w:ind w:left="20"/>
              <w:spacing w:after="0"/>
              <w:rPr>
                <w:sz w:val="20"/>
                <w:szCs w:val="20"/>
                <w:color w:val="auto"/>
              </w:rPr>
            </w:pPr>
            <w:r>
              <w:rPr>
                <w:rFonts w:ascii="Arial" w:cs="Arial" w:eastAsia="Arial" w:hAnsi="Arial"/>
                <w:sz w:val="18"/>
                <w:szCs w:val="18"/>
                <w:color w:val="auto"/>
                <w:w w:val="94"/>
              </w:rPr>
              <w:t>Standard gas meters; advanced</w:t>
            </w:r>
          </w:p>
        </w:tc>
        <w:tc>
          <w:tcPr>
            <w:tcW w:w="3280" w:type="dxa"/>
            <w:vAlign w:val="bottom"/>
            <w:gridSpan w:val="5"/>
          </w:tcPr>
          <w:p>
            <w:pPr>
              <w:jc w:val="right"/>
              <w:spacing w:after="0"/>
              <w:rPr>
                <w:sz w:val="20"/>
                <w:szCs w:val="20"/>
                <w:color w:val="auto"/>
              </w:rPr>
            </w:pPr>
            <w:r>
              <w:rPr>
                <w:rFonts w:ascii="Arial" w:cs="Arial" w:eastAsia="Arial" w:hAnsi="Arial"/>
                <w:sz w:val="18"/>
                <w:szCs w:val="18"/>
                <w:color w:val="auto"/>
                <w:w w:val="97"/>
              </w:rPr>
              <w:t>gas meters and communication modules;</w:t>
            </w:r>
          </w:p>
        </w:tc>
        <w:tc>
          <w:tcPr>
            <w:tcW w:w="4280" w:type="dxa"/>
            <w:vAlign w:val="bottom"/>
            <w:gridSpan w:val="7"/>
          </w:tcPr>
          <w:p>
            <w:pPr>
              <w:jc w:val="right"/>
              <w:spacing w:after="0"/>
              <w:rPr>
                <w:sz w:val="20"/>
                <w:szCs w:val="20"/>
                <w:color w:val="auto"/>
              </w:rPr>
            </w:pPr>
            <w:r>
              <w:rPr>
                <w:rFonts w:ascii="Arial" w:cs="Arial" w:eastAsia="Arial" w:hAnsi="Arial"/>
                <w:sz w:val="18"/>
                <w:szCs w:val="18"/>
                <w:color w:val="auto"/>
                <w:w w:val="97"/>
              </w:rPr>
              <w:t>smart gas meters; smart gas communication modules;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3"/>
          </w:tcPr>
          <w:p>
            <w:pPr>
              <w:ind w:left="20"/>
              <w:spacing w:after="0"/>
              <w:rPr>
                <w:sz w:val="20"/>
                <w:szCs w:val="20"/>
                <w:color w:val="auto"/>
              </w:rPr>
            </w:pPr>
            <w:r>
              <w:rPr>
                <w:rFonts w:ascii="Arial" w:cs="Arial" w:eastAsia="Arial" w:hAnsi="Arial"/>
                <w:sz w:val="18"/>
                <w:szCs w:val="18"/>
                <w:color w:val="auto"/>
                <w:w w:val="92"/>
              </w:rPr>
              <w:t>prepayment systems, including smart key, keypad, and smart card communication technologies; advanced systems, including handheld,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3"/>
          </w:tcPr>
          <w:p>
            <w:pPr>
              <w:ind w:left="20"/>
              <w:spacing w:after="0"/>
              <w:rPr>
                <w:sz w:val="20"/>
                <w:szCs w:val="20"/>
                <w:color w:val="auto"/>
              </w:rPr>
            </w:pPr>
            <w:r>
              <w:rPr>
                <w:rFonts w:ascii="Arial" w:cs="Arial" w:eastAsia="Arial" w:hAnsi="Arial"/>
                <w:sz w:val="18"/>
                <w:szCs w:val="18"/>
                <w:color w:val="auto"/>
                <w:w w:val="91"/>
              </w:rPr>
              <w:t>mobile, and fixed network collection technologies; smart network technologies; meter data management software; knowledge application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40" w:type="dxa"/>
            <w:vAlign w:val="bottom"/>
            <w:gridSpan w:val="11"/>
          </w:tcPr>
          <w:p>
            <w:pPr>
              <w:ind w:left="20"/>
              <w:spacing w:after="0"/>
              <w:rPr>
                <w:sz w:val="20"/>
                <w:szCs w:val="20"/>
                <w:color w:val="auto"/>
              </w:rPr>
            </w:pPr>
            <w:r>
              <w:rPr>
                <w:rFonts w:ascii="Arial" w:cs="Arial" w:eastAsia="Arial" w:hAnsi="Arial"/>
                <w:sz w:val="18"/>
                <w:szCs w:val="18"/>
                <w:color w:val="auto"/>
              </w:rPr>
              <w:t>solutions; and professional services, including implementation, installation, consulting, and analysis.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85"/>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Water</w:t>
            </w:r>
          </w:p>
        </w:tc>
        <w:tc>
          <w:tcPr>
            <w:tcW w:w="10020" w:type="dxa"/>
            <w:vAlign w:val="bottom"/>
            <w:gridSpan w:val="13"/>
          </w:tcPr>
          <w:p>
            <w:pPr>
              <w:ind w:left="20"/>
              <w:spacing w:after="0"/>
              <w:rPr>
                <w:sz w:val="20"/>
                <w:szCs w:val="20"/>
                <w:color w:val="auto"/>
              </w:rPr>
            </w:pPr>
            <w:r>
              <w:rPr>
                <w:rFonts w:ascii="Arial" w:cs="Arial" w:eastAsia="Arial" w:hAnsi="Arial"/>
                <w:sz w:val="18"/>
                <w:szCs w:val="18"/>
                <w:color w:val="auto"/>
                <w:w w:val="91"/>
              </w:rPr>
              <w:t>Standard water and heat meters; advanced and smart water meters and communication modules; smart heat meters; advanced systems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3"/>
          </w:tcPr>
          <w:p>
            <w:pPr>
              <w:ind w:left="20"/>
              <w:spacing w:after="0"/>
              <w:rPr>
                <w:sz w:val="20"/>
                <w:szCs w:val="20"/>
                <w:color w:val="auto"/>
              </w:rPr>
            </w:pPr>
            <w:r>
              <w:rPr>
                <w:rFonts w:ascii="Arial" w:cs="Arial" w:eastAsia="Arial" w:hAnsi="Arial"/>
                <w:sz w:val="18"/>
                <w:szCs w:val="18"/>
                <w:color w:val="auto"/>
                <w:w w:val="98"/>
              </w:rPr>
              <w:t>including handheld, mobile, and fixed network collection technologies; meter data management software; knowledge application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900" w:type="dxa"/>
            <w:vAlign w:val="bottom"/>
            <w:gridSpan w:val="12"/>
          </w:tcPr>
          <w:p>
            <w:pPr>
              <w:ind w:left="20"/>
              <w:spacing w:after="0"/>
              <w:rPr>
                <w:sz w:val="20"/>
                <w:szCs w:val="20"/>
                <w:color w:val="auto"/>
              </w:rPr>
            </w:pPr>
            <w:r>
              <w:rPr>
                <w:rFonts w:ascii="Arial" w:cs="Arial" w:eastAsia="Arial" w:hAnsi="Arial"/>
                <w:sz w:val="18"/>
                <w:szCs w:val="18"/>
                <w:color w:val="auto"/>
                <w:w w:val="91"/>
              </w:rPr>
              <w:t>solutions; and professional services including implementation, installation, consulting, analysis, and system management.</w:t>
            </w:r>
          </w:p>
        </w:tc>
        <w:tc>
          <w:tcPr>
            <w:tcW w:w="1120" w:type="dxa"/>
            <w:vAlign w:val="bottom"/>
          </w:tcPr>
          <w:p>
            <w:pPr>
              <w:spacing w:after="0"/>
              <w:rPr>
                <w:sz w:val="20"/>
                <w:szCs w:val="20"/>
                <w:color w:val="auto"/>
              </w:rPr>
            </w:pPr>
          </w:p>
        </w:tc>
      </w:tr>
      <w:tr>
        <w:trPr>
          <w:trHeight w:val="459"/>
        </w:trPr>
        <w:tc>
          <w:tcPr>
            <w:tcW w:w="7140" w:type="dxa"/>
            <w:vAlign w:val="bottom"/>
            <w:gridSpan w:val="8"/>
          </w:tcPr>
          <w:p>
            <w:pPr>
              <w:spacing w:after="0"/>
              <w:rPr>
                <w:sz w:val="20"/>
                <w:szCs w:val="20"/>
                <w:color w:val="auto"/>
              </w:rPr>
            </w:pPr>
            <w:r>
              <w:rPr>
                <w:rFonts w:ascii="Arial" w:cs="Arial" w:eastAsia="Arial" w:hAnsi="Arial"/>
                <w:sz w:val="18"/>
                <w:szCs w:val="18"/>
                <w:color w:val="auto"/>
                <w:w w:val="96"/>
              </w:rPr>
              <w:t>Revenues, gross profit, and operating income associated with our segments were as follows: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1"/>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2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2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183,755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93"/>
              </w:rPr>
              <w:t>213,612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363,973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389,375</w:t>
            </w:r>
          </w:p>
        </w:tc>
      </w:tr>
      <w:tr>
        <w:trPr>
          <w:trHeight w:val="237"/>
        </w:trPr>
        <w:tc>
          <w:tcPr>
            <w:tcW w:w="1400" w:type="dxa"/>
            <w:vAlign w:val="bottom"/>
            <w:gridSpan w:val="2"/>
          </w:tcPr>
          <w:p>
            <w:pPr>
              <w:ind w:left="380"/>
              <w:spacing w:after="0"/>
              <w:rPr>
                <w:sz w:val="20"/>
                <w:szCs w:val="20"/>
                <w:color w:val="auto"/>
              </w:rPr>
            </w:pPr>
            <w:r>
              <w:rPr>
                <w:rFonts w:ascii="Arial" w:cs="Arial" w:eastAsia="Arial" w:hAnsi="Arial"/>
                <w:sz w:val="16"/>
                <w:szCs w:val="16"/>
                <w:color w:val="auto"/>
              </w:rPr>
              <w:t>Gas</w:t>
            </w:r>
          </w:p>
        </w:tc>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154,322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w w:val="93"/>
              </w:rPr>
              <w:t>136,011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300,431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272,926</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2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151,276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93"/>
              </w:rPr>
              <w:t>132,552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299,744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267,410</w:t>
            </w:r>
          </w:p>
        </w:tc>
      </w:tr>
      <w:tr>
        <w:trPr>
          <w:trHeight w:val="217"/>
        </w:trPr>
        <w:tc>
          <w:tcPr>
            <w:tcW w:w="3860" w:type="dxa"/>
            <w:vAlign w:val="bottom"/>
            <w:gridSpan w:val="3"/>
          </w:tcPr>
          <w:p>
            <w:pPr>
              <w:ind w:left="720"/>
              <w:spacing w:after="0"/>
              <w:rPr>
                <w:sz w:val="20"/>
                <w:szCs w:val="20"/>
                <w:color w:val="auto"/>
              </w:rPr>
            </w:pPr>
            <w:r>
              <w:rPr>
                <w:rFonts w:ascii="Arial" w:cs="Arial" w:eastAsia="Arial" w:hAnsi="Arial"/>
                <w:sz w:val="16"/>
                <w:szCs w:val="16"/>
                <w:color w:val="auto"/>
              </w:rPr>
              <w:t>Total Company</w:t>
            </w:r>
          </w:p>
        </w:tc>
        <w:tc>
          <w:tcPr>
            <w:tcW w:w="38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489,353</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w w:val="93"/>
              </w:rPr>
              <w:t>482,175</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964,148</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929,711</w:t>
            </w:r>
          </w:p>
        </w:tc>
      </w:tr>
      <w:tr>
        <w:trPr>
          <w:trHeight w:val="73"/>
        </w:trPr>
        <w:tc>
          <w:tcPr>
            <w:tcW w:w="12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60" w:type="dxa"/>
            <w:vAlign w:val="bottom"/>
            <w:tcBorders>
              <w:bottom w:val="single" w:sz="8" w:color="CCEEFF"/>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4"/>
        </w:trPr>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profit</w:t>
            </w:r>
          </w:p>
        </w:tc>
        <w:tc>
          <w:tcPr>
            <w:tcW w:w="2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2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52,976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62,545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95,716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107,457</w:t>
            </w:r>
          </w:p>
        </w:tc>
      </w:tr>
      <w:tr>
        <w:trPr>
          <w:trHeight w:val="237"/>
        </w:trPr>
        <w:tc>
          <w:tcPr>
            <w:tcW w:w="1400" w:type="dxa"/>
            <w:vAlign w:val="bottom"/>
            <w:gridSpan w:val="2"/>
          </w:tcPr>
          <w:p>
            <w:pPr>
              <w:ind w:left="380"/>
              <w:spacing w:after="0"/>
              <w:rPr>
                <w:sz w:val="20"/>
                <w:szCs w:val="20"/>
                <w:color w:val="auto"/>
              </w:rPr>
            </w:pPr>
            <w:r>
              <w:rPr>
                <w:rFonts w:ascii="Arial" w:cs="Arial" w:eastAsia="Arial" w:hAnsi="Arial"/>
                <w:sz w:val="16"/>
                <w:szCs w:val="16"/>
                <w:color w:val="auto"/>
              </w:rPr>
              <w:t>Gas</w:t>
            </w:r>
          </w:p>
        </w:tc>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56,711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50,128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115,117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100,770</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2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53,354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46,915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106,743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91,484</w:t>
            </w:r>
          </w:p>
        </w:tc>
      </w:tr>
      <w:tr>
        <w:trPr>
          <w:trHeight w:val="217"/>
        </w:trPr>
        <w:tc>
          <w:tcPr>
            <w:tcW w:w="3860" w:type="dxa"/>
            <w:vAlign w:val="bottom"/>
            <w:gridSpan w:val="3"/>
          </w:tcPr>
          <w:p>
            <w:pPr>
              <w:ind w:left="720"/>
              <w:spacing w:after="0"/>
              <w:rPr>
                <w:sz w:val="20"/>
                <w:szCs w:val="20"/>
                <w:color w:val="auto"/>
              </w:rPr>
            </w:pPr>
            <w:r>
              <w:rPr>
                <w:rFonts w:ascii="Arial" w:cs="Arial" w:eastAsia="Arial" w:hAnsi="Arial"/>
                <w:sz w:val="16"/>
                <w:szCs w:val="16"/>
                <w:color w:val="auto"/>
              </w:rPr>
              <w:t>Total Company</w:t>
            </w:r>
          </w:p>
        </w:tc>
        <w:tc>
          <w:tcPr>
            <w:tcW w:w="38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163,041</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w w:val="93"/>
              </w:rPr>
              <w:t>159,588</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317,576</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299,711</w:t>
            </w:r>
          </w:p>
        </w:tc>
      </w:tr>
      <w:tr>
        <w:trPr>
          <w:trHeight w:val="73"/>
        </w:trPr>
        <w:tc>
          <w:tcPr>
            <w:tcW w:w="1280" w:type="dxa"/>
            <w:vAlign w:val="bottom"/>
            <w:tcBorders>
              <w:bottom w:val="single" w:sz="8" w:color="CCEEFF"/>
            </w:tcBorders>
          </w:tcPr>
          <w:p>
            <w:pPr>
              <w:spacing w:after="0"/>
              <w:rPr>
                <w:sz w:val="6"/>
                <w:szCs w:val="6"/>
                <w:color w:val="auto"/>
              </w:rPr>
            </w:pPr>
          </w:p>
        </w:tc>
        <w:tc>
          <w:tcPr>
            <w:tcW w:w="2580" w:type="dxa"/>
            <w:vAlign w:val="bottom"/>
            <w:tcBorders>
              <w:bottom w:val="single" w:sz="8" w:color="CCEEFF"/>
            </w:tcBorders>
            <w:gridSpan w:val="2"/>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4"/>
        </w:trPr>
        <w:tc>
          <w:tcPr>
            <w:tcW w:w="386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2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(24,216)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(23,167)</w:t>
            </w:r>
          </w:p>
        </w:tc>
      </w:tr>
      <w:tr>
        <w:trPr>
          <w:trHeight w:val="237"/>
        </w:trPr>
        <w:tc>
          <w:tcPr>
            <w:tcW w:w="1400" w:type="dxa"/>
            <w:vAlign w:val="bottom"/>
            <w:gridSpan w:val="2"/>
          </w:tcPr>
          <w:p>
            <w:pPr>
              <w:ind w:left="380"/>
              <w:spacing w:after="0"/>
              <w:rPr>
                <w:sz w:val="20"/>
                <w:szCs w:val="20"/>
                <w:color w:val="auto"/>
              </w:rPr>
            </w:pPr>
            <w:r>
              <w:rPr>
                <w:rFonts w:ascii="Arial" w:cs="Arial" w:eastAsia="Arial" w:hAnsi="Arial"/>
                <w:sz w:val="16"/>
                <w:szCs w:val="16"/>
                <w:color w:val="auto"/>
              </w:rPr>
              <w:t>Gas</w:t>
            </w:r>
          </w:p>
        </w:tc>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24,329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18,881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50,053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38,411</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2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15,389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41,162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27,964</w:t>
            </w:r>
          </w:p>
        </w:tc>
      </w:tr>
      <w:tr>
        <w:trPr>
          <w:trHeight w:val="237"/>
        </w:trPr>
        <w:tc>
          <w:tcPr>
            <w:tcW w:w="3860" w:type="dxa"/>
            <w:vAlign w:val="bottom"/>
            <w:gridSpan w:val="3"/>
          </w:tcPr>
          <w:p>
            <w:pPr>
              <w:ind w:left="380"/>
              <w:spacing w:after="0"/>
              <w:rPr>
                <w:sz w:val="20"/>
                <w:szCs w:val="20"/>
                <w:color w:val="auto"/>
              </w:rPr>
            </w:pPr>
            <w:r>
              <w:rPr>
                <w:rFonts w:ascii="Arial" w:cs="Arial" w:eastAsia="Arial" w:hAnsi="Arial"/>
                <w:sz w:val="16"/>
                <w:szCs w:val="16"/>
                <w:color w:val="auto"/>
              </w:rPr>
              <w:t>Corporate unallocated</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(11,674)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(12,177)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(30,533)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(22,885)</w:t>
            </w:r>
          </w:p>
        </w:tc>
      </w:tr>
      <w:tr>
        <w:trPr>
          <w:trHeight w:val="33"/>
        </w:trPr>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31,927</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17,976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36,466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20,323</w:t>
            </w:r>
          </w:p>
        </w:tc>
      </w:tr>
      <w:tr>
        <w:trPr>
          <w:trHeight w:val="237"/>
        </w:trPr>
        <w:tc>
          <w:tcPr>
            <w:tcW w:w="3860" w:type="dxa"/>
            <w:vAlign w:val="bottom"/>
            <w:gridSpan w:val="3"/>
          </w:tcPr>
          <w:p>
            <w:pPr>
              <w:ind w:left="40"/>
              <w:spacing w:after="0"/>
              <w:rPr>
                <w:sz w:val="20"/>
                <w:szCs w:val="20"/>
                <w:color w:val="auto"/>
              </w:rPr>
            </w:pPr>
            <w:r>
              <w:rPr>
                <w:rFonts w:ascii="Arial" w:cs="Arial" w:eastAsia="Arial" w:hAnsi="Arial"/>
                <w:sz w:val="16"/>
                <w:szCs w:val="16"/>
                <w:color w:val="auto"/>
              </w:rPr>
              <w:t>Total other income (expense)</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(4,235)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(3,884)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(9,545)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(5,978)</w:t>
            </w:r>
          </w:p>
        </w:tc>
      </w:tr>
      <w:tr>
        <w:trPr>
          <w:trHeight w:val="33"/>
        </w:trPr>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42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27,692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14,092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26,921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six months ended June 30, 2014, no single customer represented more than 10% of total Company or the Electricity, Gas, or Water operating segment revenues.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One customer represented 12% of the Gas operating segment revenues for the three months ended June 30, 2013. No single customer represented more than 10% of the Gas operating segment revenues for the six months ended June 30, 2013. For the three and six months ended June 30, 2013, no single customer represented more than 10% of total Company or the Electricity or Water operating segment revenues.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08"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214,336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211,565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414,706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388,771</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216,257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215,250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439,761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427,145</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58,760</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55,360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113,795</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489,353</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482,175</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964,148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929,711</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12,391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23,344</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6,455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6,634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13,104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13,475</w:t>
            </w: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12,178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24,274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49,031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Subsequent to June 30, 2014, we repurchased 79,500 shares of our common stock under the stock repurchase program authorized by the Board of Directors on February 7, 2014. The average price paid per share was $39.46.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2013, filed with the Securities and Exchange Commission (SEC) on February 26,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and/or litigation, 4) our dependence on customers' acceptance of new products and their performance, 5) competition, 6) changes in domestic and international laws and regulations, 7) changes in foreign currency exchange rates and interest rates, 8) international business risks, 9) our own and our customers' or suppliers' access to and cost of capital, 10) future business combinations, and 11) other factors. You should not solely rely on these forward-looking statements as they are only valid as of the date of this Quarterly Report on Form 10-Q. We do not have any obligation to publicly update or revise any forward-looking statement in this document. </w:t>
      </w:r>
      <w:r>
        <w:rPr>
          <w:rFonts w:ascii="Arial" w:cs="Arial" w:eastAsia="Arial" w:hAnsi="Arial"/>
          <w:sz w:val="17"/>
          <w:szCs w:val="17"/>
          <w:i w:val="1"/>
          <w:iCs w:val="1"/>
          <w:color w:val="000000"/>
        </w:rPr>
        <w:t>For a more complete description of these and other</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risks, refer to Item 1A: “Risk Factors” included in our Annual Report on Form 10-K for the fiscal year ended December 31, 2013, which was filed with the SEC on February 26,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operate under the Itron brand worldwide and manage and report under three operating segments - Electricity, Gas, and Water.</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2013, we separated the management of our Energy operating segment into Electricity and Gas to allow each business line to develop its own go-to-market strategy, prioritize its marketing and product development requirements, and focus on its strategic investments. Our sales, marketing, and delivery functions are managed under our three business lines - Electricity, Gas, and Water. Our product development and manufacturing operations are now managed on a worldwide basis to promote a global perspective in our operations and processes and still maintain alignment with the business lines. The transition to the new organizational structure, including changes to operations and financial reporting systems, was completed in the fourth quarter of 2013. Our historical segment information for the three and six months ended June 30, 2013 has been recast to reflect our new operating segments.</w:t>
      </w:r>
    </w:p>
    <w:p>
      <w:pPr>
        <w:spacing w:after="0" w:line="16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Corporate-specific operating expenses, interest income, interest expense, other income (expense), and income tax provision (benefit) are not allocated to the segments and are not included in the measure of segment profit or loss. In addition, we allocate only certain production assets and intangible assets to our operating segments. We do not manage the performance of the segments on a balance sheet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 xml:space="preserve">Revenues for the </w:t>
      </w:r>
      <w:r>
        <w:rPr>
          <w:rFonts w:ascii="Arial" w:cs="Arial" w:eastAsia="Arial" w:hAnsi="Arial"/>
          <w:sz w:val="18"/>
          <w:szCs w:val="18"/>
          <w:color w:val="000000"/>
        </w:rPr>
        <w:t>three and 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2014</w:t>
      </w:r>
      <w:r>
        <w:rPr>
          <w:rFonts w:ascii="Arial" w:cs="Arial" w:eastAsia="Arial" w:hAnsi="Arial"/>
          <w:sz w:val="18"/>
          <w:szCs w:val="18"/>
          <w:color w:val="222222"/>
        </w:rPr>
        <w:t xml:space="preserve"> were </w:t>
      </w:r>
      <w:r>
        <w:rPr>
          <w:rFonts w:ascii="Arial" w:cs="Arial" w:eastAsia="Arial" w:hAnsi="Arial"/>
          <w:sz w:val="18"/>
          <w:szCs w:val="18"/>
          <w:color w:val="000000"/>
        </w:rPr>
        <w:t>$489 million</w:t>
      </w:r>
      <w:r>
        <w:rPr>
          <w:rFonts w:ascii="Arial" w:cs="Arial" w:eastAsia="Arial" w:hAnsi="Arial"/>
          <w:sz w:val="18"/>
          <w:szCs w:val="18"/>
          <w:color w:val="222222"/>
        </w:rPr>
        <w:t xml:space="preserve"> and $964 million, compared with </w:t>
      </w:r>
      <w:r>
        <w:rPr>
          <w:rFonts w:ascii="Arial" w:cs="Arial" w:eastAsia="Arial" w:hAnsi="Arial"/>
          <w:sz w:val="18"/>
          <w:szCs w:val="18"/>
          <w:color w:val="000000"/>
        </w:rPr>
        <w:t>$482 million</w:t>
      </w:r>
      <w:r>
        <w:rPr>
          <w:rFonts w:ascii="Arial" w:cs="Arial" w:eastAsia="Arial" w:hAnsi="Arial"/>
          <w:sz w:val="18"/>
          <w:szCs w:val="18"/>
          <w:color w:val="222222"/>
        </w:rPr>
        <w:t xml:space="preserve"> and $930 million in the same periods last year. The increases in 2014 were the result of higher revenues for the Gas and Water segments, partially offset by a decrease in the Electricity segment. Gross margin for the </w:t>
      </w:r>
      <w:r>
        <w:rPr>
          <w:rFonts w:ascii="Arial" w:cs="Arial" w:eastAsia="Arial" w:hAnsi="Arial"/>
          <w:sz w:val="18"/>
          <w:szCs w:val="18"/>
          <w:color w:val="000000"/>
        </w:rPr>
        <w:t>three and 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2014</w:t>
      </w:r>
      <w:r>
        <w:rPr>
          <w:rFonts w:ascii="Arial" w:cs="Arial" w:eastAsia="Arial" w:hAnsi="Arial"/>
          <w:sz w:val="18"/>
          <w:szCs w:val="18"/>
          <w:color w:val="222222"/>
        </w:rPr>
        <w:t xml:space="preserve"> was </w:t>
      </w:r>
      <w:r>
        <w:rPr>
          <w:rFonts w:ascii="Arial" w:cs="Arial" w:eastAsia="Arial" w:hAnsi="Arial"/>
          <w:sz w:val="18"/>
          <w:szCs w:val="18"/>
          <w:color w:val="000000"/>
        </w:rPr>
        <w:t>33.3%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 xml:space="preserve">and 32.9%, compared with gross margins of </w:t>
      </w:r>
      <w:r>
        <w:rPr>
          <w:rFonts w:ascii="Arial" w:cs="Arial" w:eastAsia="Arial" w:hAnsi="Arial"/>
          <w:sz w:val="18"/>
          <w:szCs w:val="18"/>
          <w:color w:val="000000"/>
        </w:rPr>
        <w:t>33.1%</w:t>
      </w:r>
      <w:r>
        <w:rPr>
          <w:rFonts w:ascii="Arial" w:cs="Arial" w:eastAsia="Arial" w:hAnsi="Arial"/>
          <w:sz w:val="18"/>
          <w:szCs w:val="18"/>
          <w:color w:val="222222"/>
        </w:rPr>
        <w:t xml:space="preserve"> and 32.2% for the same period in 2013. The higher margins were the result of an increased relative contribution of higher margin products from the the Gas and Water segments.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Operating expenses for the three and six months ended June 30, 2014 include reversals of restructuring expense of $7.8 million and $2.3 million, as the result of a reassessment of certain previously planned restructuring actions. These changes to our restructuring actions do not have a significant impact on the savings we expect to attain once the 2013 restructuring projects are completed.</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tax expense for the three and six months ended June 30, 2014 was lower than the federal statutory rate of 35% due to the forecasted mix of earnings in domestic and international jurisdictions, estimated benefits of foreign tax credits, the benefit of certain interest expense deductions, and an election under U.S. Internal Revenue Code Section 338 with respect to a foreign acquisition in 2007. Our tax expense for the three months ended June 30, 2013 was lower than the federal statutory rate of 35% due to the forecasted mix of earnings in domestic and international jurisdictions, the benefit of certain interest expense deductions, and an election under U.S. Internal Revenue Code Section 338 with respect to a foreign acquisition in 2007. Our tax benefit for the six months ended June 30, 2013 reflects the favorable discrete tax benefit for the retroactive extension of the 2012 research and experimentation credit in the amount of $4.0 million. The American Taxpayer Relief Act of 2012 was signed into law on January 2, 2013 and extended several business tax provisions including the research and experimentation credit. Our annual estimated effective tax rate for 2013 was favorably impacted due to the forecasted mix of earnings in domestic and international jurisdictions, the benefit of certain interest expense deductions, and an election under U.S. Internal Revenue Code Section 338 with respect to a foreign acquisition in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Total backlog was $1.3 billion and twelve-month backlog was $675 million at </w:t>
      </w:r>
      <w:r>
        <w:rPr>
          <w:rFonts w:ascii="Arial" w:cs="Arial" w:eastAsia="Arial" w:hAnsi="Arial"/>
          <w:sz w:val="18"/>
          <w:szCs w:val="18"/>
          <w:color w:val="000000"/>
        </w:rPr>
        <w:t>June 30, 2014</w:t>
      </w:r>
      <w:r>
        <w:rPr>
          <w:rFonts w:ascii="Arial" w:cs="Arial" w:eastAsia="Arial" w:hAnsi="Arial"/>
          <w:sz w:val="18"/>
          <w:szCs w:val="18"/>
          <w:color w:val="222222"/>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Three Months Ended June 30,</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gridSpan w:val="4"/>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1360" w:type="dxa"/>
            <w:vAlign w:val="bottom"/>
          </w:tcPr>
          <w:p>
            <w:pPr>
              <w:spacing w:after="0"/>
              <w:rPr>
                <w:sz w:val="18"/>
                <w:szCs w:val="18"/>
                <w:color w:val="auto"/>
              </w:rPr>
            </w:pPr>
          </w:p>
        </w:tc>
      </w:tr>
      <w:tr>
        <w:trPr>
          <w:trHeight w:val="33"/>
        </w:trPr>
        <w:tc>
          <w:tcPr>
            <w:tcW w:w="1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8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 Change</w:t>
            </w:r>
          </w:p>
        </w:tc>
        <w:tc>
          <w:tcPr>
            <w:tcW w:w="380" w:type="dxa"/>
            <w:vAlign w:val="bottom"/>
          </w:tcPr>
          <w:p>
            <w:pPr>
              <w:spacing w:after="0"/>
              <w:rPr>
                <w:sz w:val="20"/>
                <w:szCs w:val="20"/>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0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1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489,353</w:t>
            </w:r>
          </w:p>
        </w:tc>
        <w:tc>
          <w:tcPr>
            <w:tcW w:w="8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482,175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79"/>
              <w:spacing w:after="0"/>
              <w:rPr>
                <w:sz w:val="20"/>
                <w:szCs w:val="20"/>
                <w:color w:val="auto"/>
              </w:rPr>
            </w:pPr>
            <w:r>
              <w:rPr>
                <w:rFonts w:ascii="Arial" w:cs="Arial" w:eastAsia="Arial" w:hAnsi="Arial"/>
                <w:sz w:val="16"/>
                <w:szCs w:val="16"/>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964,148</w:t>
            </w:r>
          </w:p>
        </w:tc>
        <w:tc>
          <w:tcPr>
            <w:tcW w:w="7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929,711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4"/>
              </w:rPr>
              <w:t>4%</w:t>
            </w:r>
          </w:p>
        </w:tc>
      </w:tr>
      <w:tr>
        <w:trPr>
          <w:trHeight w:val="237"/>
        </w:trPr>
        <w:tc>
          <w:tcPr>
            <w:tcW w:w="12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163,041</w:t>
            </w: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159,588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317,576</w:t>
            </w:r>
          </w:p>
        </w:tc>
        <w:tc>
          <w:tcPr>
            <w:tcW w:w="7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299,711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color w:val="auto"/>
                <w:w w:val="94"/>
              </w:rPr>
              <w:t>6%</w:t>
            </w:r>
          </w:p>
        </w:tc>
      </w:tr>
      <w:tr>
        <w:trPr>
          <w:trHeight w:val="33"/>
        </w:trPr>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33.3%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32.9%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33"/>
        </w:trPr>
        <w:tc>
          <w:tcPr>
            <w:tcW w:w="1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6"/>
                <w:szCs w:val="16"/>
                <w:b w:val="1"/>
                <w:bCs w:val="1"/>
                <w:color w:val="auto"/>
                <w:w w:val="84"/>
              </w:rPr>
              <w:t>2014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3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 (North America)</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214,336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211,565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388,771</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216,257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215,250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439,761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427,145</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55,360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113,795</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489,353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482,175</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964,148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929,711</w:t>
            </w:r>
          </w:p>
        </w:tc>
      </w:tr>
      <w:tr>
        <w:trPr>
          <w:trHeight w:val="3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360" w:type="dxa"/>
            <w:vAlign w:val="bottom"/>
            <w:gridSpan w:val="2"/>
          </w:tcPr>
          <w:p>
            <w:pPr>
              <w:ind w:left="4940"/>
              <w:spacing w:after="0"/>
              <w:rPr>
                <w:sz w:val="20"/>
                <w:szCs w:val="20"/>
                <w:color w:val="auto"/>
              </w:rPr>
            </w:pPr>
            <w:r>
              <w:rPr>
                <w:rFonts w:ascii="Arial" w:cs="Arial" w:eastAsia="Arial" w:hAnsi="Arial"/>
                <w:sz w:val="16"/>
                <w:szCs w:val="16"/>
                <w:b w:val="1"/>
                <w:bCs w:val="1"/>
                <w:color w:val="auto"/>
              </w:rPr>
              <w:t>2014</w:t>
            </w:r>
          </w:p>
        </w:tc>
        <w:tc>
          <w:tcPr>
            <w:tcW w:w="17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20"/>
                <w:szCs w:val="20"/>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(units 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70"/>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9,170</w:t>
            </w:r>
          </w:p>
        </w:tc>
      </w:tr>
      <w:tr>
        <w:trPr>
          <w:trHeight w:val="237"/>
        </w:trPr>
        <w:tc>
          <w:tcPr>
            <w:tcW w:w="536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1,360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2,880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2,970</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5,840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12,210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12,140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50"/>
        </w:trPr>
        <w:tc>
          <w:tcPr>
            <w:tcW w:w="536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2,690</w:t>
            </w:r>
          </w:p>
        </w:tc>
      </w:tr>
      <w:tr>
        <w:trPr>
          <w:trHeight w:val="20"/>
        </w:trPr>
        <w:tc>
          <w:tcPr>
            <w:tcW w:w="4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 xml:space="preserve">Revenues increased </w:t>
      </w:r>
      <w:r>
        <w:rPr>
          <w:rFonts w:ascii="Arial" w:cs="Arial" w:eastAsia="Arial" w:hAnsi="Arial"/>
          <w:sz w:val="18"/>
          <w:szCs w:val="18"/>
          <w:color w:val="000000"/>
        </w:rPr>
        <w:t>$7.2 million</w:t>
      </w:r>
      <w:r>
        <w:rPr>
          <w:rFonts w:ascii="Arial" w:cs="Arial" w:eastAsia="Arial" w:hAnsi="Arial"/>
          <w:sz w:val="18"/>
          <w:szCs w:val="18"/>
          <w:color w:val="222222"/>
        </w:rPr>
        <w:t xml:space="preserve"> and </w:t>
      </w:r>
      <w:r>
        <w:rPr>
          <w:rFonts w:ascii="Arial" w:cs="Arial" w:eastAsia="Arial" w:hAnsi="Arial"/>
          <w:sz w:val="18"/>
          <w:szCs w:val="18"/>
          <w:color w:val="000000"/>
        </w:rPr>
        <w:t>$34.4 million</w:t>
      </w:r>
      <w:r>
        <w:rPr>
          <w:rFonts w:ascii="Arial" w:cs="Arial" w:eastAsia="Arial" w:hAnsi="Arial"/>
          <w:sz w:val="18"/>
          <w:szCs w:val="18"/>
          <w:color w:val="222222"/>
        </w:rPr>
        <w:t xml:space="preserve">, or 1% and 4%, for the </w:t>
      </w:r>
      <w:r>
        <w:rPr>
          <w:rFonts w:ascii="Arial" w:cs="Arial" w:eastAsia="Arial" w:hAnsi="Arial"/>
          <w:sz w:val="18"/>
          <w:szCs w:val="18"/>
          <w:color w:val="000000"/>
        </w:rPr>
        <w:t>three and 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2014</w:t>
      </w:r>
      <w:r>
        <w:rPr>
          <w:rFonts w:ascii="Arial" w:cs="Arial" w:eastAsia="Arial" w:hAnsi="Arial"/>
          <w:sz w:val="18"/>
          <w:szCs w:val="18"/>
          <w:color w:val="222222"/>
        </w:rPr>
        <w:t xml:space="preserve">, compared with the same periods in 2013. These increases were driven by higher revenues in the Gas and Water segments for the </w:t>
      </w:r>
      <w:r>
        <w:rPr>
          <w:rFonts w:ascii="Arial" w:cs="Arial" w:eastAsia="Arial" w:hAnsi="Arial"/>
          <w:sz w:val="18"/>
          <w:szCs w:val="18"/>
          <w:color w:val="000000"/>
        </w:rPr>
        <w:t>three and 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2014</w:t>
      </w:r>
      <w:r>
        <w:rPr>
          <w:rFonts w:ascii="Arial" w:cs="Arial" w:eastAsia="Arial" w:hAnsi="Arial"/>
          <w:sz w:val="18"/>
          <w:szCs w:val="18"/>
          <w:color w:val="222222"/>
        </w:rPr>
        <w:t xml:space="preserve">, with the largest increase, both in dollars and percentage points, occurring in the Water segment. This was partially offset by a decline in Electricity revenue for the </w:t>
      </w:r>
      <w:r>
        <w:rPr>
          <w:rFonts w:ascii="Arial" w:cs="Arial" w:eastAsia="Arial" w:hAnsi="Arial"/>
          <w:sz w:val="18"/>
          <w:szCs w:val="18"/>
          <w:color w:val="000000"/>
        </w:rPr>
        <w:t>three and</w:t>
      </w:r>
      <w:r>
        <w:rPr>
          <w:rFonts w:ascii="Arial" w:cs="Arial" w:eastAsia="Arial" w:hAnsi="Arial"/>
          <w:sz w:val="18"/>
          <w:szCs w:val="18"/>
          <w:color w:val="222222"/>
        </w:rPr>
        <w:t xml:space="preserve"> </w:t>
      </w:r>
      <w:r>
        <w:rPr>
          <w:rFonts w:ascii="Arial" w:cs="Arial" w:eastAsia="Arial" w:hAnsi="Arial"/>
          <w:sz w:val="18"/>
          <w:szCs w:val="18"/>
          <w:color w:val="000000"/>
        </w:rPr>
        <w:t xml:space="preserve">six </w:t>
      </w:r>
      <w:r>
        <w:rPr>
          <w:rFonts w:ascii="Arial" w:cs="Arial" w:eastAsia="Arial" w:hAnsi="Arial"/>
          <w:sz w:val="18"/>
          <w:szCs w:val="18"/>
          <w:color w:val="222222"/>
        </w:rPr>
        <w:t>months ended</w:t>
      </w:r>
      <w:r>
        <w:rPr>
          <w:rFonts w:ascii="Arial" w:cs="Arial" w:eastAsia="Arial" w:hAnsi="Arial"/>
          <w:sz w:val="18"/>
          <w:szCs w:val="18"/>
          <w:color w:val="000000"/>
        </w:rPr>
        <w:t xml:space="preserve"> June 30, 2014</w:t>
      </w:r>
      <w:r>
        <w:rPr>
          <w:rFonts w:ascii="Arial" w:cs="Arial" w:eastAsia="Arial" w:hAnsi="Arial"/>
          <w:sz w:val="18"/>
          <w:szCs w:val="18"/>
          <w:color w:val="222222"/>
        </w:rPr>
        <w:t>.</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For the three months ended June 30, 2014, revenue was higher due to the increase in advanced and smart meters and communication modules, which more than offset a decline in standard meter volumes. For the six months ended June 30, 2014, the increase in revenues was associated with the increase in communication modules and standard meters.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A more detailed analysis of revenue fluctuations is 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 single customer accounted for more than 10% of total Company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2014 and June 30, 2013. Our 10 largest customers accounted for 18% and 19%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2014 and 22% and 20%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222222"/>
        </w:rPr>
        <w:t xml:space="preserve">Gross margin for the </w:t>
      </w:r>
      <w:r>
        <w:rPr>
          <w:rFonts w:ascii="Arial" w:cs="Arial" w:eastAsia="Arial" w:hAnsi="Arial"/>
          <w:sz w:val="16"/>
          <w:szCs w:val="16"/>
          <w:color w:val="000000"/>
        </w:rPr>
        <w:t>second</w:t>
      </w:r>
      <w:r>
        <w:rPr>
          <w:rFonts w:ascii="Arial" w:cs="Arial" w:eastAsia="Arial" w:hAnsi="Arial"/>
          <w:sz w:val="16"/>
          <w:szCs w:val="16"/>
          <w:color w:val="222222"/>
        </w:rPr>
        <w:t xml:space="preserve"> quarter of 2014 was 33.3%, compared with 33.1% for the same period in 2013. For the six months ended June 30, 2014, gross margin was 32.9%, compared with 32.2% in the same period in 2013. The increases in the </w:t>
      </w:r>
      <w:r>
        <w:rPr>
          <w:rFonts w:ascii="Arial" w:cs="Arial" w:eastAsia="Arial" w:hAnsi="Arial"/>
          <w:sz w:val="16"/>
          <w:szCs w:val="16"/>
          <w:color w:val="000000"/>
        </w:rPr>
        <w:t>second</w:t>
      </w:r>
      <w:r>
        <w:rPr>
          <w:rFonts w:ascii="Arial" w:cs="Arial" w:eastAsia="Arial" w:hAnsi="Arial"/>
          <w:sz w:val="16"/>
          <w:szCs w:val="16"/>
          <w:color w:val="222222"/>
        </w:rPr>
        <w:t xml:space="preserve"> quarter and first six months of 2014 were the result of the increased relative contribution of the Gas and Water segments as compared to the Electricity segment gross margin</w:t>
      </w:r>
      <w:r>
        <w:rPr>
          <w:rFonts w:ascii="Arial" w:cs="Arial" w:eastAsia="Arial" w:hAnsi="Arial"/>
          <w:sz w:val="16"/>
          <w:szCs w:val="16"/>
          <w:color w:val="000000"/>
        </w:rPr>
        <w:t>. Gross margins in the Gas and Water</w:t>
      </w:r>
      <w:r>
        <w:rPr>
          <w:rFonts w:ascii="Arial" w:cs="Arial" w:eastAsia="Arial" w:hAnsi="Arial"/>
          <w:sz w:val="16"/>
          <w:szCs w:val="16"/>
          <w:color w:val="222222"/>
        </w:rPr>
        <w:t xml:space="preserve"> </w:t>
      </w:r>
      <w:r>
        <w:rPr>
          <w:rFonts w:ascii="Arial" w:cs="Arial" w:eastAsia="Arial" w:hAnsi="Arial"/>
          <w:sz w:val="16"/>
          <w:szCs w:val="16"/>
          <w:color w:val="000000"/>
        </w:rPr>
        <w:t xml:space="preserve">segments are higher than the Electricity segment. </w:t>
      </w:r>
      <w:r>
        <w:rPr>
          <w:rFonts w:ascii="Arial" w:cs="Arial" w:eastAsia="Arial" w:hAnsi="Arial"/>
          <w:sz w:val="16"/>
          <w:szCs w:val="16"/>
          <w:color w:val="222222"/>
        </w:rPr>
        <w:t>A more detailed analysis of these fluctuations is provided in</w:t>
      </w:r>
      <w:r>
        <w:rPr>
          <w:rFonts w:ascii="Arial" w:cs="Arial" w:eastAsia="Arial" w:hAnsi="Arial"/>
          <w:sz w:val="16"/>
          <w:szCs w:val="16"/>
          <w:color w:val="000000"/>
        </w:rPr>
        <w:t xml:space="preserve"> </w:t>
      </w:r>
      <w:r>
        <w:rPr>
          <w:rFonts w:ascii="Arial" w:cs="Arial" w:eastAsia="Arial" w:hAnsi="Arial"/>
          <w:sz w:val="16"/>
          <w:szCs w:val="16"/>
          <w:i w:val="1"/>
          <w:iCs w:val="1"/>
          <w:color w:val="222222"/>
        </w:rPr>
        <w:t>Operating Segment Results</w:t>
      </w:r>
      <w:r>
        <w:rPr>
          <w:rFonts w:ascii="Arial" w:cs="Arial" w:eastAsia="Arial" w:hAnsi="Arial"/>
          <w:sz w:val="16"/>
          <w:szCs w:val="16"/>
          <w:color w:val="222222"/>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left="817"/>
              <w:spacing w:after="0"/>
              <w:rPr>
                <w:sz w:val="20"/>
                <w:szCs w:val="20"/>
                <w:color w:val="auto"/>
              </w:rPr>
            </w:pPr>
            <w:r>
              <w:rPr>
                <w:rFonts w:ascii="Arial" w:cs="Arial" w:eastAsia="Arial" w:hAnsi="Arial"/>
                <w:sz w:val="13"/>
                <w:szCs w:val="13"/>
                <w:b w:val="1"/>
                <w:bCs w:val="1"/>
                <w:color w:val="auto"/>
                <w:w w:val="87"/>
              </w:rPr>
              <w:t>Three Months Ended June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6"/>
              </w:rPr>
              <w:t>Six Months Ended June 30,</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2"/>
              </w:rPr>
              <w:t>2013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 Change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2"/>
              </w:rPr>
              <w:t>2013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 Change</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Revenues</w:t>
            </w:r>
          </w:p>
        </w:tc>
        <w:tc>
          <w:tcPr>
            <w:tcW w:w="140" w:type="dxa"/>
            <w:vAlign w:val="bottom"/>
          </w:tcPr>
          <w:p>
            <w:pPr>
              <w:spacing w:after="0"/>
              <w:rPr>
                <w:sz w:val="22"/>
                <w:szCs w:val="22"/>
                <w:color w:val="auto"/>
              </w:rPr>
            </w:pPr>
          </w:p>
        </w:tc>
        <w:tc>
          <w:tcPr>
            <w:tcW w:w="2420" w:type="dxa"/>
            <w:vAlign w:val="bottom"/>
            <w:gridSpan w:val="6"/>
          </w:tcPr>
          <w:p>
            <w:pPr>
              <w:ind w:left="70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20" w:type="dxa"/>
            <w:vAlign w:val="bottom"/>
            <w:gridSpan w:val="6"/>
          </w:tcPr>
          <w:p>
            <w:pPr>
              <w:ind w:left="68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183,755</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213,612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2"/>
              </w:rPr>
              <w:t>(14)%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363,973</w:t>
            </w:r>
          </w:p>
        </w:tc>
        <w:tc>
          <w:tcPr>
            <w:tcW w:w="38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389,375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96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154,322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136,011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center"/>
              <w:ind w:right="97"/>
              <w:spacing w:after="0"/>
              <w:rPr>
                <w:sz w:val="20"/>
                <w:szCs w:val="20"/>
                <w:color w:val="auto"/>
              </w:rPr>
            </w:pPr>
            <w:r>
              <w:rPr>
                <w:rFonts w:ascii="Arial" w:cs="Arial" w:eastAsia="Arial" w:hAnsi="Arial"/>
                <w:sz w:val="13"/>
                <w:szCs w:val="13"/>
                <w:color w:val="auto"/>
                <w:w w:val="92"/>
              </w:rPr>
              <w:t>13%</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300,431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272,926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84"/>
              </w:rPr>
              <w:t>10%</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151,276</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132,552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2"/>
              </w:rPr>
              <w:t>14%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299,744</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267,410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4"/>
              </w:rPr>
              <w:t>12%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880"/>
              <w:spacing w:after="0"/>
              <w:rPr>
                <w:sz w:val="20"/>
                <w:szCs w:val="20"/>
                <w:color w:val="auto"/>
              </w:rPr>
            </w:pPr>
            <w:r>
              <w:rPr>
                <w:rFonts w:ascii="Arial" w:cs="Arial" w:eastAsia="Arial" w:hAnsi="Arial"/>
                <w:sz w:val="13"/>
                <w:szCs w:val="13"/>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489,353</w:t>
            </w: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482,175</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84"/>
              </w:rPr>
              <w:t>1%</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964,148</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929,711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5"/>
              </w:rPr>
              <w:t>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3"/>
                <w:szCs w:val="13"/>
                <w:b w:val="1"/>
                <w:bCs w:val="1"/>
                <w:color w:val="auto"/>
                <w:w w:val="92"/>
              </w:rPr>
              <w:t>Three Months Ended 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3"/>
                <w:szCs w:val="13"/>
                <w:b w:val="1"/>
                <w:bCs w:val="1"/>
                <w:color w:val="auto"/>
                <w:w w:val="95"/>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89"/>
              </w:rPr>
              <w:t>2014</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2013</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w w:val="82"/>
              </w:rPr>
              <w:t>2014</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2013</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7"/>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i w:val="1"/>
                <w:iCs w:val="1"/>
                <w:color w:val="auto"/>
                <w:w w:val="85"/>
              </w:rPr>
              <w:t>Gross</w:t>
            </w:r>
          </w:p>
        </w:tc>
        <w:tc>
          <w:tcPr>
            <w:tcW w:w="102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4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8"/>
              </w:rPr>
              <w:t>Profit</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i w:val="1"/>
                <w:iCs w:val="1"/>
                <w:color w:val="auto"/>
                <w:w w:val="94"/>
              </w:rPr>
              <w:t>Profit</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Profit</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b w:val="1"/>
                <w:bCs w:val="1"/>
                <w:i w:val="1"/>
                <w:iCs w:val="1"/>
                <w:color w:val="auto"/>
                <w:w w:val="91"/>
              </w:rPr>
              <w:t>Segment Gross Profit and Margin</w:t>
            </w:r>
          </w:p>
        </w:tc>
        <w:tc>
          <w:tcPr>
            <w:tcW w:w="1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37"/>
              <w:spacing w:after="0"/>
              <w:rPr>
                <w:sz w:val="20"/>
                <w:szCs w:val="20"/>
                <w:color w:val="auto"/>
              </w:rPr>
            </w:pPr>
            <w:r>
              <w:rPr>
                <w:rFonts w:ascii="Arial" w:cs="Arial" w:eastAsia="Arial" w:hAnsi="Arial"/>
                <w:sz w:val="13"/>
                <w:szCs w:val="13"/>
                <w:color w:val="auto"/>
                <w:w w:val="86"/>
              </w:rPr>
              <w:t>28.8%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62,545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95,716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ind w:right="137"/>
              <w:spacing w:after="0"/>
              <w:rPr>
                <w:sz w:val="20"/>
                <w:szCs w:val="20"/>
                <w:color w:val="auto"/>
              </w:rPr>
            </w:pPr>
            <w:r>
              <w:rPr>
                <w:rFonts w:ascii="Arial" w:cs="Arial" w:eastAsia="Arial" w:hAnsi="Arial"/>
                <w:sz w:val="13"/>
                <w:szCs w:val="13"/>
                <w:color w:val="auto"/>
                <w:w w:val="86"/>
              </w:rPr>
              <w:t>26.3%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107,457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27.6%</w:t>
            </w:r>
          </w:p>
        </w:tc>
        <w:tc>
          <w:tcPr>
            <w:tcW w:w="0" w:type="dxa"/>
            <w:vAlign w:val="bottom"/>
          </w:tcPr>
          <w:p>
            <w:pPr>
              <w:spacing w:after="0"/>
              <w:rPr>
                <w:sz w:val="1"/>
                <w:szCs w:val="1"/>
                <w:color w:val="auto"/>
              </w:rPr>
            </w:pPr>
          </w:p>
        </w:tc>
      </w:tr>
      <w:tr>
        <w:trPr>
          <w:trHeight w:val="262"/>
        </w:trPr>
        <w:tc>
          <w:tcPr>
            <w:tcW w:w="196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56,711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center"/>
              <w:ind w:right="137"/>
              <w:spacing w:after="0"/>
              <w:rPr>
                <w:sz w:val="20"/>
                <w:szCs w:val="20"/>
                <w:color w:val="auto"/>
              </w:rPr>
            </w:pPr>
            <w:r>
              <w:rPr>
                <w:rFonts w:ascii="Arial" w:cs="Arial" w:eastAsia="Arial" w:hAnsi="Arial"/>
                <w:sz w:val="13"/>
                <w:szCs w:val="13"/>
                <w:color w:val="auto"/>
                <w:w w:val="86"/>
              </w:rPr>
              <w:t>36.7%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50,128</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36.9%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115,117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center"/>
              <w:ind w:right="137"/>
              <w:spacing w:after="0"/>
              <w:rPr>
                <w:sz w:val="20"/>
                <w:szCs w:val="20"/>
                <w:color w:val="auto"/>
              </w:rPr>
            </w:pPr>
            <w:r>
              <w:rPr>
                <w:rFonts w:ascii="Arial" w:cs="Arial" w:eastAsia="Arial" w:hAnsi="Arial"/>
                <w:sz w:val="13"/>
                <w:szCs w:val="13"/>
                <w:color w:val="auto"/>
                <w:w w:val="86"/>
              </w:rPr>
              <w:t>38.3%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100,770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36.9%</w:t>
            </w: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53,354</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37"/>
              <w:spacing w:after="0"/>
              <w:rPr>
                <w:sz w:val="20"/>
                <w:szCs w:val="20"/>
                <w:color w:val="auto"/>
              </w:rPr>
            </w:pPr>
            <w:r>
              <w:rPr>
                <w:rFonts w:ascii="Arial" w:cs="Arial" w:eastAsia="Arial" w:hAnsi="Arial"/>
                <w:sz w:val="13"/>
                <w:szCs w:val="13"/>
                <w:color w:val="auto"/>
                <w:w w:val="86"/>
              </w:rPr>
              <w:t>35.3%</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46,915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35.4%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106,743</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ind w:right="137"/>
              <w:spacing w:after="0"/>
              <w:rPr>
                <w:sz w:val="20"/>
                <w:szCs w:val="20"/>
                <w:color w:val="auto"/>
              </w:rPr>
            </w:pPr>
            <w:r>
              <w:rPr>
                <w:rFonts w:ascii="Arial" w:cs="Arial" w:eastAsia="Arial" w:hAnsi="Arial"/>
                <w:sz w:val="13"/>
                <w:szCs w:val="13"/>
                <w:color w:val="auto"/>
                <w:w w:val="86"/>
              </w:rPr>
              <w:t>35.6%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91,484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34.2%</w:t>
            </w:r>
          </w:p>
        </w:tc>
        <w:tc>
          <w:tcPr>
            <w:tcW w:w="0" w:type="dxa"/>
            <w:vAlign w:val="bottom"/>
          </w:tcPr>
          <w:p>
            <w:pPr>
              <w:spacing w:after="0"/>
              <w:rPr>
                <w:sz w:val="1"/>
                <w:szCs w:val="1"/>
                <w:color w:val="auto"/>
              </w:rPr>
            </w:pPr>
          </w:p>
        </w:tc>
      </w:tr>
      <w:tr>
        <w:trPr>
          <w:trHeight w:val="128"/>
        </w:trPr>
        <w:tc>
          <w:tcPr>
            <w:tcW w:w="1960" w:type="dxa"/>
            <w:vAlign w:val="bottom"/>
          </w:tcPr>
          <w:p>
            <w:pPr>
              <w:ind w:left="880"/>
              <w:spacing w:after="0" w:line="128" w:lineRule="exact"/>
              <w:rPr>
                <w:sz w:val="20"/>
                <w:szCs w:val="20"/>
                <w:color w:val="auto"/>
              </w:rPr>
            </w:pPr>
            <w:r>
              <w:rPr>
                <w:rFonts w:ascii="Arial" w:cs="Arial" w:eastAsia="Arial" w:hAnsi="Arial"/>
                <w:sz w:val="13"/>
                <w:szCs w:val="13"/>
                <w:color w:val="auto"/>
              </w:rPr>
              <w:t>Total gross profit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163,041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color w:val="auto"/>
              </w:rPr>
              <w:t>159,588</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317,576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299,711</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880"/>
              <w:spacing w:after="0"/>
              <w:rPr>
                <w:sz w:val="20"/>
                <w:szCs w:val="20"/>
                <w:color w:val="auto"/>
              </w:rPr>
            </w:pPr>
            <w:r>
              <w:rPr>
                <w:rFonts w:ascii="Arial" w:cs="Arial" w:eastAsia="Arial" w:hAnsi="Arial"/>
                <w:sz w:val="13"/>
                <w:szCs w:val="13"/>
                <w:color w:val="auto"/>
              </w:rPr>
              <w:t>and margin</w:t>
            </w:r>
          </w:p>
        </w:tc>
        <w:tc>
          <w:tcPr>
            <w:tcW w:w="1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color w:val="auto"/>
                <w:w w:val="86"/>
              </w:rPr>
              <w:t>33.3%</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33.1%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37"/>
              <w:spacing w:after="0"/>
              <w:rPr>
                <w:sz w:val="20"/>
                <w:szCs w:val="20"/>
                <w:color w:val="auto"/>
              </w:rPr>
            </w:pPr>
            <w:r>
              <w:rPr>
                <w:rFonts w:ascii="Arial" w:cs="Arial" w:eastAsia="Arial" w:hAnsi="Arial"/>
                <w:sz w:val="13"/>
                <w:szCs w:val="13"/>
                <w:color w:val="auto"/>
                <w:w w:val="86"/>
              </w:rPr>
              <w:t>32.9%</w:t>
            </w: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32.2%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3"/>
                <w:szCs w:val="13"/>
                <w:b w:val="1"/>
                <w:bCs w:val="1"/>
                <w:color w:val="auto"/>
                <w:w w:val="92"/>
              </w:rPr>
              <w:t>Three Months Ended 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3"/>
                <w:szCs w:val="13"/>
                <w:b w:val="1"/>
                <w:bCs w:val="1"/>
                <w:color w:val="auto"/>
                <w:w w:val="95"/>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89"/>
              </w:rPr>
              <w:t>2014</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2013</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w w:val="82"/>
              </w:rPr>
              <w:t>2014</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2013</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02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4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87"/>
              </w:rPr>
              <w:t>Operating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87"/>
              </w:rPr>
              <w:t>Operating</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3"/>
              </w:rPr>
              <w:t>Income (Loss)</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i w:val="1"/>
                <w:iCs w:val="1"/>
                <w:color w:val="auto"/>
                <w:w w:val="86"/>
              </w:rPr>
              <w:t>Income (Loss)</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3"/>
              </w:rPr>
              <w:t>Income (Loss)</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83"/>
              </w:rPr>
              <w:t>Income (Loss)</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134"/>
        </w:trPr>
        <w:tc>
          <w:tcPr>
            <w:tcW w:w="196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89"/>
              </w:rPr>
              <w:t>Segment Operating Income (Loss)</w:t>
            </w:r>
          </w:p>
        </w:tc>
        <w:tc>
          <w:tcPr>
            <w:tcW w:w="14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96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and Operating Margin</w:t>
            </w:r>
          </w:p>
        </w:tc>
        <w:tc>
          <w:tcPr>
            <w:tcW w:w="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37"/>
              <w:spacing w:after="0"/>
              <w:rPr>
                <w:sz w:val="20"/>
                <w:szCs w:val="20"/>
                <w:color w:val="auto"/>
              </w:rPr>
            </w:pPr>
            <w:r>
              <w:rPr>
                <w:rFonts w:ascii="Arial" w:cs="Arial" w:eastAsia="Arial" w:hAnsi="Arial"/>
                <w:sz w:val="13"/>
                <w:szCs w:val="13"/>
                <w:color w:val="auto"/>
                <w:w w:val="87"/>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(4,117)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(24,216)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ind w:right="137"/>
              <w:spacing w:after="0"/>
              <w:rPr>
                <w:sz w:val="20"/>
                <w:szCs w:val="20"/>
                <w:color w:val="auto"/>
              </w:rPr>
            </w:pPr>
            <w:r>
              <w:rPr>
                <w:rFonts w:ascii="Arial" w:cs="Arial" w:eastAsia="Arial" w:hAnsi="Arial"/>
                <w:sz w:val="13"/>
                <w:szCs w:val="13"/>
                <w:color w:val="auto"/>
                <w:w w:val="87"/>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(6)%</w:t>
            </w:r>
          </w:p>
        </w:tc>
        <w:tc>
          <w:tcPr>
            <w:tcW w:w="0" w:type="dxa"/>
            <w:vAlign w:val="bottom"/>
          </w:tcPr>
          <w:p>
            <w:pPr>
              <w:spacing w:after="0"/>
              <w:rPr>
                <w:sz w:val="1"/>
                <w:szCs w:val="1"/>
                <w:color w:val="auto"/>
              </w:rPr>
            </w:pPr>
          </w:p>
        </w:tc>
      </w:tr>
      <w:tr>
        <w:trPr>
          <w:trHeight w:val="262"/>
        </w:trPr>
        <w:tc>
          <w:tcPr>
            <w:tcW w:w="196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24,329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center"/>
              <w:ind w:right="137"/>
              <w:spacing w:after="0"/>
              <w:rPr>
                <w:sz w:val="20"/>
                <w:szCs w:val="20"/>
                <w:color w:val="auto"/>
              </w:rPr>
            </w:pPr>
            <w:r>
              <w:rPr>
                <w:rFonts w:ascii="Arial" w:cs="Arial" w:eastAsia="Arial" w:hAnsi="Arial"/>
                <w:sz w:val="13"/>
                <w:szCs w:val="13"/>
                <w:color w:val="auto"/>
                <w:w w:val="92"/>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18,881</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50,053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center"/>
              <w:ind w:right="137"/>
              <w:spacing w:after="0"/>
              <w:rPr>
                <w:sz w:val="20"/>
                <w:szCs w:val="20"/>
                <w:color w:val="auto"/>
              </w:rPr>
            </w:pPr>
            <w:r>
              <w:rPr>
                <w:rFonts w:ascii="Arial" w:cs="Arial" w:eastAsia="Arial" w:hAnsi="Arial"/>
                <w:sz w:val="13"/>
                <w:szCs w:val="13"/>
                <w:color w:val="auto"/>
                <w:w w:val="92"/>
              </w:rPr>
              <w:t>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38,411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14%</w:t>
            </w: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20,519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37"/>
              <w:spacing w:after="0"/>
              <w:rPr>
                <w:sz w:val="20"/>
                <w:szCs w:val="20"/>
                <w:color w:val="auto"/>
              </w:rPr>
            </w:pPr>
            <w:r>
              <w:rPr>
                <w:rFonts w:ascii="Arial" w:cs="Arial" w:eastAsia="Arial" w:hAnsi="Arial"/>
                <w:sz w:val="13"/>
                <w:szCs w:val="13"/>
                <w:color w:val="auto"/>
                <w:w w:val="92"/>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15,389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41,162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ind w:right="137"/>
              <w:spacing w:after="0"/>
              <w:rPr>
                <w:sz w:val="20"/>
                <w:szCs w:val="20"/>
                <w:color w:val="auto"/>
              </w:rPr>
            </w:pPr>
            <w:r>
              <w:rPr>
                <w:rFonts w:ascii="Arial" w:cs="Arial" w:eastAsia="Arial" w:hAnsi="Arial"/>
                <w:sz w:val="13"/>
                <w:szCs w:val="13"/>
                <w:color w:val="auto"/>
                <w:w w:val="92"/>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27,964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10%</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Corporate unallocated</w:t>
            </w: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(11,674)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(12,177)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(30,533)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(22,885)</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3"/>
                <w:szCs w:val="13"/>
                <w:color w:val="auto"/>
              </w:rPr>
              <w:t>Total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31,927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37"/>
              <w:spacing w:after="0"/>
              <w:rPr>
                <w:sz w:val="20"/>
                <w:szCs w:val="20"/>
                <w:color w:val="auto"/>
              </w:rPr>
            </w:pPr>
            <w:r>
              <w:rPr>
                <w:rFonts w:ascii="Arial" w:cs="Arial" w:eastAsia="Arial" w:hAnsi="Arial"/>
                <w:sz w:val="13"/>
                <w:szCs w:val="13"/>
                <w:color w:val="auto"/>
                <w:w w:val="84"/>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17,976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4"/>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36,466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7"/>
              <w:spacing w:after="0"/>
              <w:rPr>
                <w:sz w:val="20"/>
                <w:szCs w:val="20"/>
                <w:color w:val="auto"/>
              </w:rPr>
            </w:pPr>
            <w:r>
              <w:rPr>
                <w:rFonts w:ascii="Arial" w:cs="Arial" w:eastAsia="Arial" w:hAnsi="Arial"/>
                <w:sz w:val="13"/>
                <w:szCs w:val="13"/>
                <w:color w:val="auto"/>
                <w:w w:val="84"/>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20,323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2014 vs. Three months ended June 30, 2013</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Electricity revenues decreased $29.9 million, or 14%, for the three months ended June 30, 2014, compared with the same period in 2013. Revenues in 2014 were lower primarily due to decreased product shipments and lower professional services in EMEA of $15.0 million and $3.9 million, respectively, and decreased product shipments in North America of $14.4 million, resulting primarily from a temporary manufacturing delay in the U.S. These decreases were partially offset by higher professional services in North America of $3.6 million and increased volumes of product shipments in Asia/Pacific of $2.9 million.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2014 vs. Six months ended June 30, 2013</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Electricity revenues decreased $25.4 million, or 7%, for the six months ended June 30, 2014, compared with the same period in 2013. Revenues in 2014 were lower primarily due to decreased product shipments and decreased professional services in EMEA of $17.6 million and $4.0 million and decreased product shipments of $3.6 million in Latin America and of $3.1 million in Asia/Pacific. These decreases were partially offset by increased professional services revenue of $6.7 million in North America. The net translation effect of our operations denominated in foreign currencies into U.S. dollars negatively impacted Electricity revenues by $5.2 million in 2014.</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accounted for more than 10% of the Electricity operating segment revenues during the three and six months ended June 30, 2014 and 2013</w:t>
      </w:r>
      <w:r>
        <w:rPr>
          <w:rFonts w:ascii="Arial" w:cs="Arial" w:eastAsia="Arial" w:hAnsi="Arial"/>
          <w:sz w:val="18"/>
          <w:szCs w:val="18"/>
          <w:i w:val="1"/>
          <w:iCs w:val="1"/>
          <w:color w:val="auto"/>
        </w:rPr>
        <w: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2014 vs. Three months ended June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Electricity gross margin was 28.8% for the three months ended June 30, 2014, compared with 29.3% for the three months ended June 30, 2013. In 2014, gross margin decreased 50 basis points over the prior year, primarily as the result of less favorable product mix and lower volumes, partially offset by lower warranty expense.</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2014 vs. Six months ended June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Electricity gross margin was 26.3% for the six months ended June 30, 2014, compared with 27.6% for the first six months in 2013. During 2014, gross margin decreased 130 basis points over the prior year, primarily as the result of less favorable product mix and lower volumes, partially offset by lower warranty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2014 vs. Three months ended June 30, 2013</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Electricity operating expenses decreased $12.4 million, or 19%, for the three months ended June 30, 2014, compared with the same period in 2013 primarily as a result of a $7.9 million credit to restructuring expense resulting from our reassessment of our restructuring projects, as well as reduced spending in product development, sales and marketing, and general and administrative expenses, offset partially by a scheduled increase of $1.5 million in amortization expense. Sales and marketing, product development, general and administrative, and amortization of intangible asset expenses as a percentage of revenues were 34% in 2014 and 30% in 2013.</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2014 vs. Six months ended June 30, 2013</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Electricity operating expenses decreased $10.7 million, or 8%, for the six months ended June 30, 2014, compared with the same period in 2013 primarily as a result of an $8.5 million credit to restructuring expense resulting from our reassessment of our restructuring projects and reduced spending in product development and sales and marketing expenses. These decreases were partially offset by higher litigation expense, which is classified within general and administrative expense, a scheduled increase of $2.9 million in amortization of intangible assets, and $1.0 million in goodwill impairment. Sales and marketing, product development, general and administrative, and amortization of intangible asset expenses as a percentage of revenues were 35% in 2014 and 33% in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2014 vs. Three months ended June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revenues increased $18.3 million, or 13%, for the three months ended June 30, 2014, compared with the second quarter of 2013, primarily driven by North America and EMEA, which had increases of $10.3 million and $7.6 million of revenue, respectively. The increase in revenue was primarily related to increased product shipments.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2014 vs. Six months ended June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revenues increased $27.5 million, or 10%, for the six months ended June 30, 2014, compared with the first half of 2013, primarily driven by product shipments in North America and EMEA, which had increases of $21.7 million and $9.1 million of revenue, respectively. The increase in revenue was partially offset by lower professional services revenue in North America.</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customer accounted for more than 10% of the Gas operating segment revenues during the three and six months ended June 30, 2014 and the six months ended June 30, 2013, while one customer accounted for more than 10% of the Gas operating segment revenues for the three months ended June 30, 2013.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2014 vs. Three months ended June 30, 2013</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Gas gross margin was 36.7% for the three months ended June 30, 2014, compared with 36.9% for the same period in 2013. The decrease was driven by a less favorable product mix in EMEA, partially offset by higher volumes and lower warranty expense in North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2014 vs. Six months ended June 30, 2013</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Gas gross margin was 38.3% for the six months ended June 30, 2014, compared with 36.9% for the same period last year. The increase was driven by higher volumes of meters and communication modules and more favorable product mix in North America and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2014 vs. Three months ended June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operating expenses increased $1.1 million, or 4%, for the three months ended June 30, 2014, compared with the same period in 2013. This was due primarily to higher product development costs during the quarter. Sales and marketing, product development, general and administrative, and amortization of intangible asset expenses as a percentage of revenues were 21% in 2014 and 23% in 2013.</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2014 vs. Six months ended June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operating expenses increased $2.7 million, or 4%, for the six months ended June 30, 2014, compared with the same period in 2013. This was due primarily to higher product development costs in 2014. Sales and marketing, product development, general and administrative, and amortization of intangible asset expenses as a percentage of revenues were 22% in 2014 and 23% in 2013.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2014 vs. Three months ended June 30, 2013</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Revenues increased $18.7 million, or 14%, for the three months ended June 30, 2014, compared with the first quarter of 2013. This increase was primarily due to $12.4 million in higher product volume, including heat products in EMEA, $4.7 million in higher product volume in North America, and by $2.8 million in increased shipments in Asia/Pacific, partially offset by a decrease in service revenue of $1.4 million in North America.</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2014 vs. Six months ended June 30, 2013</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increased $32.3 million, or 12%, for the six months ended June 30, 2014, compared with the same period last year. This increase was primarily due to $23.8 million in higher product volume, including heat products, in EMEA, as well as increased product volume of $4.9 million in North America, $4.2 million in Asia/Pacific, and $2.6 million in Latin America, partially offset by a decrease in professional services revenue of $3.2 million in North America.</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the Water operating segment revenues during the three and six months ended June 30, 2014 and 2013.</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2014 vs. Three months ended June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Water gross margin decreased to 35.3% for the three months ended June 30, 2014, compared with 35.4% for the same period last year, primarily as the result of less favorable product mix in Latin America and Asia/Pacific, partially offset by increased product volumes in North America and EMEA and lower warranty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2014 vs. Six months ended June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Water gross margin increased to 35.6% for the six months ended June 30, 2014, compared with 34.2% for the same period last year, primarily as the result of a decrease in professional services in North America, which have a lower gross margin, along with increased product volumes in EMEA and North America, and lower warranty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2014 vs. Three months ended June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the three months ended June 30, 2014 increased by $1.3 million, or 4%, over the second quarter of 2013, primarily as the result of increased sales and marketing expense associated with higher revenue. Sales and marketing, product development, general and administrative, and amortization of intangible asset expenses as a percentage of revenues were 21% in 2014 and 23% in 2013.</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2014 vs. Six months ended June 30, 2013</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for the six months ended June 30, 2014 increased by $2.1 million, or 3%, compared with the same period last year, primarily as the result of increased sales and marketing, associated with higher revenue, and general and administrative expenses, partially offset by a scheduled decrease of $1.0 million in amortization of intangible assets. Sales and marketing, product development, general and administrative, and amortization of intangible asset expenses as a percentage of revenues were 22% in 2014 and 23% in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not directly associated with an operating segment are classified as “Corporate unallocated.” These expenses decreased by $503,000 for the three months ended June 30, 2014 due primarily to lower restructuring costs as compared with the same period in 2013, partially offset by increased professional services costs during the period and the costs of our newly established Global Business Services (GBS) center. Corporate unallocated expenses increased by $7.6 million for the six months ended June 30, 2014, due to increased restructuring costs, the costs of our newly established GBS center, and higher professional services costs as compared to the same period in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nature of the contracts. Beginning total backlog, plus bookings, minus revenues, will not equal ending total backlog due to miscellaneous contract adjustments, foreign currency fluctuations, and other factors.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2014</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478</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March 31, 2014</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745</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1,333</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614</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527</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1,068</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September 30, 2013</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457</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1,055</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582</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30, 2013</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515</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1,058</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280" w:type="dxa"/>
            <w:vAlign w:val="bottom"/>
            <w:gridSpan w:val="4"/>
          </w:tcPr>
          <w:p>
            <w:pPr>
              <w:ind w:left="480"/>
              <w:spacing w:after="0"/>
              <w:rPr>
                <w:sz w:val="20"/>
                <w:szCs w:val="20"/>
                <w:color w:val="auto"/>
              </w:rPr>
            </w:pPr>
            <w:r>
              <w:rPr>
                <w:rFonts w:ascii="Arial" w:cs="Arial" w:eastAsia="Arial" w:hAnsi="Arial"/>
                <w:sz w:val="16"/>
                <w:szCs w:val="16"/>
                <w:b w:val="1"/>
                <w:bCs w:val="1"/>
                <w:color w:val="auto"/>
              </w:rPr>
              <w:t>Total Bookings</w:t>
            </w:r>
          </w:p>
        </w:tc>
        <w:tc>
          <w:tcPr>
            <w:tcW w:w="160" w:type="dxa"/>
            <w:vAlign w:val="bottom"/>
          </w:tcPr>
          <w:p>
            <w:pPr>
              <w:spacing w:after="0"/>
              <w:rPr>
                <w:sz w:val="18"/>
                <w:szCs w:val="18"/>
                <w:color w:val="auto"/>
              </w:rPr>
            </w:pPr>
          </w:p>
        </w:tc>
        <w:tc>
          <w:tcPr>
            <w:tcW w:w="1360" w:type="dxa"/>
            <w:vAlign w:val="bottom"/>
            <w:gridSpan w:val="3"/>
          </w:tcPr>
          <w:p>
            <w:pPr>
              <w:ind w:left="620"/>
              <w:spacing w:after="0"/>
              <w:rPr>
                <w:sz w:val="20"/>
                <w:szCs w:val="20"/>
                <w:color w:val="auto"/>
              </w:rPr>
            </w:pPr>
            <w:r>
              <w:rPr>
                <w:rFonts w:ascii="Arial" w:cs="Arial" w:eastAsia="Arial" w:hAnsi="Arial"/>
                <w:sz w:val="16"/>
                <w:szCs w:val="16"/>
                <w:b w:val="1"/>
                <w:bCs w:val="1"/>
                <w:color w:val="auto"/>
                <w:w w:val="94"/>
              </w:rPr>
              <w:t>Electricity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b w:val="1"/>
                <w:bCs w:val="1"/>
                <w:color w:val="auto"/>
              </w:rPr>
              <w:t>Gas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b w:val="1"/>
                <w:bCs w:val="1"/>
                <w:color w:val="auto"/>
                <w:w w:val="98"/>
              </w:rPr>
              <w:t>Water</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38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2014</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March 31, 2014</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September 30, 2013</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42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0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120" w:type="dxa"/>
            <w:vAlign w:val="bottom"/>
            <w:vMerge w:val="restart"/>
          </w:tcPr>
          <w:p>
            <w:pPr>
              <w:jc w:val="right"/>
              <w:ind w:right="42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100" w:type="dxa"/>
            <w:vAlign w:val="bottom"/>
            <w:vMerge w:val="restart"/>
          </w:tcPr>
          <w:p>
            <w:pPr>
              <w:jc w:val="right"/>
              <w:ind w:right="40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00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100" w:type="dxa"/>
            <w:vAlign w:val="bottom"/>
            <w:vMerge w:val="restart"/>
          </w:tcPr>
          <w:p>
            <w:pPr>
              <w:jc w:val="right"/>
              <w:ind w:right="40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900" w:type="dxa"/>
            <w:vAlign w:val="bottom"/>
          </w:tcPr>
          <w:p>
            <w:pPr>
              <w:jc w:val="right"/>
              <w:ind w:right="22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46,119</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46,182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center"/>
              <w:ind w:right="64"/>
              <w:spacing w:after="0"/>
              <w:rPr>
                <w:sz w:val="20"/>
                <w:szCs w:val="20"/>
                <w:color w:val="auto"/>
              </w:rPr>
            </w:pPr>
            <w:r>
              <w:rPr>
                <w:rFonts w:ascii="Arial" w:cs="Arial" w:eastAsia="Arial" w:hAnsi="Arial"/>
                <w:sz w:val="14"/>
                <w:szCs w:val="14"/>
                <w:color w:val="auto"/>
                <w:w w:val="99"/>
              </w:rPr>
              <w:t>10%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93,728</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94,398</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Product development</w:t>
            </w:r>
          </w:p>
        </w:tc>
        <w:tc>
          <w:tcPr>
            <w:tcW w:w="160" w:type="dxa"/>
            <w:vAlign w:val="bottom"/>
          </w:tcPr>
          <w:p>
            <w:pPr>
              <w:spacing w:after="0"/>
              <w:rPr>
                <w:sz w:val="16"/>
                <w:szCs w:val="16"/>
                <w:color w:val="auto"/>
              </w:rPr>
            </w:pPr>
          </w:p>
        </w:tc>
        <w:tc>
          <w:tcPr>
            <w:tcW w:w="1120" w:type="dxa"/>
            <w:vAlign w:val="bottom"/>
            <w:vMerge w:val="restart"/>
          </w:tcPr>
          <w:p>
            <w:pPr>
              <w:jc w:val="right"/>
              <w:ind w:right="47"/>
              <w:spacing w:after="0"/>
              <w:rPr>
                <w:sz w:val="20"/>
                <w:szCs w:val="20"/>
                <w:color w:val="auto"/>
              </w:rPr>
            </w:pPr>
            <w:r>
              <w:rPr>
                <w:rFonts w:ascii="Arial" w:cs="Arial" w:eastAsia="Arial" w:hAnsi="Arial"/>
                <w:sz w:val="14"/>
                <w:szCs w:val="14"/>
                <w:color w:val="auto"/>
              </w:rPr>
              <w:t>43,999</w:t>
            </w:r>
          </w:p>
        </w:tc>
        <w:tc>
          <w:tcPr>
            <w:tcW w:w="12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8"/>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restart"/>
          </w:tcPr>
          <w:p>
            <w:pPr>
              <w:jc w:val="right"/>
              <w:ind w:right="47"/>
              <w:spacing w:after="0"/>
              <w:rPr>
                <w:sz w:val="20"/>
                <w:szCs w:val="20"/>
                <w:color w:val="auto"/>
              </w:rPr>
            </w:pPr>
            <w:r>
              <w:rPr>
                <w:rFonts w:ascii="Arial" w:cs="Arial" w:eastAsia="Arial" w:hAnsi="Arial"/>
                <w:sz w:val="14"/>
                <w:szCs w:val="14"/>
                <w:color w:val="auto"/>
              </w:rPr>
              <w:t>43,481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center"/>
              <w:ind w:right="64"/>
              <w:spacing w:after="0"/>
              <w:rPr>
                <w:sz w:val="20"/>
                <w:szCs w:val="20"/>
                <w:color w:val="auto"/>
              </w:rPr>
            </w:pPr>
            <w:r>
              <w:rPr>
                <w:rFonts w:ascii="Arial" w:cs="Arial" w:eastAsia="Arial" w:hAnsi="Arial"/>
                <w:sz w:val="14"/>
                <w:szCs w:val="14"/>
                <w:color w:val="auto"/>
                <w:w w:val="98"/>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4"/>
                <w:szCs w:val="14"/>
                <w:color w:val="auto"/>
              </w:rPr>
              <w:t>88,408</w:t>
            </w:r>
          </w:p>
        </w:tc>
        <w:tc>
          <w:tcPr>
            <w:tcW w:w="12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8"/>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4"/>
                <w:szCs w:val="14"/>
                <w:color w:val="auto"/>
              </w:rPr>
              <w:t>87,689</w:t>
            </w:r>
          </w:p>
        </w:tc>
        <w:tc>
          <w:tcPr>
            <w:tcW w:w="12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37,680</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38,317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center"/>
              <w:ind w:right="64"/>
              <w:spacing w:after="0"/>
              <w:rPr>
                <w:sz w:val="20"/>
                <w:szCs w:val="20"/>
                <w:color w:val="auto"/>
              </w:rPr>
            </w:pPr>
            <w:r>
              <w:rPr>
                <w:rFonts w:ascii="Arial" w:cs="Arial" w:eastAsia="Arial" w:hAnsi="Arial"/>
                <w:sz w:val="14"/>
                <w:szCs w:val="14"/>
                <w:color w:val="auto"/>
                <w:w w:val="98"/>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78,087</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71,912</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Amortization of intangible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gridSpan w:val="2"/>
          </w:tcPr>
          <w:p>
            <w:pPr>
              <w:ind w:left="20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color w:val="auto"/>
              </w:rPr>
              <w:t>11,109</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color w:val="auto"/>
              </w:rPr>
              <w:t>10,247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64"/>
              <w:spacing w:after="0"/>
              <w:rPr>
                <w:sz w:val="20"/>
                <w:szCs w:val="20"/>
                <w:color w:val="auto"/>
              </w:rPr>
            </w:pPr>
            <w:r>
              <w:rPr>
                <w:rFonts w:ascii="Arial" w:cs="Arial" w:eastAsia="Arial" w:hAnsi="Arial"/>
                <w:sz w:val="14"/>
                <w:szCs w:val="14"/>
                <w:color w:val="auto"/>
                <w:w w:val="98"/>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Arial" w:cs="Arial" w:eastAsia="Arial" w:hAnsi="Arial"/>
                <w:sz w:val="14"/>
                <w:szCs w:val="14"/>
                <w:color w:val="auto"/>
              </w:rPr>
              <w:t>22,179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Arial" w:cs="Arial" w:eastAsia="Arial" w:hAnsi="Arial"/>
                <w:sz w:val="14"/>
                <w:szCs w:val="14"/>
                <w:color w:val="auto"/>
              </w:rPr>
              <w:t>20,991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2%</w:t>
            </w:r>
          </w:p>
        </w:tc>
        <w:tc>
          <w:tcPr>
            <w:tcW w:w="0" w:type="dxa"/>
            <w:vAlign w:val="bottom"/>
          </w:tcPr>
          <w:p>
            <w:pPr>
              <w:spacing w:after="0"/>
              <w:rPr>
                <w:sz w:val="1"/>
                <w:szCs w:val="1"/>
                <w:color w:val="auto"/>
              </w:rPr>
            </w:pPr>
          </w:p>
        </w:tc>
      </w:tr>
      <w:tr>
        <w:trPr>
          <w:trHeight w:val="19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(7,793)</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3,385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center"/>
              <w:ind w:right="64"/>
              <w:spacing w:after="0"/>
              <w:rPr>
                <w:sz w:val="20"/>
                <w:szCs w:val="20"/>
                <w:color w:val="auto"/>
              </w:rPr>
            </w:pPr>
            <w:r>
              <w:rPr>
                <w:rFonts w:ascii="Arial" w:cs="Arial" w:eastAsia="Arial" w:hAnsi="Arial"/>
                <w:sz w:val="14"/>
                <w:szCs w:val="14"/>
                <w:color w:val="auto"/>
                <w:w w:val="98"/>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4,398</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Goodwill impairment</w:t>
            </w:r>
          </w:p>
        </w:tc>
        <w:tc>
          <w:tcPr>
            <w:tcW w:w="16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8"/>
              </w:rPr>
              <w:t>—%</w:t>
            </w:r>
          </w:p>
        </w:tc>
        <w:tc>
          <w:tcPr>
            <w:tcW w:w="160" w:type="dxa"/>
            <w:vAlign w:val="bottom"/>
          </w:tcPr>
          <w:p>
            <w:pPr>
              <w:spacing w:after="0"/>
              <w:rPr>
                <w:sz w:val="16"/>
                <w:szCs w:val="16"/>
                <w:color w:val="auto"/>
              </w:rPr>
            </w:pPr>
          </w:p>
        </w:tc>
        <w:tc>
          <w:tcPr>
            <w:tcW w:w="136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4"/>
                <w:szCs w:val="14"/>
                <w:color w:val="auto"/>
              </w:rPr>
              <w:t>977</w:t>
            </w:r>
          </w:p>
        </w:tc>
        <w:tc>
          <w:tcPr>
            <w:tcW w:w="120" w:type="dxa"/>
            <w:vAlign w:val="bottom"/>
          </w:tcPr>
          <w:p>
            <w:pPr>
              <w:spacing w:after="0"/>
              <w:rPr>
                <w:sz w:val="16"/>
                <w:szCs w:val="16"/>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w:t>
            </w: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6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w w:val="99"/>
              </w:rPr>
              <w:t>Total operating expenses</w:t>
            </w: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131,114</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27%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141,612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center"/>
              <w:ind w:right="64"/>
              <w:spacing w:after="0"/>
              <w:rPr>
                <w:sz w:val="20"/>
                <w:szCs w:val="20"/>
                <w:color w:val="auto"/>
              </w:rPr>
            </w:pPr>
            <w:r>
              <w:rPr>
                <w:rFonts w:ascii="Arial" w:cs="Arial" w:eastAsia="Arial" w:hAnsi="Arial"/>
                <w:sz w:val="14"/>
                <w:szCs w:val="14"/>
                <w:color w:val="auto"/>
                <w:w w:val="99"/>
              </w:rPr>
              <w:t>29%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281,110</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29%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279,388</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60"/>
        </w:trPr>
        <w:tc>
          <w:tcPr>
            <w:tcW w:w="18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expenses decreased $10.5 million for the three months ended June 30, 2014. This decrease was primarily the result of a decrease in restructuring expense for the quarter due to a reassessment of certain restructuring actions. Operating expenses increased $1.7 million for the six months ended June 30, 2014, primarily due to increased litigation reserves, which are included within general and administrative operating expense and goodwill impairment. This was partially offset by lower restructuring costs as a result of the reassessment of our restructuring 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(3,845)</w:t>
            </w:r>
          </w:p>
        </w:tc>
      </w:tr>
      <w:tr>
        <w:trPr>
          <w:trHeight w:val="33"/>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(2,559)</w:t>
            </w:r>
          </w:p>
        </w:tc>
      </w:tr>
      <w:tr>
        <w:trPr>
          <w:trHeight w:val="33"/>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is generated from our cash and cash equivalents balances and certain deposits on hand with third parties. Interest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remained consistent for the three months ended June 30, 2014 as compared with the same period in 2013. Interest income declined during the six months ended June 30, 2014 as interest rates remained low, and we recognized interest on deposits with government entities related to tax contingencies in 2013.</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and six months ended June 30, 2014 increased due to the impact of interest rate swaps, which became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third quarter of 2013 and a higher interest rate margin on the credit facility, offset partially by lower debt outstanding. Average total debt outstanding was $343.0 million and $404.2 million for the quarters ended June 30, 2014 and 2013, respectively, and $358.9 million and $410.4 million for the six month periods ended June 30, 2014 and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of prepaid debt fees</w:t>
      </w:r>
      <w:r>
        <w:rPr>
          <w:rFonts w:ascii="Arial" w:cs="Arial" w:eastAsia="Arial" w:hAnsi="Arial"/>
          <w:sz w:val="16"/>
          <w:szCs w:val="16"/>
          <w:color w:val="auto"/>
        </w:rPr>
        <w:t>: Amortization of prepaid debt fees for the three and six months ended June 30, 2014 remained consistent with the same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periods in 2013. Refer to Item 1: “Financial Statements Note 6: Debt” for additional details related to our long-term borrowings.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w:t>
      </w:r>
      <w:r>
        <w:rPr>
          <w:rFonts w:ascii="Arial" w:cs="Arial" w:eastAsia="Arial" w:hAnsi="Arial"/>
          <w:sz w:val="17"/>
          <w:szCs w:val="17"/>
          <w:i w:val="1"/>
          <w:iCs w:val="1"/>
          <w:color w:val="auto"/>
        </w:rPr>
        <w:t>, net</w:t>
      </w:r>
      <w:r>
        <w:rPr>
          <w:rFonts w:ascii="Arial" w:cs="Arial" w:eastAsia="Arial" w:hAnsi="Arial"/>
          <w:sz w:val="17"/>
          <w:szCs w:val="17"/>
          <w:color w:val="auto"/>
        </w:rPr>
        <w:t>: Other expenses, net, consist primarily of unrealized and realized foreign currency gains and losses from balances denominated</w:t>
      </w:r>
      <w:r>
        <w:rPr>
          <w:rFonts w:ascii="Arial" w:cs="Arial" w:eastAsia="Arial" w:hAnsi="Arial"/>
          <w:sz w:val="17"/>
          <w:szCs w:val="17"/>
          <w:i w:val="1"/>
          <w:iCs w:val="1"/>
          <w:color w:val="auto"/>
        </w:rPr>
        <w:t xml:space="preserve"> </w:t>
      </w:r>
      <w:r>
        <w:rPr>
          <w:rFonts w:ascii="Arial" w:cs="Arial" w:eastAsia="Arial" w:hAnsi="Arial"/>
          <w:sz w:val="17"/>
          <w:szCs w:val="17"/>
          <w:color w:val="auto"/>
        </w:rPr>
        <w:t>in currencies other than the reporting entity's functional currency and other non-operating income (expenses). As a result of currency movements in certain markets in which we do business, foreign currency losses, net of hedging, were $0.8 million and $2.9 million for the three and six months ended June 30, 2014, compared with net foreign currency losses of $1.6 million and $2.1 million in the same periods in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899"/>
              <w:spacing w:after="0"/>
              <w:rPr>
                <w:sz w:val="20"/>
                <w:szCs w:val="20"/>
                <w:color w:val="auto"/>
              </w:rPr>
            </w:pPr>
            <w:r>
              <w:rPr>
                <w:rFonts w:ascii="Arial" w:cs="Arial" w:eastAsia="Arial" w:hAnsi="Arial"/>
                <w:sz w:val="16"/>
                <w:szCs w:val="16"/>
                <w:b w:val="1"/>
                <w:bCs w:val="1"/>
                <w:color w:val="auto"/>
                <w:w w:val="95"/>
              </w:rPr>
              <w:t>2013</w:t>
            </w: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67,191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(19,347)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(29,514)</w:t>
            </w: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(55,680)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(18,816)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(3,393)</w:t>
            </w:r>
          </w:p>
        </w:tc>
      </w:tr>
      <w:tr>
        <w:trPr>
          <w:trHeight w:val="33"/>
        </w:trPr>
        <w:tc>
          <w:tcPr>
            <w:tcW w:w="67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$114.8 million at June 30, 2014, compared with $124.8 million at December 31, 2013.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provided by operating activities during the six months ended June 30, 2014 was $48.2 million higher than during the same period in 2013. This increase was primarily due to invoice timing, resulting in $32.5 million of decreased payments in accounts payable during the first half of 2014 compared with the first half of 2013. Other drivers of this increase included a $10.1 million increase in wages and benefits payable due to an increase in bonus and profit sharing compensation based on improved performance compared with the prior year, a $8.3 million lower build up of inventory, and a $6.1 million increase in unearned revenue due to increased receipts during the six months ended June 30, 2014 compared with the same period in 2013. These increases in cash provided by operating activities were partially offset by a $10.4 million decrease in accounts receivable collections.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used in investing activities during the six months ended June 30, 2014 was $10.2 million lower compared with the same period in 2013, primarily due to a decline in the acquisition of property, plant, and equipment of $9.5 million.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financing activities during the six months ended June 30, 2014 was $36.9 million higher, compared with the same period in 2013, primarily as a result of increased repayments of debt, net of proceeds from borrowings, of $43.8 million partially offset by a decrease of $9.0 million in repurchases of our common stock. Refer to Part II, Item 2: "Unregistered Sale of Equity Securities and Use of Proceeds" for additional details related to our share repurchase program.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six months ended June 30, 2014 was a decrease of $2.2 million, compared with a decrease of $3.4 million for the same period in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June 30, 2014 and December 31, 2013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$333.4 million at June 30, 2014, compared with $344.4 million at December 31, 2013.</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facility consists of a $300 million U.S. dollar term loan and a multicurrency revolving line of credit (the revolver) with a principal amount of up to $660 million. At June 30, 2014, $80.0 million was outstanding under the revolver, and $49.8 million was utilized by outstanding standby letters of credit, resulting in $530.2 million available for additional borrowings.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8, 2013, the Board authorized a twelve-month repurchase program of up to $50 million in shares of our common stock. The March 8, 2013 authorization expired on March 7, 2014. From January 1, 2014 through March 7, 2014, we repurchased 75,203 shares of our common stock, totaling $2.9 million.</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the Board authorized a twelve-month repurchase program of up to $50 million in shares of our common stock, to begin on March 8, 2014, upon the expiration of the previous stock repurchase program. From March 8, 2014 through June 30, 2014, we repurchased 107,477 shares of our common stock, totaling $4.2 million, with $45.8 million remaining under our repurchase program.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Repurchases are made in the open market or in privately negotiated transactions and in accordance with applicable securities laws. Refer to Part II, Item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"Unregistered Sales of Equity Securities and Use of Proceeds" for additional information related to our share repurchase program.</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third quarter of 2013, we announced the approval of projects to restructure our operations to improve profitability and increase efficiencies. These restructuring projects will reduce headcount and close or consolidate several manufacturing and office facilities.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began implementing these projects in the third quarter of 2013, and we expect to substantially complete these projects by the middle of 2015. Certain aspects of the projects are subject to a variety of labor and employment laws, rules, and regulations, which could result in a delay in implementing the projects at some locations. This may delay the completion of the restructuring projects beyond the middle of 2015. During the six months ended June 30, 2014, the total expected costs decreased $2.4 million from our December 31, 2013 expected costs. This decrease was primarily the result of a reassessment of certain restructuring actions during the second quarter of 2014. This was partially offset by additional workforce reductions from the planned consolidation of certain corporate functions. At June 30, 2014, the current and long-term portions of the restructuring related liability balances were $19.1 million and $5.5 million, respectively. For further details regarding our restructuring activities, refer to Item 1: “Financial Statements, Note 12: Restructuring.”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$9.0 million in U.S federal taxes, and $15.7 million in local and foreign taxes in 2014. For a discussion of our tax provision and unrecognized tax benefits, see Item 1: “Financial Statements, Note 10: Income Taxes.”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2014, there was $34.5 million of cash and short-term investments held by foreign subsidiaries that could be repatriated to fund U.S. operations, and additional tax costs may be required. We do not provide U.S. deferred taxes related to the cash in these foreign subsidiaries because our investment is considered permanent in duration.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 the proportional share of the equity of the joint venture entities, which is attributable to the minority shareholders. Approximately $17.8 million of our consolidated cash balance at June 30, 2014 resides in our joint venture entities. As a result, the minority shareholders of these entities control their proportional share of this cash balance, and there may be limitations on our ability to repatriate cash to the United States from these entities.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2014 contributions, refer to Item 1: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Note 8: Defined Benefit Pension Plans.”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June 30, 2014 and the expected timing of payment, refer to </w:t>
      </w:r>
      <w:r>
        <w:rPr>
          <w:rFonts w:ascii="Arial" w:cs="Arial" w:eastAsia="Arial" w:hAnsi="Arial"/>
          <w:sz w:val="18"/>
          <w:szCs w:val="18"/>
          <w:i w:val="1"/>
          <w:iCs w:val="1"/>
          <w:color w:val="auto"/>
        </w:rPr>
        <w:t>Bonus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Profit Sharing </w:t>
      </w:r>
      <w:r>
        <w:rPr>
          <w:rFonts w:ascii="Arial" w:cs="Arial" w:eastAsia="Arial" w:hAnsi="Arial"/>
          <w:sz w:val="18"/>
          <w:szCs w:val="18"/>
          <w:color w:val="auto"/>
        </w:rPr>
        <w:t>within Critical Accounting Estimates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2013, which was filed with the SEC on February 26, 2014,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our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the Company's goodwill balance is allocated to it based on relative fair value. If the sale of an asset group under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project results in proceeds that exceed the net book value of the asset group, the resulting gain is recorded within restructuring expense in the Consolidated Statements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calculation of our annual estimated effective tax rate requires significant judgment and is subject to several factors, including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The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The reporting units are aligned with our reporting segments,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our qualitative analysis as of October 1, 2013, we determined that it was more likely than not that the fair value of the Gas and Water reporting units exceeded their respective carrying values. As a result, it was not necessary to complete the two-step impairment test for those reporting units. However, during the fourth quarter of 2013 in conjunction with our annual goodwill impairment test, we recognized a goodwill impairment of $173.2 million in our Electricity reporting unit as the result of delays in global smart grid projects and lower volumes and pricing pressures in certain regions in Europe and Asia/Pacific. The revised forecast for the Electricity business drove a decrease in the fair value of the reporting unit. Upon finalizing our 2013 goodwill analysis late in the year-end reporting process, we determined $977,000 of additional goodwill impairment expense should have been recognized. See Item 1: “Financial Statements, Note 5: Goodwill.” for further information regarding this adjustment.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goodwill balance in the Electricity reporting unit before and after the goodwill impairment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18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Before Impairment</w:t>
            </w:r>
          </w:p>
        </w:tc>
        <w:tc>
          <w:tcPr>
            <w:tcW w:w="340" w:type="dxa"/>
            <w:vAlign w:val="bottom"/>
          </w:tcPr>
          <w:p>
            <w:pPr>
              <w:spacing w:after="0"/>
              <w:rPr>
                <w:sz w:val="18"/>
                <w:szCs w:val="18"/>
                <w:color w:val="auto"/>
              </w:rPr>
            </w:pPr>
          </w:p>
        </w:tc>
        <w:tc>
          <w:tcPr>
            <w:tcW w:w="1600" w:type="dxa"/>
            <w:vAlign w:val="bottom"/>
          </w:tcPr>
          <w:p>
            <w:pPr>
              <w:jc w:val="center"/>
              <w:ind w:right="199"/>
              <w:spacing w:after="0"/>
              <w:rPr>
                <w:sz w:val="20"/>
                <w:szCs w:val="20"/>
                <w:color w:val="auto"/>
              </w:rPr>
            </w:pPr>
            <w:r>
              <w:rPr>
                <w:rFonts w:ascii="Arial" w:cs="Arial" w:eastAsia="Arial" w:hAnsi="Arial"/>
                <w:sz w:val="16"/>
                <w:szCs w:val="16"/>
                <w:b w:val="1"/>
                <w:bCs w:val="1"/>
                <w:color w:val="auto"/>
                <w:w w:val="97"/>
              </w:rPr>
              <w:t>Impairment</w:t>
            </w:r>
          </w:p>
        </w:tc>
        <w:tc>
          <w:tcPr>
            <w:tcW w:w="300" w:type="dxa"/>
            <w:vAlign w:val="bottom"/>
          </w:tcPr>
          <w:p>
            <w:pPr>
              <w:spacing w:after="0"/>
              <w:rPr>
                <w:sz w:val="18"/>
                <w:szCs w:val="18"/>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After Impairment</w:t>
            </w:r>
          </w:p>
        </w:tc>
      </w:tr>
      <w:tr>
        <w:trPr>
          <w:trHeight w:val="33"/>
        </w:trPr>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231,894</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174,226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57,668</w:t>
            </w:r>
          </w:p>
        </w:tc>
      </w:tr>
      <w:tr>
        <w:trPr>
          <w:trHeight w:val="33"/>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95% of our benefit obligation, we use three discount rates, with consideration of the duration of the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the highest and lowest yielding 10% of bonds within each maturity group. The discount rates used, depending on the duration of the plans, were 2.75%, 3.25% and 3.50%, respectively. The weighted average discount rate used to measure the projected benefit obligation for all of the plans at December 31, 2013 was 3.76%. A change of 25 basis points in the discount rate would change our pension benefit obligation by approximately $3.5 million. The financial and actuarial assumptions used at December 31, 2013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and six months ended June 30, 2014, we accrued $5.2 million and $14.2 million for such awards, compared with $2.0 million and $8.0 million for the same periods in 2013. Awards are typically distributed in the first quarter of the following year.</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The fair value of restricted stock units with a market condition is estimated at the date of award using a Monte Carlo simulation model, which includes assumptions for the dividend yield, expected volatility, risk-free interest rate and the expected term. 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without a market condition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and the scheduled minimum repayment of principal and the weighted average interest rates at June 30, 2014. Weighted average variable rates in the table are based on implied forward rates in the Reuters U.S. dollar yield curve as of June 30, 2014 and our estimated leverage ratio, which determines our additional interest rate margin at June 30,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20" w:type="dxa"/>
            <w:vAlign w:val="bottom"/>
          </w:tcPr>
          <w:p>
            <w:pPr>
              <w:spacing w:after="0"/>
              <w:rPr>
                <w:sz w:val="20"/>
                <w:szCs w:val="20"/>
                <w:color w:val="auto"/>
              </w:rPr>
            </w:pPr>
            <w:r>
              <w:rPr>
                <w:rFonts w:ascii="Arial" w:cs="Arial" w:eastAsia="Arial" w:hAnsi="Arial"/>
                <w:sz w:val="14"/>
                <w:szCs w:val="14"/>
                <w:i w:val="1"/>
                <w:iCs w:val="1"/>
                <w:color w:val="auto"/>
              </w:rPr>
              <w:t>Variable Rate Debt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580"/>
              <w:spacing w:after="0"/>
              <w:rPr>
                <w:sz w:val="20"/>
                <w:szCs w:val="20"/>
                <w:color w:val="auto"/>
              </w:rPr>
            </w:pPr>
            <w:r>
              <w:rPr>
                <w:rFonts w:ascii="Arial" w:cs="Arial" w:eastAsia="Arial" w:hAnsi="Arial"/>
                <w:sz w:val="14"/>
                <w:szCs w:val="14"/>
                <w:color w:val="auto"/>
              </w:rPr>
              <w:t>Principal: U.S. dollar term loan</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580"/>
              <w:spacing w:after="0"/>
              <w:rPr>
                <w:sz w:val="20"/>
                <w:szCs w:val="20"/>
                <w:color w:val="auto"/>
              </w:rPr>
            </w:pPr>
            <w:r>
              <w:rPr>
                <w:rFonts w:ascii="Arial" w:cs="Arial" w:eastAsia="Arial" w:hAnsi="Arial"/>
                <w:sz w:val="14"/>
                <w:szCs w:val="14"/>
                <w:color w:val="auto"/>
              </w:rPr>
              <w:t>Average interest rate</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20"/>
        <w:spacing w:after="0" w:line="310" w:lineRule="auto"/>
        <w:rPr>
          <w:sz w:val="20"/>
          <w:szCs w:val="20"/>
          <w:color w:val="auto"/>
        </w:rPr>
      </w:pPr>
      <w:r>
        <w:rPr>
          <w:rFonts w:ascii="Arial" w:cs="Arial" w:eastAsia="Arial" w:hAnsi="Arial"/>
          <w:sz w:val="14"/>
          <w:szCs w:val="14"/>
          <w:color w:val="auto"/>
        </w:rPr>
        <w:t xml:space="preserve">Principal: Multicurrency revolving line of credit </w:t>
      </w:r>
      <w:r>
        <w:rPr>
          <w:rFonts w:ascii="Arial" w:cs="Arial" w:eastAsia="Arial" w:hAnsi="Arial"/>
          <w:sz w:val="28"/>
          <w:szCs w:val="28"/>
          <w:color w:val="auto"/>
          <w:vertAlign w:val="subscript"/>
        </w:rPr>
        <w:t>$</w:t>
      </w:r>
      <w:r>
        <w:rPr>
          <w:rFonts w:ascii="Arial" w:cs="Arial" w:eastAsia="Arial" w:hAnsi="Arial"/>
          <w:sz w:val="14"/>
          <w:szCs w:val="14"/>
          <w:color w:val="auto"/>
        </w:rPr>
        <w:t xml:space="preserve"> Average interest rate</w:t>
      </w:r>
    </w:p>
    <w:p>
      <w:pPr>
        <w:spacing w:after="0" w:line="311" w:lineRule="exact"/>
        <w:rPr>
          <w:sz w:val="20"/>
          <w:szCs w:val="20"/>
          <w:color w:val="auto"/>
        </w:rPr>
      </w:pPr>
    </w:p>
    <w:p>
      <w:pPr>
        <w:ind w:left="380" w:right="580" w:firstLine="243"/>
        <w:spacing w:after="0" w:line="434" w:lineRule="auto"/>
        <w:rPr>
          <w:sz w:val="20"/>
          <w:szCs w:val="20"/>
          <w:color w:val="auto"/>
        </w:rPr>
      </w:pPr>
      <w:r>
        <w:rPr>
          <w:rFonts w:ascii="Arial" w:cs="Arial" w:eastAsia="Arial" w:hAnsi="Arial"/>
          <w:sz w:val="14"/>
          <w:szCs w:val="14"/>
          <w:color w:val="auto"/>
        </w:rPr>
        <w:t>Interest rate swap on LIBOR-based debt Average interest rate (Pay) Average interest rate (Receive) Net/Spread</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jc w:val="right"/>
              <w:ind w:right="448"/>
              <w:spacing w:after="0"/>
              <w:rPr>
                <w:sz w:val="20"/>
                <w:szCs w:val="20"/>
                <w:color w:val="auto"/>
              </w:rPr>
            </w:pPr>
            <w:r>
              <w:rPr>
                <w:rFonts w:ascii="Arial" w:cs="Arial" w:eastAsia="Arial" w:hAnsi="Arial"/>
                <w:sz w:val="14"/>
                <w:szCs w:val="14"/>
                <w:b w:val="1"/>
                <w:bCs w:val="1"/>
                <w:color w:val="auto"/>
                <w:w w:val="83"/>
              </w:rPr>
              <w:t>2014</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540"/>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15,000</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202,500</w:t>
            </w: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ind w:left="5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247,500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246,918</w:t>
            </w:r>
          </w:p>
        </w:tc>
      </w:tr>
      <w:tr>
        <w:trPr>
          <w:trHeight w:val="270"/>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1.66 %</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tcPr>
          <w:p>
            <w:pPr>
              <w:jc w:val="center"/>
              <w:ind w:left="341"/>
              <w:spacing w:after="0"/>
              <w:rPr>
                <w:sz w:val="20"/>
                <w:szCs w:val="20"/>
                <w:color w:val="auto"/>
              </w:rPr>
            </w:pPr>
            <w:r>
              <w:rPr>
                <w:rFonts w:ascii="Arial" w:cs="Arial" w:eastAsia="Arial" w:hAnsi="Arial"/>
                <w:sz w:val="14"/>
                <w:szCs w:val="14"/>
                <w:color w:val="auto"/>
                <w:w w:val="98"/>
              </w:rPr>
              <w:t>—%</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540"/>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80,000</w:t>
            </w: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ind w:left="5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79,788</w:t>
            </w:r>
          </w:p>
        </w:tc>
      </w:tr>
      <w:tr>
        <w:trPr>
          <w:trHeight w:val="270"/>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1.66 %</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tcPr>
          <w:p>
            <w:pPr>
              <w:jc w:val="center"/>
              <w:ind w:left="341"/>
              <w:spacing w:after="0"/>
              <w:rPr>
                <w:sz w:val="20"/>
                <w:szCs w:val="20"/>
                <w:color w:val="auto"/>
              </w:rPr>
            </w:pPr>
            <w:r>
              <w:rPr>
                <w:rFonts w:ascii="Arial" w:cs="Arial" w:eastAsia="Arial" w:hAnsi="Arial"/>
                <w:sz w:val="14"/>
                <w:szCs w:val="14"/>
                <w:color w:val="auto"/>
                <w:w w:val="98"/>
              </w:rPr>
              <w:t>—%</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810"/>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1.00 %</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center"/>
              <w:ind w:left="3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6"/>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0.16 %</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left="3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8"/>
        </w:trPr>
        <w:tc>
          <w:tcPr>
            <w:tcW w:w="800" w:type="dxa"/>
            <w:vAlign w:val="bottom"/>
          </w:tcPr>
          <w:p>
            <w:pPr>
              <w:jc w:val="right"/>
              <w:ind w:right="68"/>
              <w:spacing w:after="0"/>
              <w:rPr>
                <w:sz w:val="20"/>
                <w:szCs w:val="20"/>
                <w:color w:val="auto"/>
              </w:rPr>
            </w:pPr>
            <w:r>
              <w:rPr>
                <w:rFonts w:ascii="Arial" w:cs="Arial" w:eastAsia="Arial" w:hAnsi="Arial"/>
                <w:sz w:val="14"/>
                <w:szCs w:val="14"/>
                <w:color w:val="auto"/>
              </w:rPr>
              <w:t>(0.84)%</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center"/>
              <w:ind w:left="3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-1715770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-1372235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-1029335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-686435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-343535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-2024380</wp:posOffset>
            </wp:positionV>
            <wp:extent cx="50685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300"/>
            <w:col w:w="7580"/>
          </w:cols>
          <w:pgMar w:left="240" w:top="125" w:right="239" w:bottom="1440" w:gutter="0" w:footer="0" w:header="0"/>
          <w:type w:val="continuous"/>
        </w:sectPr>
      </w:pP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June 30, 2014, we estimate that, if market interest rates average one percentage point higher in 2014 than in the table above, our financial results in 2014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59% of total revenues for the three and six months ended June 30, 2014, compared with 59% and 62% for the same respective period in 2013.</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259 contracts were entered into during the six months ended June 30, 2014) not designated for hedge accounting, with the intent to reduce earnings volatility associated with certain of these balances. The notional amounts of the contracts ranged from $224,000 to $16.6 million, offsetting our exposures from the euro, South African rand, Saudi riyal, Canadian dollar, Australian dollar, Chinese yuan renminbi, and various other currencies.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hanging="328"/>
        <w:spacing w:after="0" w:line="288"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At June 30, 2014, an evaluation was performed under the supervision and with the participation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2014,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While we are continuing the process of upgrading our global enterprise resource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there have been no changes in our internal control over financial reporting during the three months ended June 30, 2014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material changes to risk factors during the second quarter of 2014 from those previously disclosed in Item 1A: "Risk Factors" of Part I of our Annual Report on Form 10-K for the fiscal year ended December 31, 2013, which was filed with the SEC on February 26, 2014.</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shares of common stock, based on settlement date, during the quarterly period ended June 30, 2014.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1 through April 30</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May 1 through May 31</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38,000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38,000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48,537</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1 through June 30</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69,477</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45,784</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107,477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39.23</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107,477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340" w:right="20" w:hanging="332"/>
        <w:spacing w:after="0" w:line="225"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On February 7, 2014, the Board authorized a new repurchase program of up to $50 million of our common stock over a 12-month period beginning March 8, 2014. Repurchases are made in the open market or in privately negotiated transactions, and in accordance with applicable securities laws. No shares were purchased outside of this plan.</w:t>
      </w:r>
    </w:p>
    <w:p>
      <w:pPr>
        <w:spacing w:after="0" w:line="19"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June 30, 2014, we repurchased 79,500 shares of our common stock under the stock repurchase program authorized by the Board of Directors on February 7, 2014. The average price paid per share was $39.46</w:t>
      </w:r>
      <w:r>
        <w:rPr>
          <w:rFonts w:ascii="Arial" w:cs="Arial" w:eastAsia="Arial" w:hAnsi="Arial"/>
          <w:sz w:val="16"/>
          <w:szCs w:val="16"/>
          <w:color w:val="auto"/>
        </w:rPr>
        <w:t>.</w:t>
      </w:r>
    </w:p>
    <w:p>
      <w:pPr>
        <w:spacing w:after="0" w:line="16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2014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700" w:type="dxa"/>
            <w:vAlign w:val="bottom"/>
          </w:tcPr>
          <w:p>
            <w:pPr>
              <w:spacing w:after="0"/>
              <w:rPr>
                <w:sz w:val="18"/>
                <w:szCs w:val="18"/>
                <w:color w:val="auto"/>
              </w:rPr>
            </w:pPr>
          </w:p>
        </w:tc>
      </w:tr>
      <w:tr>
        <w:trPr>
          <w:trHeight w:val="234"/>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46"/>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Form of Stock Option Grant Notice and Agreement for use in connection with both incentive and non-qualified stock options granted</w:t>
            </w: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under Itron, Inc.'s Amended and Restated 2010 Stock Incentive Plan. * (attached hereto)</w:t>
            </w:r>
          </w:p>
        </w:tc>
      </w:tr>
      <w:tr>
        <w:trPr>
          <w:trHeight w:val="580"/>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Form of Restricted Stock Unit (RSU) Award Notice and Agreement for all Participants (excluding France) for use in connection with</w:t>
            </w: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Itron, Inc.'s Amended and Restated 2010 Stock Incentive Plan. * (attached hereto)</w:t>
            </w:r>
          </w:p>
        </w:tc>
      </w:tr>
      <w:tr>
        <w:trPr>
          <w:trHeight w:val="553"/>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Form of RSU Award Notice and Agreement for Participants in France for use in connection with Itron, Inc.'s Amended and Restated</w:t>
            </w: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2010 Stock Incentive Plan. * (attached hereto)</w:t>
            </w:r>
          </w:p>
        </w:tc>
      </w:tr>
      <w:tr>
        <w:trPr>
          <w:trHeight w:val="553"/>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5"/>
              </w:rPr>
              <w:t>Form of Long Term Performance RSU Award Notice and Agreement for U.S. Participants for use in connection with Itron, Inc.'s</w:t>
            </w: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2010 Stock Incentive Plan. * (attached hereto)</w:t>
            </w:r>
          </w:p>
        </w:tc>
      </w:tr>
      <w:tr>
        <w:trPr>
          <w:trHeight w:val="553"/>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1"/>
              </w:rPr>
              <w:t>Form of Long Term Performance RSU Award Notice and Agreement for Participants in France for use in connection with Itron, Inc.'s</w:t>
            </w: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2010 Stock Incentive Plan. * (attached hereto)</w:t>
            </w:r>
          </w:p>
        </w:tc>
      </w:tr>
      <w:tr>
        <w:trPr>
          <w:trHeight w:val="553"/>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5"/>
              </w:rPr>
              <w:t>Rules of Itron, Inc.'s Amended and Restated 2010 Stock Incentive Plan for the Grant of Restricted Stock Units to Participants in</w:t>
            </w: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France. * (attached hereto)</w:t>
            </w:r>
          </w:p>
        </w:tc>
      </w:tr>
      <w:tr>
        <w:trPr>
          <w:trHeight w:val="567"/>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101.INS</w:t>
            </w: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37" w:lineRule="exact"/>
        <w:rPr>
          <w:sz w:val="20"/>
          <w:szCs w:val="20"/>
          <w:color w:val="auto"/>
        </w:rPr>
      </w:pPr>
    </w:p>
    <w:p>
      <w:pPr>
        <w:ind w:left="1760" w:hanging="993"/>
        <w:spacing w:after="0"/>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August 5, 2014</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STEVEN M. HELMBRECHT</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2"/>
              </w:rPr>
              <w:t>Steven M. Helmbrecht</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NOTICE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Itron, Inc. (the "Company") hereby grants to Participant an option (the "Option") to purchase shares of the Company's common stock.</w:t>
      </w:r>
    </w:p>
    <w:p>
      <w:pPr>
        <w:spacing w:after="0" w:line="317" w:lineRule="exact"/>
        <w:rPr>
          <w:sz w:val="20"/>
          <w:szCs w:val="20"/>
          <w:color w:val="auto"/>
        </w:rPr>
      </w:pPr>
    </w:p>
    <w:tbl>
      <w:tblPr>
        <w:tblLayout w:type="fixed"/>
        <w:tblInd w:w="140" w:type="dxa"/>
        <w:tblCellMar>
          <w:top w:w="0" w:type="dxa"/>
          <w:left w:w="0" w:type="dxa"/>
          <w:bottom w:w="0" w:type="dxa"/>
          <w:right w:w="0" w:type="dxa"/>
        </w:tblCellMar>
      </w:tblPr>
      <w:tr>
        <w:trPr>
          <w:trHeight w:val="281"/>
        </w:trPr>
        <w:tc>
          <w:tcPr>
            <w:tcW w:w="4240" w:type="dxa"/>
            <w:vAlign w:val="bottom"/>
          </w:tcPr>
          <w:p>
            <w:pPr>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tc>
        <w:tc>
          <w:tcPr>
            <w:tcW w:w="6900" w:type="dxa"/>
            <w:vAlign w:val="bottom"/>
          </w:tcPr>
          <w:p>
            <w:pPr>
              <w:ind w:left="820"/>
              <w:spacing w:after="0"/>
              <w:rPr>
                <w:sz w:val="20"/>
                <w:szCs w:val="20"/>
                <w:color w:val="auto"/>
              </w:rPr>
            </w:pPr>
            <w:r>
              <w:rPr>
                <w:rFonts w:ascii="Arial" w:cs="Arial" w:eastAsia="Arial" w:hAnsi="Arial"/>
                <w:sz w:val="18"/>
                <w:szCs w:val="18"/>
                <w:b w:val="1"/>
                <w:bCs w:val="1"/>
                <w:color w:val="auto"/>
              </w:rPr>
              <w:t>&lt;&lt;Name&gt;&gt; &lt;&lt;SSN&gt;&gt;</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0"/>
                <w:szCs w:val="20"/>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w:t>
            </w:r>
          </w:p>
        </w:tc>
        <w:tc>
          <w:tcPr>
            <w:tcW w:w="6900" w:type="dxa"/>
            <w:vAlign w:val="bottom"/>
          </w:tcPr>
          <w:p>
            <w:pPr>
              <w:ind w:left="820"/>
              <w:spacing w:after="0"/>
              <w:rPr>
                <w:sz w:val="20"/>
                <w:szCs w:val="20"/>
                <w:color w:val="auto"/>
              </w:rPr>
            </w:pPr>
            <w:r>
              <w:rPr>
                <w:rFonts w:ascii="Arial" w:cs="Arial" w:eastAsia="Arial" w:hAnsi="Arial"/>
                <w:sz w:val="18"/>
                <w:szCs w:val="18"/>
                <w:b w:val="1"/>
                <w:bCs w:val="1"/>
                <w:color w:val="auto"/>
              </w:rPr>
              <w:t>&lt;&lt;Grant Date&gt;&gt;</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0"/>
                <w:szCs w:val="20"/>
                <w:color w:val="auto"/>
              </w:rPr>
            </w:pPr>
            <w:r>
              <w:rPr>
                <w:rFonts w:ascii="Arial" w:cs="Arial" w:eastAsia="Arial" w:hAnsi="Arial"/>
                <w:sz w:val="22"/>
                <w:szCs w:val="22"/>
                <w:b w:val="1"/>
                <w:bCs w:val="1"/>
                <w:color w:val="auto"/>
              </w:rPr>
              <w:t>Number of Shares Subject to Option</w:t>
            </w:r>
            <w:r>
              <w:rPr>
                <w:rFonts w:ascii="Arial" w:cs="Arial" w:eastAsia="Arial" w:hAnsi="Arial"/>
                <w:sz w:val="22"/>
                <w:szCs w:val="22"/>
                <w:color w:val="auto"/>
              </w:rPr>
              <w:t>:</w:t>
            </w:r>
          </w:p>
        </w:tc>
        <w:tc>
          <w:tcPr>
            <w:tcW w:w="6900" w:type="dxa"/>
            <w:vAlign w:val="bottom"/>
          </w:tcPr>
          <w:p>
            <w:pPr>
              <w:ind w:left="820"/>
              <w:spacing w:after="0"/>
              <w:rPr>
                <w:sz w:val="20"/>
                <w:szCs w:val="20"/>
                <w:color w:val="auto"/>
              </w:rPr>
            </w:pPr>
            <w:r>
              <w:rPr>
                <w:rFonts w:ascii="Arial" w:cs="Arial" w:eastAsia="Arial" w:hAnsi="Arial"/>
                <w:sz w:val="18"/>
                <w:szCs w:val="18"/>
                <w:b w:val="1"/>
                <w:bCs w:val="1"/>
                <w:color w:val="auto"/>
              </w:rPr>
              <w:t>&lt;&lt;Option Granted&gt;&gt;</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0"/>
                <w:szCs w:val="20"/>
                <w:color w:val="auto"/>
              </w:rPr>
            </w:pPr>
            <w:r>
              <w:rPr>
                <w:rFonts w:ascii="Arial" w:cs="Arial" w:eastAsia="Arial" w:hAnsi="Arial"/>
                <w:sz w:val="22"/>
                <w:szCs w:val="22"/>
                <w:b w:val="1"/>
                <w:bCs w:val="1"/>
                <w:color w:val="auto"/>
              </w:rPr>
              <w:t>Grant Price (per Share)</w:t>
            </w:r>
            <w:r>
              <w:rPr>
                <w:rFonts w:ascii="Arial" w:cs="Arial" w:eastAsia="Arial" w:hAnsi="Arial"/>
                <w:sz w:val="22"/>
                <w:szCs w:val="22"/>
                <w:color w:val="auto"/>
              </w:rPr>
              <w:t>:</w:t>
            </w:r>
          </w:p>
        </w:tc>
        <w:tc>
          <w:tcPr>
            <w:tcW w:w="6900" w:type="dxa"/>
            <w:vAlign w:val="bottom"/>
          </w:tcPr>
          <w:p>
            <w:pPr>
              <w:ind w:left="820"/>
              <w:spacing w:after="0"/>
              <w:rPr>
                <w:sz w:val="20"/>
                <w:szCs w:val="20"/>
                <w:color w:val="auto"/>
              </w:rPr>
            </w:pPr>
            <w:r>
              <w:rPr>
                <w:rFonts w:ascii="Arial" w:cs="Arial" w:eastAsia="Arial" w:hAnsi="Arial"/>
                <w:sz w:val="18"/>
                <w:szCs w:val="18"/>
                <w:b w:val="1"/>
                <w:bCs w:val="1"/>
                <w:color w:val="auto"/>
              </w:rPr>
              <w:t>&lt;&lt;Grant Price&gt;&gt;</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0"/>
                <w:szCs w:val="20"/>
                <w:color w:val="auto"/>
              </w:rPr>
            </w:pPr>
            <w:r>
              <w:rPr>
                <w:rFonts w:ascii="Arial" w:cs="Arial" w:eastAsia="Arial" w:hAnsi="Arial"/>
                <w:sz w:val="22"/>
                <w:szCs w:val="22"/>
                <w:b w:val="1"/>
                <w:bCs w:val="1"/>
                <w:color w:val="auto"/>
              </w:rPr>
              <w:t>Option Expiration Date</w:t>
            </w:r>
            <w:r>
              <w:rPr>
                <w:rFonts w:ascii="Arial" w:cs="Arial" w:eastAsia="Arial" w:hAnsi="Arial"/>
                <w:sz w:val="22"/>
                <w:szCs w:val="22"/>
                <w:color w:val="auto"/>
              </w:rPr>
              <w:t>:</w:t>
            </w:r>
          </w:p>
        </w:tc>
        <w:tc>
          <w:tcPr>
            <w:tcW w:w="6900" w:type="dxa"/>
            <w:vAlign w:val="bottom"/>
          </w:tcPr>
          <w:p>
            <w:pPr>
              <w:ind w:left="820"/>
              <w:spacing w:after="0"/>
              <w:rPr>
                <w:sz w:val="20"/>
                <w:szCs w:val="20"/>
                <w:color w:val="auto"/>
              </w:rPr>
            </w:pPr>
            <w:r>
              <w:rPr>
                <w:rFonts w:ascii="Arial" w:cs="Arial" w:eastAsia="Arial" w:hAnsi="Arial"/>
                <w:sz w:val="18"/>
                <w:szCs w:val="18"/>
                <w:b w:val="1"/>
                <w:bCs w:val="1"/>
                <w:color w:val="auto"/>
              </w:rPr>
              <w:t>&lt;&lt;Expiration Date&gt;&gt;</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6900" w:type="dxa"/>
            <w:vAlign w:val="bottom"/>
          </w:tcPr>
          <w:p>
            <w:pPr>
              <w:ind w:left="820"/>
              <w:spacing w:after="0"/>
              <w:rPr>
                <w:sz w:val="20"/>
                <w:szCs w:val="20"/>
                <w:color w:val="auto"/>
              </w:rPr>
            </w:pPr>
            <w:r>
              <w:rPr>
                <w:rFonts w:ascii="Arial" w:cs="Arial" w:eastAsia="Arial" w:hAnsi="Arial"/>
                <w:sz w:val="22"/>
                <w:szCs w:val="22"/>
                <w:b w:val="1"/>
                <w:bCs w:val="1"/>
                <w:color w:val="auto"/>
              </w:rPr>
              <w:t>&lt;&lt;Incentive Stock Option&gt;&gt;</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tc>
        <w:tc>
          <w:tcPr>
            <w:tcW w:w="6900" w:type="dxa"/>
            <w:vAlign w:val="bottom"/>
          </w:tcPr>
          <w:p>
            <w:pPr>
              <w:ind w:left="820"/>
              <w:spacing w:after="0"/>
              <w:rPr>
                <w:sz w:val="20"/>
                <w:szCs w:val="20"/>
                <w:color w:val="auto"/>
              </w:rPr>
            </w:pPr>
            <w:r>
              <w:rPr>
                <w:rFonts w:ascii="Arial" w:cs="Arial" w:eastAsia="Arial" w:hAnsi="Arial"/>
                <w:sz w:val="22"/>
                <w:szCs w:val="22"/>
                <w:b w:val="1"/>
                <w:bCs w:val="1"/>
                <w:color w:val="auto"/>
              </w:rPr>
              <w:t>&lt;&lt;Nonqualified Stock Option&gt;&gt;</w:t>
            </w:r>
          </w:p>
        </w:tc>
        <w:tc>
          <w:tcPr>
            <w:tcW w:w="0" w:type="dxa"/>
            <w:vAlign w:val="bottom"/>
          </w:tcPr>
          <w:p>
            <w:pPr>
              <w:spacing w:after="0"/>
              <w:rPr>
                <w:sz w:val="1"/>
                <w:szCs w:val="1"/>
                <w:color w:val="auto"/>
              </w:rPr>
            </w:pPr>
          </w:p>
        </w:tc>
      </w:tr>
      <w:tr>
        <w:trPr>
          <w:trHeight w:val="311"/>
        </w:trPr>
        <w:tc>
          <w:tcPr>
            <w:tcW w:w="4240" w:type="dxa"/>
            <w:vAlign w:val="bottom"/>
          </w:tcPr>
          <w:p>
            <w:pPr>
              <w:spacing w:after="0"/>
              <w:rPr>
                <w:sz w:val="24"/>
                <w:szCs w:val="24"/>
                <w:color w:val="auto"/>
              </w:rPr>
            </w:pPr>
          </w:p>
        </w:tc>
        <w:tc>
          <w:tcPr>
            <w:tcW w:w="6900" w:type="dxa"/>
            <w:vAlign w:val="bottom"/>
          </w:tcPr>
          <w:p>
            <w:pPr>
              <w:ind w:left="820"/>
              <w:spacing w:after="0"/>
              <w:rPr>
                <w:sz w:val="20"/>
                <w:szCs w:val="20"/>
                <w:color w:val="auto"/>
              </w:rPr>
            </w:pPr>
            <w:r>
              <w:rPr>
                <w:rFonts w:ascii="Arial" w:cs="Arial" w:eastAsia="Arial" w:hAnsi="Arial"/>
                <w:sz w:val="20"/>
                <w:szCs w:val="20"/>
                <w:color w:val="auto"/>
                <w:w w:val="94"/>
              </w:rPr>
              <w:t>33-1/3% of the Option will vest and become exercisable on the one-year</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6900" w:type="dxa"/>
            <w:vAlign w:val="bottom"/>
          </w:tcPr>
          <w:p>
            <w:pPr>
              <w:ind w:left="820"/>
              <w:spacing w:after="0"/>
              <w:rPr>
                <w:sz w:val="20"/>
                <w:szCs w:val="20"/>
                <w:color w:val="auto"/>
              </w:rPr>
            </w:pPr>
            <w:r>
              <w:rPr>
                <w:rFonts w:ascii="Arial" w:cs="Arial" w:eastAsia="Arial" w:hAnsi="Arial"/>
                <w:sz w:val="20"/>
                <w:szCs w:val="20"/>
                <w:color w:val="auto"/>
                <w:w w:val="97"/>
              </w:rPr>
              <w:t>anniversary of the Grant Date. An additional 33-1/3% of the Option will</w:t>
            </w:r>
          </w:p>
        </w:tc>
        <w:tc>
          <w:tcPr>
            <w:tcW w:w="0" w:type="dxa"/>
            <w:vAlign w:val="bottom"/>
          </w:tcPr>
          <w:p>
            <w:pPr>
              <w:spacing w:after="0"/>
              <w:rPr>
                <w:sz w:val="1"/>
                <w:szCs w:val="1"/>
                <w:color w:val="auto"/>
              </w:rPr>
            </w:pPr>
          </w:p>
        </w:tc>
      </w:tr>
      <w:tr>
        <w:trPr>
          <w:trHeight w:val="230"/>
        </w:trPr>
        <w:tc>
          <w:tcPr>
            <w:tcW w:w="4240" w:type="dxa"/>
            <w:vAlign w:val="bottom"/>
            <w:vMerge w:val="restart"/>
          </w:tcPr>
          <w:p>
            <w:pPr>
              <w:spacing w:after="0"/>
              <w:rPr>
                <w:sz w:val="20"/>
                <w:szCs w:val="20"/>
                <w:color w:val="auto"/>
              </w:rPr>
            </w:pPr>
            <w:r>
              <w:rPr>
                <w:rFonts w:ascii="Arial" w:cs="Arial" w:eastAsia="Arial" w:hAnsi="Arial"/>
                <w:sz w:val="22"/>
                <w:szCs w:val="22"/>
                <w:b w:val="1"/>
                <w:bCs w:val="1"/>
                <w:color w:val="auto"/>
              </w:rPr>
              <w:t>Vesting and Exercisability Schedule</w:t>
            </w:r>
            <w:r>
              <w:rPr>
                <w:rFonts w:ascii="Arial" w:cs="Arial" w:eastAsia="Arial" w:hAnsi="Arial"/>
                <w:sz w:val="22"/>
                <w:szCs w:val="22"/>
                <w:color w:val="auto"/>
              </w:rPr>
              <w:t>:</w:t>
            </w:r>
          </w:p>
        </w:tc>
        <w:tc>
          <w:tcPr>
            <w:tcW w:w="6900" w:type="dxa"/>
            <w:vAlign w:val="bottom"/>
          </w:tcPr>
          <w:p>
            <w:pPr>
              <w:ind w:left="820"/>
              <w:spacing w:after="0"/>
              <w:rPr>
                <w:sz w:val="20"/>
                <w:szCs w:val="20"/>
                <w:color w:val="auto"/>
              </w:rPr>
            </w:pPr>
            <w:r>
              <w:rPr>
                <w:rFonts w:ascii="Arial" w:cs="Arial" w:eastAsia="Arial" w:hAnsi="Arial"/>
                <w:sz w:val="20"/>
                <w:szCs w:val="20"/>
                <w:color w:val="auto"/>
                <w:w w:val="91"/>
              </w:rPr>
              <w:t>vest and become exercisable each year thereafter so that the entire Option</w:t>
            </w:r>
          </w:p>
        </w:tc>
        <w:tc>
          <w:tcPr>
            <w:tcW w:w="0" w:type="dxa"/>
            <w:vAlign w:val="bottom"/>
          </w:tcPr>
          <w:p>
            <w:pPr>
              <w:spacing w:after="0"/>
              <w:rPr>
                <w:sz w:val="1"/>
                <w:szCs w:val="1"/>
                <w:color w:val="auto"/>
              </w:rPr>
            </w:pPr>
          </w:p>
        </w:tc>
      </w:tr>
      <w:tr>
        <w:trPr>
          <w:trHeight w:val="250"/>
        </w:trPr>
        <w:tc>
          <w:tcPr>
            <w:tcW w:w="4240" w:type="dxa"/>
            <w:vAlign w:val="bottom"/>
            <w:vMerge w:val="continue"/>
          </w:tcPr>
          <w:p>
            <w:pPr>
              <w:spacing w:after="0"/>
              <w:rPr>
                <w:sz w:val="21"/>
                <w:szCs w:val="21"/>
                <w:color w:val="auto"/>
              </w:rPr>
            </w:pPr>
          </w:p>
        </w:tc>
        <w:tc>
          <w:tcPr>
            <w:tcW w:w="6900" w:type="dxa"/>
            <w:vAlign w:val="bottom"/>
          </w:tcPr>
          <w:p>
            <w:pPr>
              <w:ind w:left="820"/>
              <w:spacing w:after="0"/>
              <w:rPr>
                <w:sz w:val="20"/>
                <w:szCs w:val="20"/>
                <w:color w:val="auto"/>
              </w:rPr>
            </w:pPr>
            <w:r>
              <w:rPr>
                <w:rFonts w:ascii="Arial" w:cs="Arial" w:eastAsia="Arial" w:hAnsi="Arial"/>
                <w:sz w:val="20"/>
                <w:szCs w:val="20"/>
                <w:color w:val="auto"/>
              </w:rPr>
              <w:t>will be fully vested and exercisable three years from the Grant Date.</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Additional Terms: </w:t>
      </w:r>
      <w:r>
        <w:rPr>
          <w:rFonts w:ascii="Arial" w:cs="Arial" w:eastAsia="Arial" w:hAnsi="Arial"/>
          <w:sz w:val="22"/>
          <w:szCs w:val="22"/>
          <w:color w:val="auto"/>
        </w:rPr>
        <w:t>The Option is subject to all the terms and conditions set forth in this Stock Option Grant Notice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Stock Option Agreement, and the Company's Amended and Restated 2010 Stock Incentive Plan (the "Plan"), which are attached to and incorporated into this Grant Notice in their entirety.</w:t>
      </w: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&lt;&lt;Name&gt;&gt;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accept the Option subject to the terms and conditions stated herein.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&lt;&lt;electronically signed&gt;&gt;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p>
      <w:pPr>
        <w:spacing w:after="0" w:line="67" w:lineRule="exact"/>
        <w:rPr>
          <w:sz w:val="20"/>
          <w:szCs w:val="20"/>
          <w:color w:val="auto"/>
        </w:rPr>
      </w:pPr>
    </w:p>
    <w:p>
      <w:pPr>
        <w:ind w:left="220" w:hanging="185"/>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Option Agreement</w:t>
      </w:r>
    </w:p>
    <w:p>
      <w:pPr>
        <w:spacing w:after="0" w:line="63" w:lineRule="exact"/>
        <w:rPr>
          <w:rFonts w:ascii="Arial" w:cs="Arial" w:eastAsia="Arial" w:hAnsi="Arial"/>
          <w:sz w:val="18"/>
          <w:szCs w:val="18"/>
          <w:color w:val="auto"/>
        </w:rPr>
      </w:pPr>
    </w:p>
    <w:p>
      <w:pPr>
        <w:ind w:left="220" w:hanging="185"/>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Amended and Restated 2010 Stock Incentive Plan</w:t>
      </w:r>
    </w:p>
    <w:p>
      <w:pPr>
        <w:spacing w:after="0" w:line="63" w:lineRule="exact"/>
        <w:rPr>
          <w:rFonts w:ascii="Arial" w:cs="Arial" w:eastAsia="Arial" w:hAnsi="Arial"/>
          <w:sz w:val="18"/>
          <w:szCs w:val="18"/>
          <w:color w:val="auto"/>
        </w:rPr>
      </w:pPr>
    </w:p>
    <w:p>
      <w:pPr>
        <w:ind w:left="220" w:hanging="185"/>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 Prospectus</w:t>
      </w:r>
    </w:p>
    <w:p>
      <w:pPr>
        <w:sectPr>
          <w:pgSz w:w="11900" w:h="16838" w:orient="portrait"/>
          <w:cols w:equalWidth="0" w:num="1">
            <w:col w:w="11420"/>
          </w:cols>
          <w:pgMar w:left="240" w:top="58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Pursuant to your Stock Option Grant Notice (the "Grant Notice"), Itron, Inc. (the "Company") has granted you an Option (the "Option") under its Amended and Restated 2010 Stock Incentive Plan (the "Plan") to purchase the number of shares of the Company's common stock (the "Shares") indicated in your Grant Notice at the price (the "Grant Price") indicated in your Grant Notice. Capitalized terms not expressly defined in this Stock Option Agreement or the Grant Notice have the same definitions as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The details of the Option are as follows:</w:t>
      </w:r>
    </w:p>
    <w:p>
      <w:pPr>
        <w:spacing w:after="0" w:line="214" w:lineRule="exact"/>
        <w:rPr>
          <w:sz w:val="20"/>
          <w:szCs w:val="20"/>
          <w:color w:val="auto"/>
        </w:rPr>
      </w:pPr>
    </w:p>
    <w:p>
      <w:pPr>
        <w:jc w:val="both"/>
        <w:ind w:left="660" w:hanging="652"/>
        <w:spacing w:after="0" w:line="274" w:lineRule="auto"/>
        <w:tabs>
          <w:tab w:leader="none" w:pos="660"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Vesting and Exercisability</w:t>
      </w:r>
      <w:r>
        <w:rPr>
          <w:rFonts w:ascii="Arial" w:cs="Arial" w:eastAsia="Arial" w:hAnsi="Arial"/>
          <w:sz w:val="21"/>
          <w:szCs w:val="21"/>
          <w:color w:val="auto"/>
        </w:rPr>
        <w:t>. Subject to the limitations contained herein, the Option will vest and become exercisable as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your Grant Notice. Notwithstanding the foregoing, in the event of your death or Disability while an employee of the Company or a Related Corporation, the Option will fully vest and become exercisable.</w:t>
      </w:r>
    </w:p>
    <w:p>
      <w:pPr>
        <w:spacing w:after="0" w:line="158" w:lineRule="exact"/>
        <w:rPr>
          <w:rFonts w:ascii="Arial" w:cs="Arial" w:eastAsia="Arial" w:hAnsi="Arial"/>
          <w:sz w:val="21"/>
          <w:szCs w:val="21"/>
          <w:b w:val="1"/>
          <w:bCs w:val="1"/>
          <w:color w:val="auto"/>
        </w:rPr>
      </w:pPr>
    </w:p>
    <w:p>
      <w:pPr>
        <w:ind w:left="360" w:hanging="352"/>
        <w:spacing w:after="0"/>
        <w:tabs>
          <w:tab w:leader="none" w:pos="3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39" w:lineRule="exact"/>
        <w:rPr>
          <w:rFonts w:ascii="Arial" w:cs="Arial" w:eastAsia="Arial" w:hAnsi="Arial"/>
          <w:sz w:val="22"/>
          <w:szCs w:val="22"/>
          <w:b w:val="1"/>
          <w:bCs w:val="1"/>
          <w:color w:val="auto"/>
        </w:rPr>
      </w:pPr>
    </w:p>
    <w:p>
      <w:pPr>
        <w:jc w:val="both"/>
        <w:ind w:left="1300" w:hanging="644"/>
        <w:spacing w:after="0" w:line="312" w:lineRule="auto"/>
        <w:tabs>
          <w:tab w:leader="none" w:pos="1300" w:val="left"/>
        </w:tabs>
        <w:numPr>
          <w:ilvl w:val="1"/>
          <w:numId w:val="17"/>
        </w:numPr>
        <w:rPr>
          <w:rFonts w:ascii="Arial" w:cs="Arial" w:eastAsia="Arial" w:hAnsi="Arial"/>
          <w:sz w:val="19"/>
          <w:szCs w:val="19"/>
          <w:color w:val="auto"/>
        </w:rPr>
      </w:pPr>
      <w:r>
        <w:rPr>
          <w:rFonts w:ascii="Arial" w:cs="Arial" w:eastAsia="Arial" w:hAnsi="Arial"/>
          <w:sz w:val="19"/>
          <w:szCs w:val="19"/>
          <w:color w:val="auto"/>
        </w:rPr>
        <w:t>In the event of a Change in Control Transaction, the Option will be subject to any change in control severance agreement or other agreement providing for change in control provisions between you and the Company (a “CIC Agreement”). If you are not a party to a CIC Agreement, the provisions of this Section 2 shall apply.</w:t>
      </w:r>
    </w:p>
    <w:p>
      <w:pPr>
        <w:spacing w:after="0" w:line="133"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In the event of a Change in Control Transaction in which (i) the Option is not assumed, substituted for, or converted into an option or similar right of the acquiring or surviving corporation (or a publicly-traded parent thereof) in a manner which prevents dilution of your rights under the Option or (ii) the acquiring or surviving corporation (or parent thereof) is not publicly-traded, the Option shall fully vest and become exercisable as of the date of the Change in Control Transaction.</w:t>
      </w:r>
    </w:p>
    <w:p>
      <w:pPr>
        <w:spacing w:after="0" w:line="192" w:lineRule="exact"/>
        <w:rPr>
          <w:rFonts w:ascii="Arial" w:cs="Arial" w:eastAsia="Arial" w:hAnsi="Arial"/>
          <w:sz w:val="22"/>
          <w:szCs w:val="22"/>
          <w:color w:val="auto"/>
        </w:rPr>
      </w:pPr>
    </w:p>
    <w:p>
      <w:pPr>
        <w:jc w:val="both"/>
        <w:ind w:left="1300" w:hanging="644"/>
        <w:spacing w:after="0" w:line="286" w:lineRule="auto"/>
        <w:tabs>
          <w:tab w:leader="none" w:pos="1300" w:val="left"/>
        </w:tabs>
        <w:numPr>
          <w:ilvl w:val="1"/>
          <w:numId w:val="17"/>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your Option is assumed, substituted for, or converted into an option or similar right of the acquiring or surviving public corporation (or a publicly-traded parent thereof) and your employment is terminated within twenty-four (24) months following such Change in Control Transaction, other than (i) by the Company for Cause, (ii) by reason of death or Disability (which shall be governed by Section 1), or</w:t>
      </w:r>
    </w:p>
    <w:p>
      <w:pPr>
        <w:spacing w:after="0" w:line="2" w:lineRule="exact"/>
        <w:rPr>
          <w:rFonts w:ascii="Arial" w:cs="Arial" w:eastAsia="Arial" w:hAnsi="Arial"/>
          <w:sz w:val="19"/>
          <w:szCs w:val="19"/>
          <w:color w:val="auto"/>
        </w:rPr>
      </w:pPr>
    </w:p>
    <w:p>
      <w:pPr>
        <w:ind w:left="1300" w:firstLine="5"/>
        <w:spacing w:after="0" w:line="246" w:lineRule="auto"/>
        <w:tabs>
          <w:tab w:leader="none" w:pos="1726" w:val="left"/>
        </w:tabs>
        <w:numPr>
          <w:ilvl w:val="2"/>
          <w:numId w:val="17"/>
        </w:numPr>
        <w:rPr>
          <w:rFonts w:ascii="Arial" w:cs="Arial" w:eastAsia="Arial" w:hAnsi="Arial"/>
          <w:sz w:val="22"/>
          <w:szCs w:val="22"/>
          <w:color w:val="auto"/>
        </w:rPr>
      </w:pPr>
      <w:r>
        <w:rPr>
          <w:rFonts w:ascii="Arial" w:cs="Arial" w:eastAsia="Arial" w:hAnsi="Arial"/>
          <w:sz w:val="22"/>
          <w:szCs w:val="22"/>
          <w:color w:val="auto"/>
        </w:rPr>
        <w:t>by you without Good Reason, the Option will fully vest and become exercisable as of the date of your termination of employment.</w:t>
      </w:r>
    </w:p>
    <w:p>
      <w:pPr>
        <w:spacing w:after="0" w:line="192" w:lineRule="exact"/>
        <w:rPr>
          <w:rFonts w:ascii="Arial" w:cs="Arial" w:eastAsia="Arial" w:hAnsi="Arial"/>
          <w:sz w:val="22"/>
          <w:szCs w:val="22"/>
          <w:color w:val="auto"/>
        </w:rPr>
      </w:pPr>
    </w:p>
    <w:p>
      <w:pPr>
        <w:ind w:left="1300" w:hanging="644"/>
        <w:spacing w:after="0"/>
        <w:tabs>
          <w:tab w:leader="none" w:pos="1300" w:val="left"/>
        </w:tabs>
        <w:numPr>
          <w:ilvl w:val="1"/>
          <w:numId w:val="17"/>
        </w:numPr>
        <w:rPr>
          <w:rFonts w:ascii="Arial" w:cs="Arial" w:eastAsia="Arial" w:hAnsi="Arial"/>
          <w:sz w:val="19"/>
          <w:szCs w:val="19"/>
          <w:color w:val="auto"/>
        </w:rPr>
      </w:pPr>
      <w:r>
        <w:rPr>
          <w:rFonts w:ascii="Arial" w:cs="Arial" w:eastAsia="Arial" w:hAnsi="Arial"/>
          <w:sz w:val="19"/>
          <w:szCs w:val="19"/>
          <w:color w:val="auto"/>
        </w:rPr>
        <w:t>Definitions - For purposes of this Section 2, the following capitalized terms shall have the meanings set forth below:</w:t>
      </w:r>
    </w:p>
    <w:p>
      <w:pPr>
        <w:sectPr>
          <w:pgSz w:w="11900" w:h="16838" w:orient="portrait"/>
          <w:cols w:equalWidth="0" w:num="1">
            <w:col w:w="11420"/>
          </w:cols>
          <w:pgMar w:left="240" w:top="585" w:right="239" w:bottom="1440" w:gutter="0" w:footer="0" w:header="0"/>
        </w:sectPr>
      </w:pPr>
    </w:p>
    <w:bookmarkStart w:id="56" w:name="page57"/>
    <w:bookmarkEnd w:id="56"/>
    <w:p>
      <w:pPr>
        <w:jc w:val="both"/>
        <w:ind w:left="760" w:hanging="655"/>
        <w:spacing w:after="0" w:line="312" w:lineRule="auto"/>
        <w:tabs>
          <w:tab w:leader="none" w:pos="7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“Base Salary”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33" w:lineRule="exact"/>
        <w:rPr>
          <w:rFonts w:ascii="Arial" w:cs="Arial" w:eastAsia="Arial" w:hAnsi="Arial"/>
          <w:sz w:val="19"/>
          <w:szCs w:val="19"/>
          <w:color w:val="auto"/>
        </w:rPr>
      </w:pPr>
    </w:p>
    <w:p>
      <w:pPr>
        <w:ind w:left="760" w:hanging="655"/>
        <w:spacing w:after="0"/>
        <w:tabs>
          <w:tab w:leader="none" w:pos="7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“Beneficial Owner” shall have the meaning set forth in Rule 13d-3 under the Exchange Act.</w:t>
      </w:r>
    </w:p>
    <w:p>
      <w:pPr>
        <w:spacing w:after="0" w:line="219" w:lineRule="exact"/>
        <w:rPr>
          <w:rFonts w:ascii="Arial" w:cs="Arial" w:eastAsia="Arial" w:hAnsi="Arial"/>
          <w:sz w:val="22"/>
          <w:szCs w:val="22"/>
          <w:color w:val="auto"/>
        </w:rPr>
      </w:pPr>
    </w:p>
    <w:p>
      <w:pPr>
        <w:jc w:val="both"/>
        <w:ind w:left="760" w:hanging="655"/>
        <w:spacing w:after="0" w:line="257" w:lineRule="auto"/>
        <w:tabs>
          <w:tab w:leader="none" w:pos="760" w:val="left"/>
        </w:tabs>
        <w:numPr>
          <w:ilvl w:val="0"/>
          <w:numId w:val="18"/>
        </w:numPr>
        <w:rPr>
          <w:rFonts w:ascii="Arial" w:cs="Arial" w:eastAsia="Arial" w:hAnsi="Arial"/>
          <w:sz w:val="21"/>
          <w:szCs w:val="21"/>
          <w:color w:val="auto"/>
        </w:rPr>
      </w:pPr>
      <w:r>
        <w:rPr>
          <w:rFonts w:ascii="Arial" w:cs="Arial" w:eastAsia="Arial" w:hAnsi="Arial"/>
          <w:sz w:val="21"/>
          <w:szCs w:val="21"/>
          <w:color w:val="auto"/>
        </w:rPr>
        <w:t>“Cause” for termination of your employment by the Company or your employer, if different (the “Employer”) shall mean (A) your willful and continued failure (other than any such failure resulting from (1) your incapacity due to physical or mental illness, (2) any such actual or anticipated failure after the issuance by you of a notice of termination in a form prescribed by the Company for Good Reason or (3)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(B) your conviction by a court of competent jurisdiction for felony criminal conduct (or the equivalent under applicable local law); or (C)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88" w:lineRule="exact"/>
        <w:rPr>
          <w:rFonts w:ascii="Arial" w:cs="Arial" w:eastAsia="Arial" w:hAnsi="Arial"/>
          <w:sz w:val="21"/>
          <w:szCs w:val="21"/>
          <w:color w:val="auto"/>
        </w:rPr>
      </w:pPr>
    </w:p>
    <w:p>
      <w:pPr>
        <w:jc w:val="both"/>
        <w:ind w:left="760" w:hanging="655"/>
        <w:spacing w:after="0" w:line="247" w:lineRule="auto"/>
        <w:tabs>
          <w:tab w:leader="none" w:pos="7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“Good Reason”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(A), (B), (C), (D) or (E) below, such act or failure to act is corrected prior to the date of your termination specified in a notice of termination in a form prescribed by the Company given in respect thereof:</w:t>
      </w:r>
    </w:p>
    <w:p>
      <w:pPr>
        <w:spacing w:after="0" w:line="193" w:lineRule="exact"/>
        <w:rPr>
          <w:rFonts w:ascii="Arial" w:cs="Arial" w:eastAsia="Arial" w:hAnsi="Arial"/>
          <w:sz w:val="22"/>
          <w:szCs w:val="22"/>
          <w:color w:val="auto"/>
        </w:rPr>
      </w:pPr>
    </w:p>
    <w:p>
      <w:pPr>
        <w:jc w:val="both"/>
        <w:ind w:left="1400" w:hanging="647"/>
        <w:spacing w:after="0" w:line="294" w:lineRule="auto"/>
        <w:tabs>
          <w:tab w:leader="none" w:pos="1400" w:val="left"/>
        </w:tabs>
        <w:numPr>
          <w:ilvl w:val="1"/>
          <w:numId w:val="18"/>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ectPr>
          <w:pgSz w:w="11900" w:h="16838" w:orient="portrait"/>
          <w:cols w:equalWidth="0" w:num="1">
            <w:col w:w="10220"/>
          </w:cols>
          <w:pgMar w:left="1440" w:top="807" w:right="239" w:bottom="1440" w:gutter="0" w:footer="0" w:header="0"/>
        </w:sectPr>
      </w:pPr>
    </w:p>
    <w:bookmarkStart w:id="57" w:name="page58"/>
    <w:bookmarkEnd w:id="57"/>
    <w:p>
      <w:pPr>
        <w:ind w:left="1400" w:hanging="647"/>
        <w:spacing w:after="0"/>
        <w:tabs>
          <w:tab w:leader="none" w:pos="14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19" w:lineRule="exact"/>
        <w:rPr>
          <w:rFonts w:ascii="Arial" w:cs="Arial" w:eastAsia="Arial" w:hAnsi="Arial"/>
          <w:sz w:val="22"/>
          <w:szCs w:val="22"/>
          <w:color w:val="auto"/>
        </w:rPr>
      </w:pPr>
    </w:p>
    <w:p>
      <w:pPr>
        <w:ind w:left="1400" w:hanging="647"/>
        <w:spacing w:after="0" w:line="287" w:lineRule="auto"/>
        <w:tabs>
          <w:tab w:leader="none" w:pos="14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a reduction in your annual bonus opportunity or long term incentive opportunity, as compared to the year immediately preceding the year in which the Change in Control Transaction occurs;</w:t>
      </w:r>
    </w:p>
    <w:p>
      <w:pPr>
        <w:spacing w:after="0" w:line="151" w:lineRule="exact"/>
        <w:rPr>
          <w:rFonts w:ascii="Arial" w:cs="Arial" w:eastAsia="Arial" w:hAnsi="Arial"/>
          <w:sz w:val="21"/>
          <w:szCs w:val="21"/>
          <w:color w:val="auto"/>
        </w:rPr>
      </w:pPr>
    </w:p>
    <w:p>
      <w:pPr>
        <w:jc w:val="both"/>
        <w:ind w:left="1400" w:hanging="647"/>
        <w:spacing w:after="0" w:line="253" w:lineRule="auto"/>
        <w:tabs>
          <w:tab w:leader="none" w:pos="14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failure to continue provide welfare, pension and fringe benefits which are in each case, in the aggregate, substantially similar to those provided to you immediately prior to Change in Control Transaction;</w:t>
      </w:r>
    </w:p>
    <w:p>
      <w:pPr>
        <w:spacing w:after="0" w:line="185" w:lineRule="exact"/>
        <w:rPr>
          <w:rFonts w:ascii="Arial" w:cs="Arial" w:eastAsia="Arial" w:hAnsi="Arial"/>
          <w:sz w:val="22"/>
          <w:szCs w:val="22"/>
          <w:color w:val="auto"/>
        </w:rPr>
      </w:pPr>
    </w:p>
    <w:p>
      <w:pPr>
        <w:jc w:val="both"/>
        <w:ind w:left="1400" w:hanging="647"/>
        <w:spacing w:after="0" w:line="302" w:lineRule="auto"/>
        <w:tabs>
          <w:tab w:leader="none" w:pos="14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or</w:t>
      </w:r>
    </w:p>
    <w:p>
      <w:pPr>
        <w:spacing w:after="0" w:line="143" w:lineRule="exact"/>
        <w:rPr>
          <w:sz w:val="20"/>
          <w:szCs w:val="20"/>
          <w:color w:val="auto"/>
        </w:rPr>
      </w:pPr>
    </w:p>
    <w:p>
      <w:pPr>
        <w:jc w:val="both"/>
        <w:ind w:left="760"/>
        <w:spacing w:after="0" w:line="288" w:lineRule="auto"/>
        <w:rPr>
          <w:sz w:val="20"/>
          <w:szCs w:val="20"/>
          <w:color w:val="auto"/>
        </w:rPr>
      </w:pPr>
      <w:r>
        <w:rPr>
          <w:rFonts w:ascii="Arial" w:cs="Arial" w:eastAsia="Arial" w:hAnsi="Arial"/>
          <w:sz w:val="19"/>
          <w:szCs w:val="19"/>
          <w:color w:val="auto"/>
        </w:rPr>
        <w:t>Notwithstanding the foregoing, the events described in clauses (B), (C) or (D)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55" w:lineRule="exact"/>
        <w:rPr>
          <w:sz w:val="20"/>
          <w:szCs w:val="20"/>
          <w:color w:val="auto"/>
        </w:rPr>
      </w:pPr>
    </w:p>
    <w:p>
      <w:pPr>
        <w:jc w:val="both"/>
        <w:ind w:left="760" w:hanging="655"/>
        <w:spacing w:after="0" w:line="261" w:lineRule="auto"/>
        <w:tabs>
          <w:tab w:leader="none" w:pos="760" w:val="left"/>
        </w:tabs>
        <w:numPr>
          <w:ilvl w:val="0"/>
          <w:numId w:val="20"/>
        </w:numPr>
        <w:rPr>
          <w:rFonts w:ascii="Arial" w:cs="Arial" w:eastAsia="Arial" w:hAnsi="Arial"/>
          <w:sz w:val="21"/>
          <w:szCs w:val="21"/>
          <w:color w:val="auto"/>
        </w:rPr>
      </w:pPr>
      <w:r>
        <w:rPr>
          <w:rFonts w:ascii="Arial" w:cs="Arial" w:eastAsia="Arial" w:hAnsi="Arial"/>
          <w:sz w:val="21"/>
          <w:szCs w:val="21"/>
          <w:color w:val="auto"/>
        </w:rPr>
        <w:t>“Person”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of such securities or (D) a corporation owned, directly or indirectly, by the stockholders of the Company in substantially the same proportions as their ownership of stock of the Company.</w:t>
      </w:r>
    </w:p>
    <w:p>
      <w:pPr>
        <w:sectPr>
          <w:pgSz w:w="11900" w:h="16838" w:orient="portrait"/>
          <w:cols w:equalWidth="0" w:num="1">
            <w:col w:w="10220"/>
          </w:cols>
          <w:pgMar w:left="1440" w:top="807" w:right="239" w:bottom="1440" w:gutter="0" w:footer="0" w:header="0"/>
        </w:sectPr>
      </w:pPr>
    </w:p>
    <w:bookmarkStart w:id="58" w:name="page59"/>
    <w:bookmarkEnd w:id="58"/>
    <w:p>
      <w:pPr>
        <w:jc w:val="both"/>
        <w:ind w:left="652" w:hanging="652"/>
        <w:spacing w:after="0" w:line="259" w:lineRule="auto"/>
        <w:tabs>
          <w:tab w:leader="none" w:pos="652"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color w:val="auto"/>
        </w:rPr>
        <w:t>Securities Law Compliance</w:t>
      </w:r>
      <w:r>
        <w:rPr>
          <w:rFonts w:ascii="Arial" w:cs="Arial" w:eastAsia="Arial" w:hAnsi="Arial"/>
          <w:sz w:val="21"/>
          <w:szCs w:val="21"/>
          <w:color w:val="auto"/>
        </w:rPr>
        <w:t>. At the present time, the Company has an effective registration statement on file with the U.S.</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and Exchange Commission with respect to the Shares. The Company intends to maintain this registration but has no obligation to do so. In the event that such registration ceases to be effective, you will not be able to exercise the Option unless exemptions from registration under U.S. federal and state (and, where applicable, foreign)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 In addition, you agree not to sell any of the Shares received under this Option at a time when applicable laws or Company policies prohibit a sale.</w:t>
      </w:r>
    </w:p>
    <w:p>
      <w:pPr>
        <w:spacing w:after="0" w:line="180" w:lineRule="exact"/>
        <w:rPr>
          <w:rFonts w:ascii="Arial" w:cs="Arial" w:eastAsia="Arial" w:hAnsi="Arial"/>
          <w:sz w:val="21"/>
          <w:szCs w:val="21"/>
          <w:b w:val="1"/>
          <w:bCs w:val="1"/>
          <w:color w:val="auto"/>
        </w:rPr>
      </w:pPr>
    </w:p>
    <w:p>
      <w:pPr>
        <w:jc w:val="both"/>
        <w:ind w:left="652" w:hanging="652"/>
        <w:spacing w:after="0" w:line="267" w:lineRule="auto"/>
        <w:tabs>
          <w:tab w:leader="none" w:pos="652"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color w:val="auto"/>
        </w:rPr>
        <w:t>Type of Option</w:t>
      </w:r>
      <w:r>
        <w:rPr>
          <w:rFonts w:ascii="Arial" w:cs="Arial" w:eastAsia="Arial" w:hAnsi="Arial"/>
          <w:sz w:val="21"/>
          <w:szCs w:val="21"/>
          <w:color w:val="auto"/>
        </w:rPr>
        <w:t>. Your Grant Notice specifies the type of Option granted to you, which may be an Incentive Stock Option or</w:t>
      </w:r>
      <w:r>
        <w:rPr>
          <w:rFonts w:ascii="Arial" w:cs="Arial" w:eastAsia="Arial" w:hAnsi="Arial"/>
          <w:sz w:val="21"/>
          <w:szCs w:val="21"/>
          <w:b w:val="1"/>
          <w:bCs w:val="1"/>
          <w:color w:val="auto"/>
        </w:rPr>
        <w:t xml:space="preserve"> </w:t>
      </w:r>
      <w:r>
        <w:rPr>
          <w:rFonts w:ascii="Arial" w:cs="Arial" w:eastAsia="Arial" w:hAnsi="Arial"/>
          <w:sz w:val="21"/>
          <w:szCs w:val="21"/>
          <w:color w:val="auto"/>
        </w:rPr>
        <w:t>a Nonqualified Stock Option, or both. Of the total number of options granted to you, the number of Incentive Stock Options shall be determined in accordance with the limits set forth in the Code and related regulations. Incentive Stock Options are governed by the Code and related regulations as described below:</w:t>
      </w:r>
    </w:p>
    <w:p>
      <w:pPr>
        <w:spacing w:after="0" w:line="173" w:lineRule="exact"/>
        <w:rPr>
          <w:rFonts w:ascii="Arial" w:cs="Arial" w:eastAsia="Arial" w:hAnsi="Arial"/>
          <w:sz w:val="21"/>
          <w:szCs w:val="21"/>
          <w:b w:val="1"/>
          <w:bCs w:val="1"/>
          <w:color w:val="auto"/>
        </w:rPr>
      </w:pPr>
    </w:p>
    <w:p>
      <w:pPr>
        <w:jc w:val="both"/>
        <w:ind w:left="1292" w:hanging="644"/>
        <w:spacing w:after="0" w:line="253" w:lineRule="auto"/>
        <w:tabs>
          <w:tab w:leader="none" w:pos="1292"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Incentive Stock Option Qualification.</w:t>
      </w:r>
      <w:r>
        <w:rPr>
          <w:rFonts w:ascii="Arial" w:cs="Arial" w:eastAsia="Arial" w:hAnsi="Arial"/>
          <w:sz w:val="22"/>
          <w:szCs w:val="22"/>
          <w:color w:val="auto"/>
        </w:rPr>
        <w:t xml:space="preserve"> If all or a portion of the Option is intended to qualify as an Incentive Stock Option under U.S. federal income tax law, the Company does not represent or guarantee that the Option qualifies as such.</w:t>
      </w:r>
    </w:p>
    <w:p>
      <w:pPr>
        <w:spacing w:after="0" w:line="185" w:lineRule="exact"/>
        <w:rPr>
          <w:rFonts w:ascii="Arial" w:cs="Arial" w:eastAsia="Arial" w:hAnsi="Arial"/>
          <w:sz w:val="22"/>
          <w:szCs w:val="22"/>
          <w:color w:val="auto"/>
        </w:rPr>
      </w:pPr>
    </w:p>
    <w:p>
      <w:pPr>
        <w:jc w:val="both"/>
        <w:ind w:left="1292"/>
        <w:spacing w:after="0" w:line="297" w:lineRule="auto"/>
        <w:rPr>
          <w:rFonts w:ascii="Arial" w:cs="Arial" w:eastAsia="Arial" w:hAnsi="Arial"/>
          <w:sz w:val="22"/>
          <w:szCs w:val="22"/>
          <w:color w:val="auto"/>
        </w:rPr>
      </w:pPr>
      <w:r>
        <w:rPr>
          <w:rFonts w:ascii="Arial" w:cs="Arial" w:eastAsia="Arial" w:hAnsi="Arial"/>
          <w:sz w:val="19"/>
          <w:szCs w:val="19"/>
          <w:color w:val="auto"/>
        </w:rPr>
        <w:t>If the aggregate Fair Market Value (determined as of the Grant Date) of the Shares subject to the Option and all other Incentive Stock Options you hold that first become exercisable during any calendar year exceeds $100,000, any excess portion will be treated as a Nonqualified Stock Option, unless the rules and regulations governing the $100,000 limit for Incentive Stock Options are amended. A portion of the Option may be treated as a Nonqualified Stock Option if certain events cause exercisability of the Option to accelerate.</w:t>
      </w:r>
    </w:p>
    <w:p>
      <w:pPr>
        <w:spacing w:after="0" w:line="147" w:lineRule="exact"/>
        <w:rPr>
          <w:rFonts w:ascii="Arial" w:cs="Arial" w:eastAsia="Arial" w:hAnsi="Arial"/>
          <w:sz w:val="22"/>
          <w:szCs w:val="22"/>
          <w:color w:val="auto"/>
        </w:rPr>
      </w:pPr>
    </w:p>
    <w:p>
      <w:pPr>
        <w:jc w:val="both"/>
        <w:ind w:left="1292" w:right="20" w:hanging="644"/>
        <w:spacing w:after="0" w:line="271" w:lineRule="auto"/>
        <w:tabs>
          <w:tab w:leader="none" w:pos="1292" w:val="left"/>
        </w:tabs>
        <w:numPr>
          <w:ilvl w:val="1"/>
          <w:numId w:val="21"/>
        </w:numPr>
        <w:rPr>
          <w:rFonts w:ascii="Arial" w:cs="Arial" w:eastAsia="Arial" w:hAnsi="Arial"/>
          <w:sz w:val="21"/>
          <w:szCs w:val="21"/>
          <w:color w:val="auto"/>
        </w:rPr>
      </w:pPr>
      <w:r>
        <w:rPr>
          <w:rFonts w:ascii="Arial" w:cs="Arial" w:eastAsia="Arial" w:hAnsi="Arial"/>
          <w:sz w:val="21"/>
          <w:szCs w:val="21"/>
          <w:u w:val="single" w:color="auto"/>
          <w:color w:val="auto"/>
        </w:rPr>
        <w:t>Notice of Disqualifying Disposition.</w:t>
      </w:r>
      <w:r>
        <w:rPr>
          <w:rFonts w:ascii="Arial" w:cs="Arial" w:eastAsia="Arial" w:hAnsi="Arial"/>
          <w:sz w:val="21"/>
          <w:szCs w:val="21"/>
          <w:color w:val="auto"/>
        </w:rPr>
        <w:t xml:space="preserve"> To obtain certain tax benefits afforded to Incentive Stock Options, you must hold the Shares issued upon the exercise of the Option for two years after the Grant Date and one year after the date of exercise. You may be subject to the alternative minimum tax at the time of exercise.</w:t>
      </w:r>
    </w:p>
    <w:p>
      <w:pPr>
        <w:spacing w:after="0" w:line="168" w:lineRule="exact"/>
        <w:rPr>
          <w:sz w:val="20"/>
          <w:szCs w:val="20"/>
          <w:color w:val="auto"/>
        </w:rPr>
      </w:pPr>
    </w:p>
    <w:p>
      <w:pPr>
        <w:jc w:val="both"/>
        <w:ind w:left="1292"/>
        <w:spacing w:after="0" w:line="253" w:lineRule="auto"/>
        <w:rPr>
          <w:sz w:val="20"/>
          <w:szCs w:val="20"/>
          <w:color w:val="auto"/>
        </w:rPr>
      </w:pPr>
      <w:r>
        <w:rPr>
          <w:rFonts w:ascii="Arial" w:cs="Arial" w:eastAsia="Arial" w:hAnsi="Arial"/>
          <w:sz w:val="22"/>
          <w:szCs w:val="22"/>
          <w:b w:val="1"/>
          <w:bCs w:val="1"/>
          <w:i w:val="1"/>
          <w:iCs w:val="1"/>
          <w:color w:val="auto"/>
        </w:rPr>
        <w:t>By accepting the Incentive Stock Option, you agree to promptly notify the Company if you dispose of any of the Shares within one year from the date you exercise all or part of your Option or within two years from the Grant Date.</w:t>
      </w:r>
    </w:p>
    <w:p>
      <w:pPr>
        <w:spacing w:after="0" w:line="180" w:lineRule="exact"/>
        <w:rPr>
          <w:sz w:val="20"/>
          <w:szCs w:val="20"/>
          <w:color w:val="auto"/>
        </w:rPr>
      </w:pPr>
    </w:p>
    <w:p>
      <w:pPr>
        <w:jc w:val="both"/>
        <w:ind w:left="652"/>
        <w:spacing w:after="0" w:line="262" w:lineRule="auto"/>
        <w:rPr>
          <w:sz w:val="20"/>
          <w:szCs w:val="20"/>
          <w:color w:val="auto"/>
        </w:rPr>
      </w:pPr>
      <w:r>
        <w:rPr>
          <w:rFonts w:ascii="Arial" w:cs="Arial" w:eastAsia="Arial" w:hAnsi="Arial"/>
          <w:sz w:val="21"/>
          <w:szCs w:val="21"/>
          <w:b w:val="1"/>
          <w:bCs w:val="1"/>
          <w:color w:val="auto"/>
        </w:rPr>
        <w:t>The Company is not providing any tax, legal or financial advice, nor is the Company making any recommendations regarding your participation in the Plan or your acquisition or sale of the Shares underlying the Option.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Option and the acquisition or disposition of any Shares to</w:t>
      </w:r>
    </w:p>
    <w:p>
      <w:pPr>
        <w:sectPr>
          <w:pgSz w:w="11900" w:h="16838" w:orient="portrait"/>
          <w:cols w:equalWidth="0" w:num="1">
            <w:col w:w="11412"/>
          </w:cols>
          <w:pgMar w:left="248" w:top="801" w:right="239" w:bottom="1440" w:gutter="0" w:footer="0" w:header="0"/>
        </w:sectPr>
      </w:pPr>
    </w:p>
    <w:bookmarkStart w:id="59" w:name="page60"/>
    <w:bookmarkEnd w:id="59"/>
    <w:p>
      <w:pPr>
        <w:ind w:left="652"/>
        <w:spacing w:after="0" w:line="269" w:lineRule="auto"/>
        <w:rPr>
          <w:sz w:val="20"/>
          <w:szCs w:val="20"/>
          <w:color w:val="auto"/>
        </w:rPr>
      </w:pPr>
      <w:r>
        <w:rPr>
          <w:rFonts w:ascii="Arial" w:cs="Arial" w:eastAsia="Arial" w:hAnsi="Arial"/>
          <w:sz w:val="22"/>
          <w:szCs w:val="22"/>
          <w:b w:val="1"/>
          <w:bCs w:val="1"/>
          <w:color w:val="auto"/>
        </w:rPr>
        <w:t>be issued pursuant to the exercise of the Option in light of your specific situation or had the opportunity to consult with such advisors but chose not to do so.</w:t>
      </w:r>
    </w:p>
    <w:p>
      <w:pPr>
        <w:spacing w:after="0" w:line="162" w:lineRule="exact"/>
        <w:rPr>
          <w:sz w:val="20"/>
          <w:szCs w:val="20"/>
          <w:color w:val="auto"/>
        </w:rPr>
      </w:pPr>
    </w:p>
    <w:p>
      <w:pPr>
        <w:ind w:left="652" w:hanging="652"/>
        <w:spacing w:after="0" w:line="269" w:lineRule="auto"/>
        <w:tabs>
          <w:tab w:leader="none" w:pos="652"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Exercise</w:t>
      </w:r>
      <w:r>
        <w:rPr>
          <w:rFonts w:ascii="Arial" w:cs="Arial" w:eastAsia="Arial" w:hAnsi="Arial"/>
          <w:sz w:val="22"/>
          <w:szCs w:val="22"/>
          <w:color w:val="auto"/>
        </w:rPr>
        <w:t>. You may exercise the Option upon notice and payment of the Grant Price by any of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methods, unless disallowed by law:</w:t>
      </w:r>
    </w:p>
    <w:p>
      <w:pPr>
        <w:spacing w:after="0" w:line="168" w:lineRule="exact"/>
        <w:rPr>
          <w:rFonts w:ascii="Arial" w:cs="Arial" w:eastAsia="Arial" w:hAnsi="Arial"/>
          <w:sz w:val="22"/>
          <w:szCs w:val="22"/>
          <w:b w:val="1"/>
          <w:bCs w:val="1"/>
          <w:color w:val="auto"/>
        </w:rPr>
      </w:pPr>
    </w:p>
    <w:p>
      <w:pPr>
        <w:ind w:left="1292" w:hanging="644"/>
        <w:spacing w:after="0"/>
        <w:tabs>
          <w:tab w:leader="none" w:pos="1292" w:val="left"/>
        </w:tabs>
        <w:numPr>
          <w:ilvl w:val="1"/>
          <w:numId w:val="22"/>
        </w:numPr>
        <w:rPr>
          <w:rFonts w:ascii="Arial" w:cs="Arial" w:eastAsia="Arial" w:hAnsi="Arial"/>
          <w:sz w:val="22"/>
          <w:szCs w:val="22"/>
          <w:color w:val="auto"/>
        </w:rPr>
      </w:pPr>
      <w:r>
        <w:rPr>
          <w:rFonts w:ascii="Arial" w:cs="Arial" w:eastAsia="Arial" w:hAnsi="Arial"/>
          <w:sz w:val="22"/>
          <w:szCs w:val="22"/>
          <w:color w:val="auto"/>
        </w:rPr>
        <w:t>broker assisted exercise; or</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2"/>
        </w:numPr>
        <w:rPr>
          <w:rFonts w:ascii="Arial" w:cs="Arial" w:eastAsia="Arial" w:hAnsi="Arial"/>
          <w:sz w:val="22"/>
          <w:szCs w:val="22"/>
          <w:color w:val="auto"/>
        </w:rPr>
      </w:pPr>
      <w:r>
        <w:rPr>
          <w:rFonts w:ascii="Arial" w:cs="Arial" w:eastAsia="Arial" w:hAnsi="Arial"/>
          <w:sz w:val="22"/>
          <w:szCs w:val="22"/>
          <w:color w:val="auto"/>
        </w:rPr>
        <w:t>Shares already owned by you.</w:t>
      </w:r>
    </w:p>
    <w:p>
      <w:pPr>
        <w:spacing w:after="0" w:line="220"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 xml:space="preserve">You may elect to receive the proceeds of the exercise in either cash or Shares; </w:t>
      </w:r>
      <w:r>
        <w:rPr>
          <w:rFonts w:ascii="Arial" w:cs="Arial" w:eastAsia="Arial" w:hAnsi="Arial"/>
          <w:sz w:val="22"/>
          <w:szCs w:val="22"/>
          <w:i w:val="1"/>
          <w:iCs w:val="1"/>
          <w:u w:val="single" w:color="auto"/>
          <w:color w:val="auto"/>
        </w:rPr>
        <w:t>provided, however</w:t>
      </w:r>
      <w:r>
        <w:rPr>
          <w:rFonts w:ascii="Arial" w:cs="Arial" w:eastAsia="Arial" w:hAnsi="Arial"/>
          <w:sz w:val="22"/>
          <w:szCs w:val="22"/>
          <w:color w:val="auto"/>
        </w:rPr>
        <w:t>, that if your Option is an Incentive Stock Option and you take the proceeds of its exercise in cash, you may not receive the benefit of the intended tax treatment of your Incentive Stock Option, as explained above in Section 4(b).</w:t>
      </w:r>
    </w:p>
    <w:p>
      <w:pPr>
        <w:spacing w:after="0" w:line="180" w:lineRule="exact"/>
        <w:rPr>
          <w:sz w:val="20"/>
          <w:szCs w:val="20"/>
          <w:color w:val="auto"/>
        </w:rPr>
      </w:pPr>
    </w:p>
    <w:p>
      <w:pPr>
        <w:ind w:left="652" w:right="20" w:hanging="652"/>
        <w:spacing w:after="0" w:line="269" w:lineRule="auto"/>
        <w:tabs>
          <w:tab w:leader="none" w:pos="652"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Term of Option</w:t>
      </w:r>
      <w:r>
        <w:rPr>
          <w:rFonts w:ascii="Arial" w:cs="Arial" w:eastAsia="Arial" w:hAnsi="Arial"/>
          <w:sz w:val="22"/>
          <w:szCs w:val="22"/>
          <w:color w:val="auto"/>
        </w:rPr>
        <w:t>. This Option shall expire ten years from the Grant Date thereof, but shall be subject to earlier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68" w:lineRule="exact"/>
        <w:rPr>
          <w:rFonts w:ascii="Arial" w:cs="Arial" w:eastAsia="Arial" w:hAnsi="Arial"/>
          <w:sz w:val="22"/>
          <w:szCs w:val="22"/>
          <w:b w:val="1"/>
          <w:bCs w:val="1"/>
          <w:color w:val="auto"/>
        </w:rPr>
      </w:pPr>
    </w:p>
    <w:p>
      <w:pPr>
        <w:ind w:left="1292" w:hanging="644"/>
        <w:spacing w:after="0" w:line="263" w:lineRule="auto"/>
        <w:tabs>
          <w:tab w:leader="none" w:pos="1292"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Unvested Options.</w:t>
      </w:r>
      <w:r>
        <w:rPr>
          <w:rFonts w:ascii="Arial" w:cs="Arial" w:eastAsia="Arial" w:hAnsi="Arial"/>
          <w:sz w:val="22"/>
          <w:szCs w:val="22"/>
          <w:color w:val="auto"/>
        </w:rPr>
        <w:t xml:space="preserve"> In the event you cease to be an employee of the Company or a Related Corporation for any reason, the unvested portion of the Option shall terminate immediately.</w:t>
      </w:r>
    </w:p>
    <w:p>
      <w:pPr>
        <w:spacing w:after="0" w:line="174" w:lineRule="exact"/>
        <w:rPr>
          <w:rFonts w:ascii="Arial" w:cs="Arial" w:eastAsia="Arial" w:hAnsi="Arial"/>
          <w:sz w:val="22"/>
          <w:szCs w:val="22"/>
          <w:color w:val="auto"/>
        </w:rPr>
      </w:pPr>
    </w:p>
    <w:p>
      <w:pPr>
        <w:ind w:left="1072" w:hanging="424"/>
        <w:spacing w:after="0"/>
        <w:tabs>
          <w:tab w:leader="none" w:pos="1072"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Vested Options.</w:t>
      </w:r>
    </w:p>
    <w:p>
      <w:pPr>
        <w:spacing w:after="0" w:line="233" w:lineRule="exact"/>
        <w:rPr>
          <w:rFonts w:ascii="Arial" w:cs="Arial" w:eastAsia="Arial" w:hAnsi="Arial"/>
          <w:sz w:val="22"/>
          <w:szCs w:val="22"/>
          <w:color w:val="auto"/>
        </w:rPr>
      </w:pPr>
    </w:p>
    <w:p>
      <w:pPr>
        <w:jc w:val="both"/>
        <w:ind w:left="1952" w:hanging="655"/>
        <w:spacing w:after="0" w:line="248" w:lineRule="auto"/>
        <w:tabs>
          <w:tab w:leader="none" w:pos="1952" w:val="left"/>
        </w:tabs>
        <w:numPr>
          <w:ilvl w:val="2"/>
          <w:numId w:val="2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xml:space="preserve"> In the event you cease to be an employee of the Company or a Related Corporation for any reason other than death, Disability, Retirement (as defined below) or Cause, the vested portion of the Option shall remain exercisable until the earlier of (A) 90 days after the date you cease to be an employee of the Company or a Related Corporation or (B) the date on which the Option expires by its terms.</w:t>
      </w:r>
    </w:p>
    <w:p>
      <w:pPr>
        <w:spacing w:after="0" w:line="192" w:lineRule="exact"/>
        <w:rPr>
          <w:rFonts w:ascii="Arial" w:cs="Arial" w:eastAsia="Arial" w:hAnsi="Arial"/>
          <w:sz w:val="22"/>
          <w:szCs w:val="22"/>
          <w:color w:val="auto"/>
        </w:rPr>
      </w:pPr>
    </w:p>
    <w:p>
      <w:pPr>
        <w:jc w:val="both"/>
        <w:ind w:left="1952" w:hanging="655"/>
        <w:spacing w:after="0" w:line="259" w:lineRule="auto"/>
        <w:tabs>
          <w:tab w:leader="none" w:pos="1952" w:val="left"/>
        </w:tabs>
        <w:numPr>
          <w:ilvl w:val="2"/>
          <w:numId w:val="23"/>
        </w:numPr>
        <w:rPr>
          <w:rFonts w:ascii="Arial" w:cs="Arial" w:eastAsia="Arial" w:hAnsi="Arial"/>
          <w:sz w:val="21"/>
          <w:szCs w:val="21"/>
          <w:color w:val="auto"/>
        </w:rPr>
      </w:pPr>
      <w:r>
        <w:rPr>
          <w:rFonts w:ascii="Arial" w:cs="Arial" w:eastAsia="Arial" w:hAnsi="Arial"/>
          <w:sz w:val="21"/>
          <w:szCs w:val="21"/>
          <w:u w:val="single" w:color="auto"/>
          <w:color w:val="auto"/>
        </w:rPr>
        <w:t>Death or Disability</w:t>
      </w:r>
      <w:r>
        <w:rPr>
          <w:rFonts w:ascii="Arial" w:cs="Arial" w:eastAsia="Arial" w:hAnsi="Arial"/>
          <w:sz w:val="21"/>
          <w:szCs w:val="21"/>
          <w:color w:val="auto"/>
        </w:rPr>
        <w:t>. In the event of your death or Disability while an employee of the Company or a Related Corporation, the vested portion of the Option (including any portion of the Option that vests in the event of your death or Disability while an employee of the Company or a Related Corporation, as described in Section 1 above) shall remain exercisable until the earlier of (A) one year following the date of death or Disability or (B) the date on which the Option expires by its terms. Upon death, the vested and exercisable portion of the Option may be exercised by the personal representative of your estate, the person(s) to whom your rights under the Option have passed by will or the applicable laws of descent and distribution, or the beneficiary you have designated pursuant to the Plan.</w:t>
      </w:r>
    </w:p>
    <w:p>
      <w:pPr>
        <w:spacing w:after="0" w:line="184" w:lineRule="exact"/>
        <w:rPr>
          <w:rFonts w:ascii="Arial" w:cs="Arial" w:eastAsia="Arial" w:hAnsi="Arial"/>
          <w:sz w:val="21"/>
          <w:szCs w:val="21"/>
          <w:color w:val="auto"/>
        </w:rPr>
      </w:pPr>
    </w:p>
    <w:p>
      <w:pPr>
        <w:jc w:val="both"/>
        <w:ind w:left="1952" w:hanging="655"/>
        <w:spacing w:after="0" w:line="271" w:lineRule="auto"/>
        <w:tabs>
          <w:tab w:leader="none" w:pos="1952" w:val="left"/>
        </w:tabs>
        <w:numPr>
          <w:ilvl w:val="2"/>
          <w:numId w:val="23"/>
        </w:numPr>
        <w:rPr>
          <w:rFonts w:ascii="Arial" w:cs="Arial" w:eastAsia="Arial" w:hAnsi="Arial"/>
          <w:sz w:val="21"/>
          <w:szCs w:val="21"/>
          <w:color w:val="auto"/>
        </w:rPr>
      </w:pPr>
      <w:r>
        <w:rPr>
          <w:rFonts w:ascii="Arial" w:cs="Arial" w:eastAsia="Arial" w:hAnsi="Arial"/>
          <w:sz w:val="21"/>
          <w:szCs w:val="21"/>
          <w:u w:val="single" w:color="auto"/>
          <w:color w:val="auto"/>
        </w:rPr>
        <w:t>Retirement</w:t>
      </w:r>
      <w:r>
        <w:rPr>
          <w:rFonts w:ascii="Arial" w:cs="Arial" w:eastAsia="Arial" w:hAnsi="Arial"/>
          <w:sz w:val="21"/>
          <w:szCs w:val="21"/>
          <w:color w:val="auto"/>
        </w:rPr>
        <w:t>. In the event you cease to be an employee of the Company or a Related Corporation due to Retirement, the vested portion of the Option shall remain exercisable until the earlier of (A) three years following the date of Retirement or (B) the date on which the Option expires by its terms. For</w:t>
      </w:r>
    </w:p>
    <w:p>
      <w:pPr>
        <w:sectPr>
          <w:pgSz w:w="11900" w:h="16838" w:orient="portrait"/>
          <w:cols w:equalWidth="0" w:num="1">
            <w:col w:w="11412"/>
          </w:cols>
          <w:pgMar w:left="248" w:top="801" w:right="239" w:bottom="1440" w:gutter="0" w:footer="0" w:header="0"/>
        </w:sectPr>
      </w:pPr>
    </w:p>
    <w:bookmarkStart w:id="60" w:name="page61"/>
    <w:bookmarkEnd w:id="60"/>
    <w:p>
      <w:pPr>
        <w:ind w:left="1952"/>
        <w:spacing w:after="0" w:line="287" w:lineRule="auto"/>
        <w:rPr>
          <w:sz w:val="20"/>
          <w:szCs w:val="20"/>
          <w:color w:val="auto"/>
        </w:rPr>
      </w:pPr>
      <w:r>
        <w:rPr>
          <w:rFonts w:ascii="Arial" w:cs="Arial" w:eastAsia="Arial" w:hAnsi="Arial"/>
          <w:sz w:val="21"/>
          <w:szCs w:val="21"/>
          <w:color w:val="auto"/>
        </w:rPr>
        <w:t>purposes of this Stock Option Agreement, “Retirement” means retirement on or after the earlier of (i) age 65 or (ii) age 55 plus ten years of employment with the Company and/or a Related Corporation.</w:t>
      </w:r>
    </w:p>
    <w:p>
      <w:pPr>
        <w:spacing w:after="0" w:line="152" w:lineRule="exact"/>
        <w:rPr>
          <w:sz w:val="20"/>
          <w:szCs w:val="20"/>
          <w:color w:val="auto"/>
        </w:rPr>
      </w:pPr>
    </w:p>
    <w:p>
      <w:pPr>
        <w:jc w:val="both"/>
        <w:ind w:left="1952" w:hanging="655"/>
        <w:spacing w:after="0" w:line="294" w:lineRule="auto"/>
        <w:tabs>
          <w:tab w:leader="none" w:pos="19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xml:space="preserve"> The unvested and vested portion of the Option will automatically expire at the time the Company first notifies you of your termination of employment for Cause, unless the Plan Administrator determines otherwise. If your employment relationship is suspended pending an investigation of whether you will be terminated for Cause, all your rights under the Option likewise will be suspended during the period of investigation. If any facts that would constitute termination for Cause are discovered after your termination of employment, any Option you then hold may be immediately terminated by the Plan Administrator.</w:t>
      </w:r>
    </w:p>
    <w:p>
      <w:pPr>
        <w:spacing w:after="0" w:line="144" w:lineRule="exact"/>
        <w:rPr>
          <w:sz w:val="20"/>
          <w:szCs w:val="20"/>
          <w:color w:val="auto"/>
        </w:rPr>
      </w:pPr>
    </w:p>
    <w:p>
      <w:pPr>
        <w:jc w:val="both"/>
        <w:ind w:left="652"/>
        <w:spacing w:after="0" w:line="304" w:lineRule="auto"/>
        <w:rPr>
          <w:sz w:val="20"/>
          <w:szCs w:val="20"/>
          <w:color w:val="auto"/>
        </w:rPr>
      </w:pPr>
      <w:r>
        <w:rPr>
          <w:rFonts w:ascii="Arial" w:cs="Arial" w:eastAsia="Arial" w:hAnsi="Arial"/>
          <w:sz w:val="19"/>
          <w:szCs w:val="19"/>
          <w:b w:val="1"/>
          <w:bCs w:val="1"/>
          <w:color w:val="auto"/>
        </w:rPr>
        <w:t>Notwithstanding anything to the contrary contained herein, if your Option is an Incentive Stock Option and assuming it does not otherwise expire by its terms, to qualify for the beneficial tax treatment afforded Incentive Stock Options, your Option must be exercised within (i) three months after termination of employment for reasons other than death or Disability, and (ii) one year after termination of employment due to death or Disability.</w:t>
      </w:r>
    </w:p>
    <w:p>
      <w:pPr>
        <w:spacing w:after="0" w:line="141" w:lineRule="exact"/>
        <w:rPr>
          <w:sz w:val="20"/>
          <w:szCs w:val="20"/>
          <w:color w:val="auto"/>
        </w:rPr>
      </w:pPr>
    </w:p>
    <w:p>
      <w:pPr>
        <w:ind w:left="652"/>
        <w:spacing w:after="0"/>
        <w:rPr>
          <w:sz w:val="20"/>
          <w:szCs w:val="20"/>
          <w:color w:val="auto"/>
        </w:rPr>
      </w:pPr>
      <w:r>
        <w:rPr>
          <w:rFonts w:ascii="Arial" w:cs="Arial" w:eastAsia="Arial" w:hAnsi="Arial"/>
          <w:sz w:val="22"/>
          <w:szCs w:val="22"/>
          <w:b w:val="1"/>
          <w:bCs w:val="1"/>
          <w:i w:val="1"/>
          <w:iCs w:val="1"/>
          <w:u w:val="single" w:color="auto"/>
          <w:color w:val="auto"/>
        </w:rPr>
        <w:t>It is your responsibility to be aware of the date the Option terminates.</w:t>
      </w:r>
    </w:p>
    <w:p>
      <w:pPr>
        <w:spacing w:after="0" w:line="214" w:lineRule="exact"/>
        <w:rPr>
          <w:sz w:val="20"/>
          <w:szCs w:val="20"/>
          <w:color w:val="auto"/>
        </w:rPr>
      </w:pPr>
    </w:p>
    <w:p>
      <w:pPr>
        <w:jc w:val="both"/>
        <w:ind w:left="652" w:hanging="652"/>
        <w:spacing w:after="0" w:line="252" w:lineRule="auto"/>
        <w:tabs>
          <w:tab w:leader="none" w:pos="652"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Limited Transferability</w:t>
      </w:r>
      <w:r>
        <w:rPr>
          <w:rFonts w:ascii="Arial" w:cs="Arial" w:eastAsia="Arial" w:hAnsi="Arial"/>
          <w:sz w:val="22"/>
          <w:szCs w:val="22"/>
          <w:color w:val="auto"/>
        </w:rPr>
        <w:t>. During your lifetime only you can exercise the Option. The Option is not transferable except by</w:t>
      </w:r>
      <w:r>
        <w:rPr>
          <w:rFonts w:ascii="Arial" w:cs="Arial" w:eastAsia="Arial" w:hAnsi="Arial"/>
          <w:sz w:val="22"/>
          <w:szCs w:val="22"/>
          <w:b w:val="1"/>
          <w:bCs w:val="1"/>
          <w:color w:val="auto"/>
        </w:rPr>
        <w:t xml:space="preserve"> </w:t>
      </w:r>
      <w:r>
        <w:rPr>
          <w:rFonts w:ascii="Arial" w:cs="Arial" w:eastAsia="Arial" w:hAnsi="Arial"/>
          <w:sz w:val="22"/>
          <w:szCs w:val="22"/>
          <w:color w:val="auto"/>
        </w:rPr>
        <w:t>will or by the applicable laws of descent and distribution, except to the extent permitted by the Plan Administrator. The Plan provides for exercise of the Option by a beneficiary designated on a Company-approved form or the personal representative of your estate.</w:t>
      </w:r>
    </w:p>
    <w:p>
      <w:pPr>
        <w:spacing w:after="0" w:line="180" w:lineRule="exact"/>
        <w:rPr>
          <w:rFonts w:ascii="Arial" w:cs="Arial" w:eastAsia="Arial" w:hAnsi="Arial"/>
          <w:sz w:val="22"/>
          <w:szCs w:val="22"/>
          <w:b w:val="1"/>
          <w:bCs w:val="1"/>
          <w:color w:val="auto"/>
        </w:rPr>
      </w:pPr>
    </w:p>
    <w:p>
      <w:pPr>
        <w:jc w:val="both"/>
        <w:ind w:left="652" w:hanging="652"/>
        <w:spacing w:after="0" w:line="258" w:lineRule="auto"/>
        <w:tabs>
          <w:tab w:leader="none" w:pos="652"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color w:val="auto"/>
        </w:rPr>
        <w:t>Withholding Taxes</w:t>
      </w:r>
      <w:r>
        <w:rPr>
          <w:rFonts w:ascii="Arial" w:cs="Arial" w:eastAsia="Arial" w:hAnsi="Arial"/>
          <w:sz w:val="21"/>
          <w:szCs w:val="21"/>
          <w:color w:val="auto"/>
        </w:rPr>
        <w:t>. Regardless of any action the Company (or your employer, if different) takes with respect to any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income or withholding tax (including federal, state, local and non-U.S. tax), social insurance, payroll tax or other tax-related items related to your participation in the Plan and legally applicable to you ("Tax-Related Items"), you acknowledge that the ultimate liability for all Tax-Related Items is and remains your responsibility and may exceed the amount, if any, actually withheld by the Company. You further acknowledge that the Company (a) makes no representations or undertakings regarding the treatment of any Tax-Related Items in connection with any aspect of the Option, including the grant, vesting or exercise of the Option, the subsequent sale of Shares acquired pursuant to such exercise and the receipt of any dividends; and (b) does not commit to and is under no obligation to structure the terms of the grant or any aspect of this Option to reduce or eliminate your liability for Tax-Related Items or achieve any particular tax result. Further, if you have become subject to tax in more than one jurisdiction between the Grant Date and the date of any taxable or tax withholding event, as applicable, you acknowledge that the Company may be required to withhold or account for Tax-Related Items in more than one jurisdiction.</w:t>
      </w:r>
    </w:p>
    <w:p>
      <w:pPr>
        <w:spacing w:after="0" w:line="186" w:lineRule="exact"/>
        <w:rPr>
          <w:rFonts w:ascii="Arial" w:cs="Arial" w:eastAsia="Arial" w:hAnsi="Arial"/>
          <w:sz w:val="21"/>
          <w:szCs w:val="21"/>
          <w:b w:val="1"/>
          <w:bCs w:val="1"/>
          <w:color w:val="auto"/>
        </w:rPr>
      </w:pPr>
    </w:p>
    <w:p>
      <w:pPr>
        <w:ind w:left="652"/>
        <w:spacing w:after="0" w:line="263" w:lineRule="auto"/>
        <w:rPr>
          <w:rFonts w:ascii="Arial" w:cs="Arial" w:eastAsia="Arial" w:hAnsi="Arial"/>
          <w:sz w:val="21"/>
          <w:szCs w:val="21"/>
          <w:b w:val="1"/>
          <w:bCs w:val="1"/>
          <w:color w:val="auto"/>
        </w:rPr>
      </w:pPr>
      <w:r>
        <w:rPr>
          <w:rFonts w:ascii="Arial" w:cs="Arial" w:eastAsia="Arial" w:hAnsi="Arial"/>
          <w:sz w:val="22"/>
          <w:szCs w:val="22"/>
          <w:color w:val="auto"/>
        </w:rPr>
        <w:t>Prior to any relevant taxable or tax withholding event, as applicable, you shall pay or make adequate arrangements satisfactory to the Company to satisfy all Tax-Related Items. In this</w:t>
      </w:r>
    </w:p>
    <w:p>
      <w:pPr>
        <w:sectPr>
          <w:pgSz w:w="11900" w:h="16838" w:orient="portrait"/>
          <w:cols w:equalWidth="0" w:num="1">
            <w:col w:w="11412"/>
          </w:cols>
          <w:pgMar w:left="248" w:top="807" w:right="239" w:bottom="1440" w:gutter="0" w:footer="0" w:header="0"/>
        </w:sectPr>
      </w:pPr>
    </w:p>
    <w:bookmarkStart w:id="61" w:name="page62"/>
    <w:bookmarkEnd w:id="61"/>
    <w:p>
      <w:pPr>
        <w:ind w:left="652"/>
        <w:spacing w:after="0"/>
        <w:rPr>
          <w:sz w:val="20"/>
          <w:szCs w:val="20"/>
          <w:color w:val="auto"/>
        </w:rPr>
      </w:pPr>
      <w:r>
        <w:rPr>
          <w:rFonts w:ascii="Arial" w:cs="Arial" w:eastAsia="Arial" w:hAnsi="Arial"/>
          <w:sz w:val="19"/>
          <w:szCs w:val="19"/>
          <w:color w:val="auto"/>
        </w:rPr>
        <w:t>regard, you authorize the Company or its agent, at the Company’s discretion, to satisfy the obligations with regard to all</w:t>
      </w:r>
    </w:p>
    <w:p>
      <w:pPr>
        <w:spacing w:after="0" w:line="5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Tax-Related Items by one or a combination of the following methods:</w:t>
      </w:r>
    </w:p>
    <w:p>
      <w:pPr>
        <w:spacing w:after="0" w:line="202" w:lineRule="exact"/>
        <w:rPr>
          <w:sz w:val="20"/>
          <w:szCs w:val="20"/>
          <w:color w:val="auto"/>
        </w:rPr>
      </w:pPr>
    </w:p>
    <w:p>
      <w:pPr>
        <w:ind w:left="1292" w:hanging="644"/>
        <w:spacing w:after="0" w:line="263" w:lineRule="auto"/>
        <w:tabs>
          <w:tab w:leader="none" w:pos="1292" w:val="left"/>
        </w:tabs>
        <w:numPr>
          <w:ilvl w:val="0"/>
          <w:numId w:val="26"/>
        </w:numPr>
        <w:rPr>
          <w:rFonts w:ascii="Arial" w:cs="Arial" w:eastAsia="Arial" w:hAnsi="Arial"/>
          <w:sz w:val="22"/>
          <w:szCs w:val="22"/>
          <w:color w:val="auto"/>
        </w:rPr>
      </w:pPr>
      <w:r>
        <w:rPr>
          <w:rFonts w:ascii="Arial" w:cs="Arial" w:eastAsia="Arial" w:hAnsi="Arial"/>
          <w:sz w:val="22"/>
          <w:szCs w:val="22"/>
          <w:color w:val="auto"/>
        </w:rPr>
        <w:t>withholding from wages or other cash compensation otherwise payable to you by the Company (or your employer, if different), and/or</w:t>
      </w:r>
    </w:p>
    <w:p>
      <w:pPr>
        <w:spacing w:after="0" w:line="174" w:lineRule="exact"/>
        <w:rPr>
          <w:rFonts w:ascii="Arial" w:cs="Arial" w:eastAsia="Arial" w:hAnsi="Arial"/>
          <w:sz w:val="22"/>
          <w:szCs w:val="22"/>
          <w:color w:val="auto"/>
        </w:rPr>
      </w:pPr>
    </w:p>
    <w:p>
      <w:pPr>
        <w:ind w:left="1292" w:hanging="644"/>
        <w:spacing w:after="0" w:line="343" w:lineRule="auto"/>
        <w:tabs>
          <w:tab w:leader="none" w:pos="1292" w:val="left"/>
        </w:tabs>
        <w:numPr>
          <w:ilvl w:val="0"/>
          <w:numId w:val="26"/>
        </w:numPr>
        <w:rPr>
          <w:rFonts w:ascii="Arial" w:cs="Arial" w:eastAsia="Arial" w:hAnsi="Arial"/>
          <w:sz w:val="16"/>
          <w:szCs w:val="16"/>
          <w:color w:val="auto"/>
        </w:rPr>
      </w:pPr>
      <w:r>
        <w:rPr>
          <w:rFonts w:ascii="Arial" w:cs="Arial" w:eastAsia="Arial" w:hAnsi="Arial"/>
          <w:sz w:val="19"/>
          <w:szCs w:val="19"/>
          <w:color w:val="auto"/>
        </w:rPr>
        <w:t>withholding from the proceeds of the sale of Shares acquired upon exercise of the Option, either through a voluntary sale or through a mandatory sale arranged by the Company (on your behalf pursuant to this authorization); and/or</w:t>
      </w:r>
    </w:p>
    <w:p>
      <w:pPr>
        <w:spacing w:after="0" w:line="104" w:lineRule="exact"/>
        <w:rPr>
          <w:rFonts w:ascii="Arial" w:cs="Arial" w:eastAsia="Arial" w:hAnsi="Arial"/>
          <w:sz w:val="16"/>
          <w:szCs w:val="16"/>
          <w:color w:val="auto"/>
        </w:rPr>
      </w:pPr>
    </w:p>
    <w:p>
      <w:pPr>
        <w:jc w:val="both"/>
        <w:ind w:left="1292" w:hanging="644"/>
        <w:spacing w:after="0" w:line="263" w:lineRule="auto"/>
        <w:tabs>
          <w:tab w:leader="none" w:pos="1292" w:val="left"/>
        </w:tabs>
        <w:numPr>
          <w:ilvl w:val="0"/>
          <w:numId w:val="26"/>
        </w:numPr>
        <w:rPr>
          <w:rFonts w:ascii="Arial" w:cs="Arial" w:eastAsia="Arial" w:hAnsi="Arial"/>
          <w:sz w:val="21"/>
          <w:szCs w:val="21"/>
          <w:color w:val="auto"/>
        </w:rPr>
      </w:pPr>
      <w:r>
        <w:rPr>
          <w:rFonts w:ascii="Arial" w:cs="Arial" w:eastAsia="Arial" w:hAnsi="Arial"/>
          <w:sz w:val="21"/>
          <w:szCs w:val="21"/>
          <w:color w:val="auto"/>
        </w:rPr>
        <w:t>withholding in Shares to be issued upon exercise of the Option, provided, however, that if you are a Section 16 officer of the Company under the Exchange Act, then the Plan Administrator (as constituted to satisfy Rule 16b-3 of the Exchange Act) shall establish the method of withholding from the alternatives herein and, if the Plan Administrator does not exercise its discretion prior to the Tax-Related Items withholding event, then you shall be entitled to elect the method of withholding from the alternatives herein.</w:t>
      </w:r>
    </w:p>
    <w:p>
      <w:pPr>
        <w:spacing w:after="0" w:line="176" w:lineRule="exact"/>
        <w:rPr>
          <w:sz w:val="20"/>
          <w:szCs w:val="20"/>
          <w:color w:val="auto"/>
        </w:rPr>
      </w:pPr>
    </w:p>
    <w:p>
      <w:pPr>
        <w:jc w:val="both"/>
        <w:ind w:left="652"/>
        <w:spacing w:after="0" w:line="260" w:lineRule="auto"/>
        <w:rPr>
          <w:sz w:val="20"/>
          <w:szCs w:val="20"/>
          <w:color w:val="auto"/>
        </w:rPr>
      </w:pPr>
      <w:r>
        <w:rPr>
          <w:rFonts w:ascii="Arial" w:cs="Arial" w:eastAsia="Arial" w:hAnsi="Arial"/>
          <w:sz w:val="21"/>
          <w:szCs w:val="21"/>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in Shares. If the obligation for Tax-Related Items is satisfied by withholding in Shares, for tax purposes, you will be deemed to have been issued the full number of Shares subject to the exercised portion of the Option, notwithstanding that a number of the Shares are held back solely for the purpose of paying the Tax-Related Items due as a result of any aspect of your participation in the Plan.</w:t>
      </w:r>
    </w:p>
    <w:p>
      <w:pPr>
        <w:spacing w:after="0" w:line="181" w:lineRule="exact"/>
        <w:rPr>
          <w:sz w:val="20"/>
          <w:szCs w:val="20"/>
          <w:color w:val="auto"/>
        </w:rPr>
      </w:pPr>
    </w:p>
    <w:p>
      <w:pPr>
        <w:jc w:val="both"/>
        <w:ind w:left="652" w:right="20"/>
        <w:spacing w:after="0" w:line="263" w:lineRule="auto"/>
        <w:rPr>
          <w:sz w:val="20"/>
          <w:szCs w:val="20"/>
          <w:color w:val="auto"/>
        </w:rPr>
      </w:pPr>
      <w:r>
        <w:rPr>
          <w:rFonts w:ascii="Arial" w:cs="Arial" w:eastAsia="Arial" w:hAnsi="Arial"/>
          <w:sz w:val="22"/>
          <w:szCs w:val="22"/>
          <w:color w:val="auto"/>
        </w:rPr>
        <w:t>The Company may refuse to honor the exercise and refuse to deliver the Shares if you fail to comply with your obligations in connection with the Tax-Related Items as described in this section.</w:t>
      </w:r>
    </w:p>
    <w:p>
      <w:pPr>
        <w:spacing w:after="0" w:line="169" w:lineRule="exact"/>
        <w:rPr>
          <w:sz w:val="20"/>
          <w:szCs w:val="20"/>
          <w:color w:val="auto"/>
        </w:rPr>
      </w:pPr>
    </w:p>
    <w:p>
      <w:pPr>
        <w:jc w:val="both"/>
        <w:ind w:left="652" w:hanging="652"/>
        <w:spacing w:after="0" w:line="247" w:lineRule="auto"/>
        <w:tabs>
          <w:tab w:leader="none" w:pos="652"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Section 409A. </w:t>
      </w:r>
      <w:r>
        <w:rPr>
          <w:rFonts w:ascii="Arial" w:cs="Arial" w:eastAsia="Arial" w:hAnsi="Arial"/>
          <w:sz w:val="22"/>
          <w:szCs w:val="22"/>
          <w:color w:val="auto"/>
        </w:rPr>
        <w:t>The Company reserves the right, to the extent the Company deems necessary or advisable in its sole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to unilaterally amend or modify the Plan, this Stock Option Agreement or the Grant Notice or adopt other policies and procedures (including amendments, policies and procedures with retroactive effect), or take any other actions, as the Plan Administrator determines are necessary or appropriate to ensure that this Option qualifies for exemption from, or complies with the requirements of, Section 409A of the Code; provided, however, that the Company makes no representation that the Option will be exempt from or will comply with, Section 409A of the Code, and makes no undertaking to preclude Section 409A of the Code from applying to the Option or to ensure that it complies with Section 409A of the Code.</w:t>
      </w:r>
    </w:p>
    <w:p>
      <w:pPr>
        <w:sectPr>
          <w:pgSz w:w="11900" w:h="16838" w:orient="portrait"/>
          <w:cols w:equalWidth="0" w:num="1">
            <w:col w:w="11412"/>
          </w:cols>
          <w:pgMar w:left="248" w:top="807" w:right="239" w:bottom="1440" w:gutter="0" w:footer="0" w:header="0"/>
        </w:sectPr>
      </w:pPr>
    </w:p>
    <w:bookmarkStart w:id="62" w:name="page63"/>
    <w:bookmarkEnd w:id="62"/>
    <w:p>
      <w:pPr>
        <w:jc w:val="both"/>
        <w:ind w:left="652" w:hanging="652"/>
        <w:spacing w:after="0" w:line="256" w:lineRule="auto"/>
        <w:tabs>
          <w:tab w:leader="none" w:pos="652"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Option Not an Employment or Service Contract. </w:t>
      </w:r>
      <w:r>
        <w:rPr>
          <w:rFonts w:ascii="Arial" w:cs="Arial" w:eastAsia="Arial" w:hAnsi="Arial"/>
          <w:sz w:val="22"/>
          <w:szCs w:val="22"/>
          <w:color w:val="auto"/>
        </w:rPr>
        <w:t>Nothing in the Plan or any award under the Plan will be deemed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an employment contract or limit in any way the right of the Company to terminate your employment at any time, with or without cause.</w:t>
      </w:r>
    </w:p>
    <w:p>
      <w:pPr>
        <w:spacing w:after="0" w:line="176" w:lineRule="exact"/>
        <w:rPr>
          <w:rFonts w:ascii="Arial" w:cs="Arial" w:eastAsia="Arial" w:hAnsi="Arial"/>
          <w:sz w:val="22"/>
          <w:szCs w:val="22"/>
          <w:b w:val="1"/>
          <w:bCs w:val="1"/>
          <w:color w:val="auto"/>
        </w:rPr>
      </w:pPr>
    </w:p>
    <w:p>
      <w:pPr>
        <w:ind w:left="652" w:hanging="652"/>
        <w:spacing w:after="0" w:line="293" w:lineRule="auto"/>
        <w:tabs>
          <w:tab w:leader="none" w:pos="652"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Successors and Assigns</w:t>
      </w:r>
      <w:r>
        <w:rPr>
          <w:rFonts w:ascii="Arial" w:cs="Arial" w:eastAsia="Arial" w:hAnsi="Arial"/>
          <w:sz w:val="21"/>
          <w:szCs w:val="21"/>
          <w:color w:val="auto"/>
        </w:rPr>
        <w:t>. This Stock Option Agreement will inure to the benefit of the successors and assigns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and be binding upon you and your heirs, executors, administrators, successors and assigns.</w:t>
      </w:r>
    </w:p>
    <w:p>
      <w:pPr>
        <w:spacing w:after="0" w:line="139" w:lineRule="exact"/>
        <w:rPr>
          <w:rFonts w:ascii="Arial" w:cs="Arial" w:eastAsia="Arial" w:hAnsi="Arial"/>
          <w:sz w:val="21"/>
          <w:szCs w:val="21"/>
          <w:b w:val="1"/>
          <w:bCs w:val="1"/>
          <w:color w:val="auto"/>
        </w:rPr>
      </w:pPr>
    </w:p>
    <w:p>
      <w:pPr>
        <w:jc w:val="both"/>
        <w:ind w:left="652" w:hanging="652"/>
        <w:spacing w:after="0" w:line="249" w:lineRule="auto"/>
        <w:tabs>
          <w:tab w:leader="none" w:pos="652"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Data Privacy. </w:t>
      </w:r>
      <w:r>
        <w:rPr>
          <w:rFonts w:ascii="Arial" w:cs="Arial" w:eastAsia="Arial" w:hAnsi="Arial"/>
          <w:sz w:val="22"/>
          <w:szCs w:val="22"/>
          <w:color w:val="auto"/>
        </w:rPr>
        <w:t>You hereby explicitly and unambiguously consent to the collection, use and transfer, in electronic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form, of your personal data as described in the Grant Notice by and among, as applicable, the Company and its Related Corporations and any stock plan service provider, including any designated broker, that may assist the Company with the Plan (presently or in the future) for the exclusive purpose of implementing, administering and managing your participation in the Plan.</w:t>
      </w:r>
    </w:p>
    <w:p>
      <w:pPr>
        <w:spacing w:after="0" w:line="186" w:lineRule="exact"/>
        <w:rPr>
          <w:rFonts w:ascii="Arial" w:cs="Arial" w:eastAsia="Arial" w:hAnsi="Arial"/>
          <w:sz w:val="22"/>
          <w:szCs w:val="22"/>
          <w:b w:val="1"/>
          <w:bCs w:val="1"/>
          <w:color w:val="auto"/>
        </w:rPr>
      </w:pPr>
    </w:p>
    <w:p>
      <w:pPr>
        <w:jc w:val="both"/>
        <w:ind w:left="652" w:hanging="652"/>
        <w:spacing w:after="0" w:line="252" w:lineRule="auto"/>
        <w:tabs>
          <w:tab w:leader="none" w:pos="652"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Participation. </w:t>
      </w:r>
      <w:r>
        <w:rPr>
          <w:rFonts w:ascii="Arial" w:cs="Arial" w:eastAsia="Arial" w:hAnsi="Arial"/>
          <w:sz w:val="22"/>
          <w:szCs w:val="22"/>
          <w:color w:val="auto"/>
        </w:rPr>
        <w:t>The Company may, in its sole discretion, decide to deliver any documents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0" w:lineRule="exact"/>
        <w:rPr>
          <w:rFonts w:ascii="Arial" w:cs="Arial" w:eastAsia="Arial" w:hAnsi="Arial"/>
          <w:sz w:val="22"/>
          <w:szCs w:val="22"/>
          <w:b w:val="1"/>
          <w:bCs w:val="1"/>
          <w:color w:val="auto"/>
        </w:rPr>
      </w:pPr>
    </w:p>
    <w:p>
      <w:pPr>
        <w:jc w:val="both"/>
        <w:ind w:left="652" w:hanging="652"/>
        <w:spacing w:after="0" w:line="256" w:lineRule="auto"/>
        <w:tabs>
          <w:tab w:leader="none" w:pos="652"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If you relocate to another country, any special terms and conditions applicable to</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options granted in such country will apply to you, to the extent the Company determines that the application of such terms and conditions is necessary or advisable for legal or administrative reasons.</w:t>
      </w:r>
    </w:p>
    <w:p>
      <w:pPr>
        <w:spacing w:after="0" w:line="182" w:lineRule="exact"/>
        <w:rPr>
          <w:rFonts w:ascii="Arial" w:cs="Arial" w:eastAsia="Arial" w:hAnsi="Arial"/>
          <w:sz w:val="22"/>
          <w:szCs w:val="22"/>
          <w:b w:val="1"/>
          <w:bCs w:val="1"/>
          <w:color w:val="auto"/>
        </w:rPr>
      </w:pPr>
    </w:p>
    <w:p>
      <w:pPr>
        <w:jc w:val="both"/>
        <w:ind w:left="652"/>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In addition, the Company reserves the right to impose other requirements on the Option and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27" w:lineRule="exact"/>
        <w:rPr>
          <w:rFonts w:ascii="Arial" w:cs="Arial" w:eastAsia="Arial" w:hAnsi="Arial"/>
          <w:sz w:val="22"/>
          <w:szCs w:val="22"/>
          <w:b w:val="1"/>
          <w:bCs w:val="1"/>
          <w:color w:val="auto"/>
        </w:rPr>
      </w:pPr>
    </w:p>
    <w:p>
      <w:pPr>
        <w:jc w:val="both"/>
        <w:ind w:left="652" w:hanging="652"/>
        <w:spacing w:after="0" w:line="295" w:lineRule="auto"/>
        <w:tabs>
          <w:tab w:leader="none" w:pos="652"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 and Choice of Venue</w:t>
      </w:r>
      <w:r>
        <w:rPr>
          <w:rFonts w:ascii="Arial" w:cs="Arial" w:eastAsia="Arial" w:hAnsi="Arial"/>
          <w:sz w:val="19"/>
          <w:szCs w:val="19"/>
          <w:color w:val="auto"/>
        </w:rPr>
        <w:t>. The Option and the provisions of this Stock Option Agreement will be construed</w:t>
      </w:r>
      <w:r>
        <w:rPr>
          <w:rFonts w:ascii="Arial" w:cs="Arial" w:eastAsia="Arial" w:hAnsi="Arial"/>
          <w:sz w:val="19"/>
          <w:szCs w:val="19"/>
          <w:b w:val="1"/>
          <w:bCs w:val="1"/>
          <w:color w:val="auto"/>
        </w:rPr>
        <w:t xml:space="preserve"> </w:t>
      </w:r>
      <w:r>
        <w:rPr>
          <w:rFonts w:ascii="Arial" w:cs="Arial" w:eastAsia="Arial" w:hAnsi="Arial"/>
          <w:sz w:val="19"/>
          <w:szCs w:val="19"/>
          <w:color w:val="auto"/>
        </w:rPr>
        <w:t>and administered in accordance with and governed by the laws of the State of Washington without giving effect to such state’s principles of conflict of laws. For the purposes of litigating any dispute that arises under this grant of this Stock Option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44" w:lineRule="exact"/>
        <w:rPr>
          <w:rFonts w:ascii="Arial" w:cs="Arial" w:eastAsia="Arial" w:hAnsi="Arial"/>
          <w:sz w:val="19"/>
          <w:szCs w:val="19"/>
          <w:b w:val="1"/>
          <w:bCs w:val="1"/>
          <w:color w:val="auto"/>
        </w:rPr>
      </w:pPr>
    </w:p>
    <w:p>
      <w:pPr>
        <w:jc w:val="both"/>
        <w:ind w:left="652" w:hanging="652"/>
        <w:spacing w:after="0" w:line="256" w:lineRule="auto"/>
        <w:tabs>
          <w:tab w:leader="none" w:pos="652"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The provisions of this Stock Option Agreement are severable and if any one or more provisions are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to be illegal or otherwise unenforceable, in whole or in part, the remaining provisions shall nevertheless be binding and enforceable.</w:t>
      </w:r>
    </w:p>
    <w:p>
      <w:pPr>
        <w:spacing w:after="0" w:line="176" w:lineRule="exact"/>
        <w:rPr>
          <w:rFonts w:ascii="Arial" w:cs="Arial" w:eastAsia="Arial" w:hAnsi="Arial"/>
          <w:sz w:val="22"/>
          <w:szCs w:val="22"/>
          <w:b w:val="1"/>
          <w:bCs w:val="1"/>
          <w:color w:val="auto"/>
        </w:rPr>
      </w:pPr>
    </w:p>
    <w:p>
      <w:pPr>
        <w:ind w:left="652" w:hanging="652"/>
        <w:spacing w:after="0"/>
        <w:tabs>
          <w:tab w:leader="none" w:pos="652"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Any notice required or permitted hereunder shall be made in writing and sent to the following address:</w:t>
      </w:r>
    </w:p>
    <w:p>
      <w:pPr>
        <w:sectPr>
          <w:pgSz w:w="11900" w:h="16838" w:orient="portrait"/>
          <w:cols w:equalWidth="0" w:num="1">
            <w:col w:w="11412"/>
          </w:cols>
          <w:pgMar w:left="248" w:top="801" w:right="239" w:bottom="1440" w:gutter="0" w:footer="0" w:header="0"/>
        </w:sectPr>
      </w:pPr>
    </w:p>
    <w:bookmarkStart w:id="63" w:name="page64"/>
    <w:bookmarkEnd w:id="63"/>
    <w:p>
      <w:pPr>
        <w:ind w:left="2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9"/>
          <w:szCs w:val="19"/>
          <w:color w:val="auto"/>
        </w:rPr>
        <w:t>Liberty Lake, WA USA 99019</w:t>
      </w:r>
    </w:p>
    <w:p>
      <w:pPr>
        <w:sectPr>
          <w:pgSz w:w="11900" w:h="16838" w:orient="portrait"/>
          <w:cols w:equalWidth="0" w:num="1">
            <w:col w:w="9019"/>
          </w:cols>
          <w:pgMar w:left="1440" w:top="807"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ALL PARTICIPANTS (EXCLUDING FRANCE)</w:t>
      </w:r>
    </w:p>
    <w:p>
      <w:pPr>
        <w:spacing w:after="0" w:line="200" w:lineRule="exact"/>
        <w:rPr>
          <w:sz w:val="20"/>
          <w:szCs w:val="20"/>
          <w:color w:val="auto"/>
        </w:rPr>
      </w:pP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the Restricted Stock Unit Award Agreement, including Appendix A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Itron, Inc.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Number of Restricted Stock Units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FF0000"/>
        </w:rPr>
        <w:t>«First_Name» «Last_Name»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0000"/>
        </w:rPr>
        <w:t>«Grant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0000"/>
        </w:rPr>
        <w:t>«# of Units»</w:t>
      </w:r>
    </w:p>
    <w:p>
      <w:pPr>
        <w:spacing w:after="0" w:line="110"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The Award will vest with respect to one-third of the Restricted Stock Units on each of the first, second and third anniversaries of the Grant Date (each, a “</w:t>
      </w:r>
      <w:r>
        <w:rPr>
          <w:rFonts w:ascii="Arial" w:cs="Arial" w:eastAsia="Arial" w:hAnsi="Arial"/>
          <w:sz w:val="19"/>
          <w:szCs w:val="19"/>
          <w:b w:val="1"/>
          <w:bCs w:val="1"/>
          <w:i w:val="1"/>
          <w:iCs w:val="1"/>
          <w:color w:val="auto"/>
        </w:rPr>
        <w:t>Vest Date</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5140" w:space="720"/>
            <w:col w:w="5560"/>
          </w:cols>
          <w:pgMar w:left="240" w:top="364" w:right="239" w:bottom="1440" w:gutter="0" w:footer="0" w:header="0"/>
          <w:type w:val="continuous"/>
        </w:sectPr>
      </w:pP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22"/>
          <w:szCs w:val="22"/>
          <w:color w:val="FF0000"/>
        </w:rPr>
        <w:t>«First_Name» «Last_Name»</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I accept this award subject to the terms and conditions stated herein.</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22"/>
          <w:szCs w:val="22"/>
          <w:color w:val="FF0000"/>
        </w:rPr>
        <w:t>«Electronically Signed»</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Attachments: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Restricted Stock Unit Award Agreement, including Appendix A</w:t>
      </w:r>
    </w:p>
    <w:p>
      <w:pPr>
        <w:spacing w:after="0" w:line="44" w:lineRule="exact"/>
        <w:rPr>
          <w:sz w:val="20"/>
          <w:szCs w:val="20"/>
          <w:color w:val="auto"/>
        </w:rPr>
      </w:pPr>
    </w:p>
    <w:p>
      <w:pPr>
        <w:ind w:left="700" w:hanging="219"/>
        <w:spacing w:after="0"/>
        <w:tabs>
          <w:tab w:leader="none" w:pos="7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Amended and Restated 2010 Stock Incentive Plan</w:t>
      </w:r>
    </w:p>
    <w:p>
      <w:pPr>
        <w:spacing w:after="0" w:line="44" w:lineRule="exact"/>
        <w:rPr>
          <w:rFonts w:ascii="Arial" w:cs="Arial" w:eastAsia="Arial" w:hAnsi="Arial"/>
          <w:sz w:val="22"/>
          <w:szCs w:val="22"/>
          <w:color w:val="auto"/>
        </w:rPr>
      </w:pPr>
    </w:p>
    <w:p>
      <w:pPr>
        <w:ind w:left="460" w:hanging="209"/>
        <w:spacing w:after="0"/>
        <w:tabs>
          <w:tab w:leader="none" w:pos="4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Plan Prospectus</w:t>
      </w:r>
    </w:p>
    <w:p>
      <w:pPr>
        <w:sectPr>
          <w:pgSz w:w="11900" w:h="16838" w:orient="portrait"/>
          <w:cols w:equalWidth="0" w:num="1">
            <w:col w:w="11420"/>
          </w:cols>
          <w:pgMar w:left="240" w:top="364" w:right="239" w:bottom="1440" w:gutter="0" w:footer="0" w:header="0"/>
          <w:type w:val="continuous"/>
        </w:sectPr>
      </w:pPr>
    </w:p>
    <w:bookmarkStart w:id="65" w:name="page66"/>
    <w:bookmarkEnd w:id="65"/>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ALL PARTICIPANTS (EXCLUDING FRANCE)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Restricted Stock Unit Award Agreement, including Appendix A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indicated in your Award Notice. Capitalized terms not expressly defined in this Agreement but defined in the Plan shall have the same definitions as in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660" w:hanging="584"/>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Award will vest according to the vesting schedule set forth in the Award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i w:val="1"/>
          <w:iCs w:val="1"/>
          <w:color w:val="auto"/>
        </w:rPr>
        <w:t>”</w:t>
      </w:r>
      <w:r>
        <w:rPr>
          <w:rFonts w:ascii="Arial" w:cs="Arial" w:eastAsia="Arial" w:hAnsi="Arial"/>
          <w:sz w:val="19"/>
          <w:szCs w:val="19"/>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9"/>
          <w:szCs w:val="19"/>
          <w:b w:val="1"/>
          <w:bCs w:val="1"/>
          <w:i w:val="1"/>
          <w:iCs w:val="1"/>
          <w:color w:val="auto"/>
        </w:rPr>
        <w:t>Vested Units</w:t>
      </w:r>
      <w:r>
        <w:rPr>
          <w:rFonts w:ascii="Arial" w:cs="Arial" w:eastAsia="Arial" w:hAnsi="Arial"/>
          <w:sz w:val="19"/>
          <w:szCs w:val="19"/>
          <w:color w:val="auto"/>
        </w:rPr>
        <w:t>.” Restricted stock units that have not vested and remain subject to forfeiture under the Vesting Schedule are referred to herein as “</w:t>
      </w:r>
      <w:r>
        <w:rPr>
          <w:rFonts w:ascii="Arial" w:cs="Arial" w:eastAsia="Arial" w:hAnsi="Arial"/>
          <w:sz w:val="19"/>
          <w:szCs w:val="19"/>
          <w:b w:val="1"/>
          <w:bCs w:val="1"/>
          <w:i w:val="1"/>
          <w:iCs w:val="1"/>
          <w:color w:val="auto"/>
        </w:rPr>
        <w:t>Unvested Units</w:t>
      </w:r>
      <w:r>
        <w:rPr>
          <w:rFonts w:ascii="Arial" w:cs="Arial" w:eastAsia="Arial" w:hAnsi="Arial"/>
          <w:sz w:val="19"/>
          <w:szCs w:val="19"/>
          <w:color w:val="auto"/>
        </w:rPr>
        <w:t>.” Except as provided in Sections 2 and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Except as provided in Sections 2 and 3 below, the Award will terminate and the Unvested Units will be forfeited upon termination of your employment for any reason.</w:t>
      </w:r>
    </w:p>
    <w:p>
      <w:pPr>
        <w:spacing w:after="0" w:line="151" w:lineRule="exact"/>
        <w:rPr>
          <w:sz w:val="20"/>
          <w:szCs w:val="20"/>
          <w:color w:val="auto"/>
        </w:rPr>
      </w:pPr>
    </w:p>
    <w:p>
      <w:pPr>
        <w:ind w:left="660" w:hanging="584"/>
        <w:spacing w:after="0"/>
        <w:tabs>
          <w:tab w:leader="none" w:pos="6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Death or Disability</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 the event that your employment terminates during the Units’ vesting period by reason of death or Disability, any Unvested Units will accelerate in vesting and become Vested Units upon such termination of employment.</w:t>
      </w:r>
    </w:p>
    <w:p>
      <w:pPr>
        <w:spacing w:after="0" w:line="277" w:lineRule="exact"/>
        <w:rPr>
          <w:sz w:val="20"/>
          <w:szCs w:val="20"/>
          <w:color w:val="auto"/>
        </w:rPr>
      </w:pPr>
    </w:p>
    <w:p>
      <w:pPr>
        <w:ind w:left="660" w:hanging="584"/>
        <w:spacing w:after="0"/>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In the event of a Change in Control Transaction, the Award will be subject to any change in control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party to a CIC Agreement, the provisions of this Section 3 shall apply.</w:t>
      </w:r>
    </w:p>
    <w:p>
      <w:pPr>
        <w:spacing w:after="0" w:line="17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In the event of a Change in Control Transaction in which (i) the Unvested Units are not assumed, substituted for,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converted into an award of the acquiring or surviving corporation (or a publicly-traded parent thereof) in a manner which prevents dilution of your rights under the Award or (ii) the acquiring or surviving corporation (or parent thereof) is not publicly-traded, any Unvested Units shall become immediately and fully vested as of the date of the Change in Control Transaction.</w:t>
      </w:r>
    </w:p>
    <w:p>
      <w:pPr>
        <w:sectPr>
          <w:pgSz w:w="11900" w:h="16838" w:orient="portrait"/>
          <w:cols w:equalWidth="0" w:num="1">
            <w:col w:w="11420"/>
          </w:cols>
          <w:pgMar w:left="240" w:top="369" w:right="239" w:bottom="1440" w:gutter="0" w:footer="0" w:header="0"/>
        </w:sectPr>
      </w:pPr>
    </w:p>
    <w:bookmarkStart w:id="66" w:name="page67"/>
    <w:bookmarkEnd w:id="66"/>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color w:val="auto"/>
        </w:rPr>
        <w:t>In the event of a Change in Control Transaction in which your Unvested Units are assumed, substituted for,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converted into an award of the acquiring or surviving public corporation (or a publicly-traded parent thereof) and your employment is terminated within twenty-four (24) months following such Change in Control Transaction, other than (a) by the Company for Cause, (b) by reason of death or Disability (which shall be governed by Section 2), or (c) by you without Good Reason, any Unvested Units shall become immediately and fully vested as of the date of your termination of employment.</w:t>
      </w:r>
    </w:p>
    <w:p>
      <w:pPr>
        <w:spacing w:after="0" w:line="1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color w:val="auto"/>
        </w:rPr>
        <w:t>Definitions - For purposes of this Section 3, the following capitalized terms shall have the meanings set forth below:</w:t>
      </w:r>
    </w:p>
    <w:p>
      <w:pPr>
        <w:spacing w:after="0" w:line="239" w:lineRule="exact"/>
        <w:rPr>
          <w:sz w:val="20"/>
          <w:szCs w:val="20"/>
          <w:color w:val="auto"/>
        </w:rPr>
      </w:pPr>
    </w:p>
    <w:p>
      <w:pPr>
        <w:jc w:val="both"/>
        <w:ind w:firstLine="1372"/>
        <w:spacing w:after="0" w:line="260" w:lineRule="auto"/>
        <w:tabs>
          <w:tab w:leader="none" w:pos="1838" w:val="left"/>
        </w:tabs>
        <w:numPr>
          <w:ilvl w:val="2"/>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77" w:lineRule="exact"/>
        <w:rPr>
          <w:rFonts w:ascii="Arial" w:cs="Arial" w:eastAsia="Arial" w:hAnsi="Arial"/>
          <w:sz w:val="22"/>
          <w:szCs w:val="22"/>
          <w:color w:val="auto"/>
        </w:rPr>
      </w:pPr>
    </w:p>
    <w:p>
      <w:pPr>
        <w:ind w:left="1800" w:hanging="428"/>
        <w:spacing w:after="0" w:line="253" w:lineRule="exact"/>
        <w:tabs>
          <w:tab w:leader="none" w:pos="1800" w:val="left"/>
        </w:tabs>
        <w:numPr>
          <w:ilvl w:val="2"/>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pacing w:after="0" w:line="233" w:lineRule="exact"/>
        <w:rPr>
          <w:rFonts w:ascii="Arial" w:cs="Arial" w:eastAsia="Arial" w:hAnsi="Arial"/>
          <w:sz w:val="22"/>
          <w:szCs w:val="22"/>
          <w:color w:val="auto"/>
        </w:rPr>
      </w:pPr>
    </w:p>
    <w:p>
      <w:pPr>
        <w:jc w:val="both"/>
        <w:ind w:firstLine="1372"/>
        <w:spacing w:after="0" w:line="289" w:lineRule="auto"/>
        <w:tabs>
          <w:tab w:leader="none" w:pos="1797" w:val="left"/>
        </w:tabs>
        <w:numPr>
          <w:ilvl w:val="2"/>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your employment by the Company or your employer, if different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shall mean (i) your willful and continued failure (other than any such failure resulting from (A) your incapacity due to physical or mental illness, (B) any such actual or anticipated failure after the issuance by you of a notice of 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(ii) your conviction by a court of competent jurisdiction for felony 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58" w:lineRule="exact"/>
        <w:rPr>
          <w:rFonts w:ascii="Arial" w:cs="Arial" w:eastAsia="Arial" w:hAnsi="Arial"/>
          <w:sz w:val="19"/>
          <w:szCs w:val="19"/>
          <w:color w:val="auto"/>
        </w:rPr>
      </w:pPr>
    </w:p>
    <w:p>
      <w:pPr>
        <w:jc w:val="both"/>
        <w:ind w:firstLine="1305"/>
        <w:spacing w:after="0" w:line="293" w:lineRule="auto"/>
        <w:tabs>
          <w:tab w:leader="none" w:pos="1769" w:val="left"/>
        </w:tabs>
        <w:numPr>
          <w:ilvl w:val="1"/>
          <w:numId w:val="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(i), (ii), (iii),</w:t>
      </w:r>
    </w:p>
    <w:p>
      <w:pPr>
        <w:spacing w:after="0" w:line="1" w:lineRule="exact"/>
        <w:rPr>
          <w:rFonts w:ascii="Arial" w:cs="Arial" w:eastAsia="Arial" w:hAnsi="Arial"/>
          <w:sz w:val="19"/>
          <w:szCs w:val="19"/>
          <w:color w:val="auto"/>
        </w:rPr>
      </w:pPr>
    </w:p>
    <w:p>
      <w:pPr>
        <w:ind w:firstLine="8"/>
        <w:spacing w:after="0" w:line="246" w:lineRule="auto"/>
        <w:tabs>
          <w:tab w:leader="none" w:pos="371" w:val="left"/>
        </w:tabs>
        <w:numPr>
          <w:ilvl w:val="0"/>
          <w:numId w:val="36"/>
        </w:numPr>
        <w:rPr>
          <w:rFonts w:ascii="Arial" w:cs="Arial" w:eastAsia="Arial" w:hAnsi="Arial"/>
          <w:sz w:val="22"/>
          <w:szCs w:val="22"/>
          <w:color w:val="auto"/>
        </w:rPr>
      </w:pPr>
      <w:r>
        <w:rPr>
          <w:rFonts w:ascii="Arial" w:cs="Arial" w:eastAsia="Arial" w:hAnsi="Arial"/>
          <w:sz w:val="22"/>
          <w:szCs w:val="22"/>
          <w:color w:val="auto"/>
        </w:rPr>
        <w:t>or (v) below, such act or failure to act is corrected prior to the date of your termination specified in a notice of termination in a form prescribed by the Company given in respect thereof:</w:t>
      </w:r>
    </w:p>
    <w:p>
      <w:pPr>
        <w:sectPr>
          <w:pgSz w:w="11900" w:h="16838" w:orient="portrait"/>
          <w:cols w:equalWidth="0" w:num="1">
            <w:col w:w="11420"/>
          </w:cols>
          <w:pgMar w:left="240" w:top="369" w:right="239" w:bottom="1440" w:gutter="0" w:footer="0" w:header="0"/>
        </w:sectPr>
      </w:pPr>
    </w:p>
    <w:bookmarkStart w:id="67" w:name="page68"/>
    <w:bookmarkEnd w:id="67"/>
    <w:p>
      <w:pPr>
        <w:jc w:val="both"/>
        <w:ind w:firstLine="1953"/>
        <w:spacing w:after="0" w:line="300" w:lineRule="auto"/>
        <w:tabs>
          <w:tab w:leader="none" w:pos="2419"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2400" w:hanging="447"/>
        <w:spacing w:after="0"/>
        <w:tabs>
          <w:tab w:leader="none" w:pos="24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33" w:lineRule="exact"/>
        <w:rPr>
          <w:rFonts w:ascii="Arial" w:cs="Arial" w:eastAsia="Arial" w:hAnsi="Arial"/>
          <w:sz w:val="22"/>
          <w:szCs w:val="22"/>
          <w:color w:val="auto"/>
        </w:rPr>
      </w:pPr>
    </w:p>
    <w:p>
      <w:pPr>
        <w:ind w:firstLine="1953"/>
        <w:spacing w:after="0" w:line="276" w:lineRule="auto"/>
        <w:tabs>
          <w:tab w:leader="none" w:pos="2503"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160" w:lineRule="exact"/>
        <w:rPr>
          <w:rFonts w:ascii="Arial" w:cs="Arial" w:eastAsia="Arial" w:hAnsi="Arial"/>
          <w:sz w:val="22"/>
          <w:szCs w:val="22"/>
          <w:color w:val="auto"/>
        </w:rPr>
      </w:pPr>
    </w:p>
    <w:p>
      <w:pPr>
        <w:ind w:firstLine="1953"/>
        <w:spacing w:after="0" w:line="276" w:lineRule="auto"/>
        <w:tabs>
          <w:tab w:leader="none" w:pos="2558"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failure to continue provide welfare, pension and fringe benefits which are in each case, in the aggregate, substantially similar to those provided to you immediately prior to Change in Control Transaction;</w:t>
      </w:r>
    </w:p>
    <w:p>
      <w:pPr>
        <w:spacing w:after="0" w:line="160" w:lineRule="exact"/>
        <w:rPr>
          <w:rFonts w:ascii="Arial" w:cs="Arial" w:eastAsia="Arial" w:hAnsi="Arial"/>
          <w:sz w:val="22"/>
          <w:szCs w:val="22"/>
          <w:color w:val="auto"/>
        </w:rPr>
      </w:pPr>
    </w:p>
    <w:p>
      <w:pPr>
        <w:jc w:val="both"/>
        <w:ind w:firstLine="1953"/>
        <w:spacing w:after="0" w:line="254" w:lineRule="auto"/>
        <w:tabs>
          <w:tab w:leader="none" w:pos="239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or</w:t>
      </w:r>
    </w:p>
    <w:p>
      <w:pPr>
        <w:spacing w:after="0" w:line="18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Notwithstanding the foregoing, the events described in clauses (ii), (iii) or (iv)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58" w:lineRule="exact"/>
        <w:rPr>
          <w:sz w:val="20"/>
          <w:szCs w:val="20"/>
          <w:color w:val="auto"/>
        </w:rPr>
      </w:pPr>
    </w:p>
    <w:p>
      <w:pPr>
        <w:jc w:val="both"/>
        <w:ind w:firstLine="1305"/>
        <w:spacing w:after="0" w:line="300" w:lineRule="auto"/>
        <w:tabs>
          <w:tab w:leader="none" w:pos="1851" w:val="left"/>
        </w:tabs>
        <w:numPr>
          <w:ilvl w:val="0"/>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ectPr>
          <w:pgSz w:w="11900" w:h="16838" w:orient="portrait"/>
          <w:cols w:equalWidth="0" w:num="1">
            <w:col w:w="11420"/>
          </w:cols>
          <w:pgMar w:left="240" w:top="375" w:right="239" w:bottom="1440" w:gutter="0" w:footer="0" w:header="0"/>
        </w:sectPr>
      </w:pPr>
    </w:p>
    <w:bookmarkStart w:id="68" w:name="page69"/>
    <w:bookmarkEnd w:id="68"/>
    <w:p>
      <w:pPr>
        <w:ind w:left="660" w:hanging="584"/>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Vested Units shall be settled on the earliest to occur of (a) a date within 30 days following the applicable Vest Date, (b) a date within 30 days following the termination of your employment (i) due to death or Disability pursuant to Section 2 above or (ii) following a Change in Control Transaction pursuant to Section 3.3 above, or (c) the date of a Change in Control Transaction pursuant to Section 3.2 above that constitutes a “change in control event” within the meaning of U.S. Treasury Regulation Section 1.409A-3(i)(5).</w:t>
      </w:r>
    </w:p>
    <w:p>
      <w:pPr>
        <w:spacing w:after="0" w:line="186" w:lineRule="exact"/>
        <w:rPr>
          <w:sz w:val="20"/>
          <w:szCs w:val="20"/>
          <w:color w:val="auto"/>
        </w:rPr>
      </w:pPr>
    </w:p>
    <w:p>
      <w:pPr>
        <w:ind w:left="660" w:hanging="584"/>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77" w:lineRule="exact"/>
        <w:rPr>
          <w:sz w:val="20"/>
          <w:szCs w:val="20"/>
          <w:color w:val="auto"/>
        </w:rPr>
      </w:pPr>
    </w:p>
    <w:p>
      <w:pPr>
        <w:ind w:left="660" w:hanging="584"/>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26"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Units shall not be sold, transferred, assigned, encumbered, pledged or otherwise disposed of, whether voluntarily or by operation of law.</w:t>
      </w:r>
    </w:p>
    <w:p>
      <w:pPr>
        <w:sectPr>
          <w:pgSz w:w="11900" w:h="16838" w:orient="portrait"/>
          <w:cols w:equalWidth="0" w:num="1">
            <w:col w:w="11420"/>
          </w:cols>
          <w:pgMar w:left="240" w:top="585" w:right="239" w:bottom="1440" w:gutter="0" w:footer="0" w:header="0"/>
        </w:sectPr>
      </w:pPr>
    </w:p>
    <w:bookmarkStart w:id="69" w:name="page70"/>
    <w:bookmarkEnd w:id="69"/>
    <w:p>
      <w:pPr>
        <w:ind w:left="660" w:hanging="584"/>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Units.</w:t>
      </w:r>
    </w:p>
    <w:p>
      <w:pPr>
        <w:spacing w:after="0" w:line="213" w:lineRule="exact"/>
        <w:rPr>
          <w:rFonts w:ascii="Arial" w:cs="Arial" w:eastAsia="Arial" w:hAnsi="Arial"/>
          <w:sz w:val="22"/>
          <w:szCs w:val="22"/>
          <w:b w:val="1"/>
          <w:bCs w:val="1"/>
          <w:color w:val="auto"/>
        </w:rPr>
      </w:pPr>
    </w:p>
    <w:p>
      <w:pPr>
        <w:ind w:left="660" w:hanging="584"/>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ind w:left="660" w:hanging="584"/>
        <w:spacing w:after="0"/>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your employer, if different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take with respect to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income tax, social insurance, 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54" w:lineRule="exact"/>
        <w:rPr>
          <w:sz w:val="20"/>
          <w:szCs w:val="20"/>
          <w:color w:val="auto"/>
        </w:rPr>
      </w:pPr>
    </w:p>
    <w:p>
      <w:pPr>
        <w:ind w:firstLine="1372"/>
        <w:spacing w:after="0" w:line="301" w:lineRule="auto"/>
        <w:tabs>
          <w:tab w:leader="none" w:pos="1851" w:val="left"/>
        </w:tabs>
        <w:numPr>
          <w:ilvl w:val="0"/>
          <w:numId w:val="44"/>
        </w:numPr>
        <w:rPr>
          <w:rFonts w:ascii="Arial" w:cs="Arial" w:eastAsia="Arial" w:hAnsi="Arial"/>
          <w:sz w:val="21"/>
          <w:szCs w:val="21"/>
          <w:color w:val="auto"/>
        </w:rPr>
      </w:pPr>
      <w:r>
        <w:rPr>
          <w:rFonts w:ascii="Arial" w:cs="Arial" w:eastAsia="Arial" w:hAnsi="Arial"/>
          <w:sz w:val="21"/>
          <w:szCs w:val="21"/>
          <w:color w:val="auto"/>
        </w:rPr>
        <w:t>In this regard, you hereby irrevocably appoint Fidelity or any stock plan service provider or brokerage firm designated by the Company for such purpose (the “</w:t>
      </w:r>
      <w:r>
        <w:rPr>
          <w:rFonts w:ascii="Arial" w:cs="Arial" w:eastAsia="Arial" w:hAnsi="Arial"/>
          <w:sz w:val="21"/>
          <w:szCs w:val="21"/>
          <w:b w:val="1"/>
          <w:bCs w:val="1"/>
          <w:i w:val="1"/>
          <w:iCs w:val="1"/>
          <w:color w:val="auto"/>
        </w:rPr>
        <w:t>Agent</w:t>
      </w:r>
      <w:r>
        <w:rPr>
          <w:rFonts w:ascii="Arial" w:cs="Arial" w:eastAsia="Arial" w:hAnsi="Arial"/>
          <w:sz w:val="21"/>
          <w:szCs w:val="21"/>
          <w:color w:val="auto"/>
        </w:rPr>
        <w:t>”) as your Agent, and authorize the Agent, to:</w:t>
      </w:r>
    </w:p>
    <w:p>
      <w:pPr>
        <w:spacing w:after="0" w:line="353" w:lineRule="exact"/>
        <w:rPr>
          <w:rFonts w:ascii="Arial" w:cs="Arial" w:eastAsia="Arial" w:hAnsi="Arial"/>
          <w:sz w:val="21"/>
          <w:szCs w:val="21"/>
          <w:color w:val="auto"/>
        </w:rPr>
      </w:pPr>
    </w:p>
    <w:p>
      <w:pPr>
        <w:jc w:val="both"/>
        <w:ind w:firstLine="1953"/>
        <w:spacing w:after="0" w:line="254" w:lineRule="auto"/>
        <w:tabs>
          <w:tab w:leader="none" w:pos="2356" w:val="left"/>
        </w:tabs>
        <w:numPr>
          <w:ilvl w:val="1"/>
          <w:numId w:val="44"/>
        </w:numPr>
        <w:rPr>
          <w:rFonts w:ascii="Arial" w:cs="Arial" w:eastAsia="Arial" w:hAnsi="Arial"/>
          <w:sz w:val="22"/>
          <w:szCs w:val="22"/>
          <w:color w:val="auto"/>
        </w:rPr>
      </w:pPr>
      <w:r>
        <w:rPr>
          <w:rFonts w:ascii="Arial" w:cs="Arial" w:eastAsia="Arial" w:hAnsi="Arial"/>
          <w:sz w:val="22"/>
          <w:szCs w:val="22"/>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185" w:lineRule="exact"/>
        <w:rPr>
          <w:rFonts w:ascii="Arial" w:cs="Arial" w:eastAsia="Arial" w:hAnsi="Arial"/>
          <w:sz w:val="22"/>
          <w:szCs w:val="22"/>
          <w:color w:val="auto"/>
        </w:rPr>
      </w:pPr>
    </w:p>
    <w:p>
      <w:pPr>
        <w:ind w:left="2400" w:hanging="447"/>
        <w:spacing w:after="0"/>
        <w:tabs>
          <w:tab w:leader="none" w:pos="24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ectPr>
          <w:pgSz w:w="11900" w:h="16838" w:orient="portrait"/>
          <w:cols w:equalWidth="0" w:num="1">
            <w:col w:w="11420"/>
          </w:cols>
          <w:pgMar w:left="240" w:top="585" w:right="239" w:bottom="1440" w:gutter="0" w:footer="0" w:header="0"/>
        </w:sectPr>
      </w:pPr>
    </w:p>
    <w:bookmarkStart w:id="70" w:name="page71"/>
    <w:bookmarkEnd w:id="70"/>
    <w:p>
      <w:pPr>
        <w:ind w:firstLine="1953"/>
        <w:spacing w:after="0" w:line="276" w:lineRule="auto"/>
        <w:tabs>
          <w:tab w:leader="none" w:pos="2557" w:val="left"/>
        </w:tabs>
        <w:numPr>
          <w:ilvl w:val="1"/>
          <w:numId w:val="45"/>
        </w:numPr>
        <w:rPr>
          <w:rFonts w:ascii="Arial" w:cs="Arial" w:eastAsia="Arial" w:hAnsi="Arial"/>
          <w:sz w:val="22"/>
          <w:szCs w:val="22"/>
          <w:color w:val="auto"/>
        </w:rPr>
      </w:pPr>
      <w:r>
        <w:rPr>
          <w:rFonts w:ascii="Arial" w:cs="Arial" w:eastAsia="Arial" w:hAnsi="Arial"/>
          <w:sz w:val="22"/>
          <w:szCs w:val="22"/>
          <w:color w:val="auto"/>
        </w:rPr>
        <w:t>Retain the amount required to cover all applicable fees and commissions due to, or required to be collected by, the Agent, relating directly to the sale of Shares referred to in clause (i) above; and</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33" w:lineRule="exact"/>
        <w:rPr>
          <w:rFonts w:ascii="Arial" w:cs="Arial" w:eastAsia="Arial" w:hAnsi="Arial"/>
          <w:sz w:val="22"/>
          <w:szCs w:val="22"/>
          <w:color w:val="auto"/>
        </w:rPr>
      </w:pPr>
    </w:p>
    <w:p>
      <w:pPr>
        <w:jc w:val="both"/>
        <w:ind w:firstLine="1372"/>
        <w:spacing w:after="0" w:line="260" w:lineRule="auto"/>
        <w:tabs>
          <w:tab w:leader="none" w:pos="181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Alternatively, or in addition to or in combination with the withholding mechanism described in Section 9.2(a), you authorize the Company and/or the Employer, at their discretion, to satisfy the obligations with regard to all Tax-Related Items by:</w:t>
      </w:r>
    </w:p>
    <w:p>
      <w:pPr>
        <w:spacing w:after="0" w:line="393" w:lineRule="exact"/>
        <w:rPr>
          <w:rFonts w:ascii="Arial" w:cs="Arial" w:eastAsia="Arial" w:hAnsi="Arial"/>
          <w:sz w:val="22"/>
          <w:szCs w:val="22"/>
          <w:color w:val="auto"/>
        </w:rPr>
      </w:pPr>
    </w:p>
    <w:p>
      <w:pPr>
        <w:ind w:left="2340" w:hanging="387"/>
        <w:spacing w:after="0"/>
        <w:tabs>
          <w:tab w:leader="none" w:pos="2340" w:val="left"/>
        </w:tabs>
        <w:numPr>
          <w:ilvl w:val="1"/>
          <w:numId w:val="46"/>
        </w:numPr>
        <w:rPr>
          <w:rFonts w:ascii="Arial" w:cs="Arial" w:eastAsia="Arial" w:hAnsi="Arial"/>
          <w:sz w:val="19"/>
          <w:szCs w:val="19"/>
          <w:color w:val="auto"/>
        </w:rPr>
      </w:pPr>
      <w:r>
        <w:rPr>
          <w:rFonts w:ascii="Arial" w:cs="Arial" w:eastAsia="Arial" w:hAnsi="Arial"/>
          <w:sz w:val="19"/>
          <w:szCs w:val="19"/>
          <w:color w:val="auto"/>
        </w:rPr>
        <w:t>requiring you to pay to the Company or the Employer any amount of the Tax-Related Items; and/or</w:t>
      </w:r>
    </w:p>
    <w:p>
      <w:pPr>
        <w:spacing w:after="0" w:line="267" w:lineRule="exact"/>
        <w:rPr>
          <w:rFonts w:ascii="Arial" w:cs="Arial" w:eastAsia="Arial" w:hAnsi="Arial"/>
          <w:sz w:val="19"/>
          <w:szCs w:val="19"/>
          <w:color w:val="auto"/>
        </w:rPr>
      </w:pPr>
    </w:p>
    <w:p>
      <w:pPr>
        <w:ind w:firstLine="1953"/>
        <w:spacing w:after="0" w:line="276" w:lineRule="auto"/>
        <w:tabs>
          <w:tab w:leader="none" w:pos="2402" w:val="left"/>
        </w:tabs>
        <w:numPr>
          <w:ilvl w:val="1"/>
          <w:numId w:val="46"/>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60" w:lineRule="exact"/>
        <w:rPr>
          <w:rFonts w:ascii="Arial" w:cs="Arial" w:eastAsia="Arial" w:hAnsi="Arial"/>
          <w:sz w:val="22"/>
          <w:szCs w:val="22"/>
          <w:color w:val="auto"/>
        </w:rPr>
      </w:pPr>
    </w:p>
    <w:p>
      <w:pPr>
        <w:jc w:val="both"/>
        <w:ind w:firstLine="1953"/>
        <w:spacing w:after="0" w:line="251" w:lineRule="auto"/>
        <w:tabs>
          <w:tab w:leader="none" w:pos="2476" w:val="left"/>
        </w:tabs>
        <w:numPr>
          <w:ilvl w:val="1"/>
          <w:numId w:val="46"/>
        </w:numPr>
        <w:rPr>
          <w:rFonts w:ascii="Arial" w:cs="Arial" w:eastAsia="Arial" w:hAnsi="Arial"/>
          <w:sz w:val="22"/>
          <w:szCs w:val="22"/>
          <w:color w:val="auto"/>
        </w:rPr>
      </w:pPr>
      <w:r>
        <w:rPr>
          <w:rFonts w:ascii="Arial" w:cs="Arial" w:eastAsia="Arial" w:hAnsi="Arial"/>
          <w:sz w:val="22"/>
          <w:szCs w:val="22"/>
          <w:color w:val="auto"/>
        </w:rPr>
        <w:t>withholding in Shares to be issued upon settlement of the Vested Units, provided, however, that if you are a Section 16 officer of the Company under the Exchange Act, then the Plan Administrator (as constituted to satisfy Rule 16b-3 of the Exchange Act) shall establish the method of withholding from the alternatives (i) - (iii) herein and, if the Plan Administrator does not exercise its discretion prior to the Tax-Related Items withholding event, then you shall be entitled to elect the method of withholding from the alternatives (i) - (iii) herein.</w:t>
      </w:r>
    </w:p>
    <w:p>
      <w:pPr>
        <w:spacing w:after="0" w:line="189" w:lineRule="exact"/>
        <w:rPr>
          <w:rFonts w:ascii="Arial" w:cs="Arial" w:eastAsia="Arial" w:hAnsi="Arial"/>
          <w:sz w:val="22"/>
          <w:szCs w:val="22"/>
          <w:color w:val="auto"/>
        </w:rPr>
      </w:pPr>
    </w:p>
    <w:p>
      <w:pPr>
        <w:jc w:val="both"/>
        <w:ind w:firstLine="1372"/>
        <w:spacing w:after="0" w:line="248" w:lineRule="auto"/>
        <w:tabs>
          <w:tab w:leader="none" w:pos="1905"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Units sufficient to pay the Tax-Related Items.</w:t>
      </w:r>
    </w:p>
    <w:p>
      <w:pPr>
        <w:spacing w:after="0" w:line="14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w:t>
      </w:r>
    </w:p>
    <w:p>
      <w:pPr>
        <w:sectPr>
          <w:pgSz w:w="11900" w:h="16838" w:orient="portrait"/>
          <w:cols w:equalWidth="0" w:num="1">
            <w:col w:w="11420"/>
          </w:cols>
          <w:pgMar w:left="240" w:top="591" w:right="239" w:bottom="1440" w:gutter="0" w:footer="0" w:header="0"/>
        </w:sectPr>
      </w:pPr>
    </w:p>
    <w:bookmarkStart w:id="71" w:name="page72"/>
    <w:bookmarkEnd w:id="71"/>
    <w:p>
      <w:pPr>
        <w:jc w:val="both"/>
        <w:spacing w:after="0" w:line="248" w:lineRule="auto"/>
        <w:rPr>
          <w:sz w:val="20"/>
          <w:szCs w:val="20"/>
          <w:color w:val="auto"/>
        </w:rPr>
      </w:pPr>
      <w:r>
        <w:rPr>
          <w:rFonts w:ascii="Arial" w:cs="Arial" w:eastAsia="Arial" w:hAnsi="Arial"/>
          <w:sz w:val="22"/>
          <w:szCs w:val="22"/>
          <w:color w:val="auto"/>
        </w:rPr>
        <w:t>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70" w:lineRule="exact"/>
        <w:rPr>
          <w:sz w:val="20"/>
          <w:szCs w:val="20"/>
          <w:color w:val="auto"/>
        </w:rPr>
      </w:pPr>
    </w:p>
    <w:p>
      <w:pPr>
        <w:ind w:left="660" w:hanging="584"/>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 accepting the grant, you acknowledge, understand and agree that:</w:t>
      </w:r>
    </w:p>
    <w:p>
      <w:pPr>
        <w:spacing w:after="0" w:line="220" w:lineRule="exact"/>
        <w:rPr>
          <w:sz w:val="20"/>
          <w:szCs w:val="20"/>
          <w:color w:val="auto"/>
        </w:rPr>
      </w:pPr>
    </w:p>
    <w:p>
      <w:pPr>
        <w:ind w:firstLine="656"/>
        <w:spacing w:after="0" w:line="276" w:lineRule="auto"/>
        <w:tabs>
          <w:tab w:leader="none" w:pos="11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restricted stock units, or benefits in lieu of restricted stock units, even if restricted stock units have been granted in the past;</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 Company;</w:t>
      </w:r>
    </w:p>
    <w:p>
      <w:pPr>
        <w:spacing w:after="0" w:line="267" w:lineRule="exact"/>
        <w:rPr>
          <w:rFonts w:ascii="Arial" w:cs="Arial" w:eastAsia="Arial" w:hAnsi="Arial"/>
          <w:sz w:val="19"/>
          <w:szCs w:val="19"/>
          <w:color w:val="auto"/>
        </w:rPr>
      </w:pPr>
    </w:p>
    <w:p>
      <w:pPr>
        <w:jc w:val="both"/>
        <w:ind w:firstLine="656"/>
        <w:spacing w:after="0" w:line="254" w:lineRule="auto"/>
        <w:tabs>
          <w:tab w:leader="none" w:pos="1134"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67" w:lineRule="exact"/>
        <w:rPr>
          <w:rFonts w:ascii="Arial" w:cs="Arial" w:eastAsia="Arial" w:hAnsi="Arial"/>
          <w:sz w:val="19"/>
          <w:szCs w:val="19"/>
          <w:color w:val="auto"/>
        </w:rPr>
      </w:pPr>
    </w:p>
    <w:p>
      <w:pPr>
        <w:jc w:val="both"/>
        <w:ind w:firstLine="656"/>
        <w:spacing w:after="0" w:line="278" w:lineRule="auto"/>
        <w:tabs>
          <w:tab w:leader="none" w:pos="1107"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Award and the Shares subject to the Award, and the income and value of same, are not part of normal or expected compensation for purposes of calculating any severance, resignation, termination, redundancy, dismissal, end of service payments, bonuses, long-service awards, pension or retirement or welfare benefits or similar payments;</w:t>
      </w:r>
    </w:p>
    <w:p>
      <w:pPr>
        <w:spacing w:after="0" w:line="160" w:lineRule="exact"/>
        <w:rPr>
          <w:rFonts w:ascii="Arial" w:cs="Arial" w:eastAsia="Arial" w:hAnsi="Arial"/>
          <w:sz w:val="21"/>
          <w:szCs w:val="21"/>
          <w:color w:val="auto"/>
        </w:rPr>
      </w:pPr>
    </w:p>
    <w:p>
      <w:pPr>
        <w:ind w:left="1080" w:hanging="424"/>
        <w:spacing w:after="0"/>
        <w:tabs>
          <w:tab w:leader="none" w:pos="10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ectPr>
          <w:pgSz w:w="11900" w:h="16838" w:orient="portrait"/>
          <w:cols w:equalWidth="0" w:num="1">
            <w:col w:w="11420"/>
          </w:cols>
          <w:pgMar w:left="240" w:top="591" w:right="239" w:bottom="1440" w:gutter="0" w:footer="0" w:header="0"/>
        </w:sectPr>
      </w:pPr>
    </w:p>
    <w:bookmarkStart w:id="72" w:name="page73"/>
    <w:bookmarkEnd w:id="72"/>
    <w:p>
      <w:pPr>
        <w:jc w:val="both"/>
        <w:ind w:firstLine="656"/>
        <w:spacing w:after="0" w:line="260" w:lineRule="auto"/>
        <w:tabs>
          <w:tab w:leader="none" w:pos="1154" w:val="left"/>
        </w:tabs>
        <w:numPr>
          <w:ilvl w:val="0"/>
          <w:numId w:val="49"/>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 in consideration of the grant of the Award to which you are otherwise not entitled, you irrevocably agree never to institute any claim against the Company, any Related Corporation or the Employer, waive the ability, if any, to bring any such claim and release the Company, any Related Corporation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84" w:lineRule="exact"/>
        <w:rPr>
          <w:rFonts w:ascii="Arial" w:cs="Arial" w:eastAsia="Arial" w:hAnsi="Arial"/>
          <w:sz w:val="21"/>
          <w:szCs w:val="21"/>
          <w:color w:val="auto"/>
        </w:rPr>
      </w:pPr>
    </w:p>
    <w:p>
      <w:pPr>
        <w:jc w:val="both"/>
        <w:ind w:firstLine="656"/>
        <w:spacing w:after="0" w:line="290" w:lineRule="auto"/>
        <w:tabs>
          <w:tab w:leader="none" w:pos="1046" w:val="left"/>
        </w:tabs>
        <w:numPr>
          <w:ilvl w:val="0"/>
          <w:numId w:val="49"/>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55" w:lineRule="exact"/>
        <w:rPr>
          <w:rFonts w:ascii="Arial" w:cs="Arial" w:eastAsia="Arial" w:hAnsi="Arial"/>
          <w:sz w:val="19"/>
          <w:szCs w:val="19"/>
          <w:color w:val="auto"/>
        </w:rPr>
      </w:pPr>
    </w:p>
    <w:p>
      <w:pPr>
        <w:jc w:val="both"/>
        <w:ind w:firstLine="656"/>
        <w:spacing w:after="0" w:line="254" w:lineRule="auto"/>
        <w:tabs>
          <w:tab w:leader="none" w:pos="10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85" w:lineRule="exact"/>
        <w:rPr>
          <w:rFonts w:ascii="Arial" w:cs="Arial" w:eastAsia="Arial" w:hAnsi="Arial"/>
          <w:sz w:val="22"/>
          <w:szCs w:val="22"/>
          <w:color w:val="auto"/>
        </w:rPr>
      </w:pPr>
    </w:p>
    <w:p>
      <w:pPr>
        <w:ind w:left="1040" w:hanging="384"/>
        <w:spacing w:after="0"/>
        <w:tabs>
          <w:tab w:leader="none" w:pos="10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part of normal or expected compensation or salary for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purpose;</w:t>
      </w:r>
    </w:p>
    <w:p>
      <w:pPr>
        <w:spacing w:after="0" w:line="215" w:lineRule="exact"/>
        <w:rPr>
          <w:rFonts w:ascii="Arial" w:cs="Arial" w:eastAsia="Arial" w:hAnsi="Arial"/>
          <w:sz w:val="19"/>
          <w:szCs w:val="19"/>
          <w:color w:val="auto"/>
        </w:rPr>
      </w:pPr>
    </w:p>
    <w:p>
      <w:pPr>
        <w:jc w:val="both"/>
        <w:ind w:firstLine="1305"/>
        <w:spacing w:after="0" w:line="320" w:lineRule="auto"/>
        <w:tabs>
          <w:tab w:leader="none" w:pos="1781" w:val="left"/>
        </w:tabs>
        <w:numPr>
          <w:ilvl w:val="1"/>
          <w:numId w:val="49"/>
        </w:numPr>
        <w:rPr>
          <w:rFonts w:ascii="Arial" w:cs="Arial" w:eastAsia="Arial" w:hAnsi="Arial"/>
          <w:sz w:val="19"/>
          <w:szCs w:val="19"/>
          <w:color w:val="auto"/>
        </w:rPr>
      </w:pPr>
      <w:r>
        <w:rPr>
          <w:rFonts w:ascii="Arial" w:cs="Arial" w:eastAsia="Arial" w:hAnsi="Arial"/>
          <w:sz w:val="19"/>
          <w:szCs w:val="19"/>
          <w:color w:val="auto"/>
        </w:rPr>
        <w:t>neither the Company, the Employer nor any Related Corporation shall be liable for any foreign exchange rate fluctuation between your local currency and the United States dollar that may affect the value of the Award or of any amounts due to you pursuant to the settlement of the Award or the subsequent sale of any Shares acquired upon settlement.</w:t>
      </w:r>
    </w:p>
    <w:p>
      <w:pPr>
        <w:sectPr>
          <w:pgSz w:w="11900" w:h="16838" w:orient="portrait"/>
          <w:cols w:equalWidth="0" w:num="1">
            <w:col w:w="11420"/>
          </w:cols>
          <w:pgMar w:left="240" w:top="591" w:right="239" w:bottom="1440" w:gutter="0" w:footer="0" w:header="0"/>
        </w:sectPr>
      </w:pPr>
    </w:p>
    <w:bookmarkStart w:id="73" w:name="page74"/>
    <w:bookmarkEnd w:id="73"/>
    <w:p>
      <w:pPr>
        <w:spacing w:after="0"/>
        <w:tabs>
          <w:tab w:leader="none" w:pos="4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No Advice Regarding Grant</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5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adversely affected; the only adverse consequence of refusing or withdrawing your consent is that the Company would not be able to grant you the Award or other equity awards or administer or maintain such awards. Therefore, you understand that refusing or withdrawing your consent may</w:t>
      </w:r>
    </w:p>
    <w:p>
      <w:pPr>
        <w:sectPr>
          <w:pgSz w:w="11900" w:h="16838" w:orient="portrait"/>
          <w:cols w:equalWidth="0" w:num="1">
            <w:col w:w="11420"/>
          </w:cols>
          <w:pgMar w:left="240" w:top="585" w:right="239" w:bottom="1440" w:gutter="0" w:footer="0" w:header="0"/>
        </w:sectPr>
      </w:pPr>
    </w:p>
    <w:bookmarkStart w:id="74" w:name="page75"/>
    <w:bookmarkEnd w:id="74"/>
    <w:p>
      <w:pPr>
        <w:jc w:val="both"/>
        <w:spacing w:after="0" w:line="287" w:lineRule="auto"/>
        <w:rPr>
          <w:sz w:val="20"/>
          <w:szCs w:val="20"/>
          <w:color w:val="auto"/>
        </w:rPr>
      </w:pPr>
      <w:r>
        <w:rPr>
          <w:rFonts w:ascii="Arial" w:cs="Arial" w:eastAsia="Arial" w:hAnsi="Arial"/>
          <w:sz w:val="21"/>
          <w:szCs w:val="21"/>
          <w:b w:val="1"/>
          <w:bCs w:val="1"/>
          <w:i w:val="1"/>
          <w:iCs w:val="1"/>
          <w:color w:val="auto"/>
        </w:rPr>
        <w:t>affect your ability to participate in the Plan. For more information on the consequences of your refusal to consent or withdrawal of consent, you understand that you may contact your local human resources representative.</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Electronic Delivery and Participation</w:t>
      </w:r>
    </w:p>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Language</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you have received this Agreement (or any portion thereof) or any other document related to the Plan translated into a language other than English and if the meaning of the translated version is different from the English version, the English version will control.</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General Provisions</w:t>
      </w:r>
    </w:p>
    <w:p>
      <w:pPr>
        <w:spacing w:after="0" w:line="23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1" w:lineRule="auto"/>
        <w:tabs>
          <w:tab w:leader="none" w:pos="1743" w:val="left"/>
        </w:tabs>
        <w:numPr>
          <w:ilvl w:val="0"/>
          <w:numId w:val="51"/>
        </w:numPr>
        <w:rPr>
          <w:rFonts w:ascii="Arial" w:cs="Arial" w:eastAsia="Arial" w:hAnsi="Arial"/>
          <w:sz w:val="19"/>
          <w:szCs w:val="19"/>
          <w:color w:val="auto"/>
        </w:rPr>
      </w:pPr>
      <w:r>
        <w:rPr>
          <w:rFonts w:ascii="Arial" w:cs="Arial" w:eastAsia="Arial" w:hAnsi="Arial"/>
          <w:sz w:val="19"/>
          <w:szCs w:val="19"/>
          <w:color w:val="auto"/>
        </w:rPr>
        <w:t>For purposes of U.S. taxpayers, the settlement of the Units is intended to be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Units, settlement of the Units or other payment hereunder are compliant with Section 409A of the Code and will have no liability to you or any other party if the settlement of the Units or other payment hereunder that is intended to be compliant with Section 409A of the Code, is not compliant or for any action taken by the Plan Administrator with respect thereto.</w:t>
      </w:r>
    </w:p>
    <w:p>
      <w:pPr>
        <w:spacing w:after="0" w:line="154" w:lineRule="exact"/>
        <w:rPr>
          <w:rFonts w:ascii="Arial" w:cs="Arial" w:eastAsia="Arial" w:hAnsi="Arial"/>
          <w:sz w:val="19"/>
          <w:szCs w:val="19"/>
          <w:color w:val="auto"/>
        </w:rPr>
      </w:pPr>
    </w:p>
    <w:p>
      <w:pPr>
        <w:jc w:val="both"/>
        <w:ind w:firstLine="1305"/>
        <w:spacing w:after="0" w:line="294" w:lineRule="auto"/>
        <w:tabs>
          <w:tab w:leader="none" w:pos="1931"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any Units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Units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Units shall instead be settled on the first business day that is after the earlier of (i) the date that</w:t>
      </w:r>
    </w:p>
    <w:p>
      <w:pPr>
        <w:sectPr>
          <w:pgSz w:w="11900" w:h="16838" w:orient="portrait"/>
          <w:cols w:equalWidth="0" w:num="1">
            <w:col w:w="11420"/>
          </w:cols>
          <w:pgMar w:left="240" w:top="591" w:right="2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22"/>
          <w:szCs w:val="22"/>
          <w:color w:val="auto"/>
        </w:rPr>
        <w:t>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pacing w:after="0" w:line="18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15.3 Governing Law and Choice of Venue</w:t>
      </w:r>
      <w:r>
        <w:rPr>
          <w:rFonts w:ascii="Arial" w:cs="Arial" w:eastAsia="Arial" w:hAnsi="Arial"/>
          <w:sz w:val="21"/>
          <w:szCs w:val="21"/>
          <w:color w:val="auto"/>
        </w:rPr>
        <w:t>. 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69" w:lineRule="exact"/>
        <w:rPr>
          <w:sz w:val="20"/>
          <w:szCs w:val="20"/>
          <w:color w:val="auto"/>
        </w:rPr>
      </w:pPr>
    </w:p>
    <w:p>
      <w:pPr>
        <w:jc w:val="both"/>
        <w:ind w:right="20" w:firstLine="648"/>
        <w:spacing w:after="0" w:line="364"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8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Any notice required or permitted hereunder shall be made in writing and sent to the following address:</w:t>
      </w:r>
    </w:p>
    <w:p>
      <w:pPr>
        <w:spacing w:after="0" w:line="23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Liberty Lake, WA USA 99019</w:t>
      </w:r>
    </w:p>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Appendix A</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 provisions in this Agreement, the Award shall be subject to any special terms and conditions set forth in Appendix A to this Agreement for your country (“</w:t>
      </w:r>
      <w:r>
        <w:rPr>
          <w:rFonts w:ascii="Arial" w:cs="Arial" w:eastAsia="Arial" w:hAnsi="Arial"/>
          <w:sz w:val="22"/>
          <w:szCs w:val="22"/>
          <w:b w:val="1"/>
          <w:bCs w:val="1"/>
          <w:i w:val="1"/>
          <w:iCs w:val="1"/>
          <w:color w:val="auto"/>
        </w:rPr>
        <w:t>Appendix A</w:t>
      </w:r>
      <w:r>
        <w:rPr>
          <w:rFonts w:ascii="Arial" w:cs="Arial" w:eastAsia="Arial" w:hAnsi="Arial"/>
          <w:sz w:val="22"/>
          <w:szCs w:val="22"/>
          <w:color w:val="auto"/>
        </w:rPr>
        <w:t>”). Moreover, if you relocate to one of the countries included in Appendix A, the special terms and conditions for such country will apply to you, to the extent the Company determines that the application of such terms and conditions is necessary or advisable for legal or administrative reasons. Appendix A constitutes part of this Agreement.</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Imposition of Other Requirements</w:t>
      </w:r>
    </w:p>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ectPr>
          <w:pgSz w:w="11900" w:h="16838" w:orient="portrait"/>
          <w:cols w:equalWidth="0" w:num="1">
            <w:col w:w="11420"/>
          </w:cols>
          <w:pgMar w:left="240" w:top="591" w:right="239" w:bottom="1440" w:gutter="0" w:footer="0" w:header="0"/>
        </w:sectPr>
      </w:pPr>
    </w:p>
    <w:bookmarkStart w:id="76" w:name="page77"/>
    <w:bookmarkEnd w:id="76"/>
    <w:p>
      <w:pPr>
        <w:spacing w:after="0"/>
        <w:tabs>
          <w:tab w:leader="none" w:pos="44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Waiver</w:t>
      </w:r>
    </w:p>
    <w:p>
      <w:pPr>
        <w:spacing w:after="0" w:line="239"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ectPr>
          <w:pgSz w:w="11900" w:h="16838" w:orient="portrait"/>
          <w:cols w:equalWidth="0" w:num="1">
            <w:col w:w="11420"/>
          </w:cols>
          <w:pgMar w:left="240" w:top="585"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ITRON, INC.</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ALL PARTICIPANTS (EXCLUDING FRANCE)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This Appendix A includes additional terms and conditions that govern the grant of the restricted stock unit award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xml:space="preserve">) under the Itron, Inc. Amended and Restated 2010 Stock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xml:space="preserve">) in the countries listed below. Capitalized terms not expressly defined in this Appendix A but defined in the Plan or the Restricted Stock Unit Award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shall have the same definitions as in the Plan and/or the Agreement,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Appendix A also includes information regarding exchange control and other issues of which you should be aware with respect to your participation in the Plan. The information is based on the exchange control, securities and other laws in effect in the respective countries as of February 2014. Such laws are often complex and change frequently. As a result, the Company strongly recommends that you not rely on the information herein as the only source of information relating to the consequences of participation in the Plan because the information may be out of date at the time that the Award vests or the Shares acquired under the Plan are sold.</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 * * *</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you are a citizen or resident of a country other than the one in which you are currently working, or if you transfer employment or residency to another country after the Award is granted, the terms and conditions and information contained herein may not be applicable to you or may not be applicable to you in the same manner. The Company shall, in its sole discretion, determine to what extent the terms and conditions herein shall apply to you in such a situation.</w:t>
      </w:r>
    </w:p>
    <w:p>
      <w:pPr>
        <w:sectPr>
          <w:pgSz w:w="11900" w:h="16838" w:orient="portrait"/>
          <w:cols w:equalWidth="0" w:num="1">
            <w:col w:w="11420"/>
          </w:cols>
          <w:pgMar w:left="240" w:top="585"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u w:val="single" w:color="auto"/>
          <w:color w:val="auto"/>
        </w:rPr>
        <w:t>ALL COUNTRIES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Depending on your country of residence, you may be subject to insider</w:t>
      </w:r>
      <w:r>
        <w:rPr>
          <w:rFonts w:ascii="Arial" w:cs="Arial" w:eastAsia="Arial" w:hAnsi="Arial"/>
          <w:sz w:val="19"/>
          <w:szCs w:val="19"/>
          <w:b w:val="1"/>
          <w:bCs w:val="1"/>
          <w:color w:val="auto"/>
        </w:rPr>
        <w:t xml:space="preserve"> </w:t>
      </w:r>
      <w:r>
        <w:rPr>
          <w:rFonts w:ascii="Arial" w:cs="Arial" w:eastAsia="Arial" w:hAnsi="Arial"/>
          <w:sz w:val="19"/>
          <w:szCs w:val="19"/>
          <w:color w:val="auto"/>
        </w:rPr>
        <w:t>trading restrictions and/or market abuse laws, which may affect your ability to acquire or sell Shares or rights to Shares (</w:t>
      </w:r>
      <w:r>
        <w:rPr>
          <w:rFonts w:ascii="Arial" w:cs="Arial" w:eastAsia="Arial" w:hAnsi="Arial"/>
          <w:sz w:val="19"/>
          <w:szCs w:val="19"/>
          <w:i w:val="1"/>
          <w:iCs w:val="1"/>
          <w:color w:val="auto"/>
        </w:rPr>
        <w:t>e.g.</w:t>
      </w:r>
      <w:r>
        <w:rPr>
          <w:rFonts w:ascii="Arial" w:cs="Arial" w:eastAsia="Arial" w:hAnsi="Arial"/>
          <w:sz w:val="19"/>
          <w:szCs w:val="19"/>
          <w:color w:val="auto"/>
        </w:rPr>
        <w:t>, the Award)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are responsible for ensuring compliance with any applicable restrictions and you are advised to consult your personal legal advisor on this matter.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ARGENTINA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 Neither the Award nor the underlying Shares are publicly offered or listed on any stock exchange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Argentina. The offer is private and not subject to the supervision of any Argentine governmental authority.</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Exchange Control Notification</w:t>
      </w:r>
      <w:r>
        <w:rPr>
          <w:rFonts w:ascii="Arial" w:cs="Arial" w:eastAsia="Arial" w:hAnsi="Arial"/>
          <w:sz w:val="22"/>
          <w:szCs w:val="22"/>
          <w:color w:val="auto"/>
        </w:rPr>
        <w:t>. In the event that you transfer proceeds from the sale of Shares into Argentina within 10 days of</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w:t>
      </w:r>
      <w:r>
        <w:rPr>
          <w:rFonts w:ascii="Arial" w:cs="Arial" w:eastAsia="Arial" w:hAnsi="Arial"/>
          <w:sz w:val="22"/>
          <w:szCs w:val="22"/>
          <w:i w:val="1"/>
          <w:iCs w:val="1"/>
          <w:color w:val="auto"/>
        </w:rPr>
        <w:t>i.e.</w:t>
      </w:r>
      <w:r>
        <w:rPr>
          <w:rFonts w:ascii="Arial" w:cs="Arial" w:eastAsia="Arial" w:hAnsi="Arial"/>
          <w:sz w:val="22"/>
          <w:szCs w:val="22"/>
          <w:color w:val="auto"/>
        </w:rPr>
        <w:t>, the proceeds have not been held in the offshore bank or brokerage account for at least 10 days prior to transfer), you must deposit 30% of the proceeds into a non-interest bearing account in Argentina for 365 days. The Argentine bank handling the transaction may request certain documentation in connection with your request to transfer proceeds into Argentina, including evidence of the sale and proof that no funds were remitted out of Argentina to acquire the Shares. If the bank determines that the 10-day rule or any other rule or regulation promulgated by the Argentine Central Bank has not been satisfied, it will require that 30% of the proceeds be placed in a non-interest bearing dollar denominated mandatory deposit account for a holding period of 365 days.</w:t>
      </w:r>
    </w:p>
    <w:p>
      <w:pPr>
        <w:spacing w:after="0" w:line="19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Please note that exchange control regulations in Argentina are subject to frequent change. </w:t>
      </w:r>
      <w:r>
        <w:rPr>
          <w:rFonts w:ascii="Arial" w:cs="Arial" w:eastAsia="Arial" w:hAnsi="Arial"/>
          <w:sz w:val="19"/>
          <w:szCs w:val="19"/>
          <w:i w:val="1"/>
          <w:iCs w:val="1"/>
          <w:color w:val="auto"/>
        </w:rPr>
        <w:t>You should consult with your personal</w:t>
      </w:r>
      <w:r>
        <w:rPr>
          <w:rFonts w:ascii="Arial" w:cs="Arial" w:eastAsia="Arial" w:hAnsi="Arial"/>
          <w:sz w:val="19"/>
          <w:szCs w:val="19"/>
          <w:color w:val="auto"/>
        </w:rPr>
        <w:t xml:space="preserve"> </w:t>
      </w:r>
      <w:r>
        <w:rPr>
          <w:rFonts w:ascii="Arial" w:cs="Arial" w:eastAsia="Arial" w:hAnsi="Arial"/>
          <w:sz w:val="19"/>
          <w:szCs w:val="19"/>
          <w:i w:val="1"/>
          <w:iCs w:val="1"/>
          <w:color w:val="auto"/>
        </w:rPr>
        <w:t>legal advisor regarding any exchange control obligations you may have in connection with your participation in the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AUSTRALIA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If you acquire Shares under the Plan and subsequently offer the Shares for sale to a person or entity</w:t>
      </w:r>
      <w:r>
        <w:rPr>
          <w:rFonts w:ascii="Arial" w:cs="Arial" w:eastAsia="Arial" w:hAnsi="Arial"/>
          <w:sz w:val="22"/>
          <w:szCs w:val="22"/>
          <w:b w:val="1"/>
          <w:bCs w:val="1"/>
          <w:color w:val="auto"/>
        </w:rPr>
        <w:t xml:space="preserve"> </w:t>
      </w:r>
      <w:r>
        <w:rPr>
          <w:rFonts w:ascii="Arial" w:cs="Arial" w:eastAsia="Arial" w:hAnsi="Arial"/>
          <w:sz w:val="22"/>
          <w:szCs w:val="22"/>
          <w:color w:val="auto"/>
        </w:rPr>
        <w:t>resident in Australia, such an offer may be subject to disclosure requirements under Australian law and you should obtain legal advice regarding any applicable disclosure requirements prior to making any such offer.</w:t>
      </w:r>
    </w:p>
    <w:p>
      <w:pPr>
        <w:sectPr>
          <w:pgSz w:w="11900" w:h="16838" w:orient="portrait"/>
          <w:cols w:equalWidth="0" w:num="1">
            <w:col w:w="11420"/>
          </w:cols>
          <w:pgMar w:left="240" w:top="585"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2"/>
          <w:szCs w:val="22"/>
          <w:b w:val="1"/>
          <w:bCs w:val="1"/>
          <w:u w:val="single" w:color="auto"/>
          <w:color w:val="auto"/>
        </w:rPr>
        <w:t>AUSTRIA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Consumer Protection Notification</w:t>
      </w:r>
      <w:r>
        <w:rPr>
          <w:rFonts w:ascii="Arial" w:cs="Arial" w:eastAsia="Arial" w:hAnsi="Arial"/>
          <w:sz w:val="22"/>
          <w:szCs w:val="22"/>
          <w:color w:val="auto"/>
        </w:rPr>
        <w:t>. You may be entitled to revoke acceptance of the Award on the basis of the Austrian Consumer</w:t>
      </w:r>
      <w:r>
        <w:rPr>
          <w:rFonts w:ascii="Arial" w:cs="Arial" w:eastAsia="Arial" w:hAnsi="Arial"/>
          <w:sz w:val="22"/>
          <w:szCs w:val="22"/>
          <w:b w:val="1"/>
          <w:bCs w:val="1"/>
          <w:color w:val="auto"/>
        </w:rPr>
        <w:t xml:space="preserve"> </w:t>
      </w:r>
      <w:r>
        <w:rPr>
          <w:rFonts w:ascii="Arial" w:cs="Arial" w:eastAsia="Arial" w:hAnsi="Arial"/>
          <w:sz w:val="22"/>
          <w:szCs w:val="22"/>
          <w:color w:val="auto"/>
        </w:rPr>
        <w:t>Protection Act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under the conditions listed below, if the Act is considered to be applicable to the Agreement and the Plan:</w:t>
      </w:r>
    </w:p>
    <w:p>
      <w:pPr>
        <w:spacing w:after="0" w:line="182" w:lineRule="exact"/>
        <w:rPr>
          <w:sz w:val="20"/>
          <w:szCs w:val="20"/>
          <w:color w:val="auto"/>
        </w:rPr>
      </w:pPr>
    </w:p>
    <w:p>
      <w:pPr>
        <w:ind w:firstLine="8"/>
        <w:spacing w:after="0" w:line="276" w:lineRule="auto"/>
        <w:tabs>
          <w:tab w:leader="none" w:pos="411"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you accept the Award outside the business premises of the Company, you may be entitled to revoke your acceptance of the Award, provided the revocation is made within one (1) week after such acceptance of the Award.</w:t>
      </w:r>
    </w:p>
    <w:p>
      <w:pPr>
        <w:spacing w:after="0" w:line="160" w:lineRule="exact"/>
        <w:rPr>
          <w:rFonts w:ascii="Arial" w:cs="Arial" w:eastAsia="Arial" w:hAnsi="Arial"/>
          <w:sz w:val="22"/>
          <w:szCs w:val="22"/>
          <w:color w:val="auto"/>
        </w:rPr>
      </w:pPr>
    </w:p>
    <w:p>
      <w:pPr>
        <w:jc w:val="both"/>
        <w:ind w:right="20" w:firstLine="8"/>
        <w:spacing w:after="0" w:line="260" w:lineRule="auto"/>
        <w:tabs>
          <w:tab w:leader="none" w:pos="56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revocation must be in written form to be valid. It is sufficient if you return the Agreement to the Company or the Company’s representative with language which can be understood as a refusal to conclude or honor the Agreement, provided the revocation is sent within the period discussed above.</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Exchange Control Notification</w:t>
      </w:r>
      <w:r>
        <w:rPr>
          <w:rFonts w:ascii="Arial" w:cs="Arial" w:eastAsia="Arial" w:hAnsi="Arial"/>
          <w:sz w:val="19"/>
          <w:szCs w:val="19"/>
          <w:color w:val="auto"/>
        </w:rPr>
        <w:t>. If you hold Shares acquired under the Plan outside of Austria, you may be required to submit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report to the Austrian National Bank either on an annual basis or on a quarterly basis, depending on the value of the Shares. In addition, a separate reporting requirement may apply when you sell Shares acquired under the Plan if the cash proceeds are held outside of Austria, depending on the transaction volume of all of your accounts abroad. </w:t>
      </w:r>
      <w:r>
        <w:rPr>
          <w:rFonts w:ascii="Arial" w:cs="Arial" w:eastAsia="Arial" w:hAnsi="Arial"/>
          <w:sz w:val="19"/>
          <w:szCs w:val="19"/>
          <w:i w:val="1"/>
          <w:iCs w:val="1"/>
          <w:color w:val="auto"/>
        </w:rPr>
        <w:t>You should consult with your personal legal</w:t>
      </w:r>
      <w:r>
        <w:rPr>
          <w:rFonts w:ascii="Arial" w:cs="Arial" w:eastAsia="Arial" w:hAnsi="Arial"/>
          <w:sz w:val="19"/>
          <w:szCs w:val="19"/>
          <w:color w:val="auto"/>
        </w:rPr>
        <w:t xml:space="preserve"> </w:t>
      </w:r>
      <w:r>
        <w:rPr>
          <w:rFonts w:ascii="Arial" w:cs="Arial" w:eastAsia="Arial" w:hAnsi="Arial"/>
          <w:sz w:val="19"/>
          <w:szCs w:val="19"/>
          <w:i w:val="1"/>
          <w:iCs w:val="1"/>
          <w:color w:val="auto"/>
        </w:rPr>
        <w:t>advisor regarding any exchange control reporting obligations you may have in connection with your participation in the 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BELGIUM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Foreign Account Reporting Notification</w:t>
      </w:r>
      <w:r>
        <w:rPr>
          <w:rFonts w:ascii="Arial" w:cs="Arial" w:eastAsia="Arial" w:hAnsi="Arial"/>
          <w:sz w:val="22"/>
          <w:szCs w:val="22"/>
          <w:color w:val="auto"/>
        </w:rPr>
        <w:t>. If you are a Belgian resident, you are required to report any bank or brokerage accounts</w:t>
      </w:r>
      <w:r>
        <w:rPr>
          <w:rFonts w:ascii="Arial" w:cs="Arial" w:eastAsia="Arial" w:hAnsi="Arial"/>
          <w:sz w:val="22"/>
          <w:szCs w:val="22"/>
          <w:b w:val="1"/>
          <w:bCs w:val="1"/>
          <w:color w:val="auto"/>
        </w:rPr>
        <w:t xml:space="preserve"> </w:t>
      </w:r>
      <w:r>
        <w:rPr>
          <w:rFonts w:ascii="Arial" w:cs="Arial" w:eastAsia="Arial" w:hAnsi="Arial"/>
          <w:sz w:val="22"/>
          <w:szCs w:val="22"/>
          <w:color w:val="auto"/>
        </w:rPr>
        <w:t>held outside of Belgium on your annual tax return.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BRAZIL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350" w:lineRule="auto"/>
        <w:rPr>
          <w:sz w:val="20"/>
          <w:szCs w:val="20"/>
          <w:color w:val="auto"/>
        </w:rPr>
      </w:pPr>
      <w:r>
        <w:rPr>
          <w:rFonts w:ascii="Arial" w:cs="Arial" w:eastAsia="Arial" w:hAnsi="Arial"/>
          <w:sz w:val="19"/>
          <w:szCs w:val="19"/>
          <w:b w:val="1"/>
          <w:bCs w:val="1"/>
          <w:color w:val="auto"/>
        </w:rPr>
        <w:t>Compliance with the Law</w:t>
      </w:r>
      <w:r>
        <w:rPr>
          <w:rFonts w:ascii="Arial" w:cs="Arial" w:eastAsia="Arial" w:hAnsi="Arial"/>
          <w:sz w:val="19"/>
          <w:szCs w:val="19"/>
          <w:color w:val="auto"/>
        </w:rPr>
        <w:t>. In accepting the grant of the Award, you acknowledge your agreement to comply with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Brazilian laws and to pay any and all applicable tax associated with the Award and the sale of the Shares acquired under the Plan.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Exchange Control Notification</w:t>
      </w:r>
      <w:r>
        <w:rPr>
          <w:rFonts w:ascii="Arial" w:cs="Arial" w:eastAsia="Arial" w:hAnsi="Arial"/>
          <w:sz w:val="19"/>
          <w:szCs w:val="19"/>
          <w:color w:val="auto"/>
        </w:rPr>
        <w:t>. If you are a resident or domiciled in Brazil, you will be required to submit an annual declaration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assets and rights held outside of Brazil to the Central Bank of Brazil if the aggregate value of such assets and rights is equal to or greater than US$100,000. Assets and rights that must be reported include Shares acquired under the Plan.</w:t>
      </w:r>
    </w:p>
    <w:p>
      <w:pPr>
        <w:sectPr>
          <w:pgSz w:w="11900" w:h="16838" w:orient="portrait"/>
          <w:cols w:equalWidth="0" w:num="1">
            <w:col w:w="11420"/>
          </w:cols>
          <w:pgMar w:left="240" w:top="58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u w:val="single" w:color="auto"/>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This provision supplements Section 1 of the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grant of the Award does not provide any right for you to receive a cash payment and the Vested Units will be settled in Shares only.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The following provision replaces Section 10(j) of the Agreement:</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For purposes of the Award, your employment or service relationship will be considered terminated as of the earlier of: (i) the date your employment with the Company and its Related Corporations is terminated, (ii) the date you receive written notice of termination from the Company or the Employer, regardless of any notice period or period of pay in lieu of such notice mandated under the employment laws in the jurisdiction where you are employed or the terms of your employment agreement, if any, or (iii) the date you are no longer actively employed by or actively providing services to the Company or any of its Related Corporations and, unless otherwise expressly provided in the Agreement or determined by the Company, your right to vest in the Award, if any, will terminate as of such date; the Company’s Chief Executive Officer shall have the exclusive discretion to determine when you are no longer actively employed or actively providing services for purposes of the Award (including whether you may still be considered to be actively employed or actively providing services while on a leave of absence).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You are permitted to sell Shares acquired under the Plan through the designated broker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if any, provided the resale of Shares acquired under the Plan takes place outside of Canada through the facilities of a stock exchange on which the Shares are listed. The Shares are currently listed on the NASDAQ.</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Foreign Assets Reporting Notification</w:t>
      </w:r>
      <w:r>
        <w:rPr>
          <w:rFonts w:ascii="Arial" w:cs="Arial" w:eastAsia="Arial" w:hAnsi="Arial"/>
          <w:sz w:val="22"/>
          <w:szCs w:val="22"/>
          <w:color w:val="auto"/>
        </w:rPr>
        <w:t>. You are required to report your foreign property on Form T1135 (Foreign Income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Verification Statement) if the total cost of such foreign property exceeds C$100,000 at any time during the year. The form must be filed by April 30th of the following year. Foreign property includes Shares acquired under the Plan, proceeds from the sale of Shares and may include the Award granted under the Plan. </w:t>
      </w:r>
      <w:r>
        <w:rPr>
          <w:rFonts w:ascii="Arial" w:cs="Arial" w:eastAsia="Arial" w:hAnsi="Arial"/>
          <w:sz w:val="22"/>
          <w:szCs w:val="22"/>
          <w:i w:val="1"/>
          <w:iCs w:val="1"/>
          <w:color w:val="auto"/>
        </w:rPr>
        <w:t>You should consult your personal tax advisor regarding the details of</w:t>
      </w:r>
      <w:r>
        <w:rPr>
          <w:rFonts w:ascii="Arial" w:cs="Arial" w:eastAsia="Arial" w:hAnsi="Arial"/>
          <w:sz w:val="22"/>
          <w:szCs w:val="22"/>
          <w:color w:val="auto"/>
        </w:rPr>
        <w:t xml:space="preserve"> </w:t>
      </w:r>
      <w:r>
        <w:rPr>
          <w:rFonts w:ascii="Arial" w:cs="Arial" w:eastAsia="Arial" w:hAnsi="Arial"/>
          <w:sz w:val="22"/>
          <w:szCs w:val="22"/>
          <w:i w:val="1"/>
          <w:iCs w:val="1"/>
          <w:color w:val="auto"/>
        </w:rPr>
        <w:t>this requirement.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CHILE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Pursuant to Ruling No. 99 of 2001 issued by the Chilean Superintendence of Securities (“CSS”),</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Units nor any Shares that may be issued under the Plan will be registered with the Registry of Securities held by the CSS nor are they under the control or supervision of the CSS.</w:t>
      </w:r>
    </w:p>
    <w:p>
      <w:pPr>
        <w:sectPr>
          <w:pgSz w:w="11900" w:h="16838" w:orient="portrait"/>
          <w:cols w:equalWidth="0" w:num="1">
            <w:col w:w="11420"/>
          </w:cols>
          <w:pgMar w:left="240" w:top="585" w:right="239" w:bottom="1440" w:gutter="0" w:footer="0" w:header="0"/>
        </w:sectPr>
      </w:pPr>
    </w:p>
    <w:bookmarkStart w:id="81" w:name="page82"/>
    <w:bookmarkEnd w:id="81"/>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You are not required to repatriate proceeds obtained from the sale of Shares or from dividends to</w:t>
      </w:r>
      <w:r>
        <w:rPr>
          <w:rFonts w:ascii="Arial" w:cs="Arial" w:eastAsia="Arial" w:hAnsi="Arial"/>
          <w:sz w:val="22"/>
          <w:szCs w:val="22"/>
          <w:b w:val="1"/>
          <w:bCs w:val="1"/>
          <w:color w:val="auto"/>
        </w:rPr>
        <w:t xml:space="preserve"> </w:t>
      </w:r>
      <w:r>
        <w:rPr>
          <w:rFonts w:ascii="Arial" w:cs="Arial" w:eastAsia="Arial" w:hAnsi="Arial"/>
          <w:sz w:val="22"/>
          <w:szCs w:val="22"/>
          <w:color w:val="auto"/>
        </w:rPr>
        <w:t>Chile; however, if you decide to repatriate proceeds from the sale of Shares and the amount of the proceeds to be repatriated exceeds US$10,000, you must use the Formal Exchange Market (</w:t>
      </w:r>
      <w:r>
        <w:rPr>
          <w:rFonts w:ascii="Arial" w:cs="Arial" w:eastAsia="Arial" w:hAnsi="Arial"/>
          <w:sz w:val="22"/>
          <w:szCs w:val="22"/>
          <w:i w:val="1"/>
          <w:iCs w:val="1"/>
          <w:color w:val="auto"/>
        </w:rPr>
        <w:t>i.e.</w:t>
      </w:r>
      <w:r>
        <w:rPr>
          <w:rFonts w:ascii="Arial" w:cs="Arial" w:eastAsia="Arial" w:hAnsi="Arial"/>
          <w:sz w:val="22"/>
          <w:szCs w:val="22"/>
          <w:color w:val="auto"/>
        </w:rPr>
        <w:t>, a commercial bank or registered foreign exchange office) to repatriate the proceeds into Chile.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Further, if the value of your aggregate investments held outside of Chile exceeds US$5,000,000 (including the value of Shares acquired under the Plan) at any time in the relevant calendar year, you must report the status of such investments annually to the Central Bank.</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Tax Reporting and Registration Notification. </w:t>
      </w:r>
      <w:r>
        <w:rPr>
          <w:rFonts w:ascii="Arial" w:cs="Arial" w:eastAsia="Arial" w:hAnsi="Arial"/>
          <w:sz w:val="22"/>
          <w:szCs w:val="22"/>
          <w:color w:val="auto"/>
        </w:rPr>
        <w:t>You must file Tax Form 1851 in relation to any Shares acquired under the Plan that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are held abroad and any taxes paid abroad (if you will be seeking a credit against Chilean income tax owed) with the Chilean Internal Revenue Service (the “CIRS”), The form must be submitted through the CIRS web page at </w:t>
      </w:r>
      <w:r>
        <w:rPr>
          <w:rFonts w:ascii="Arial" w:cs="Arial" w:eastAsia="Arial" w:hAnsi="Arial"/>
          <w:sz w:val="22"/>
          <w:szCs w:val="22"/>
          <w:u w:val="single" w:color="auto"/>
          <w:color w:val="0000FF"/>
        </w:rPr>
        <w:t>www.sii.cl</w:t>
      </w:r>
      <w:r>
        <w:rPr>
          <w:rFonts w:ascii="Arial" w:cs="Arial" w:eastAsia="Arial" w:hAnsi="Arial"/>
          <w:sz w:val="22"/>
          <w:szCs w:val="22"/>
          <w:color w:val="auto"/>
        </w:rPr>
        <w:t xml:space="preserve"> before March 15th of each year.</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Registration of the acquisition of Shares with the CIRS will also provide evidence of the acquisition price of the Shares which you will need when the Shares are sold. It may also be possible for you to provide other evidence in the form of the Agreement or a report of the price paid for the Shares and the number of Shares acquired and sold; however, neither the Company nor Fidelity (or any other stock plan service provider designated by the Company) are under any obligation to provide you with such a report. </w:t>
      </w:r>
      <w:r>
        <w:rPr>
          <w:rFonts w:ascii="Arial" w:cs="Arial" w:eastAsia="Arial" w:hAnsi="Arial"/>
          <w:sz w:val="19"/>
          <w:szCs w:val="19"/>
          <w:i w:val="1"/>
          <w:iCs w:val="1"/>
          <w:color w:val="auto"/>
        </w:rPr>
        <w:t>You</w:t>
      </w:r>
      <w:r>
        <w:rPr>
          <w:rFonts w:ascii="Arial" w:cs="Arial" w:eastAsia="Arial" w:hAnsi="Arial"/>
          <w:sz w:val="19"/>
          <w:szCs w:val="19"/>
          <w:color w:val="auto"/>
        </w:rPr>
        <w:t xml:space="preserve"> </w:t>
      </w:r>
      <w:r>
        <w:rPr>
          <w:rFonts w:ascii="Arial" w:cs="Arial" w:eastAsia="Arial" w:hAnsi="Arial"/>
          <w:sz w:val="19"/>
          <w:szCs w:val="19"/>
          <w:i w:val="1"/>
          <w:iCs w:val="1"/>
          <w:color w:val="auto"/>
        </w:rPr>
        <w:t>should consult with your personal legal and tax advisors regarding how to register with the CIRS (if desired).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CHINA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This provision supplements Section 1 of the Agreement.</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To facilitate compliance with applicable laws or regulations in China, you agree and acknowledge that the Company or the Agent is entitled to (a) immediately sell all Shares issued to you upon settlement of the Vested Units (on your behalf pursuant to this authorization), either at the time the Vested Units are settled or when you cease employment with the Employer, the Company or a Related Corporation, or (b) require that any Shares acquired under the Plan be held with the Agent until the Shares are sold. You also agree to sign any forms and/or consents required by the Agent to effectuate the sale of Shares in case you cease employment and you acknowledge that the Agent is under no obligation to arrange for the sale of the Shares at any particular price. In any event, when the Shares acquired under the Plan are sold, the proceeds of the sale of the Shares, less any applicable Tax-Related Items and broker’s fees or commissions, will be remitted to you in accordance with applicable exchange control law and regulations, as further described below.</w:t>
      </w:r>
    </w:p>
    <w:p>
      <w:pPr>
        <w:spacing w:after="0" w:line="17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Exchange Control Requirements</w:t>
      </w:r>
      <w:r>
        <w:rPr>
          <w:rFonts w:ascii="Arial" w:cs="Arial" w:eastAsia="Arial" w:hAnsi="Arial"/>
          <w:sz w:val="19"/>
          <w:szCs w:val="19"/>
          <w:color w:val="auto"/>
        </w:rPr>
        <w:t>. You understand and agree that, pursuant to local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acquired under the Plan to China. You further understand that, under local law, such repatriation of the cash proceeds may need to be effectuated through a special exchange control account established by the Company, a Related Corporation or the Employer, and you hereby consent and agree that any cash</w:t>
      </w:r>
    </w:p>
    <w:p>
      <w:pPr>
        <w:sectPr>
          <w:pgSz w:w="11900" w:h="16838" w:orient="portrait"/>
          <w:cols w:equalWidth="0" w:num="1">
            <w:col w:w="11420"/>
          </w:cols>
          <w:pgMar w:left="240" w:top="585" w:right="239" w:bottom="1440" w:gutter="0" w:footer="0" w:header="0"/>
        </w:sectPr>
      </w:pPr>
    </w:p>
    <w:bookmarkStart w:id="82" w:name="page83"/>
    <w:bookmarkEnd w:id="82"/>
    <w:p>
      <w:pPr>
        <w:jc w:val="both"/>
        <w:spacing w:after="0" w:line="290" w:lineRule="auto"/>
        <w:rPr>
          <w:sz w:val="20"/>
          <w:szCs w:val="20"/>
          <w:color w:val="auto"/>
        </w:rPr>
      </w:pPr>
      <w:r>
        <w:rPr>
          <w:rFonts w:ascii="Arial" w:cs="Arial" w:eastAsia="Arial" w:hAnsi="Arial"/>
          <w:sz w:val="19"/>
          <w:szCs w:val="19"/>
          <w:color w:val="auto"/>
        </w:rPr>
        <w:t>proceeds from the sale of Shares acquired under the Plan may be transferred to such special account prior to being delivered to you. You also understand that the Company will deliver the proceeds to you as soon as possible, but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exchange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Exchange Control Notification</w:t>
      </w:r>
      <w:r>
        <w:rPr>
          <w:rFonts w:ascii="Arial" w:cs="Arial" w:eastAsia="Arial" w:hAnsi="Arial"/>
          <w:sz w:val="19"/>
          <w:szCs w:val="19"/>
          <w:color w:val="auto"/>
        </w:rPr>
        <w:t>. Upon request of the Czech National Bank (the “</w:t>
      </w:r>
      <w:r>
        <w:rPr>
          <w:rFonts w:ascii="Arial" w:cs="Arial" w:eastAsia="Arial" w:hAnsi="Arial"/>
          <w:sz w:val="19"/>
          <w:szCs w:val="19"/>
          <w:b w:val="1"/>
          <w:bCs w:val="1"/>
          <w:i w:val="1"/>
          <w:iCs w:val="1"/>
          <w:color w:val="auto"/>
        </w:rPr>
        <w:t>CNB</w:t>
      </w:r>
      <w:r>
        <w:rPr>
          <w:rFonts w:ascii="Arial" w:cs="Arial" w:eastAsia="Arial" w:hAnsi="Arial"/>
          <w:sz w:val="19"/>
          <w:szCs w:val="19"/>
          <w:color w:val="auto"/>
        </w:rPr>
        <w:t>”), you may need to report the following to</w:t>
      </w:r>
      <w:r>
        <w:rPr>
          <w:rFonts w:ascii="Arial" w:cs="Arial" w:eastAsia="Arial" w:hAnsi="Arial"/>
          <w:sz w:val="19"/>
          <w:szCs w:val="19"/>
          <w:b w:val="1"/>
          <w:bCs w:val="1"/>
          <w:color w:val="auto"/>
        </w:rPr>
        <w:t xml:space="preserve"> </w:t>
      </w:r>
      <w:r>
        <w:rPr>
          <w:rFonts w:ascii="Arial" w:cs="Arial" w:eastAsia="Arial" w:hAnsi="Arial"/>
          <w:sz w:val="19"/>
          <w:szCs w:val="19"/>
          <w:color w:val="auto"/>
        </w:rPr>
        <w:t>the CNB: foreign direct investments, financial credits from abroad, investment in foreign securities and associated collection and payments (Shares and proceeds from the sale of Shares may be included in this reporting requirement). You may need to report the following even in the absence of a request from the CNB: foreign direct investments with a value of CZK 2,500,000 or more in the aggregate or other foreign financial assets with a value of CZK 200,000,000 or more.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GERMANY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Exchange Control Notification</w:t>
      </w:r>
      <w:r>
        <w:rPr>
          <w:rFonts w:ascii="Arial" w:cs="Arial" w:eastAsia="Arial" w:hAnsi="Arial"/>
          <w:sz w:val="22"/>
          <w:szCs w:val="22"/>
          <w:color w:val="auto"/>
        </w:rPr>
        <w:t>. You must report any cross-border payments in excess of €12,500 to the German Federal Bank on</w:t>
      </w:r>
      <w:r>
        <w:rPr>
          <w:rFonts w:ascii="Arial" w:cs="Arial" w:eastAsia="Arial" w:hAnsi="Arial"/>
          <w:sz w:val="22"/>
          <w:szCs w:val="22"/>
          <w:b w:val="1"/>
          <w:bCs w:val="1"/>
          <w:color w:val="auto"/>
        </w:rPr>
        <w:t xml:space="preserve"> </w:t>
      </w:r>
      <w:r>
        <w:rPr>
          <w:rFonts w:ascii="Arial" w:cs="Arial" w:eastAsia="Arial" w:hAnsi="Arial"/>
          <w:sz w:val="22"/>
          <w:szCs w:val="22"/>
          <w:color w:val="auto"/>
        </w:rPr>
        <w:t>a monthly basis. If you make or receive a payment in excess of this amount, you must report the payment to Bundesbank electronically using the “General Statistics Reporting Portal” (“</w:t>
      </w:r>
      <w:r>
        <w:rPr>
          <w:rFonts w:ascii="Arial" w:cs="Arial" w:eastAsia="Arial" w:hAnsi="Arial"/>
          <w:sz w:val="22"/>
          <w:szCs w:val="22"/>
          <w:i w:val="1"/>
          <w:iCs w:val="1"/>
          <w:color w:val="auto"/>
        </w:rPr>
        <w:t>Allgemeines Meldeportal Statistik</w:t>
      </w:r>
      <w:r>
        <w:rPr>
          <w:rFonts w:ascii="Arial" w:cs="Arial" w:eastAsia="Arial" w:hAnsi="Arial"/>
          <w:sz w:val="22"/>
          <w:szCs w:val="22"/>
          <w:color w:val="auto"/>
        </w:rPr>
        <w:t>”) available via Bundesbank’s website (</w:t>
      </w:r>
      <w:r>
        <w:rPr>
          <w:rFonts w:ascii="Arial" w:cs="Arial" w:eastAsia="Arial" w:hAnsi="Arial"/>
          <w:sz w:val="22"/>
          <w:szCs w:val="22"/>
          <w:u w:val="single" w:color="auto"/>
          <w:color w:val="0000FF"/>
        </w:rPr>
        <w:t>www.bundesbank.de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HUNGARY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You understand that you must repatriate any proceeds from the sale of Shares acquired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to India within ninety (90) days of receipt. You will receive a foreign inward remittance certificate (</w:t>
      </w:r>
      <w:r>
        <w:rPr>
          <w:rFonts w:ascii="Arial" w:cs="Arial" w:eastAsia="Arial" w:hAnsi="Arial"/>
          <w:sz w:val="21"/>
          <w:szCs w:val="21"/>
          <w:b w:val="1"/>
          <w:bCs w:val="1"/>
          <w:i w:val="1"/>
          <w:iCs w:val="1"/>
          <w:color w:val="auto"/>
        </w:rPr>
        <w:t>“FIRC”</w:t>
      </w:r>
      <w:r>
        <w:rPr>
          <w:rFonts w:ascii="Arial" w:cs="Arial" w:eastAsia="Arial" w:hAnsi="Arial"/>
          <w:sz w:val="21"/>
          <w:szCs w:val="21"/>
          <w:color w:val="auto"/>
        </w:rPr>
        <w:t>) from the bank where you deposit the foreign currency. You should maintain the FIRC as evidence of the repatriation of the proceeds in the event the Reserve Bank of India or the Employer requests proof of repatriation. You are also responsible</w:t>
      </w:r>
    </w:p>
    <w:p>
      <w:pPr>
        <w:sectPr>
          <w:pgSz w:w="11900" w:h="16838" w:orient="portrait"/>
          <w:cols w:equalWidth="0" w:num="1">
            <w:col w:w="11420"/>
          </w:cols>
          <w:pgMar w:left="240" w:top="591" w:right="239" w:bottom="1440" w:gutter="0" w:footer="0" w:header="0"/>
        </w:sectPr>
      </w:pPr>
    </w:p>
    <w:bookmarkStart w:id="83" w:name="page84"/>
    <w:bookmarkEnd w:id="83"/>
    <w:p>
      <w:pPr>
        <w:spacing w:after="0"/>
        <w:rPr>
          <w:sz w:val="20"/>
          <w:szCs w:val="20"/>
          <w:color w:val="auto"/>
        </w:rPr>
      </w:pPr>
      <w:r>
        <w:rPr>
          <w:rFonts w:ascii="Arial" w:cs="Arial" w:eastAsia="Arial" w:hAnsi="Arial"/>
          <w:sz w:val="19"/>
          <w:szCs w:val="19"/>
          <w:color w:val="auto"/>
        </w:rPr>
        <w:t>for complying with any other exchange control laws in India that may apply to the Award or the Shares acquired under the Plan.</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Foreign Account / Assets Reporting Notification</w:t>
      </w:r>
      <w:r>
        <w:rPr>
          <w:rFonts w:ascii="Arial" w:cs="Arial" w:eastAsia="Arial" w:hAnsi="Arial"/>
          <w:sz w:val="22"/>
          <w:szCs w:val="22"/>
          <w:color w:val="auto"/>
        </w:rPr>
        <w:t>. You are required to declare any foreign bank accounts and any foreign</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assets (including Shares acquired under the Plan, proceeds from the sale of Shares and, possibly, the Award) in your annual tax return.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INDONESIA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you remit funds (including proceeds from the sale of Shares) into Indonesia, the Indonesian</w:t>
      </w:r>
      <w:r>
        <w:rPr>
          <w:rFonts w:ascii="Arial" w:cs="Arial" w:eastAsia="Arial" w:hAnsi="Arial"/>
          <w:sz w:val="19"/>
          <w:szCs w:val="19"/>
          <w:b w:val="1"/>
          <w:bCs w:val="1"/>
          <w:color w:val="auto"/>
        </w:rPr>
        <w:t xml:space="preserve"> </w:t>
      </w:r>
      <w:r>
        <w:rPr>
          <w:rFonts w:ascii="Arial" w:cs="Arial" w:eastAsia="Arial" w:hAnsi="Arial"/>
          <w:sz w:val="19"/>
          <w:szCs w:val="19"/>
          <w:color w:val="auto"/>
        </w:rPr>
        <w:t>bank through which the transaction is made will submit a report of the transaction to the Bank of Indonesia for statistical reporting purposes. For transactions of US$10,000 or more, a more detailed description of the transaction must be included in the report and you may be required to provide information about the transaction (</w:t>
      </w:r>
      <w:r>
        <w:rPr>
          <w:rFonts w:ascii="Arial" w:cs="Arial" w:eastAsia="Arial" w:hAnsi="Arial"/>
          <w:sz w:val="19"/>
          <w:szCs w:val="19"/>
          <w:i w:val="1"/>
          <w:iCs w:val="1"/>
          <w:color w:val="auto"/>
        </w:rPr>
        <w:t>e.g.</w:t>
      </w:r>
      <w:r>
        <w:rPr>
          <w:rFonts w:ascii="Arial" w:cs="Arial" w:eastAsia="Arial" w:hAnsi="Arial"/>
          <w:sz w:val="19"/>
          <w:szCs w:val="19"/>
          <w:color w:val="auto"/>
        </w:rPr>
        <w:t>, the relationship between you and the transferor of the funds, the source of the funds, etc.) to the bank in order for the bank to complete the report.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Director Notification Requirement</w:t>
      </w:r>
      <w:r>
        <w:rPr>
          <w:rFonts w:ascii="Arial" w:cs="Arial" w:eastAsia="Arial" w:hAnsi="Arial"/>
          <w:sz w:val="21"/>
          <w:szCs w:val="21"/>
          <w:color w:val="auto"/>
        </w:rPr>
        <w:t>. If you are a director (including a shadow director</w:t>
      </w:r>
      <w:r>
        <w:rPr>
          <w:rFonts w:ascii="Arial" w:cs="Arial" w:eastAsia="Arial" w:hAnsi="Arial"/>
          <w:sz w:val="27"/>
          <w:szCs w:val="27"/>
          <w:color w:val="auto"/>
          <w:vertAlign w:val="superscript"/>
        </w:rPr>
        <w:t>1</w:t>
      </w:r>
      <w:r>
        <w:rPr>
          <w:rFonts w:ascii="Arial" w:cs="Arial" w:eastAsia="Arial" w:hAnsi="Arial"/>
          <w:sz w:val="21"/>
          <w:szCs w:val="21"/>
          <w:b w:val="1"/>
          <w:bCs w:val="1"/>
          <w:color w:val="auto"/>
        </w:rPr>
        <w:t xml:space="preserve"> </w:t>
      </w:r>
      <w:r>
        <w:rPr>
          <w:rFonts w:ascii="Arial" w:cs="Arial" w:eastAsia="Arial" w:hAnsi="Arial"/>
          <w:sz w:val="21"/>
          <w:szCs w:val="21"/>
          <w:color w:val="auto"/>
        </w:rPr>
        <w:t>) or a secretary of an Irish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you (and your spouse, your children under 18 years of age and any family-held company or trust) are subject to certain notification requirements under the Companies Act. Among these requirements is the obligation to notify the Irish Related Corporation in writing when receiving or disposing of an interest in the Company (</w:t>
      </w:r>
      <w:r>
        <w:rPr>
          <w:rFonts w:ascii="Arial" w:cs="Arial" w:eastAsia="Arial" w:hAnsi="Arial"/>
          <w:sz w:val="21"/>
          <w:szCs w:val="21"/>
          <w:i w:val="1"/>
          <w:iCs w:val="1"/>
          <w:color w:val="auto"/>
        </w:rPr>
        <w:t>e.g.</w:t>
      </w:r>
      <w:r>
        <w:rPr>
          <w:rFonts w:ascii="Arial" w:cs="Arial" w:eastAsia="Arial" w:hAnsi="Arial"/>
          <w:sz w:val="21"/>
          <w:szCs w:val="21"/>
          <w:color w:val="auto"/>
        </w:rPr>
        <w:t>, Units, Shares). Such notification must be made within five (5) business days of receiving or disposing of such an interest, becoming aware of the event giving rise to the notification requirement or becoming a director or secretary if such an interest exists at that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ITALY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This provision replaces Section 12 of the Agreement:</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b w:val="1"/>
          <w:bCs w:val="1"/>
          <w:i w:val="1"/>
          <w:iCs w:val="1"/>
          <w:color w:val="auto"/>
        </w:rPr>
        <w:t>You understand that the Employer, the Company and any Related Corporation may hold certain personal information about you, including, but not limited to, your name, home address and telephone number, date of birth, social insurance number or other identification number, salary, nationality, job title, any shares of stock or directorships held in the Company or any Related Corporation, details of all Awards or any other entitlement to shares of stock awarded, canceled, exercised, vested, unvested or outstanding in your favor and will process such data for the exclusive purpose of implementing, managing and administering the Plan (“Data”) and in compliance with applicable laws and regulations.</w:t>
      </w:r>
    </w:p>
    <w:p>
      <w:pPr>
        <w:spacing w:after="0" w:line="170" w:lineRule="exact"/>
        <w:rPr>
          <w:sz w:val="20"/>
          <w:szCs w:val="20"/>
          <w:color w:val="auto"/>
        </w:rPr>
      </w:pPr>
    </w:p>
    <w:p>
      <w:pPr>
        <w:ind w:left="340" w:hanging="8"/>
        <w:spacing w:after="0" w:line="216" w:lineRule="auto"/>
        <w:tabs>
          <w:tab w:leader="none" w:pos="434"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A shadow director is an individual who is not on the board of the Irish Related Corporation but who has sufficient control so that the board of directors of the Irish Related Corporation acts in accordance with the directions and instructions of the individual.</w:t>
      </w:r>
    </w:p>
    <w:p>
      <w:pPr>
        <w:sectPr>
          <w:pgSz w:w="11900" w:h="16838" w:orient="portrait"/>
          <w:cols w:equalWidth="0" w:num="1">
            <w:col w:w="11420"/>
          </w:cols>
          <w:pgMar w:left="240" w:top="591" w:right="239" w:bottom="1440" w:gutter="0" w:footer="0" w:header="0"/>
        </w:sectPr>
      </w:pPr>
    </w:p>
    <w:bookmarkStart w:id="84" w:name="page85"/>
    <w:bookmarkEnd w:id="84"/>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i w:val="1"/>
          <w:iCs w:val="1"/>
          <w:color w:val="auto"/>
        </w:rPr>
        <w:t>You also understand that providing the Company with Data is mandatory for compliance with local law and necessary for the performance of the Plan and that your refusal to provide such Data would make it impossible for the Company to perform its contractual obligations and may affect your ability to participate in the Plan. The controller of personal data processing is Itron, Inc. with registered offices at 2111 N. Molter Road, Liberty Lake, Washington 99019, U.S.A., and, pursuant to Legislative Decree no. 196/2003, its representative in Italy is Itron Italia SPA, with registered offices at Via Gorky, 105, 20092 Cinisello Balsamo, Milan, Italy.</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i w:val="1"/>
          <w:iCs w:val="1"/>
          <w:color w:val="auto"/>
        </w:rPr>
        <w:t>You understand that Data will not be publicized, but it may be accessible by the Employer and its internal and external personnel in charge of processing of such Data and by the data processor (the “Processor”), if any. An updated list of Processors and other transferees of Data is available upon request from the Employer. Furthermore, Data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Company and/or any Related Corporation will transfer Data among themselves as necessary for the purpose of implementing, administering and managing your participation in the Plan, and that the Company and/or any Related Corporation may each further transfer Data to third parties assisting the Company in the implementation, administration, and management of the Plan, including any requisite transfer of Data to a broker or other third party with whom you may elect to deposit any Shares acquired upon vesting of the Units. Such recipients may receive, possess, use, retain, and transfer Data in electronic or other form, for the sole purpose of implementing, administering, and managing your participation in the Plan. You understand that these recipients may be acting as controllers, Processors or persons in charge of processing, as the case may be, in accordance with local law and may be located in or outside the European Economic Area in countries such as in the United States that might not provide the same level of protection as intended under Italian data privacy laws.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the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 You should contact the Employer in this regard.</w:t>
      </w:r>
    </w:p>
    <w:p>
      <w:pPr>
        <w:spacing w:after="0" w:line="201" w:lineRule="exact"/>
        <w:rPr>
          <w:sz w:val="20"/>
          <w:szCs w:val="20"/>
          <w:color w:val="auto"/>
        </w:rPr>
      </w:pPr>
    </w:p>
    <w:p>
      <w:pPr>
        <w:ind w:left="340" w:hanging="8"/>
        <w:spacing w:after="0" w:line="216" w:lineRule="auto"/>
        <w:tabs>
          <w:tab w:leader="none" w:pos="434"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A shadow director is an individual who is not on the board of the Irish Related Corporation but who has sufficient control so that the board of directors of the Irish Related Corporation acts in accordance with the directions and instructions of the individual.</w:t>
      </w:r>
    </w:p>
    <w:p>
      <w:pPr>
        <w:sectPr>
          <w:pgSz w:w="11900" w:h="16838" w:orient="portrait"/>
          <w:cols w:equalWidth="0" w:num="1">
            <w:col w:w="11420"/>
          </w:cols>
          <w:pgMar w:left="240" w:top="1440" w:right="239" w:bottom="1440" w:gutter="0" w:footer="0" w:header="0"/>
        </w:sectPr>
      </w:pPr>
    </w:p>
    <w:bookmarkStart w:id="85" w:name="page86"/>
    <w:bookmarkEnd w:id="85"/>
    <w:p>
      <w:pPr>
        <w:jc w:val="both"/>
        <w:spacing w:after="0" w:line="287" w:lineRule="auto"/>
        <w:rPr>
          <w:sz w:val="20"/>
          <w:szCs w:val="20"/>
          <w:color w:val="auto"/>
        </w:rPr>
      </w:pPr>
      <w:r>
        <w:rPr>
          <w:rFonts w:ascii="Arial" w:cs="Arial" w:eastAsia="Arial" w:hAnsi="Arial"/>
          <w:sz w:val="21"/>
          <w:szCs w:val="21"/>
          <w:b w:val="1"/>
          <w:bCs w:val="1"/>
          <w:i w:val="1"/>
          <w:iCs w:val="1"/>
          <w:color w:val="auto"/>
        </w:rPr>
        <w:t>Furthermore, you are aware that Data will not be used for direct marketing purposes. In addition, Data provided can be reviewed and questions or complaints can be addressed by contacting your human resources department.</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Plan Document Acknowledgment</w:t>
      </w:r>
      <w:r>
        <w:rPr>
          <w:rFonts w:ascii="Arial" w:cs="Arial" w:eastAsia="Arial" w:hAnsi="Arial"/>
          <w:sz w:val="22"/>
          <w:szCs w:val="22"/>
          <w:color w:val="auto"/>
        </w:rPr>
        <w:t>. In accepting the grant of the Award, you acknowledge that you have received a copy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the Agreement and have reviewed the Plan and the Agreement, including this Appendix A, in their entirety and fully understand and accept all provisions of the Plan and the Agreement, including this Appendix A.</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You further acknowledge that you have read and specifically and expressly approve the following sections of the Agreement and this Appendix A: Section 1: Vesting; Section 3: Change in Control Transaction; Section 9: Responsibility for Taxes; Section 10: Nature of Grant; Section 13: Electronic Delivery and Participation; Section 14: Language; Section 15.3: Governing Law and Choice of Venue; Section 17: Imposition of Other Requirements; and the Data Privacy provision above.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Foreign Assets Reporting Notification</w:t>
      </w:r>
      <w:r>
        <w:rPr>
          <w:rFonts w:ascii="Arial" w:cs="Arial" w:eastAsia="Arial" w:hAnsi="Arial"/>
          <w:sz w:val="22"/>
          <w:szCs w:val="22"/>
          <w:color w:val="auto"/>
        </w:rPr>
        <w:t>. If you are an Italian resident who, at any time during the fiscal year, holds foreign</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assets (including cash and Shares) which may generate income taxable in Italy, you are required to report these assets on your annual tax return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JAPAN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3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Foreign Assets Reporting Notification</w:t>
      </w:r>
      <w:r>
        <w:rPr>
          <w:rFonts w:ascii="Arial" w:cs="Arial" w:eastAsia="Arial" w:hAnsi="Arial"/>
          <w:sz w:val="19"/>
          <w:szCs w:val="19"/>
          <w:color w:val="auto"/>
        </w:rPr>
        <w:t>. If you hold assets outside of Japan (</w:t>
      </w:r>
      <w:r>
        <w:rPr>
          <w:rFonts w:ascii="Arial" w:cs="Arial" w:eastAsia="Arial" w:hAnsi="Arial"/>
          <w:sz w:val="19"/>
          <w:szCs w:val="19"/>
          <w:i w:val="1"/>
          <w:iCs w:val="1"/>
          <w:color w:val="auto"/>
        </w:rPr>
        <w:t>e.g.</w:t>
      </w:r>
      <w:r>
        <w:rPr>
          <w:rFonts w:ascii="Arial" w:cs="Arial" w:eastAsia="Arial" w:hAnsi="Arial"/>
          <w:sz w:val="19"/>
          <w:szCs w:val="19"/>
          <w:color w:val="auto"/>
        </w:rPr>
        <w:t>, Shares acquired under the Plan) with a value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exceeding ¥50,000,000 (as of December 31 each year), you are required to comply with annual tax reporting obligations with respect to such assets. </w:t>
      </w:r>
      <w:r>
        <w:rPr>
          <w:rFonts w:ascii="Arial" w:cs="Arial" w:eastAsia="Arial" w:hAnsi="Arial"/>
          <w:sz w:val="19"/>
          <w:szCs w:val="19"/>
          <w:i w:val="1"/>
          <w:iCs w:val="1"/>
          <w:color w:val="auto"/>
        </w:rPr>
        <w:t>You should consult your personal tax advisor regarding the details of this requirement.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KOREA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Exchange Control Notification</w:t>
      </w:r>
      <w:r>
        <w:rPr>
          <w:rFonts w:ascii="Arial" w:cs="Arial" w:eastAsia="Arial" w:hAnsi="Arial"/>
          <w:sz w:val="22"/>
          <w:szCs w:val="22"/>
          <w:color w:val="auto"/>
        </w:rPr>
        <w:t>. If you realize US$500,000 or more from the sale of Shares in a single transaction, you must</w:t>
      </w:r>
      <w:r>
        <w:rPr>
          <w:rFonts w:ascii="Arial" w:cs="Arial" w:eastAsia="Arial" w:hAnsi="Arial"/>
          <w:sz w:val="22"/>
          <w:szCs w:val="22"/>
          <w:b w:val="1"/>
          <w:bCs w:val="1"/>
          <w:color w:val="auto"/>
        </w:rPr>
        <w:t xml:space="preserve"> </w:t>
      </w:r>
      <w:r>
        <w:rPr>
          <w:rFonts w:ascii="Arial" w:cs="Arial" w:eastAsia="Arial" w:hAnsi="Arial"/>
          <w:sz w:val="22"/>
          <w:szCs w:val="22"/>
          <w:color w:val="auto"/>
        </w:rPr>
        <w:t>repatriate the sale proceeds to Korea within eighteen (18) months of the sale.</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Foreign Assets Reporting Notification</w:t>
      </w:r>
      <w:r>
        <w:rPr>
          <w:rFonts w:ascii="Arial" w:cs="Arial" w:eastAsia="Arial" w:hAnsi="Arial"/>
          <w:sz w:val="22"/>
          <w:szCs w:val="22"/>
          <w:color w:val="auto"/>
        </w:rPr>
        <w:t>. If you are a Korean resident, you must declare all foreign financial accounts (</w:t>
      </w:r>
      <w:r>
        <w:rPr>
          <w:rFonts w:ascii="Arial" w:cs="Arial" w:eastAsia="Arial" w:hAnsi="Arial"/>
          <w:sz w:val="22"/>
          <w:szCs w:val="22"/>
          <w:i w:val="1"/>
          <w:iCs w:val="1"/>
          <w:color w:val="auto"/>
        </w:rPr>
        <w:t>e.g.</w:t>
      </w:r>
      <w:r>
        <w:rPr>
          <w:rFonts w:ascii="Arial" w:cs="Arial" w:eastAsia="Arial" w:hAnsi="Arial"/>
          <w:sz w:val="22"/>
          <w:szCs w:val="22"/>
          <w:color w:val="auto"/>
        </w:rPr>
        <w:t xml:space="preserve">, non-Korean bank accounts, brokerage accounts) to the Korean tax authority and file a report with respect to such accounts if the value of such accounts exceeds KRW 1 billion (or an equivalent amount in foreign currency). </w:t>
      </w:r>
      <w:r>
        <w:rPr>
          <w:rFonts w:ascii="Arial" w:cs="Arial" w:eastAsia="Arial" w:hAnsi="Arial"/>
          <w:sz w:val="22"/>
          <w:szCs w:val="22"/>
          <w:i w:val="1"/>
          <w:iCs w:val="1"/>
          <w:color w:val="auto"/>
        </w:rPr>
        <w:t>You should consult your personal tax</w:t>
      </w:r>
      <w:r>
        <w:rPr>
          <w:rFonts w:ascii="Arial" w:cs="Arial" w:eastAsia="Arial" w:hAnsi="Arial"/>
          <w:sz w:val="22"/>
          <w:szCs w:val="22"/>
          <w:color w:val="auto"/>
        </w:rPr>
        <w:t xml:space="preserve"> </w:t>
      </w:r>
      <w:r>
        <w:rPr>
          <w:rFonts w:ascii="Arial" w:cs="Arial" w:eastAsia="Arial" w:hAnsi="Arial"/>
          <w:sz w:val="22"/>
          <w:szCs w:val="22"/>
          <w:i w:val="1"/>
          <w:iCs w:val="1"/>
          <w:color w:val="auto"/>
        </w:rPr>
        <w:t>advisor regarding the details of this requirement.</w:t>
      </w:r>
    </w:p>
    <w:p>
      <w:pPr>
        <w:sectPr>
          <w:pgSz w:w="11900" w:h="16838" w:orient="portrait"/>
          <w:cols w:equalWidth="0" w:num="1">
            <w:col w:w="11420"/>
          </w:cols>
          <w:pgMar w:left="240" w:top="59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b w:val="1"/>
          <w:bCs w:val="1"/>
          <w:u w:val="single" w:color="auto"/>
          <w:color w:val="auto"/>
        </w:rPr>
        <w:t>LUXEMBOURG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MALAYSIA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Director Notification Requirement</w:t>
      </w:r>
      <w:r>
        <w:rPr>
          <w:rFonts w:ascii="Arial" w:cs="Arial" w:eastAsia="Arial" w:hAnsi="Arial"/>
          <w:sz w:val="22"/>
          <w:szCs w:val="22"/>
          <w:color w:val="auto"/>
        </w:rPr>
        <w:t>. If you are a director of a Malaysian Related Corporation, you are subject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notification requirements under the Malaysian Companies Act, 1965. Among these requirements is an obligation to notify the Malaysian Related Corporation in writing when you acquire or dispose of an interest (</w:t>
      </w:r>
      <w:r>
        <w:rPr>
          <w:rFonts w:ascii="Arial" w:cs="Arial" w:eastAsia="Arial" w:hAnsi="Arial"/>
          <w:sz w:val="22"/>
          <w:szCs w:val="22"/>
          <w:i w:val="1"/>
          <w:iCs w:val="1"/>
          <w:color w:val="auto"/>
        </w:rPr>
        <w:t>e.g.</w:t>
      </w:r>
      <w:r>
        <w:rPr>
          <w:rFonts w:ascii="Arial" w:cs="Arial" w:eastAsia="Arial" w:hAnsi="Arial"/>
          <w:sz w:val="22"/>
          <w:szCs w:val="22"/>
          <w:color w:val="auto"/>
        </w:rPr>
        <w:t>, Units, Shares) in the Company or a Related Corporation. Such notifications must be made within fourteen (14) days of acquiring or disposing of any interest in the Company or a Related Corporation.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MEXICO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Acknowledgement of the Agreement. </w:t>
      </w:r>
      <w:r>
        <w:rPr>
          <w:rFonts w:ascii="Arial" w:cs="Arial" w:eastAsia="Arial" w:hAnsi="Arial"/>
          <w:sz w:val="22"/>
          <w:szCs w:val="22"/>
          <w:color w:val="auto"/>
        </w:rPr>
        <w:t>By accepting the Award, you acknowledge that you have received a copy of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Notice, and the Agreement, including this Appendix A, which you have reviewed. You acknowledge further that you accept all the provisions of the Plan, the Award Notice, and the Agreement, including this Appendix A. You also acknowledge that you have read and specifically and expressly approve the terms and conditions set forth in the “Nature of Grant” section of the Agreement, which clearly provide as follows:</w:t>
      </w:r>
    </w:p>
    <w:p>
      <w:pPr>
        <w:spacing w:after="0" w:line="193"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Your participation in the Plan does not constitute an acquired right;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Plan and your participation in it are offered by the Company on a wholly discretionary basis;</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Your participation in the Plan is voluntary; and</w:t>
      </w:r>
    </w:p>
    <w:p>
      <w:pPr>
        <w:spacing w:after="0" w:line="219"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and its Related Corporations are not responsible for any decrease in the value of any Shares acquired upon settlement of the Award.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Labor Law Acknowledgement and Policy Statement. </w:t>
      </w:r>
      <w:r>
        <w:rPr>
          <w:rFonts w:ascii="Arial" w:cs="Arial" w:eastAsia="Arial" w:hAnsi="Arial"/>
          <w:sz w:val="21"/>
          <w:szCs w:val="21"/>
          <w:color w:val="auto"/>
        </w:rPr>
        <w:t>By accepting the Award, you acknowledge that Itron, Inc., with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offices at 2111 N. Molter Road, Liberty Lake, Washington 99019, United States of America, is solely responsible for the administration of the Plan. You further acknowledge that your participation in the Plan, the grant of the Award and any acquisition of Shares under the Plan do not constitute an employment relationship between you and Itron, Inc. because you are participating in the Plan on a wholly commercial basis and your sole employer is Itron Servicios, S.A. de C.V. (“</w:t>
      </w:r>
      <w:r>
        <w:rPr>
          <w:rFonts w:ascii="Arial" w:cs="Arial" w:eastAsia="Arial" w:hAnsi="Arial"/>
          <w:sz w:val="21"/>
          <w:szCs w:val="21"/>
          <w:b w:val="1"/>
          <w:bCs w:val="1"/>
          <w:i w:val="1"/>
          <w:iCs w:val="1"/>
          <w:color w:val="auto"/>
        </w:rPr>
        <w:t>Itron-Mexico</w:t>
      </w:r>
      <w:r>
        <w:rPr>
          <w:rFonts w:ascii="Arial" w:cs="Arial" w:eastAsia="Arial" w:hAnsi="Arial"/>
          <w:sz w:val="21"/>
          <w:szCs w:val="21"/>
          <w:color w:val="auto"/>
        </w:rPr>
        <w:t>”). Based on the foregoing, you expressly acknowledge that the Plan and the benefits that you may derive from participation in the Plan do not establish any rights between you and your Employer, Itron-Mexico, and do not form part of the employment conditions and/or benefits provided by Itron-Mexico, and any modification of the Plan or its termination shall not constitute a change or impairment of the terms and conditions of your employment.</w:t>
      </w:r>
    </w:p>
    <w:p>
      <w:pPr>
        <w:sectPr>
          <w:pgSz w:w="11900" w:h="16838" w:orient="portrait"/>
          <w:cols w:equalWidth="0" w:num="1">
            <w:col w:w="11420"/>
          </w:cols>
          <w:pgMar w:left="240" w:top="585" w:right="239" w:bottom="1440" w:gutter="0" w:footer="0" w:header="0"/>
        </w:sectPr>
      </w:pPr>
    </w:p>
    <w:bookmarkStart w:id="87" w:name="page88"/>
    <w:bookmarkEnd w:id="87"/>
    <w:p>
      <w:pPr>
        <w:jc w:val="both"/>
        <w:spacing w:after="0" w:line="253" w:lineRule="auto"/>
        <w:rPr>
          <w:sz w:val="20"/>
          <w:szCs w:val="20"/>
          <w:color w:val="auto"/>
        </w:rPr>
      </w:pPr>
      <w:r>
        <w:rPr>
          <w:rFonts w:ascii="Arial" w:cs="Arial" w:eastAsia="Arial" w:hAnsi="Arial"/>
          <w:sz w:val="22"/>
          <w:szCs w:val="22"/>
          <w:color w:val="auto"/>
        </w:rPr>
        <w:t>You further understand that your participation in the Plan is the result of a unilateral and discretionary decision of the Company; therefore, the Company reserves the absolute right to amend and/or discontinue your participation in the Plan at any time, without any liability to you.</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Finally, you hereby declare that you do not reserve to yourself any action or right to bring any claim against Itron, Inc. for any compensation or damages regarding any provision of the Plan or the benefits derived under the Plan, and you therefore grant a full and broad release to the Company, its Related Corporations, branches, representation offices, shareholders, officers, agents or legal representatives, with respect to any claim that may arise.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i w:val="1"/>
          <w:iCs w:val="1"/>
          <w:color w:val="auto"/>
        </w:rPr>
        <w:t xml:space="preserve">Reconocimiento del Acuerdo. </w:t>
      </w:r>
      <w:r>
        <w:rPr>
          <w:rFonts w:ascii="Arial" w:cs="Arial" w:eastAsia="Arial" w:hAnsi="Arial"/>
          <w:sz w:val="22"/>
          <w:szCs w:val="22"/>
          <w:i w:val="1"/>
          <w:iCs w:val="1"/>
          <w:color w:val="auto"/>
        </w:rPr>
        <w:t>Al aceptar el Premio, usted reconoce que ha recibido una copia del Plan, la notificación del Premio,</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y el Acuerdo, inclusive este anexo A, el cual ha tenido oportunidad de revisar. Usted reconoce, además, que acepta todas las disposiciones del Plan, la Notificación del Premio y el Acuerdo, incluyendo este anexo A. Usted también reconoce que ha leído y de forma expresa aprueba los términos y condiciones establecidos en la seccion denominada “Naturaleza del Premio” del Acuerdo, que claramente dispone lo siguiente:</w:t>
      </w:r>
    </w:p>
    <w:p>
      <w:pPr>
        <w:spacing w:after="0" w:line="192"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i w:val="1"/>
          <w:iCs w:val="1"/>
          <w:color w:val="auto"/>
        </w:rPr>
      </w:pPr>
      <w:r>
        <w:rPr>
          <w:rFonts w:ascii="Arial" w:cs="Arial" w:eastAsia="Arial" w:hAnsi="Arial"/>
          <w:sz w:val="22"/>
          <w:szCs w:val="22"/>
          <w:i w:val="1"/>
          <w:iCs w:val="1"/>
          <w:color w:val="auto"/>
        </w:rPr>
        <w:t>Su participación en el Plan no constituye un derecho adquirido;</w:t>
      </w:r>
    </w:p>
    <w:p>
      <w:pPr>
        <w:spacing w:after="0" w:line="219" w:lineRule="exact"/>
        <w:rPr>
          <w:rFonts w:ascii="Arial" w:cs="Arial" w:eastAsia="Arial" w:hAnsi="Arial"/>
          <w:sz w:val="22"/>
          <w:szCs w:val="22"/>
          <w:i w:val="1"/>
          <w:iCs w:val="1"/>
          <w:color w:val="auto"/>
        </w:rPr>
      </w:pPr>
    </w:p>
    <w:p>
      <w:pPr>
        <w:ind w:left="660" w:hanging="652"/>
        <w:spacing w:after="0"/>
        <w:tabs>
          <w:tab w:leader="none" w:pos="660" w:val="left"/>
        </w:tabs>
        <w:numPr>
          <w:ilvl w:val="0"/>
          <w:numId w:val="56"/>
        </w:numPr>
        <w:rPr>
          <w:rFonts w:ascii="Arial" w:cs="Arial" w:eastAsia="Arial" w:hAnsi="Arial"/>
          <w:sz w:val="22"/>
          <w:szCs w:val="22"/>
          <w:i w:val="1"/>
          <w:iCs w:val="1"/>
          <w:color w:val="auto"/>
        </w:rPr>
      </w:pPr>
      <w:r>
        <w:rPr>
          <w:rFonts w:ascii="Arial" w:cs="Arial" w:eastAsia="Arial" w:hAnsi="Arial"/>
          <w:sz w:val="22"/>
          <w:szCs w:val="22"/>
          <w:i w:val="1"/>
          <w:iCs w:val="1"/>
          <w:color w:val="auto"/>
        </w:rPr>
        <w:t>El Plan y su participación en el Plan se ofrecen por la Compañía en forma totalmente discrecional;</w:t>
      </w:r>
    </w:p>
    <w:p>
      <w:pPr>
        <w:spacing w:after="0" w:line="219" w:lineRule="exact"/>
        <w:rPr>
          <w:rFonts w:ascii="Arial" w:cs="Arial" w:eastAsia="Arial" w:hAnsi="Arial"/>
          <w:sz w:val="22"/>
          <w:szCs w:val="22"/>
          <w:i w:val="1"/>
          <w:iCs w:val="1"/>
          <w:color w:val="auto"/>
        </w:rPr>
      </w:pPr>
    </w:p>
    <w:p>
      <w:pPr>
        <w:ind w:left="660" w:hanging="652"/>
        <w:spacing w:after="0"/>
        <w:tabs>
          <w:tab w:leader="none" w:pos="660" w:val="left"/>
        </w:tabs>
        <w:numPr>
          <w:ilvl w:val="0"/>
          <w:numId w:val="56"/>
        </w:numPr>
        <w:rPr>
          <w:rFonts w:ascii="Arial" w:cs="Arial" w:eastAsia="Arial" w:hAnsi="Arial"/>
          <w:sz w:val="22"/>
          <w:szCs w:val="22"/>
          <w:i w:val="1"/>
          <w:iCs w:val="1"/>
          <w:color w:val="auto"/>
        </w:rPr>
      </w:pPr>
      <w:r>
        <w:rPr>
          <w:rFonts w:ascii="Arial" w:cs="Arial" w:eastAsia="Arial" w:hAnsi="Arial"/>
          <w:sz w:val="22"/>
          <w:szCs w:val="22"/>
          <w:i w:val="1"/>
          <w:iCs w:val="1"/>
          <w:color w:val="auto"/>
        </w:rPr>
        <w:t>Su participación en el Plan es voluntaria; y</w:t>
      </w:r>
    </w:p>
    <w:p>
      <w:pPr>
        <w:spacing w:after="0" w:line="219" w:lineRule="exact"/>
        <w:rPr>
          <w:rFonts w:ascii="Arial" w:cs="Arial" w:eastAsia="Arial" w:hAnsi="Arial"/>
          <w:sz w:val="22"/>
          <w:szCs w:val="22"/>
          <w:i w:val="1"/>
          <w:iCs w:val="1"/>
          <w:color w:val="auto"/>
        </w:rPr>
      </w:pPr>
    </w:p>
    <w:p>
      <w:pPr>
        <w:ind w:left="660" w:right="20" w:hanging="652"/>
        <w:spacing w:after="0" w:line="263" w:lineRule="auto"/>
        <w:tabs>
          <w:tab w:leader="none" w:pos="660" w:val="left"/>
        </w:tabs>
        <w:numPr>
          <w:ilvl w:val="0"/>
          <w:numId w:val="56"/>
        </w:numPr>
        <w:rPr>
          <w:rFonts w:ascii="Arial" w:cs="Arial" w:eastAsia="Arial" w:hAnsi="Arial"/>
          <w:sz w:val="22"/>
          <w:szCs w:val="22"/>
          <w:i w:val="1"/>
          <w:iCs w:val="1"/>
          <w:color w:val="auto"/>
        </w:rPr>
      </w:pPr>
      <w:r>
        <w:rPr>
          <w:rFonts w:ascii="Arial" w:cs="Arial" w:eastAsia="Arial" w:hAnsi="Arial"/>
          <w:sz w:val="22"/>
          <w:szCs w:val="22"/>
          <w:i w:val="1"/>
          <w:iCs w:val="1"/>
          <w:color w:val="auto"/>
        </w:rPr>
        <w:t>La Compañía y sus Subsidiarias o Afiliadas no son responsables de ninguna disminución en el valor de las acciones adquiridas en la obtención del Premio.</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i w:val="1"/>
          <w:iCs w:val="1"/>
          <w:color w:val="auto"/>
        </w:rPr>
        <w:t xml:space="preserve">Reconocimiento de Ausencia de Relación Laboral y Declaración de la Política. </w:t>
      </w:r>
      <w:r>
        <w:rPr>
          <w:rFonts w:ascii="Arial" w:cs="Arial" w:eastAsia="Arial" w:hAnsi="Arial"/>
          <w:sz w:val="19"/>
          <w:szCs w:val="19"/>
          <w:i w:val="1"/>
          <w:iCs w:val="1"/>
          <w:color w:val="auto"/>
        </w:rPr>
        <w:t>Al aceptar el Premio, usted reconoce que Itron,</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Inc, con domicilio social en 2111 N. Molter Road, Liberty Lake, Washington 99019, Estados Unidos de América, es el único responsable de la administración del Plan. Además, usted acepta que su participación en el Plan, la concesión del Premio y cualquier adquisición de acciones en el marco del Plan no constituyen una relación laboral entre usted y Itron, Inc. porque usted está participando en el Plan en su totalidad sobre una base comercial y su único empleador es Itron Servicios, S.A. de C.V. (“</w:t>
      </w:r>
      <w:r>
        <w:rPr>
          <w:rFonts w:ascii="Arial" w:cs="Arial" w:eastAsia="Arial" w:hAnsi="Arial"/>
          <w:sz w:val="19"/>
          <w:szCs w:val="19"/>
          <w:b w:val="1"/>
          <w:bCs w:val="1"/>
          <w:i w:val="1"/>
          <w:iCs w:val="1"/>
          <w:color w:val="auto"/>
        </w:rPr>
        <w:t>Itron-Mexico</w:t>
      </w:r>
      <w:r>
        <w:rPr>
          <w:rFonts w:ascii="Arial" w:cs="Arial" w:eastAsia="Arial" w:hAnsi="Arial"/>
          <w:sz w:val="19"/>
          <w:szCs w:val="19"/>
          <w:i w:val="1"/>
          <w:iCs w:val="1"/>
          <w:color w:val="auto"/>
        </w:rPr>
        <w:t>”). Derivado de lo anterior, usted expresamente reconoce que el Plan y los beneficios que pueden derivarse de la participación en el Plan no establece ningún derecho entre usted y su Empleador, Itron-Mexico, y que no forman parte de las condiciones de empleo y / o prestaciones previstas por Itron-Mexico, y cualquier modificación del Plan o la terminación de su contrato no constituirá un cambio o deterioro de los términos y condiciones de su empleo.</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Además, usted receonoce que su participación en el Plan es derivada de una decisión discrecional y unilateral de la Compañía, por lo que la Compañía se reserva el derecho absoluto a modificar y / o suspender su participación en el Plan en cualquier momento, sin responsabilidad alguna para con usted.</w:t>
      </w:r>
    </w:p>
    <w:p>
      <w:pPr>
        <w:sectPr>
          <w:pgSz w:w="11900" w:h="16838" w:orient="portrait"/>
          <w:cols w:equalWidth="0" w:num="1">
            <w:col w:w="11420"/>
          </w:cols>
          <w:pgMar w:left="240" w:top="591" w:right="239" w:bottom="1440" w:gutter="0" w:footer="0" w:header="0"/>
        </w:sectPr>
      </w:pPr>
    </w:p>
    <w:bookmarkStart w:id="88" w:name="page89"/>
    <w:bookmarkEnd w:id="88"/>
    <w:p>
      <w:pPr>
        <w:jc w:val="both"/>
        <w:spacing w:after="0" w:line="302" w:lineRule="auto"/>
        <w:rPr>
          <w:sz w:val="20"/>
          <w:szCs w:val="20"/>
          <w:color w:val="auto"/>
        </w:rPr>
      </w:pPr>
      <w:r>
        <w:rPr>
          <w:rFonts w:ascii="Arial" w:cs="Arial" w:eastAsia="Arial" w:hAnsi="Arial"/>
          <w:sz w:val="19"/>
          <w:szCs w:val="19"/>
          <w:i w:val="1"/>
          <w:iCs w:val="1"/>
          <w:color w:val="auto"/>
        </w:rPr>
        <w:t>Finalmente, usted manifiesta que no se reserva ninguna acción o derecho que origine una demanda en contra de Itron, Inc., por cualquier compensación o daño en relación con cualquier disposición del Plan o de los beneficios derivados del mismo, y en consecuencia usted otorga un amplio y total finiquito a la Compañía, sus Subsidiarias o Afiliadas, sucursales, oficinas de representación, sus accionistas, directores, agentes y representantes legales con respecto a cualquier demanda que pudiera surgir.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If you transfer funds in excess of €15,000 into Poland in connection with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acquired under the Plan, the funds must be transferred via a bank account. You are required to retain the documents connected with a foreign exchange transaction for a period of five (5) years, as measured from the end of the year in which such transaction occurred. Additionally, if you hold Shares acquired under the Plan and/or keep a bank account abroad, you may have reporting duties to the National Bank of Poland depending on the value of your assets held abroad. </w:t>
      </w:r>
      <w:r>
        <w:rPr>
          <w:rFonts w:ascii="Arial" w:cs="Arial" w:eastAsia="Arial" w:hAnsi="Arial"/>
          <w:sz w:val="19"/>
          <w:szCs w:val="19"/>
          <w:i w:val="1"/>
          <w:iCs w:val="1"/>
          <w:color w:val="auto"/>
        </w:rPr>
        <w:t>You should consult with your personal</w:t>
      </w:r>
      <w:r>
        <w:rPr>
          <w:rFonts w:ascii="Arial" w:cs="Arial" w:eastAsia="Arial" w:hAnsi="Arial"/>
          <w:sz w:val="19"/>
          <w:szCs w:val="19"/>
          <w:color w:val="auto"/>
        </w:rPr>
        <w:t xml:space="preserve"> </w:t>
      </w:r>
      <w:r>
        <w:rPr>
          <w:rFonts w:ascii="Arial" w:cs="Arial" w:eastAsia="Arial" w:hAnsi="Arial"/>
          <w:sz w:val="19"/>
          <w:szCs w:val="19"/>
          <w:i w:val="1"/>
          <w:iCs w:val="1"/>
          <w:color w:val="auto"/>
        </w:rPr>
        <w:t>legal advisor to determine what you must do to fulfill any applicable reporting duties.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PORTUGAL</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You hereby expressly declare that you have full knowledge of the English language and have read, understood</w:t>
      </w:r>
      <w:r>
        <w:rPr>
          <w:rFonts w:ascii="Arial" w:cs="Arial" w:eastAsia="Arial" w:hAnsi="Arial"/>
          <w:sz w:val="21"/>
          <w:szCs w:val="21"/>
          <w:b w:val="1"/>
          <w:bCs w:val="1"/>
          <w:color w:val="auto"/>
        </w:rPr>
        <w:t xml:space="preserve"> </w:t>
      </w:r>
      <w:r>
        <w:rPr>
          <w:rFonts w:ascii="Arial" w:cs="Arial" w:eastAsia="Arial" w:hAnsi="Arial"/>
          <w:sz w:val="21"/>
          <w:szCs w:val="21"/>
          <w:color w:val="auto"/>
        </w:rPr>
        <w:t>and fully accepted and agreed with the terms and conditions established in the Plan and the Agreement.</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 xml:space="preserve">Conhecimento da Lingua. </w:t>
      </w:r>
      <w:r>
        <w:rPr>
          <w:rFonts w:ascii="Arial" w:cs="Arial" w:eastAsia="Arial" w:hAnsi="Arial"/>
          <w:sz w:val="22"/>
          <w:szCs w:val="22"/>
          <w:i w:val="1"/>
          <w:iCs w:val="1"/>
          <w:color w:val="auto"/>
        </w:rPr>
        <w:t>Você expressamente declara ter pleno conhecimento do idioma inglês e ter lido, entendido e totalmente</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aceito e concordou com os termos e condições estabelecidas no plano e no acordo.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Exchange Control Notification</w:t>
      </w:r>
      <w:r>
        <w:rPr>
          <w:rFonts w:ascii="Arial" w:cs="Arial" w:eastAsia="Arial" w:hAnsi="Arial"/>
          <w:sz w:val="22"/>
          <w:szCs w:val="22"/>
          <w:color w:val="auto"/>
        </w:rPr>
        <w:t>. If you acquire Shares upon settlement of the Vested Units, the acquisition of the Shares should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reported to the </w:t>
      </w:r>
      <w:r>
        <w:rPr>
          <w:rFonts w:ascii="Arial" w:cs="Arial" w:eastAsia="Arial" w:hAnsi="Arial"/>
          <w:sz w:val="22"/>
          <w:szCs w:val="22"/>
          <w:i w:val="1"/>
          <w:iCs w:val="1"/>
          <w:color w:val="auto"/>
        </w:rPr>
        <w:t>Banco de Portugal</w:t>
      </w:r>
      <w:r>
        <w:rPr>
          <w:rFonts w:ascii="Arial" w:cs="Arial" w:eastAsia="Arial" w:hAnsi="Arial"/>
          <w:sz w:val="22"/>
          <w:szCs w:val="22"/>
          <w:color w:val="auto"/>
        </w:rPr>
        <w:t xml:space="preserve">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w:t>
      </w:r>
      <w:r>
        <w:rPr>
          <w:rFonts w:ascii="Arial" w:cs="Arial" w:eastAsia="Arial" w:hAnsi="Arial"/>
          <w:sz w:val="22"/>
          <w:szCs w:val="22"/>
          <w:i w:val="1"/>
          <w:iCs w:val="1"/>
          <w:color w:val="auto"/>
        </w:rPr>
        <w:t>Banco de</w:t>
      </w:r>
      <w:r>
        <w:rPr>
          <w:rFonts w:ascii="Arial" w:cs="Arial" w:eastAsia="Arial" w:hAnsi="Arial"/>
          <w:sz w:val="22"/>
          <w:szCs w:val="22"/>
          <w:color w:val="auto"/>
        </w:rPr>
        <w:t xml:space="preserve"> </w:t>
      </w:r>
      <w:r>
        <w:rPr>
          <w:rFonts w:ascii="Arial" w:cs="Arial" w:eastAsia="Arial" w:hAnsi="Arial"/>
          <w:sz w:val="22"/>
          <w:szCs w:val="22"/>
          <w:i w:val="1"/>
          <w:iCs w:val="1"/>
          <w:color w:val="auto"/>
        </w:rPr>
        <w:t>Portugal</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u w:val="single" w:color="auto"/>
          <w:color w:val="auto"/>
        </w:rPr>
        <w:t>RUSSIA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You must repatriate to Russia the proceeds from the sale of Shares and any cash dividends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received in relation to the Shares within a reasonably short time of receipt. Such funds must be initially credited to you through a foreign currency account opened in your name at an authorized bank in Russia. After the funds are initially received in Russia, they may be further remitted to foreign banks subject to the following limitations: (i) the foreign account may be opened only for individuals; (ii) the foreign account may not be used for business activities; and (iii) you must give notice to the Russian tax authorities about the opening or closing of each foreign account within one month of the account opening or closing, as applicable. </w:t>
      </w:r>
      <w:r>
        <w:rPr>
          <w:rFonts w:ascii="Arial" w:cs="Arial" w:eastAsia="Arial" w:hAnsi="Arial"/>
          <w:sz w:val="21"/>
          <w:szCs w:val="21"/>
          <w:i w:val="1"/>
          <w:iCs w:val="1"/>
          <w:color w:val="auto"/>
        </w:rPr>
        <w:t>You are strongly advised to contact your personal legal advisor regarding your obligations resulting from participation in the Plan as significant penalties may apply in the case of non-compliance with exchange control requirements and because such exchange control requirements may change.</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Securities Law Notification</w:t>
      </w:r>
      <w:r>
        <w:rPr>
          <w:rFonts w:ascii="Arial" w:cs="Arial" w:eastAsia="Arial" w:hAnsi="Arial"/>
          <w:sz w:val="19"/>
          <w:szCs w:val="19"/>
          <w:color w:val="auto"/>
        </w:rPr>
        <w:t>. The Agreement, the Plan and all other materials you may receive regarding the Award and</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do not constitute advertising or an offering of securities in Russia. The issuance of Shares under the Plan has not and will not be registered in Russia and, therefore, the Shares described in any Plan documents may not be offered or placed in public circulation in Russia. In no event will Shares be delivered to you in Russia; all Shares acquired under the Plan will be maintained on your behalf in the United States. You are not permitted to sell Shares directly to a Russian legal entity or 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SINGAPORE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The grant of the Award is being made pursuant to the “Qualifying Person” exemption” under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273(1)(f) of the Securities and Futures Act (Chapter 289, 2006 Ed.) (“</w:t>
      </w:r>
      <w:r>
        <w:rPr>
          <w:rFonts w:ascii="Arial" w:cs="Arial" w:eastAsia="Arial" w:hAnsi="Arial"/>
          <w:sz w:val="22"/>
          <w:szCs w:val="22"/>
          <w:b w:val="1"/>
          <w:bCs w:val="1"/>
          <w:i w:val="1"/>
          <w:iCs w:val="1"/>
          <w:color w:val="auto"/>
        </w:rPr>
        <w:t>SFA</w:t>
      </w:r>
      <w:r>
        <w:rPr>
          <w:rFonts w:ascii="Arial" w:cs="Arial" w:eastAsia="Arial" w:hAnsi="Arial"/>
          <w:sz w:val="22"/>
          <w:szCs w:val="22"/>
          <w:color w:val="auto"/>
        </w:rPr>
        <w:t>”). The Plan has not been lodged or registered as a prospectus with the Monetary Authority of Singapore. You should note that the Award is subject to section 257 of the SFA and you will not be able to make (i) any subsequent sale of the Shares in Singapore or (ii) any offer of such subsequent sale of the Shares subject to the Award in Singapore, unless such sale or offer is made pursuant to the exemptions under Part XIII Division 1 Subdivision (4) (other than section 280) of the SFA. The Shares are currently traded on the NASDAQ Global Select Market, which is located outside of Singapore, under the ticker symbol “ITRI” and Shares acquired under the Plan may be sold through this exchange.</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22"/>
          <w:szCs w:val="22"/>
          <w:b w:val="1"/>
          <w:bCs w:val="1"/>
          <w:color w:val="auto"/>
        </w:rPr>
        <w:t xml:space="preserve">Director Notification Requirement. </w:t>
      </w:r>
      <w:r>
        <w:rPr>
          <w:rFonts w:ascii="Arial" w:cs="Arial" w:eastAsia="Arial" w:hAnsi="Arial"/>
          <w:sz w:val="22"/>
          <w:szCs w:val="22"/>
          <w:color w:val="auto"/>
        </w:rPr>
        <w:t>If you are a director, associate director or shadow director</w:t>
      </w:r>
      <w:r>
        <w:rPr>
          <w:rFonts w:ascii="Arial" w:cs="Arial" w:eastAsia="Arial" w:hAnsi="Arial"/>
          <w:sz w:val="28"/>
          <w:szCs w:val="28"/>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of a Singapore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you are subject to certain notification requirements under the Singapore Companies Act, regardless of whether you are a Singapore resident or employed in Singapore. Among these requirements is the obligation to notify the Singapore Related Corporation in writing when you receive or dispose of an interest (</w:t>
      </w:r>
      <w:r>
        <w:rPr>
          <w:rFonts w:ascii="Arial" w:cs="Arial" w:eastAsia="Arial" w:hAnsi="Arial"/>
          <w:sz w:val="22"/>
          <w:szCs w:val="22"/>
          <w:i w:val="1"/>
          <w:iCs w:val="1"/>
          <w:color w:val="auto"/>
        </w:rPr>
        <w:t>e.g.,</w:t>
      </w:r>
      <w:r>
        <w:rPr>
          <w:rFonts w:ascii="Arial" w:cs="Arial" w:eastAsia="Arial" w:hAnsi="Arial"/>
          <w:sz w:val="22"/>
          <w:szCs w:val="22"/>
          <w:color w:val="auto"/>
        </w:rPr>
        <w:t xml:space="preserve"> Units, Shares) in the Company or a Related Corporation. These notifications must be made within two (2) business days of acquiring or disposing of any interest in the Company or any Related Corporation or within two (2) business days of becoming a director, associate director or shadow director if such an interest exists at that time.</w:t>
      </w:r>
    </w:p>
    <w:p>
      <w:pPr>
        <w:spacing w:after="0" w:line="200" w:lineRule="exact"/>
        <w:rPr>
          <w:sz w:val="20"/>
          <w:szCs w:val="20"/>
          <w:color w:val="auto"/>
        </w:rPr>
      </w:pPr>
    </w:p>
    <w:p>
      <w:pPr>
        <w:spacing w:after="0" w:line="236" w:lineRule="exact"/>
        <w:rPr>
          <w:sz w:val="20"/>
          <w:szCs w:val="20"/>
          <w:color w:val="auto"/>
        </w:rPr>
      </w:pPr>
    </w:p>
    <w:p>
      <w:pPr>
        <w:ind w:left="340" w:hanging="8"/>
        <w:spacing w:after="0" w:line="194" w:lineRule="auto"/>
        <w:tabs>
          <w:tab w:leader="none" w:pos="447" w:val="left"/>
        </w:tabs>
        <w:numPr>
          <w:ilvl w:val="0"/>
          <w:numId w:val="57"/>
        </w:numPr>
        <w:rPr>
          <w:rFonts w:ascii="Arial" w:cs="Arial" w:eastAsia="Arial" w:hAnsi="Arial"/>
          <w:sz w:val="28"/>
          <w:szCs w:val="28"/>
          <w:color w:val="auto"/>
          <w:vertAlign w:val="superscript"/>
        </w:rPr>
      </w:pPr>
      <w:r>
        <w:rPr>
          <w:rFonts w:ascii="Arial" w:cs="Arial" w:eastAsia="Arial" w:hAnsi="Arial"/>
          <w:sz w:val="17"/>
          <w:szCs w:val="17"/>
          <w:color w:val="auto"/>
        </w:rPr>
        <w:t>A shadow director is an individual who is not on the board of directors of the Singapore Related Corporation but who has sufficient control so that the board of directors of the Singapore Related Corporation acts in accordance with the directions and instructions of the individual.</w:t>
      </w:r>
    </w:p>
    <w:p>
      <w:pPr>
        <w:sectPr>
          <w:pgSz w:w="11900" w:h="16838" w:orient="portrait"/>
          <w:cols w:equalWidth="0" w:num="1">
            <w:col w:w="11420"/>
          </w:cols>
          <w:pgMar w:left="240" w:top="58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u w:val="single" w:color="auto"/>
          <w:color w:val="auto"/>
        </w:rPr>
        <w:t>SOUTH AFRICA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for Taxes</w:t>
      </w:r>
      <w:r>
        <w:rPr>
          <w:rFonts w:ascii="Arial" w:cs="Arial" w:eastAsia="Arial" w:hAnsi="Arial"/>
          <w:sz w:val="22"/>
          <w:szCs w:val="22"/>
          <w:color w:val="auto"/>
        </w:rPr>
        <w:t>. The following provision supplements Section 9 of the Agreement: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accepting the grant of the Award, you agree that, immediately upon vesting of the Award, you will notify the Employer of the amount of any gain realized. If you fail to advise the Employer of the gain realized upon vesting, you may be liable for a fine. You will be solely responsible for paying any difference between the actual tax liability resulting from the Award and the amount withheld by the Company or the Employer.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You are solely responsible for ensuring compliance with any applicable exchange control laws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regulations in South Africa. </w:t>
      </w:r>
      <w:r>
        <w:rPr>
          <w:rFonts w:ascii="Arial" w:cs="Arial" w:eastAsia="Arial" w:hAnsi="Arial"/>
          <w:sz w:val="21"/>
          <w:szCs w:val="21"/>
          <w:i w:val="1"/>
          <w:iCs w:val="1"/>
          <w:color w:val="auto"/>
        </w:rPr>
        <w:t>Because exchange control regulations change frequently and without notice, you should consult</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your legal advisor prior to the acquisition or sale of Shares to ensure compliance with current regulations. </w:t>
      </w:r>
      <w:r>
        <w:rPr>
          <w:rFonts w:ascii="Arial" w:cs="Arial" w:eastAsia="Arial" w:hAnsi="Arial"/>
          <w:sz w:val="21"/>
          <w:szCs w:val="21"/>
          <w:color w:val="auto"/>
        </w:rPr>
        <w:t>Neither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nor the Employer has any obligation to obtain any applicable exchange control approval or complete any applicable exchange control filings on your behalf. You (not the Company nor the Employer) will be liable for any fines or penalties resulting from your failure to comply with any applicable requirements.</w:t>
      </w:r>
    </w:p>
    <w:p>
      <w:pPr>
        <w:spacing w:after="0" w:line="200" w:lineRule="exact"/>
        <w:rPr>
          <w:sz w:val="20"/>
          <w:szCs w:val="20"/>
          <w:color w:val="auto"/>
        </w:rPr>
      </w:pPr>
    </w:p>
    <w:p>
      <w:pPr>
        <w:spacing w:after="0" w:line="213" w:lineRule="exact"/>
        <w:rPr>
          <w:sz w:val="20"/>
          <w:szCs w:val="20"/>
          <w:color w:val="auto"/>
        </w:rPr>
      </w:pPr>
    </w:p>
    <w:p>
      <w:pPr>
        <w:ind w:left="340" w:hanging="8"/>
        <w:spacing w:after="0" w:line="194" w:lineRule="auto"/>
        <w:tabs>
          <w:tab w:leader="none" w:pos="447" w:val="left"/>
        </w:tabs>
        <w:numPr>
          <w:ilvl w:val="0"/>
          <w:numId w:val="58"/>
        </w:numPr>
        <w:rPr>
          <w:rFonts w:ascii="Arial" w:cs="Arial" w:eastAsia="Arial" w:hAnsi="Arial"/>
          <w:sz w:val="28"/>
          <w:szCs w:val="28"/>
          <w:color w:val="auto"/>
          <w:vertAlign w:val="superscript"/>
        </w:rPr>
      </w:pPr>
      <w:r>
        <w:rPr>
          <w:rFonts w:ascii="Arial" w:cs="Arial" w:eastAsia="Arial" w:hAnsi="Arial"/>
          <w:sz w:val="17"/>
          <w:szCs w:val="17"/>
          <w:color w:val="auto"/>
        </w:rPr>
        <w:t>A shadow director is an individual who is not on the board of directors of the Singapore Related Corporation but who has sufficient control so that the board of directors of the Singapore Related Corporation acts in accordance with the directions and instructions of the individual.</w:t>
      </w:r>
    </w:p>
    <w:p>
      <w:pPr>
        <w:sectPr>
          <w:pgSz w:w="11900" w:h="16838" w:orient="portrait"/>
          <w:cols w:equalWidth="0" w:num="1">
            <w:col w:w="11420"/>
          </w:cols>
          <w:pgMar w:left="240" w:top="80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u w:val="single" w:color="auto"/>
          <w:color w:val="auto"/>
        </w:rPr>
        <w:t>SPAIN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The following provision supplements Section 10 of the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accepting the grant of the Award, you consent to participation in the Plan and acknowledge that you have received a copy of the Plan.</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You understand that the Company has unilaterally, gratuitously and in its sole discretion decided to grant Awards to individuals who may be employees of the Company or a Related Corporation throughout the world. The decision is limited and entered into based upon the express assumption and condition that any grant will not bind the Company or a Related Corporation, other than as expressly set forth in the Agreement. Consequently, you understand that the Award is granted on the assumption and condition that the Award and any Shares acquired upon settlement of the Vested Units are not part of any employment contract (whether with the Company or a Related Corporation) and shall not be considered a mandatory benefit, salary for any purpose (including severance compensation), or any other right whatsoever.</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Additionally, you understand that the vesting of the Award is expressly conditioned on your continued and active rendering of service to the Company or a Related Corporation such that if your employment terminates for any reason (including for the reasons listed below but excluding the reasons and circumstances specified in Sections 2 and 3 of the Agreement), the Award will cease vesting immediately effective as of the date of termination of your employment. This will be the case, for example, even if (1) you are considered to be unfairly dismissed without good cause; (2) you are dismissed for disciplinary or objective reasons or due to a collective dismissal; (3) you terminate employment due to a change of work location, duties or any other employment or contractual condition; (4) you terminate employment due to unilateral breach of contract of the Company or any of its Related Corporations; or (5) your employment terminates for any other reason (excluding the reasons and circumstances specified in Sections 2 and 3 of the Agreement). Consequently, upon termination of your employment for any of the above reasons, you will automatically lose any rights to the Award granted to you to the extent that the Units subject to the Award have not yet become Vested Units as of the date of your termination of employment, as described in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You acknowledge that you have read and specifically accept the conditions referred to in Section 1 of the Agreement.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you understand that this grant would not be made to you but for the assumptions and conditions referred to herein; thus, you acknowledge and freely accept that should any or all of the assumptions be mistaken or should any of the conditions not be met for any reason, then the grant of the Award shall be null and void.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No “offer to the public,” as defined under Spanish Law, has taken place or will take place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Spanish territory in connection with the Award. The Plan, the Agreement (including this Appendix) and any other documents evidencing the grant of the Award have not been,</w:t>
      </w:r>
    </w:p>
    <w:p>
      <w:pPr>
        <w:sectPr>
          <w:pgSz w:w="11900" w:h="16838" w:orient="portrait"/>
          <w:cols w:equalWidth="0" w:num="1">
            <w:col w:w="11420"/>
          </w:cols>
          <w:pgMar w:left="240" w:top="585" w:right="239" w:bottom="1440" w:gutter="0" w:footer="0" w:header="0"/>
        </w:sectPr>
      </w:pPr>
    </w:p>
    <w:bookmarkStart w:id="92" w:name="page93"/>
    <w:bookmarkEnd w:id="92"/>
    <w:p>
      <w:pPr>
        <w:jc w:val="both"/>
        <w:spacing w:after="0" w:line="263" w:lineRule="auto"/>
        <w:rPr>
          <w:sz w:val="20"/>
          <w:szCs w:val="20"/>
          <w:color w:val="auto"/>
        </w:rPr>
      </w:pPr>
      <w:r>
        <w:rPr>
          <w:rFonts w:ascii="Arial" w:cs="Arial" w:eastAsia="Arial" w:hAnsi="Arial"/>
          <w:sz w:val="22"/>
          <w:szCs w:val="22"/>
          <w:color w:val="auto"/>
        </w:rPr>
        <w:t xml:space="preserve">nor will they be, registered with the </w:t>
      </w:r>
      <w:r>
        <w:rPr>
          <w:rFonts w:ascii="Arial" w:cs="Arial" w:eastAsia="Arial" w:hAnsi="Arial"/>
          <w:sz w:val="22"/>
          <w:szCs w:val="22"/>
          <w:i w:val="1"/>
          <w:iCs w:val="1"/>
          <w:color w:val="auto"/>
        </w:rPr>
        <w:t>Comisión Nacional del Mercado de Valores</w:t>
      </w:r>
      <w:r>
        <w:rPr>
          <w:rFonts w:ascii="Arial" w:cs="Arial" w:eastAsia="Arial" w:hAnsi="Arial"/>
          <w:sz w:val="22"/>
          <w:szCs w:val="22"/>
          <w:color w:val="auto"/>
        </w:rPr>
        <w:t xml:space="preserve"> (the Spanish securities regulator), and none of those documents constitutes a public offering prospectus.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You must declare the acquisition, ownership and disposition of stock in a foreign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(including Shares acquired under the Plan) to the </w:t>
      </w:r>
      <w:r>
        <w:rPr>
          <w:rFonts w:ascii="Arial" w:cs="Arial" w:eastAsia="Arial" w:hAnsi="Arial"/>
          <w:sz w:val="21"/>
          <w:szCs w:val="21"/>
          <w:i w:val="1"/>
          <w:iCs w:val="1"/>
          <w:color w:val="auto"/>
        </w:rPr>
        <w:t>Spanish Dirección General de Comercio e Inversiones</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DGCI</w:t>
      </w:r>
      <w:r>
        <w:rPr>
          <w:rFonts w:ascii="Arial" w:cs="Arial" w:eastAsia="Arial" w:hAnsi="Arial"/>
          <w:sz w:val="21"/>
          <w:szCs w:val="21"/>
          <w:color w:val="auto"/>
        </w:rPr>
        <w:t>”), which is a department of the Ministry of Economy and Competitiveness. Generally, the declaration must be filed in January for Shares acquired or disposed of during the prior year and/or for Shares owned as of December 31 of the prior year; however, if the value of the Shares acquired or disposed under the Plan or the amount of the sale proceeds exceeds €1,502,530, the declaration must be filed within one month of the acquisition or disposition, as applicable.</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You may be required to declare electronically to the Bank of Spain any foreign accounts (including brokerage accounts held abroad), any foreign instruments (including Shares acquired under the Plan), and any transactions with non-Spanish residents (including any Shares received by the Company), depending on the value of the transactions during the relevant year or the balances in such accounts and the value of such instruments as of December 31 of the relevant year. </w:t>
      </w:r>
      <w:r>
        <w:rPr>
          <w:rFonts w:ascii="Arial" w:cs="Arial" w:eastAsia="Arial" w:hAnsi="Arial"/>
          <w:sz w:val="19"/>
          <w:szCs w:val="19"/>
          <w:i w:val="1"/>
          <w:iCs w:val="1"/>
          <w:color w:val="auto"/>
        </w:rPr>
        <w:t>You should consult your</w:t>
      </w:r>
      <w:r>
        <w:rPr>
          <w:rFonts w:ascii="Arial" w:cs="Arial" w:eastAsia="Arial" w:hAnsi="Arial"/>
          <w:sz w:val="19"/>
          <w:szCs w:val="19"/>
          <w:color w:val="auto"/>
        </w:rPr>
        <w:t xml:space="preserve"> </w:t>
      </w:r>
      <w:r>
        <w:rPr>
          <w:rFonts w:ascii="Arial" w:cs="Arial" w:eastAsia="Arial" w:hAnsi="Arial"/>
          <w:sz w:val="19"/>
          <w:szCs w:val="19"/>
          <w:i w:val="1"/>
          <w:iCs w:val="1"/>
          <w:color w:val="auto"/>
        </w:rPr>
        <w:t>personal legal advisor regarding the applicable thresholds and corresponding reporting requirements</w:t>
      </w:r>
      <w:r>
        <w:rPr>
          <w:rFonts w:ascii="Arial" w:cs="Arial" w:eastAsia="Arial" w:hAnsi="Arial"/>
          <w:sz w:val="19"/>
          <w:szCs w:val="19"/>
          <w:color w:val="auto"/>
        </w:rPr>
        <w:t>.</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Foreign Assets Reporting Notification</w:t>
      </w:r>
      <w:r>
        <w:rPr>
          <w:rFonts w:ascii="Arial" w:cs="Arial" w:eastAsia="Arial" w:hAnsi="Arial"/>
          <w:sz w:val="19"/>
          <w:szCs w:val="19"/>
          <w:color w:val="auto"/>
        </w:rPr>
        <w:t>. You are required to report assets or rights deposited or held outside of Spain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or cash proceeds from the sale of such Shares) if the value of such rights or assets exceeds a certain threshold. This obligation applies to assets and rights held as of December 31 (or at any time during the year in which the asset or right is sold or otherwise disposed of) and requires that information on such assets and rights be included in your tax return filed with the Spanish tax authorities for such year. After such assets or rights are initially reported, the reporting obligation will apply for subsequent years only if the value of any previously-reported asset or right increases by more than a certain threshold or if ownership of such asset or right is transferred or relinquished during the year.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SWEDEN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Securities Law Notification</w:t>
      </w:r>
      <w:r>
        <w:rPr>
          <w:rFonts w:ascii="Arial" w:cs="Arial" w:eastAsia="Arial" w:hAnsi="Arial"/>
          <w:sz w:val="22"/>
          <w:szCs w:val="22"/>
          <w:color w:val="auto"/>
        </w:rPr>
        <w:t>. The grant of the restricted stock units under the Plan is considered a private offering in Switzerland</w:t>
      </w:r>
      <w:r>
        <w:rPr>
          <w:rFonts w:ascii="Arial" w:cs="Arial" w:eastAsia="Arial" w:hAnsi="Arial"/>
          <w:sz w:val="22"/>
          <w:szCs w:val="22"/>
          <w:b w:val="1"/>
          <w:bCs w:val="1"/>
          <w:color w:val="auto"/>
        </w:rPr>
        <w:t xml:space="preserve"> </w:t>
      </w:r>
      <w:r>
        <w:rPr>
          <w:rFonts w:ascii="Arial" w:cs="Arial" w:eastAsia="Arial" w:hAnsi="Arial"/>
          <w:sz w:val="22"/>
          <w:szCs w:val="22"/>
          <w:color w:val="auto"/>
        </w:rPr>
        <w:t>and is, therefore, not subject to registration in Switzerland.</w:t>
      </w:r>
    </w:p>
    <w:p>
      <w:pPr>
        <w:sectPr>
          <w:pgSz w:w="11900" w:h="16838" w:orient="portrait"/>
          <w:cols w:equalWidth="0" w:num="1">
            <w:col w:w="11420"/>
          </w:cols>
          <w:pgMar w:left="240" w:top="59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u w:val="single" w:color="auto"/>
          <w:color w:val="auto"/>
        </w:rPr>
        <w:t>THAILAND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Exchange Control Notification</w:t>
      </w:r>
      <w:r>
        <w:rPr>
          <w:rFonts w:ascii="Arial" w:cs="Arial" w:eastAsia="Arial" w:hAnsi="Arial"/>
          <w:sz w:val="22"/>
          <w:szCs w:val="22"/>
          <w:color w:val="auto"/>
        </w:rPr>
        <w:t>. You must repatriate any funds received pursuant to the Plan (</w:t>
      </w:r>
      <w:r>
        <w:rPr>
          <w:rFonts w:ascii="Arial" w:cs="Arial" w:eastAsia="Arial" w:hAnsi="Arial"/>
          <w:sz w:val="22"/>
          <w:szCs w:val="22"/>
          <w:i w:val="1"/>
          <w:iCs w:val="1"/>
          <w:color w:val="auto"/>
        </w:rPr>
        <w:t>e.g.</w:t>
      </w:r>
      <w:r>
        <w:rPr>
          <w:rFonts w:ascii="Arial" w:cs="Arial" w:eastAsia="Arial" w:hAnsi="Arial"/>
          <w:sz w:val="22"/>
          <w:szCs w:val="22"/>
          <w:color w:val="auto"/>
        </w:rPr>
        <w:t>, proceeds from the sale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to Thailand immediately upon receipt if the amount of such funds is equal to or greater than US$50,000 in a single transaction. In this case, you must (i) convert such funds to Thai Baht or deposit the funds in a foreign exchange account with a commercial bank in Thailand within 360 days of repatriation and (ii) report the inward remittance by submitting a Foreign Exchange Transaction Form to an authorized agent (</w:t>
      </w:r>
      <w:r>
        <w:rPr>
          <w:rFonts w:ascii="Arial" w:cs="Arial" w:eastAsia="Arial" w:hAnsi="Arial"/>
          <w:sz w:val="22"/>
          <w:szCs w:val="22"/>
          <w:i w:val="1"/>
          <w:iCs w:val="1"/>
          <w:color w:val="auto"/>
        </w:rPr>
        <w:t>i.e.</w:t>
      </w:r>
      <w:r>
        <w:rPr>
          <w:rFonts w:ascii="Arial" w:cs="Arial" w:eastAsia="Arial" w:hAnsi="Arial"/>
          <w:sz w:val="22"/>
          <w:szCs w:val="22"/>
          <w:color w:val="auto"/>
        </w:rPr>
        <w:t>, a commercial bank authorized by the Bank of Thailand to engage in the purchase, exchange and withdrawal of foreign currency).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 The Agreement, the Plan, and other incidental communication materials related to the Award are</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for distribution only to employees of the Company and its Related Corporations for the purposes of an incentive scheme. The Emirates Securities and Commodities Authority and the Central Bank have no responsibility for reviewing or verifying any documents in connection with this statement. Neither the Ministry of Economy nor the Dubai Department of Economic Development have approved this statement nor taken steps to verify the information set out in it, and have no responsibility for it. The securities to which this statement relate may be illiquid and/or subject to restrictions on their resale. Prospective purchasers of the securities offered should conduct their own due diligence on the securities. If you do not understand the contents of the Agreement or the Plan, you should consult an authorized financial adviser.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This provision supplements Section 1 of the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grant of the Award does not provide any right for you to receive a cash payment and the Vested Units will be settled in Shares only.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for Taxes</w:t>
      </w:r>
      <w:r>
        <w:rPr>
          <w:rFonts w:ascii="Arial" w:cs="Arial" w:eastAsia="Arial" w:hAnsi="Arial"/>
          <w:sz w:val="22"/>
          <w:szCs w:val="22"/>
          <w:color w:val="auto"/>
        </w:rPr>
        <w:t>. The following provision supplements Section 9 of the Agreement:</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If payment or withholding of the income tax due is not made within ninety (90) days of the event giving rise to the liability or such other period specified in Section 222(1)(c) of the U.K. Income Tax (Earnings and Pensions) Act 2003 (the </w:t>
      </w:r>
      <w:r>
        <w:rPr>
          <w:rFonts w:ascii="Arial" w:cs="Arial" w:eastAsia="Arial" w:hAnsi="Arial"/>
          <w:sz w:val="22"/>
          <w:szCs w:val="22"/>
          <w:b w:val="1"/>
          <w:bCs w:val="1"/>
          <w:i w:val="1"/>
          <w:iCs w:val="1"/>
          <w:color w:val="auto"/>
        </w:rPr>
        <w:t>“Due Date”</w:t>
      </w:r>
      <w:r>
        <w:rPr>
          <w:rFonts w:ascii="Arial" w:cs="Arial" w:eastAsia="Arial" w:hAnsi="Arial"/>
          <w:sz w:val="22"/>
          <w:szCs w:val="22"/>
          <w:color w:val="auto"/>
        </w:rPr>
        <w:t>), the amount of any uncollected income tax will constitute a loan owed by you to the Employer, effective on the Due Date. You agree that the loan will bear interest at the then-current official rate of Her Majesty’s Revenue and Customs (</w:t>
      </w:r>
      <w:r>
        <w:rPr>
          <w:rFonts w:ascii="Arial" w:cs="Arial" w:eastAsia="Arial" w:hAnsi="Arial"/>
          <w:sz w:val="22"/>
          <w:szCs w:val="22"/>
          <w:b w:val="1"/>
          <w:bCs w:val="1"/>
          <w:i w:val="1"/>
          <w:iCs w:val="1"/>
          <w:color w:val="auto"/>
        </w:rPr>
        <w:t>“HMRC”</w:t>
      </w:r>
      <w:r>
        <w:rPr>
          <w:rFonts w:ascii="Arial" w:cs="Arial" w:eastAsia="Arial" w:hAnsi="Arial"/>
          <w:sz w:val="22"/>
          <w:szCs w:val="22"/>
          <w:color w:val="auto"/>
        </w:rPr>
        <w:t>), it will be immediately due and repayable, and the Company or the Employer may recover it at any time thereafter by any of the means referred to in Section 9.2 of the Agreement. Notwithstanding the foregoing, if you are a director or executive officer of the Company (within the meaning of Section 13(k) of the Exchange Act), you will not be eligible for such a loan to cover the income tax due. In</w:t>
      </w:r>
    </w:p>
    <w:p>
      <w:pPr>
        <w:sectPr>
          <w:pgSz w:w="11900" w:h="16838" w:orient="portrait"/>
          <w:cols w:equalWidth="0" w:num="1">
            <w:col w:w="11420"/>
          </w:cols>
          <w:pgMar w:left="240" w:top="585" w:right="239" w:bottom="1440" w:gutter="0" w:footer="0" w:header="0"/>
        </w:sectPr>
      </w:pPr>
    </w:p>
    <w:bookmarkStart w:id="94" w:name="page95"/>
    <w:bookmarkEnd w:id="94"/>
    <w:p>
      <w:pPr>
        <w:jc w:val="both"/>
        <w:spacing w:after="0" w:line="294" w:lineRule="auto"/>
        <w:rPr>
          <w:sz w:val="20"/>
          <w:szCs w:val="20"/>
          <w:color w:val="auto"/>
        </w:rPr>
      </w:pPr>
      <w:r>
        <w:rPr>
          <w:rFonts w:ascii="Arial" w:cs="Arial" w:eastAsia="Arial" w:hAnsi="Arial"/>
          <w:sz w:val="19"/>
          <w:szCs w:val="19"/>
          <w:color w:val="auto"/>
        </w:rPr>
        <w:t>the event that you are a director or executive officer and the income tax due is not collected from or paid by you by the Due Date, the amount of any uncollected income tax may constitute a benefit to you on which additional income tax and national insurance contributions may be payable. You acknowledge that you ultimately will be responsible for reporting and paying any income tax due on this additional benefit directly to HMRC under the self-assessment regime and for paying the Company or the Employer (as applicable) for the value of any employee NICs due on this additional benefit. You further acknowledge that the Company or the Employer may recover such amounts from you by any of the means referred to in Section 9.2 of the Agreement.</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Joint Election</w:t>
      </w:r>
      <w:r>
        <w:rPr>
          <w:rFonts w:ascii="Arial" w:cs="Arial" w:eastAsia="Arial" w:hAnsi="Arial"/>
          <w:sz w:val="22"/>
          <w:szCs w:val="22"/>
          <w:color w:val="auto"/>
        </w:rPr>
        <w:t>. As a condition of your participation in the Plan, you agree to accept any liability for secondary Class 1 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insurance contributions (the </w:t>
      </w:r>
      <w:r>
        <w:rPr>
          <w:rFonts w:ascii="Arial" w:cs="Arial" w:eastAsia="Arial" w:hAnsi="Arial"/>
          <w:sz w:val="22"/>
          <w:szCs w:val="22"/>
          <w:b w:val="1"/>
          <w:bCs w:val="1"/>
          <w:i w:val="1"/>
          <w:iCs w:val="1"/>
          <w:color w:val="auto"/>
        </w:rPr>
        <w:t>“Employer’s Liability”</w:t>
      </w:r>
      <w:r>
        <w:rPr>
          <w:rFonts w:ascii="Arial" w:cs="Arial" w:eastAsia="Arial" w:hAnsi="Arial"/>
          <w:sz w:val="22"/>
          <w:szCs w:val="22"/>
          <w:color w:val="auto"/>
        </w:rPr>
        <w:t xml:space="preserve">) which may be payable by the Company and/or the Employer in connection with the Award and any event giving rise to Tax-Related Items. To accomplish the foregoing, you agree to execute the following joint election with the Company (the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the form of such Joint Election being formally approved by HMRC, and any other consent or elections required to accomplish the transfer of the Employer’s Liability to you. You further agree to execute such other joint elections as may be required between yourself and any successor to the Company and/or the Employer. You further agree that the Company and/or the Employer may collect the Employer’s Liability by any of the means set forth in Section 9.2 of the Agreement.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you do not enter into a Joint Election prior to vesting of the Award or any other event giving rise to Tax-Related Items, you will forfeit the Units and any benefits in connection with the Award, and any Shares that have been issued will be returned to the Company at no cost to the Company, without any liability to the Company and/or the Employer.</w:t>
      </w:r>
    </w:p>
    <w:p>
      <w:pPr>
        <w:sectPr>
          <w:pgSz w:w="11900" w:h="16838" w:orient="portrait"/>
          <w:cols w:equalWidth="0" w:num="1">
            <w:col w:w="11420"/>
          </w:cols>
          <w:pgMar w:left="240" w:top="591" w:right="239" w:bottom="1440" w:gutter="0" w:footer="0" w:header="0"/>
        </w:sectPr>
      </w:pPr>
    </w:p>
    <w:bookmarkStart w:id="95" w:name="page96"/>
    <w:bookmarkEnd w:id="95"/>
    <w:p>
      <w:pPr>
        <w:ind w:left="5080"/>
        <w:spacing w:after="0"/>
        <w:rPr>
          <w:sz w:val="20"/>
          <w:szCs w:val="20"/>
          <w:color w:val="auto"/>
        </w:rPr>
      </w:pPr>
      <w:r>
        <w:rPr>
          <w:rFonts w:ascii="Arial" w:cs="Arial" w:eastAsia="Arial" w:hAnsi="Arial"/>
          <w:sz w:val="22"/>
          <w:szCs w:val="22"/>
          <w:b w:val="1"/>
          <w:bCs w:val="1"/>
          <w:color w:val="auto"/>
        </w:rPr>
        <w:t>ITRON, INC.</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220"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Important Note on the Joint Election to Transfer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Employer National Insurance Contributions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As a condition of participation in the Itron, Inc. Amended and Restated 2010 Stock Incentive Plan (the “</w:t>
      </w:r>
      <w:r>
        <w:rPr>
          <w:rFonts w:ascii="Arial" w:cs="Arial" w:eastAsia="Arial" w:hAnsi="Arial"/>
          <w:sz w:val="21"/>
          <w:szCs w:val="21"/>
          <w:b w:val="1"/>
          <w:bCs w:val="1"/>
          <w:i w:val="1"/>
          <w:iCs w:val="1"/>
          <w:color w:val="auto"/>
        </w:rPr>
        <w:t>Plan</w:t>
      </w:r>
      <w:r>
        <w:rPr>
          <w:rFonts w:ascii="Arial" w:cs="Arial" w:eastAsia="Arial" w:hAnsi="Arial"/>
          <w:sz w:val="21"/>
          <w:szCs w:val="21"/>
          <w:b w:val="1"/>
          <w:bCs w:val="1"/>
          <w:color w:val="auto"/>
        </w:rPr>
        <w:t>”) and the vesting of the restricted stock unit award (the “</w:t>
      </w:r>
      <w:r>
        <w:rPr>
          <w:rFonts w:ascii="Arial" w:cs="Arial" w:eastAsia="Arial" w:hAnsi="Arial"/>
          <w:sz w:val="21"/>
          <w:szCs w:val="21"/>
          <w:b w:val="1"/>
          <w:bCs w:val="1"/>
          <w:i w:val="1"/>
          <w:iCs w:val="1"/>
          <w:color w:val="auto"/>
        </w:rPr>
        <w:t>Award</w:t>
      </w:r>
      <w:r>
        <w:rPr>
          <w:rFonts w:ascii="Arial" w:cs="Arial" w:eastAsia="Arial" w:hAnsi="Arial"/>
          <w:sz w:val="21"/>
          <w:szCs w:val="21"/>
          <w:b w:val="1"/>
          <w:bCs w:val="1"/>
          <w:color w:val="auto"/>
        </w:rPr>
        <w:t>”) that has been granted to you by Itron, Inc. (the “</w:t>
      </w:r>
      <w:r>
        <w:rPr>
          <w:rFonts w:ascii="Arial" w:cs="Arial" w:eastAsia="Arial" w:hAnsi="Arial"/>
          <w:sz w:val="21"/>
          <w:szCs w:val="21"/>
          <w:b w:val="1"/>
          <w:bCs w:val="1"/>
          <w:i w:val="1"/>
          <w:iCs w:val="1"/>
          <w:color w:val="auto"/>
        </w:rPr>
        <w:t>Company</w:t>
      </w:r>
      <w:r>
        <w:rPr>
          <w:rFonts w:ascii="Arial" w:cs="Arial" w:eastAsia="Arial" w:hAnsi="Arial"/>
          <w:sz w:val="21"/>
          <w:szCs w:val="21"/>
          <w:b w:val="1"/>
          <w:bCs w:val="1"/>
          <w:color w:val="auto"/>
        </w:rPr>
        <w:t>”), you are required to enter into a joint election to transfer to you any liability for employer national insurance contributions (the “</w:t>
      </w:r>
      <w:r>
        <w:rPr>
          <w:rFonts w:ascii="Arial" w:cs="Arial" w:eastAsia="Arial" w:hAnsi="Arial"/>
          <w:sz w:val="21"/>
          <w:szCs w:val="21"/>
          <w:b w:val="1"/>
          <w:bCs w:val="1"/>
          <w:i w:val="1"/>
          <w:iCs w:val="1"/>
          <w:color w:val="auto"/>
        </w:rPr>
        <w:t>Employer’s Liability</w:t>
      </w:r>
      <w:r>
        <w:rPr>
          <w:rFonts w:ascii="Arial" w:cs="Arial" w:eastAsia="Arial" w:hAnsi="Arial"/>
          <w:sz w:val="21"/>
          <w:szCs w:val="21"/>
          <w:b w:val="1"/>
          <w:bCs w:val="1"/>
          <w:color w:val="auto"/>
        </w:rPr>
        <w:t>”) that may arise in connection with the Award, or in connection with future restricted stock unit awards, granted to you by the Company under the Plan (the “</w:t>
      </w:r>
      <w:r>
        <w:rPr>
          <w:rFonts w:ascii="Arial" w:cs="Arial" w:eastAsia="Arial" w:hAnsi="Arial"/>
          <w:sz w:val="21"/>
          <w:szCs w:val="21"/>
          <w:b w:val="1"/>
          <w:bCs w:val="1"/>
          <w:i w:val="1"/>
          <w:iCs w:val="1"/>
          <w:color w:val="auto"/>
        </w:rPr>
        <w:t>Joint Election</w:t>
      </w:r>
      <w:r>
        <w:rPr>
          <w:rFonts w:ascii="Arial" w:cs="Arial" w:eastAsia="Arial" w:hAnsi="Arial"/>
          <w:sz w:val="21"/>
          <w:szCs w:val="21"/>
          <w:b w:val="1"/>
          <w:bCs w:val="1"/>
          <w:color w:val="auto"/>
        </w:rPr>
        <w:t>”).</w:t>
      </w:r>
    </w:p>
    <w:p>
      <w:pPr>
        <w:spacing w:after="0" w:line="171"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If you do not agree to enter into the Joint Election, the Award will be worthless, as (under the terms of the Restricted Stock Unit Award Agreement) you will not be able to vest in the Award or receive any benefit in connection with the Award.</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 entering into the Joint Election:</w:t>
      </w:r>
    </w:p>
    <w:p>
      <w:pPr>
        <w:spacing w:after="0" w:line="220" w:lineRule="exact"/>
        <w:rPr>
          <w:sz w:val="20"/>
          <w:szCs w:val="20"/>
          <w:color w:val="auto"/>
        </w:rPr>
      </w:pPr>
    </w:p>
    <w:p>
      <w:pPr>
        <w:jc w:val="both"/>
        <w:ind w:left="660" w:hanging="328"/>
        <w:spacing w:after="0" w:line="25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22"/>
          <w:szCs w:val="22"/>
          <w:b w:val="1"/>
          <w:bCs w:val="1"/>
          <w:color w:val="auto"/>
        </w:rPr>
        <w:t>you agree that any Employer’s Liability that may arise in connection with or pursuant to the vesting of the Award (and the acquisition of shares of the Company’s common stock) or other taxable events in connection with the Award will be transferred to you; and</w:t>
      </w:r>
    </w:p>
    <w:p>
      <w:pPr>
        <w:spacing w:after="0" w:line="176" w:lineRule="exact"/>
        <w:rPr>
          <w:rFonts w:ascii="Arial" w:cs="Arial" w:eastAsia="Arial" w:hAnsi="Arial"/>
          <w:sz w:val="16"/>
          <w:szCs w:val="16"/>
          <w:color w:val="auto"/>
        </w:rPr>
      </w:pPr>
    </w:p>
    <w:p>
      <w:pPr>
        <w:ind w:left="660" w:hanging="328"/>
        <w:spacing w:after="0" w:line="269"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22"/>
          <w:szCs w:val="22"/>
          <w:b w:val="1"/>
          <w:bCs w:val="1"/>
          <w:color w:val="auto"/>
        </w:rPr>
        <w:t>you authorise the Company and/or your employer to recover an amount sufficient to cover this liability by any method set forth in the Restricted Stock Unit Award Agreement and/or the Joint Election.</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b w:val="1"/>
          <w:bCs w:val="1"/>
          <w:i w:val="1"/>
          <w:iCs w:val="1"/>
          <w:color w:val="auto"/>
        </w:rPr>
        <w:t>Indicating your acceptance of the Restricted Stock Unit Award Agreement indicates your agreement to be bound by the terms of the Joint Election.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read the terms of the Joint Election carefully before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accepting the Restricted Stock Unit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the Joint Election.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print and keep a copy of the Joint Election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your records.</w:t>
      </w:r>
    </w:p>
    <w:p>
      <w:pPr>
        <w:sectPr>
          <w:pgSz w:w="11900" w:h="16838" w:orient="portrait"/>
          <w:cols w:equalWidth="0" w:num="1">
            <w:col w:w="11420"/>
          </w:cols>
          <w:pgMar w:left="240" w:top="58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Employees in the United Kingdom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ELECTION TO TRANSFER THE EMPLOYER’S SECONDARY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CLASS 1 NATIONAL INSURANCE LIABILITY TO THE EMPLOYEE</w:t>
      </w:r>
    </w:p>
    <w:p>
      <w:pPr>
        <w:spacing w:after="0" w:line="196"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Parties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This Election is between:</w:t>
      </w:r>
    </w:p>
    <w:p>
      <w:pPr>
        <w:spacing w:after="0" w:line="219" w:lineRule="exact"/>
        <w:rPr>
          <w:rFonts w:ascii="Arial" w:cs="Arial" w:eastAsia="Arial" w:hAnsi="Arial"/>
          <w:sz w:val="22"/>
          <w:szCs w:val="22"/>
          <w:b w:val="1"/>
          <w:bCs w:val="1"/>
          <w:color w:val="auto"/>
        </w:rPr>
      </w:pPr>
    </w:p>
    <w:p>
      <w:pPr>
        <w:jc w:val="both"/>
        <w:ind w:left="1300" w:hanging="644"/>
        <w:spacing w:after="0" w:line="250" w:lineRule="auto"/>
        <w:tabs>
          <w:tab w:leader="none" w:pos="13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You, the individual who has obtained access to this Election (the </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xml:space="preserve">), who is employed by one of the employing companies listed in the attached schedule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xml:space="preserve">), and who is eligible to receive a restricted stock unit award pursuant to the terms and conditions of the Itron, Inc.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w:t>
      </w:r>
    </w:p>
    <w:p>
      <w:pPr>
        <w:spacing w:after="0" w:line="188" w:lineRule="exact"/>
        <w:rPr>
          <w:rFonts w:ascii="Arial" w:cs="Arial" w:eastAsia="Arial" w:hAnsi="Arial"/>
          <w:sz w:val="22"/>
          <w:szCs w:val="22"/>
          <w:color w:val="auto"/>
        </w:rPr>
      </w:pPr>
    </w:p>
    <w:p>
      <w:pPr>
        <w:ind w:left="1300" w:hanging="644"/>
        <w:spacing w:after="0" w:line="287" w:lineRule="auto"/>
        <w:tabs>
          <w:tab w:leader="none" w:pos="1300" w:val="left"/>
        </w:tabs>
        <w:numPr>
          <w:ilvl w:val="1"/>
          <w:numId w:val="60"/>
        </w:numPr>
        <w:rPr>
          <w:rFonts w:ascii="Arial" w:cs="Arial" w:eastAsia="Arial" w:hAnsi="Arial"/>
          <w:sz w:val="21"/>
          <w:szCs w:val="21"/>
          <w:color w:val="auto"/>
        </w:rPr>
      </w:pPr>
      <w:r>
        <w:rPr>
          <w:rFonts w:ascii="Arial" w:cs="Arial" w:eastAsia="Arial" w:hAnsi="Arial"/>
          <w:sz w:val="21"/>
          <w:szCs w:val="21"/>
          <w:color w:val="auto"/>
        </w:rPr>
        <w:t xml:space="preserve">Itron, Inc. of 2111 N. Molter Road, Lake Liberty, Washington 99019, U.S.A.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which may grant restricted stock unit awards under the Plan and is entering this Election on behalf of the Employer.</w:t>
      </w:r>
    </w:p>
    <w:p>
      <w:pPr>
        <w:spacing w:after="0" w:line="145" w:lineRule="exact"/>
        <w:rPr>
          <w:rFonts w:ascii="Arial" w:cs="Arial" w:eastAsia="Arial" w:hAnsi="Arial"/>
          <w:sz w:val="21"/>
          <w:szCs w:val="21"/>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 of Election</w:t>
      </w:r>
    </w:p>
    <w:p>
      <w:pPr>
        <w:spacing w:after="0" w:line="225" w:lineRule="exact"/>
        <w:rPr>
          <w:rFonts w:ascii="Arial" w:cs="Arial" w:eastAsia="Arial" w:hAnsi="Arial"/>
          <w:sz w:val="22"/>
          <w:szCs w:val="22"/>
          <w:b w:val="1"/>
          <w:bCs w:val="1"/>
          <w:color w:val="auto"/>
        </w:rPr>
      </w:pPr>
    </w:p>
    <w:p>
      <w:pPr>
        <w:ind w:left="1300" w:hanging="648"/>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 xml:space="preserve">2.1 This Election relates to the Employer’s secondary Class 1 national insurance contributions (the </w:t>
      </w:r>
      <w:r>
        <w:rPr>
          <w:rFonts w:ascii="Arial" w:cs="Arial" w:eastAsia="Arial" w:hAnsi="Arial"/>
          <w:sz w:val="19"/>
          <w:szCs w:val="19"/>
          <w:b w:val="1"/>
          <w:bCs w:val="1"/>
          <w:i w:val="1"/>
          <w:iCs w:val="1"/>
          <w:color w:val="auto"/>
        </w:rPr>
        <w:t>“Employer’s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Liability”</w:t>
      </w:r>
      <w:r>
        <w:rPr>
          <w:rFonts w:ascii="Arial" w:cs="Arial" w:eastAsia="Arial" w:hAnsi="Arial"/>
          <w:sz w:val="19"/>
          <w:szCs w:val="19"/>
          <w:color w:val="auto"/>
        </w:rPr>
        <w:t>) which may arise on the occurrence of a</w:t>
      </w:r>
      <w:r>
        <w:rPr>
          <w:rFonts w:ascii="Arial" w:cs="Arial" w:eastAsia="Arial" w:hAnsi="Arial"/>
          <w:sz w:val="19"/>
          <w:szCs w:val="19"/>
          <w:b w:val="1"/>
          <w:bCs w:val="1"/>
          <w:i w:val="1"/>
          <w:iCs w:val="1"/>
          <w:color w:val="auto"/>
        </w:rPr>
        <w:t xml:space="preserve"> “Taxable Event” </w:t>
      </w:r>
      <w:r>
        <w:rPr>
          <w:rFonts w:ascii="Arial" w:cs="Arial" w:eastAsia="Arial" w:hAnsi="Arial"/>
          <w:sz w:val="19"/>
          <w:szCs w:val="19"/>
          <w:color w:val="auto"/>
        </w:rPr>
        <w:t>pursuant to section 4(4)(a) or paragraph 3B(1A)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Schedule 1 of the Social Security Contributions and Benefits Act 1992, including but not limited to:</w:t>
      </w:r>
    </w:p>
    <w:p>
      <w:pPr>
        <w:spacing w:after="0" w:line="133" w:lineRule="exact"/>
        <w:rPr>
          <w:rFonts w:ascii="Arial" w:cs="Arial" w:eastAsia="Arial" w:hAnsi="Arial"/>
          <w:sz w:val="22"/>
          <w:szCs w:val="22"/>
          <w:b w:val="1"/>
          <w:bCs w:val="1"/>
          <w:color w:val="auto"/>
        </w:rPr>
      </w:pPr>
    </w:p>
    <w:p>
      <w:pPr>
        <w:ind w:left="1960" w:right="20" w:hanging="655"/>
        <w:spacing w:after="0" w:line="263" w:lineRule="auto"/>
        <w:tabs>
          <w:tab w:leader="none" w:pos="19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the acquisition of securities pursuant to the restricted stock unit award (pursuant to section 477(3)(a) ITEPA); and/or</w:t>
      </w:r>
    </w:p>
    <w:p>
      <w:pPr>
        <w:spacing w:after="0" w:line="174" w:lineRule="exact"/>
        <w:rPr>
          <w:rFonts w:ascii="Arial" w:cs="Arial" w:eastAsia="Arial" w:hAnsi="Arial"/>
          <w:sz w:val="22"/>
          <w:szCs w:val="22"/>
          <w:color w:val="auto"/>
        </w:rPr>
      </w:pPr>
    </w:p>
    <w:p>
      <w:pPr>
        <w:ind w:left="1960" w:right="20" w:hanging="655"/>
        <w:spacing w:after="0" w:line="263" w:lineRule="auto"/>
        <w:tabs>
          <w:tab w:leader="none" w:pos="19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the assignment or release of the restricted stock unit award in return for consideration (pursuant to section 477(3)(b) ITEPA); and/or</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the receipt of a benefit in connection with the restricted stock unit award other than a benefit within (i) or (ii) above (pursuant to section 477(3)(c) ITEPA).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this Election, ITEPA means the Income Tax (Earnings and Pensions) Act 2003.</w:t>
      </w:r>
    </w:p>
    <w:p>
      <w:pPr>
        <w:spacing w:after="0" w:line="22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This Election is made in accordance with paragraph 3B(1) of Schedule 1 to the Social Security Contributions and Benefits Act 1992.</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This Election applies to all restricted stock unit awards granted to the Employee under the Plan, on or after 6 May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2010 up to the termination date of the Plan.</w:t>
      </w:r>
    </w:p>
    <w:p>
      <w:pPr>
        <w:sectPr>
          <w:pgSz w:w="11900" w:h="16838" w:orient="portrait"/>
          <w:cols w:equalWidth="0" w:num="1">
            <w:col w:w="11420"/>
          </w:cols>
          <w:pgMar w:left="240" w:top="369" w:right="239" w:bottom="1440" w:gutter="0" w:footer="0" w:header="0"/>
        </w:sectPr>
      </w:pPr>
    </w:p>
    <w:bookmarkStart w:id="97" w:name="page98"/>
    <w:bookmarkEnd w:id="97"/>
    <w:p>
      <w:pPr>
        <w:jc w:val="both"/>
        <w:ind w:left="1292" w:right="20" w:hanging="647"/>
        <w:spacing w:after="0" w:line="312" w:lineRule="auto"/>
        <w:tabs>
          <w:tab w:leader="none" w:pos="1272"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This Election does not apply in relation to any liability, or any part of any liability, arising as a result of regulations being given retrospective effect by virtue of section 4B(2) of either the Social Security Contributions and Benefits Act 1992, or the Social Security Contributions and Benefits (Northern Ireland) Act 1992.</w:t>
      </w:r>
    </w:p>
    <w:p>
      <w:pPr>
        <w:spacing w:after="0" w:line="134" w:lineRule="exact"/>
        <w:rPr>
          <w:sz w:val="20"/>
          <w:szCs w:val="20"/>
          <w:color w:val="auto"/>
        </w:rPr>
      </w:pPr>
    </w:p>
    <w:p>
      <w:pPr>
        <w:jc w:val="both"/>
        <w:ind w:left="1292" w:hanging="647"/>
        <w:spacing w:after="0" w:line="253" w:lineRule="auto"/>
        <w:tabs>
          <w:tab w:leader="none" w:pos="1272"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This Election will not apply to the extent that it relates to relevant employment income which is employment income of the earner by virtue of Chapter 3A of Part 7 of ITEPA 2003 (employment income: securities with artificially depressed market value).</w:t>
      </w:r>
    </w:p>
    <w:p>
      <w:pPr>
        <w:spacing w:after="0" w:line="180" w:lineRule="exact"/>
        <w:rPr>
          <w:sz w:val="20"/>
          <w:szCs w:val="20"/>
          <w:color w:val="auto"/>
        </w:rPr>
      </w:pPr>
    </w:p>
    <w:p>
      <w:pPr>
        <w:ind w:left="652" w:hanging="652"/>
        <w:spacing w:after="0"/>
        <w:tabs>
          <w:tab w:leader="none" w:pos="652"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Election</w:t>
      </w:r>
    </w:p>
    <w:p>
      <w:pPr>
        <w:spacing w:after="0" w:line="226" w:lineRule="exact"/>
        <w:rPr>
          <w:sz w:val="20"/>
          <w:szCs w:val="20"/>
          <w:color w:val="auto"/>
        </w:rPr>
      </w:pPr>
    </w:p>
    <w:p>
      <w:pPr>
        <w:jc w:val="both"/>
        <w:ind w:left="1292"/>
        <w:spacing w:after="0" w:line="250" w:lineRule="auto"/>
        <w:rPr>
          <w:sz w:val="20"/>
          <w:szCs w:val="20"/>
          <w:color w:val="auto"/>
        </w:rPr>
      </w:pPr>
      <w:r>
        <w:rPr>
          <w:rFonts w:ascii="Arial" w:cs="Arial" w:eastAsia="Arial" w:hAnsi="Arial"/>
          <w:sz w:val="22"/>
          <w:szCs w:val="22"/>
          <w:color w:val="auto"/>
        </w:rPr>
        <w:t>The Employee and the Company jointly elect that the entire liability of the Employer to pay the Employer’s Liability on the Taxable Event is hereby transferred to the Employee. The Employee understands that by clicking on the acceptance of the Restricted Stock Unit Award button where indicated, he or she will become personally liable for the Employer’s Liability covered by this Election.</w:t>
      </w:r>
    </w:p>
    <w:p>
      <w:pPr>
        <w:spacing w:after="0" w:line="182" w:lineRule="exact"/>
        <w:rPr>
          <w:sz w:val="20"/>
          <w:szCs w:val="20"/>
          <w:color w:val="auto"/>
        </w:rPr>
      </w:pPr>
    </w:p>
    <w:p>
      <w:pPr>
        <w:ind w:left="652" w:hanging="652"/>
        <w:spacing w:after="0"/>
        <w:tabs>
          <w:tab w:leader="none" w:pos="652"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 of the Employer’s Liability</w:t>
      </w:r>
    </w:p>
    <w:p>
      <w:pPr>
        <w:spacing w:after="0" w:line="225" w:lineRule="exact"/>
        <w:rPr>
          <w:rFonts w:ascii="Arial" w:cs="Arial" w:eastAsia="Arial" w:hAnsi="Arial"/>
          <w:sz w:val="22"/>
          <w:szCs w:val="22"/>
          <w:b w:val="1"/>
          <w:bCs w:val="1"/>
          <w:color w:val="auto"/>
        </w:rPr>
      </w:pPr>
    </w:p>
    <w:p>
      <w:pPr>
        <w:ind w:left="1292" w:hanging="648"/>
        <w:spacing w:after="0" w:line="261" w:lineRule="auto"/>
        <w:rPr>
          <w:rFonts w:ascii="Arial" w:cs="Arial" w:eastAsia="Arial" w:hAnsi="Arial"/>
          <w:sz w:val="22"/>
          <w:szCs w:val="22"/>
          <w:b w:val="1"/>
          <w:bCs w:val="1"/>
          <w:color w:val="auto"/>
        </w:rPr>
      </w:pPr>
      <w:r>
        <w:rPr>
          <w:rFonts w:ascii="Arial" w:cs="Arial" w:eastAsia="Arial" w:hAnsi="Arial"/>
          <w:sz w:val="21"/>
          <w:szCs w:val="21"/>
          <w:color w:val="auto"/>
        </w:rPr>
        <w:t>4.1 Notwithstanding that pursuant to this Election, the Employer’s Liability is transferred to the Employee, the Employee authorises the Employer and the Employer agrees, to remit the Employer’s Liability to Her Majesty’s Revenue and Customs (</w:t>
      </w:r>
      <w:r>
        <w:rPr>
          <w:rFonts w:ascii="Arial" w:cs="Arial" w:eastAsia="Arial" w:hAnsi="Arial"/>
          <w:sz w:val="21"/>
          <w:szCs w:val="21"/>
          <w:b w:val="1"/>
          <w:bCs w:val="1"/>
          <w:i w:val="1"/>
          <w:iCs w:val="1"/>
          <w:color w:val="auto"/>
        </w:rPr>
        <w:t>“HMRC”</w:t>
      </w:r>
      <w:r>
        <w:rPr>
          <w:rFonts w:ascii="Arial" w:cs="Arial" w:eastAsia="Arial" w:hAnsi="Arial"/>
          <w:sz w:val="21"/>
          <w:szCs w:val="21"/>
          <w:color w:val="auto"/>
        </w:rPr>
        <w:t>) on behalf of the Employee within 14 days following the end of the UK Income Tax month during which the Taxable Event occurs, or within 17 days following the end of the UK Income Tax month during which the Taxable Event occurs, if submitted electronically. The Employee agrees to pay to the Employer the Employer’s Liability on demand at any time on or after the Taxable Event.</w:t>
      </w:r>
    </w:p>
    <w:p>
      <w:pPr>
        <w:spacing w:after="0" w:line="180" w:lineRule="exact"/>
        <w:rPr>
          <w:rFonts w:ascii="Arial" w:cs="Arial" w:eastAsia="Arial" w:hAnsi="Arial"/>
          <w:sz w:val="22"/>
          <w:szCs w:val="22"/>
          <w:b w:val="1"/>
          <w:bCs w:val="1"/>
          <w:color w:val="auto"/>
        </w:rPr>
      </w:pPr>
    </w:p>
    <w:p>
      <w:pPr>
        <w:ind w:left="1292" w:hanging="648"/>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4.2 Without limitation to Clause 4.1 above, the Employee hereby authorises the Company and/or the Employer to collect the Employer’s Liability from the Employee at any time on or after the Taxable Event:</w:t>
      </w:r>
    </w:p>
    <w:p>
      <w:pPr>
        <w:spacing w:after="0" w:line="174" w:lineRule="exact"/>
        <w:rPr>
          <w:rFonts w:ascii="Arial" w:cs="Arial" w:eastAsia="Arial" w:hAnsi="Arial"/>
          <w:sz w:val="22"/>
          <w:szCs w:val="22"/>
          <w:b w:val="1"/>
          <w:bCs w:val="1"/>
          <w:color w:val="auto"/>
        </w:rPr>
      </w:pPr>
    </w:p>
    <w:p>
      <w:pPr>
        <w:ind w:left="1952" w:hanging="655"/>
        <w:spacing w:after="0" w:line="263" w:lineRule="auto"/>
        <w:tabs>
          <w:tab w:leader="none" w:pos="1952" w:val="left"/>
        </w:tabs>
        <w:numPr>
          <w:ilvl w:val="1"/>
          <w:numId w:val="62"/>
        </w:numPr>
        <w:rPr>
          <w:rFonts w:ascii="Arial" w:cs="Arial" w:eastAsia="Arial" w:hAnsi="Arial"/>
          <w:sz w:val="22"/>
          <w:szCs w:val="22"/>
          <w:color w:val="auto"/>
        </w:rPr>
      </w:pPr>
      <w:r>
        <w:rPr>
          <w:rFonts w:ascii="Arial" w:cs="Arial" w:eastAsia="Arial" w:hAnsi="Arial"/>
          <w:sz w:val="22"/>
          <w:szCs w:val="22"/>
          <w:color w:val="auto"/>
        </w:rPr>
        <w:t>by deduction from salary or any other payment payable to the Employee at any time on or after the date of the Taxable Event; and/or</w:t>
      </w:r>
    </w:p>
    <w:p>
      <w:pPr>
        <w:spacing w:after="0" w:line="174" w:lineRule="exact"/>
        <w:rPr>
          <w:rFonts w:ascii="Arial" w:cs="Arial" w:eastAsia="Arial" w:hAnsi="Arial"/>
          <w:sz w:val="22"/>
          <w:szCs w:val="22"/>
          <w:color w:val="auto"/>
        </w:rPr>
      </w:pPr>
    </w:p>
    <w:p>
      <w:pPr>
        <w:ind w:left="1952" w:hanging="655"/>
        <w:spacing w:after="0"/>
        <w:tabs>
          <w:tab w:leader="none" w:pos="1952" w:val="left"/>
        </w:tabs>
        <w:numPr>
          <w:ilvl w:val="1"/>
          <w:numId w:val="62"/>
        </w:numPr>
        <w:rPr>
          <w:rFonts w:ascii="Arial" w:cs="Arial" w:eastAsia="Arial" w:hAnsi="Arial"/>
          <w:sz w:val="22"/>
          <w:szCs w:val="22"/>
          <w:color w:val="auto"/>
        </w:rPr>
      </w:pPr>
      <w:r>
        <w:rPr>
          <w:rFonts w:ascii="Arial" w:cs="Arial" w:eastAsia="Arial" w:hAnsi="Arial"/>
          <w:sz w:val="22"/>
          <w:szCs w:val="22"/>
          <w:color w:val="auto"/>
        </w:rPr>
        <w:t>directly from the Employee by payment in cash or cleared funds; and/or</w:t>
      </w:r>
    </w:p>
    <w:p>
      <w:pPr>
        <w:spacing w:after="0" w:line="219" w:lineRule="exact"/>
        <w:rPr>
          <w:rFonts w:ascii="Arial" w:cs="Arial" w:eastAsia="Arial" w:hAnsi="Arial"/>
          <w:sz w:val="22"/>
          <w:szCs w:val="22"/>
          <w:color w:val="auto"/>
        </w:rPr>
      </w:pPr>
    </w:p>
    <w:p>
      <w:pPr>
        <w:ind w:left="1952" w:hanging="655"/>
        <w:spacing w:after="0" w:line="263" w:lineRule="auto"/>
        <w:tabs>
          <w:tab w:leader="none" w:pos="1952" w:val="left"/>
        </w:tabs>
        <w:numPr>
          <w:ilvl w:val="1"/>
          <w:numId w:val="62"/>
        </w:numPr>
        <w:rPr>
          <w:rFonts w:ascii="Arial" w:cs="Arial" w:eastAsia="Arial" w:hAnsi="Arial"/>
          <w:sz w:val="22"/>
          <w:szCs w:val="22"/>
          <w:color w:val="auto"/>
        </w:rPr>
      </w:pPr>
      <w:r>
        <w:rPr>
          <w:rFonts w:ascii="Arial" w:cs="Arial" w:eastAsia="Arial" w:hAnsi="Arial"/>
          <w:sz w:val="22"/>
          <w:szCs w:val="22"/>
          <w:color w:val="auto"/>
        </w:rPr>
        <w:t>by arranging, on behalf of the Employee, for the sale of some of the securities which the Employee is entitled to receive in respect of the restricted stock unit award; and/or</w:t>
      </w:r>
    </w:p>
    <w:p>
      <w:pPr>
        <w:spacing w:after="0" w:line="174" w:lineRule="exact"/>
        <w:rPr>
          <w:rFonts w:ascii="Arial" w:cs="Arial" w:eastAsia="Arial" w:hAnsi="Arial"/>
          <w:sz w:val="22"/>
          <w:szCs w:val="22"/>
          <w:color w:val="auto"/>
        </w:rPr>
      </w:pPr>
    </w:p>
    <w:p>
      <w:pPr>
        <w:ind w:left="1952" w:hanging="655"/>
        <w:spacing w:after="0" w:line="263" w:lineRule="auto"/>
        <w:tabs>
          <w:tab w:leader="none" w:pos="1952"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through any other method set forth in the Restricted Stock Unit Award Agreement entered into between the Employee and the Company.</w:t>
      </w:r>
    </w:p>
    <w:p>
      <w:pPr>
        <w:spacing w:after="0" w:line="175" w:lineRule="exact"/>
        <w:rPr>
          <w:sz w:val="20"/>
          <w:szCs w:val="20"/>
          <w:color w:val="auto"/>
        </w:rPr>
      </w:pPr>
    </w:p>
    <w:p>
      <w:pPr>
        <w:ind w:left="1292" w:hanging="647"/>
        <w:spacing w:after="0" w:line="263" w:lineRule="auto"/>
        <w:tabs>
          <w:tab w:leader="none" w:pos="1272"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color w:val="auto"/>
        </w:rPr>
        <w:t>The Company hereby reserves for itself and the Employer the right to withhold the transfer of any securities to the Employee until full payment of the Employer’s Liability is received.</w:t>
      </w:r>
    </w:p>
    <w:p>
      <w:pPr>
        <w:sectPr>
          <w:pgSz w:w="11900" w:h="16838" w:orient="portrait"/>
          <w:cols w:equalWidth="0" w:num="1">
            <w:col w:w="11412"/>
          </w:cols>
          <w:pgMar w:left="248" w:top="591" w:right="239" w:bottom="1440" w:gutter="0" w:footer="0" w:header="0"/>
        </w:sectPr>
      </w:pPr>
    </w:p>
    <w:bookmarkStart w:id="98" w:name="page99"/>
    <w:bookmarkEnd w:id="98"/>
    <w:p>
      <w:pPr>
        <w:ind w:left="360" w:hanging="352"/>
        <w:spacing w:after="0"/>
        <w:tabs>
          <w:tab w:leader="none" w:pos="3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Duration of Election</w:t>
      </w:r>
    </w:p>
    <w:p>
      <w:pPr>
        <w:spacing w:after="0" w:line="239"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The Employee and the Company agree to be bound by the terms of this Election regardless of whether the Employee is transferred abroad or is not employed by the UK Employer on the date on which the Employer’s Liability becomes due.</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This Election will continue in effect until the earliest of the following:</w:t>
      </w:r>
    </w:p>
    <w:p>
      <w:pPr>
        <w:spacing w:after="0" w:line="233" w:lineRule="exact"/>
        <w:rPr>
          <w:sz w:val="20"/>
          <w:szCs w:val="20"/>
          <w:color w:val="auto"/>
        </w:rPr>
      </w:pPr>
    </w:p>
    <w:p>
      <w:pPr>
        <w:ind w:left="1960" w:hanging="655"/>
        <w:spacing w:after="0"/>
        <w:tabs>
          <w:tab w:leader="none" w:pos="1960" w:val="left"/>
        </w:tabs>
        <w:numPr>
          <w:ilvl w:val="0"/>
          <w:numId w:val="64"/>
        </w:numPr>
        <w:rPr>
          <w:rFonts w:ascii="Arial" w:cs="Arial" w:eastAsia="Arial" w:hAnsi="Arial"/>
          <w:sz w:val="21"/>
          <w:szCs w:val="21"/>
          <w:color w:val="auto"/>
        </w:rPr>
      </w:pPr>
      <w:r>
        <w:rPr>
          <w:rFonts w:ascii="Arial" w:cs="Arial" w:eastAsia="Arial" w:hAnsi="Arial"/>
          <w:sz w:val="21"/>
          <w:szCs w:val="21"/>
          <w:color w:val="auto"/>
        </w:rPr>
        <w:t>such time as both the Employee and the Company agree in writing that it should cease to have effect;</w:t>
      </w:r>
    </w:p>
    <w:p>
      <w:pPr>
        <w:spacing w:after="0" w:line="231" w:lineRule="exact"/>
        <w:rPr>
          <w:rFonts w:ascii="Arial" w:cs="Arial" w:eastAsia="Arial" w:hAnsi="Arial"/>
          <w:sz w:val="21"/>
          <w:szCs w:val="21"/>
          <w:color w:val="auto"/>
        </w:rPr>
      </w:pPr>
    </w:p>
    <w:p>
      <w:pPr>
        <w:ind w:left="1960" w:hanging="655"/>
        <w:spacing w:after="0"/>
        <w:tabs>
          <w:tab w:leader="none" w:pos="19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date the Company serves written notice on the Employee terminating its effect;</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date HMRC withdraws approval of this Form of Election; or</w:t>
      </w:r>
    </w:p>
    <w:p>
      <w:pPr>
        <w:spacing w:after="0" w:line="219"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date the Election ceases to have effect in accordance with its terms in respect of any outstanding restricted stock unit awards granted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by the Employee</w:t>
      </w:r>
    </w:p>
    <w:p>
      <w:pPr>
        <w:spacing w:after="0" w:line="220"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The Employee acknowledges that by clicking on the acceptance of the Restricted Stock Unit Award button where indicated, the Employee agrees to be bound by the terms of this Election as stated above.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by the Company</w:t>
      </w:r>
    </w:p>
    <w:p>
      <w:pPr>
        <w:spacing w:after="0" w:line="220"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b w:val="1"/>
          <w:bCs w:val="1"/>
          <w:color w:val="auto"/>
        </w:rPr>
        <w:t>The Company acknowledges that by arranging for the scanned signature of an authorised representative to appear on this Election, the Company agrees to be bound by the terms of this Election as stated above.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and Corporate Controller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Itron,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420"/>
          </w:cols>
          <w:pgMar w:left="240" w:top="585" w:right="239" w:bottom="1440" w:gutter="0" w:footer="0" w:header="0"/>
        </w:sectPr>
      </w:pPr>
    </w:p>
    <w:bookmarkStart w:id="99" w:name="page100"/>
    <w:bookmarkEnd w:id="99"/>
    <w:p>
      <w:pPr>
        <w:ind w:right="2860" w:firstLine="3230"/>
        <w:spacing w:after="0" w:line="448" w:lineRule="auto"/>
        <w:rPr>
          <w:sz w:val="20"/>
          <w:szCs w:val="20"/>
          <w:color w:val="auto"/>
        </w:rPr>
      </w:pPr>
      <w:r>
        <w:rPr>
          <w:rFonts w:ascii="Arial" w:cs="Arial" w:eastAsia="Arial" w:hAnsi="Arial"/>
          <w:sz w:val="22"/>
          <w:szCs w:val="22"/>
          <w:b w:val="1"/>
          <w:bCs w:val="1"/>
          <w:color w:val="auto"/>
        </w:rPr>
        <w:t xml:space="preserve">Schedule to Form of Election - Employing Companies </w:t>
      </w:r>
      <w:r>
        <w:rPr>
          <w:rFonts w:ascii="Arial" w:cs="Arial" w:eastAsia="Arial" w:hAnsi="Arial"/>
          <w:sz w:val="22"/>
          <w:szCs w:val="22"/>
          <w:color w:val="auto"/>
        </w:rPr>
        <w:t>The Employing Companies to which this Form of Election relates are:</w:t>
      </w:r>
    </w:p>
    <w:p>
      <w:pPr>
        <w:spacing w:after="0" w:line="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Itron Metering Solutions UK Limited</w:t>
      </w:r>
    </w:p>
    <w:p>
      <w:pPr>
        <w:spacing w:after="0" w:line="362" w:lineRule="exact"/>
        <w:rPr>
          <w:sz w:val="20"/>
          <w:szCs w:val="20"/>
          <w:color w:val="auto"/>
        </w:rPr>
      </w:pPr>
    </w:p>
    <w:tbl>
      <w:tblPr>
        <w:tblLayout w:type="fixed"/>
        <w:tblInd w:w="410" w:type="dxa"/>
        <w:tblCellMar>
          <w:top w:w="0" w:type="dxa"/>
          <w:left w:w="0" w:type="dxa"/>
          <w:bottom w:w="0" w:type="dxa"/>
          <w:right w:w="0" w:type="dxa"/>
        </w:tblCellMar>
      </w:tblPr>
      <w:tr>
        <w:trPr>
          <w:trHeight w:val="262"/>
        </w:trPr>
        <w:tc>
          <w:tcPr>
            <w:tcW w:w="5340" w:type="dxa"/>
            <w:vAlign w:val="bottom"/>
            <w:tcBorders>
              <w:top w:val="single" w:sz="8" w:color="auto"/>
              <w:left w:val="single" w:sz="8" w:color="auto"/>
              <w:right w:val="single" w:sz="8" w:color="auto"/>
            </w:tcBorders>
          </w:tcPr>
          <w:p>
            <w:pPr>
              <w:spacing w:after="0"/>
              <w:rPr>
                <w:sz w:val="22"/>
                <w:szCs w:val="22"/>
                <w:color w:val="auto"/>
              </w:rPr>
            </w:pPr>
          </w:p>
        </w:tc>
        <w:tc>
          <w:tcPr>
            <w:tcW w:w="5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Langer Road,</w:t>
            </w:r>
          </w:p>
        </w:tc>
      </w:tr>
      <w:tr>
        <w:trPr>
          <w:trHeight w:val="243"/>
        </w:trPr>
        <w:tc>
          <w:tcPr>
            <w:tcW w:w="5340" w:type="dxa"/>
            <w:vAlign w:val="bottom"/>
            <w:tcBorders>
              <w:left w:val="single" w:sz="8" w:color="auto"/>
              <w:right w:val="single" w:sz="8" w:color="auto"/>
            </w:tcBorders>
          </w:tcPr>
          <w:p>
            <w:pPr>
              <w:spacing w:after="0"/>
              <w:rPr>
                <w:sz w:val="21"/>
                <w:szCs w:val="21"/>
                <w:color w:val="auto"/>
              </w:rPr>
            </w:pPr>
          </w:p>
        </w:tc>
        <w:tc>
          <w:tcPr>
            <w:tcW w:w="53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Felixstowe, Suffolk, IP11 2ER</w:t>
            </w:r>
          </w:p>
        </w:tc>
      </w:tr>
      <w:tr>
        <w:trPr>
          <w:trHeight w:val="285"/>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Registered Office:</w:t>
            </w:r>
          </w:p>
        </w:tc>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United Kingdom</w:t>
            </w:r>
          </w:p>
        </w:tc>
      </w:tr>
      <w:tr>
        <w:trPr>
          <w:trHeight w:val="243"/>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Number:</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04274515</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Corporation Tax District:</w:t>
            </w:r>
          </w:p>
        </w:tc>
        <w:tc>
          <w:tcPr>
            <w:tcW w:w="5320" w:type="dxa"/>
            <w:vAlign w:val="bottom"/>
            <w:tcBorders>
              <w:right w:val="single" w:sz="8" w:color="auto"/>
            </w:tcBorders>
          </w:tcPr>
          <w:p>
            <w:pPr>
              <w:spacing w:after="0"/>
              <w:rPr>
                <w:sz w:val="20"/>
                <w:szCs w:val="20"/>
                <w:color w:val="auto"/>
              </w:rPr>
            </w:pP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Corporation Tax Reference:</w:t>
            </w:r>
          </w:p>
        </w:tc>
        <w:tc>
          <w:tcPr>
            <w:tcW w:w="5320" w:type="dxa"/>
            <w:vAlign w:val="bottom"/>
            <w:tcBorders>
              <w:right w:val="single" w:sz="8" w:color="auto"/>
            </w:tcBorders>
          </w:tcPr>
          <w:p>
            <w:pPr>
              <w:spacing w:after="0"/>
              <w:rPr>
                <w:sz w:val="20"/>
                <w:szCs w:val="20"/>
                <w:color w:val="auto"/>
              </w:rPr>
            </w:pP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PAYE District:</w:t>
            </w:r>
          </w:p>
        </w:tc>
        <w:tc>
          <w:tcPr>
            <w:tcW w:w="5320" w:type="dxa"/>
            <w:vAlign w:val="bottom"/>
            <w:tcBorders>
              <w:right w:val="single" w:sz="8" w:color="auto"/>
            </w:tcBorders>
          </w:tcPr>
          <w:p>
            <w:pPr>
              <w:spacing w:after="0"/>
              <w:rPr>
                <w:sz w:val="20"/>
                <w:szCs w:val="20"/>
                <w:color w:val="auto"/>
              </w:rPr>
            </w:pP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PAYE Reference:</w:t>
            </w:r>
          </w:p>
        </w:tc>
        <w:tc>
          <w:tcPr>
            <w:tcW w:w="5320" w:type="dxa"/>
            <w:vAlign w:val="bottom"/>
            <w:tcBorders>
              <w:right w:val="single" w:sz="8" w:color="auto"/>
            </w:tcBorders>
          </w:tcPr>
          <w:p>
            <w:pPr>
              <w:spacing w:after="0"/>
              <w:rPr>
                <w:sz w:val="20"/>
                <w:szCs w:val="20"/>
                <w:color w:val="auto"/>
              </w:rPr>
            </w:pP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60"/>
          </w:cols>
          <w:pgMar w:left="240" w:top="585" w:right="599" w:bottom="1440" w:gutter="0" w:footer="0" w:header="0"/>
        </w:sectPr>
      </w:pPr>
    </w:p>
    <w:bookmarkStart w:id="100" w:name="page101"/>
    <w:bookmarkEnd w:id="100"/>
    <w:p>
      <w:pPr>
        <w:jc w:val="right"/>
        <w:ind w:right="3659"/>
        <w:spacing w:after="0"/>
        <w:rPr>
          <w:sz w:val="20"/>
          <w:szCs w:val="20"/>
          <w:color w:val="auto"/>
        </w:rPr>
      </w:pPr>
      <w:r>
        <w:rPr>
          <w:rFonts w:ascii="Arial" w:cs="Arial" w:eastAsia="Arial" w:hAnsi="Arial"/>
          <w:sz w:val="22"/>
          <w:szCs w:val="22"/>
          <w:b w:val="1"/>
          <w:bCs w:val="1"/>
          <w:u w:val="single" w:color="auto"/>
          <w:color w:val="auto"/>
        </w:rPr>
        <w:t>UNITED STATES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 specific provisions.</w:t>
      </w:r>
    </w:p>
    <w:p>
      <w:pPr>
        <w:sectPr>
          <w:pgSz w:w="11900" w:h="16838" w:orient="portrait"/>
          <w:cols w:equalWidth="0" w:num="1">
            <w:col w:w="10219"/>
          </w:cols>
          <w:pgMar w:left="240" w:top="585"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FOR PARTICIPANTS IN FRANCE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the Restricted Stock Unit Award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the Itron, Inc. Amended and Restated 2010 Stock Incentive Plan (the “</w:t>
      </w:r>
      <w:r>
        <w:rPr>
          <w:rFonts w:ascii="Arial" w:cs="Arial" w:eastAsia="Arial" w:hAnsi="Arial"/>
          <w:sz w:val="22"/>
          <w:szCs w:val="22"/>
          <w:b w:val="1"/>
          <w:bCs w:val="1"/>
          <w:i w:val="1"/>
          <w:iCs w:val="1"/>
          <w:color w:val="auto"/>
        </w:rPr>
        <w:t>U.S. Plan</w:t>
      </w:r>
      <w:r>
        <w:rPr>
          <w:rFonts w:ascii="Arial" w:cs="Arial" w:eastAsia="Arial" w:hAnsi="Arial"/>
          <w:sz w:val="22"/>
          <w:szCs w:val="22"/>
          <w:color w:val="auto"/>
        </w:rPr>
        <w:t>”) and the Rules of the Itron, Inc. Amended and Restated 2010 Stock Incentive Plan for the Grant of Restricted Stock Units to Participants in France (the “</w:t>
      </w:r>
      <w:r>
        <w:rPr>
          <w:rFonts w:ascii="Arial" w:cs="Arial" w:eastAsia="Arial" w:hAnsi="Arial"/>
          <w:sz w:val="22"/>
          <w:szCs w:val="22"/>
          <w:b w:val="1"/>
          <w:bCs w:val="1"/>
          <w:i w:val="1"/>
          <w:iCs w:val="1"/>
          <w:color w:val="auto"/>
        </w:rPr>
        <w:t>French RSU Plan</w:t>
      </w:r>
      <w:r>
        <w:rPr>
          <w:rFonts w:ascii="Arial" w:cs="Arial" w:eastAsia="Arial" w:hAnsi="Arial"/>
          <w:sz w:val="22"/>
          <w:szCs w:val="22"/>
          <w:color w:val="auto"/>
        </w:rPr>
        <w:t>” and together with the U.S.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Date of Grant</w:t>
      </w:r>
      <w:r>
        <w:rPr>
          <w:rFonts w:ascii="Arial" w:cs="Arial" w:eastAsia="Arial" w:hAnsi="Arial"/>
          <w:sz w:val="20"/>
          <w:szCs w:val="20"/>
          <w:color w:val="auto"/>
        </w:rPr>
        <w: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Number of Restricted Stock Units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Restriction on Sale of Shares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FF0000"/>
        </w:rPr>
        <w:t>«First_Name» «Last_Name»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FF0000"/>
        </w:rPr>
        <w:t>«Grant Date»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FF0000"/>
        </w:rPr>
        <w:t>«# of Units»</w:t>
      </w:r>
    </w:p>
    <w:p>
      <w:pPr>
        <w:spacing w:after="0" w:line="10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FF0000"/>
        </w:rPr>
        <w:t>The Award will vest in full on the second anniversary of the Date of Grant (the “</w:t>
      </w:r>
      <w:r>
        <w:rPr>
          <w:rFonts w:ascii="Arial" w:cs="Arial" w:eastAsia="Arial" w:hAnsi="Arial"/>
          <w:sz w:val="20"/>
          <w:szCs w:val="20"/>
          <w:b w:val="1"/>
          <w:bCs w:val="1"/>
          <w:i w:val="1"/>
          <w:iCs w:val="1"/>
          <w:color w:val="FF0000"/>
        </w:rPr>
        <w:t>Vesting Date</w:t>
      </w:r>
      <w:r>
        <w:rPr>
          <w:rFonts w:ascii="Arial" w:cs="Arial" w:eastAsia="Arial" w:hAnsi="Arial"/>
          <w:sz w:val="20"/>
          <w:szCs w:val="20"/>
          <w:color w:val="FF0000"/>
        </w:rPr>
        <w:t>”), except in certain exceptional circumstances.</w:t>
      </w:r>
    </w:p>
    <w:p>
      <w:pPr>
        <w:spacing w:after="0" w:line="78"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FF0000"/>
        </w:rPr>
        <w:t>Any Shares acquired pursuant to the Award cannot be sold prior to the second anniversary of the Vesting Date or during Closed Periods (as defined in the Agreement), except in certain exceptional circumstances.</w:t>
      </w:r>
    </w:p>
    <w:p>
      <w:pPr>
        <w:spacing w:after="0" w:line="200" w:lineRule="exact"/>
        <w:rPr>
          <w:sz w:val="20"/>
          <w:szCs w:val="20"/>
          <w:color w:val="auto"/>
        </w:rPr>
      </w:pPr>
    </w:p>
    <w:p>
      <w:pPr>
        <w:sectPr>
          <w:pgSz w:w="11900" w:h="16838" w:orient="portrait"/>
          <w:cols w:equalWidth="0" w:num="2">
            <w:col w:w="5140" w:space="720"/>
            <w:col w:w="5560"/>
          </w:cols>
          <w:pgMar w:left="240" w:top="580" w:right="239" w:bottom="1440" w:gutter="0" w:footer="0" w:header="0"/>
          <w:type w:val="continuous"/>
        </w:sectPr>
      </w:pPr>
    </w:p>
    <w:p>
      <w:pPr>
        <w:spacing w:after="0" w:line="34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7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By accepting this Award Notice and Agreement providing for the terms and conditions of my grant, I confirm having read and understood the documents relating to this grant (the Restricted Stock Unit Award Agreement, the U.S. Plan, the French RSU Plan and the U.S. Plan Prospectus) which were provided to me in English language. I accept the terms of those documents accordingly.</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En acceptant la présente Notice d’Attribution et le Contrat décrivant les termes et conditions de mon attribution, je confirme ainsi avoir lu et compris les documents relatifs à cette attribution (le Contrat d’Attribution d’Actions Gratuites, le Plan Américain, le Sous-Plan pour la France et le Prospectus</w:t>
      </w:r>
    </w:p>
    <w:p>
      <w:pPr>
        <w:sectPr>
          <w:pgSz w:w="11900" w:h="16838" w:orient="portrait"/>
          <w:cols w:equalWidth="0" w:num="1">
            <w:col w:w="11420"/>
          </w:cols>
          <w:pgMar w:left="240" w:top="580"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9"/>
          <w:szCs w:val="19"/>
          <w:i w:val="1"/>
          <w:iCs w:val="1"/>
          <w:color w:val="auto"/>
        </w:rPr>
        <w:t>Américain) qui m’ont été communiqués en langue anglaise. J’en accepte les termes en connaissance de cause.</w:t>
      </w:r>
    </w:p>
    <w:p>
      <w:pPr>
        <w:sectPr>
          <w:pgSz w:w="11900" w:h="16838" w:orient="portrait"/>
          <w:cols w:equalWidth="0" w:num="1">
            <w:col w:w="10219"/>
          </w:cols>
          <w:pgMar w:left="240" w:top="8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22"/>
          <w:szCs w:val="22"/>
          <w:color w:val="FF0000"/>
        </w:rPr>
        <w:t>«First_Name» «Last_Name»</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9"/>
          <w:szCs w:val="19"/>
          <w:color w:val="auto"/>
        </w:rPr>
        <w:t>I accept this Award subject to the terms and conditions stated herein.</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22"/>
          <w:szCs w:val="22"/>
          <w:color w:val="FF0000"/>
        </w:rPr>
        <w:t>«Electronically Signed»</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Attachments:</w:t>
      </w:r>
    </w:p>
    <w:p>
      <w:pPr>
        <w:spacing w:after="0" w:line="56" w:lineRule="exact"/>
        <w:rPr>
          <w:sz w:val="20"/>
          <w:szCs w:val="20"/>
          <w:color w:val="auto"/>
        </w:rPr>
      </w:pPr>
    </w:p>
    <w:p>
      <w:pPr>
        <w:ind w:left="460" w:hanging="209"/>
        <w:spacing w:after="0"/>
        <w:tabs>
          <w:tab w:leader="none" w:pos="4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Restricted Stock Unit Award Agreement</w:t>
      </w:r>
    </w:p>
    <w:p>
      <w:pPr>
        <w:spacing w:after="0" w:line="44" w:lineRule="exact"/>
        <w:rPr>
          <w:rFonts w:ascii="Arial" w:cs="Arial" w:eastAsia="Arial" w:hAnsi="Arial"/>
          <w:sz w:val="22"/>
          <w:szCs w:val="22"/>
          <w:color w:val="auto"/>
        </w:rPr>
      </w:pPr>
    </w:p>
    <w:p>
      <w:pPr>
        <w:ind w:left="460" w:hanging="209"/>
        <w:spacing w:after="0"/>
        <w:tabs>
          <w:tab w:leader="none" w:pos="4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U.S. Plan</w:t>
      </w:r>
    </w:p>
    <w:p>
      <w:pPr>
        <w:spacing w:after="0" w:line="44" w:lineRule="exact"/>
        <w:rPr>
          <w:rFonts w:ascii="Arial" w:cs="Arial" w:eastAsia="Arial" w:hAnsi="Arial"/>
          <w:sz w:val="22"/>
          <w:szCs w:val="22"/>
          <w:color w:val="auto"/>
        </w:rPr>
      </w:pPr>
    </w:p>
    <w:p>
      <w:pPr>
        <w:ind w:left="460" w:hanging="209"/>
        <w:spacing w:after="0"/>
        <w:tabs>
          <w:tab w:leader="none" w:pos="4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French RSU Plan</w:t>
      </w:r>
    </w:p>
    <w:p>
      <w:pPr>
        <w:spacing w:after="0" w:line="44" w:lineRule="exact"/>
        <w:rPr>
          <w:rFonts w:ascii="Arial" w:cs="Arial" w:eastAsia="Arial" w:hAnsi="Arial"/>
          <w:sz w:val="22"/>
          <w:szCs w:val="22"/>
          <w:color w:val="auto"/>
        </w:rPr>
      </w:pPr>
    </w:p>
    <w:p>
      <w:pPr>
        <w:ind w:left="460" w:hanging="209"/>
        <w:spacing w:after="0"/>
        <w:tabs>
          <w:tab w:leader="none" w:pos="4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U.S. Plan Prospectus</w:t>
      </w:r>
    </w:p>
    <w:p>
      <w:pPr>
        <w:sectPr>
          <w:pgSz w:w="11900" w:h="16838" w:orient="portrait"/>
          <w:cols w:equalWidth="0" w:num="1">
            <w:col w:w="10219"/>
          </w:cols>
          <w:pgMar w:left="240" w:top="807" w:right="1440" w:bottom="1440" w:gutter="0" w:footer="0" w:header="0"/>
          <w:type w:val="continuous"/>
        </w:sectPr>
      </w:pPr>
    </w:p>
    <w:bookmarkStart w:id="103" w:name="page104"/>
    <w:bookmarkEnd w:id="103"/>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FOR PARTICIPANTS IN FRANCE</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Pursuant to your Restricted Stock Unit Award Notice (the “</w:t>
      </w:r>
      <w:r>
        <w:rPr>
          <w:rFonts w:ascii="Arial" w:cs="Arial" w:eastAsia="Arial" w:hAnsi="Arial"/>
          <w:sz w:val="19"/>
          <w:szCs w:val="19"/>
          <w:b w:val="1"/>
          <w:bCs w:val="1"/>
          <w:i w:val="1"/>
          <w:iCs w:val="1"/>
          <w:color w:val="auto"/>
        </w:rPr>
        <w:t>Award Notice</w:t>
      </w:r>
      <w:r>
        <w:rPr>
          <w:rFonts w:ascii="Arial" w:cs="Arial" w:eastAsia="Arial" w:hAnsi="Arial"/>
          <w:sz w:val="19"/>
          <w:szCs w:val="19"/>
          <w:color w:val="auto"/>
        </w:rPr>
        <w:t>”) and this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Itron,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under its Amended and Restated 2010 Stock Incentive Plan (the “</w:t>
      </w:r>
      <w:r>
        <w:rPr>
          <w:rFonts w:ascii="Arial" w:cs="Arial" w:eastAsia="Arial" w:hAnsi="Arial"/>
          <w:sz w:val="19"/>
          <w:szCs w:val="19"/>
          <w:b w:val="1"/>
          <w:bCs w:val="1"/>
          <w:i w:val="1"/>
          <w:iCs w:val="1"/>
          <w:color w:val="auto"/>
        </w:rPr>
        <w:t>U.S. Plan</w:t>
      </w:r>
      <w:r>
        <w:rPr>
          <w:rFonts w:ascii="Arial" w:cs="Arial" w:eastAsia="Arial" w:hAnsi="Arial"/>
          <w:sz w:val="19"/>
          <w:szCs w:val="19"/>
          <w:color w:val="auto"/>
        </w:rPr>
        <w:t>”) and the Rules of the Itron, Inc. Amended and Restated 2010 Stock Incentive Plan for the Grant of Restricted Stock Units to Participants in France (the “</w:t>
      </w:r>
      <w:r>
        <w:rPr>
          <w:rFonts w:ascii="Arial" w:cs="Arial" w:eastAsia="Arial" w:hAnsi="Arial"/>
          <w:sz w:val="19"/>
          <w:szCs w:val="19"/>
          <w:b w:val="1"/>
          <w:bCs w:val="1"/>
          <w:i w:val="1"/>
          <w:iCs w:val="1"/>
          <w:color w:val="auto"/>
        </w:rPr>
        <w:t>French RSU Plan</w:t>
      </w:r>
      <w:r>
        <w:rPr>
          <w:rFonts w:ascii="Arial" w:cs="Arial" w:eastAsia="Arial" w:hAnsi="Arial"/>
          <w:sz w:val="19"/>
          <w:szCs w:val="19"/>
          <w:color w:val="auto"/>
        </w:rPr>
        <w:t>” and together with the U.S.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restricted stock units indicated in your Award Notice. Capitalized terms not expressly defined in this Agreement but defined in the Plan shall have the same definitions as in the Plan.</w:t>
      </w:r>
    </w:p>
    <w:p>
      <w:pPr>
        <w:spacing w:after="0" w:line="15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Award is intended to qualify for the specific tax and social security treatment in France applicable to shares granted for no consideration under Sections L. 225-197-1 to</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 225-197-6 of the French Commercial Code, as amended. However, certain events may affect the qualified status of the Award and the Company does not make any undertaking or representation to maintain the qualified status of the Award. If the Award does not retain its qualified status, the specific tax and social security treatment will not apply and you will be required to pay your portion of social security contributions resulting from the Award.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Moreover, if you relocate to another country, any special terms and conditions applicable to restricted stock unit awards granted in such country will apply to you, to the extent the Company determines that the application of such terms and conditions is necessary or advisable for legal or administrative reasons.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addition, the Company reserves the right to impose other requirements on the Award and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Award will vest according to the vesting schedule set forth in the Award Notice (the “</w:t>
      </w:r>
      <w:r>
        <w:rPr>
          <w:rFonts w:ascii="Arial" w:cs="Arial" w:eastAsia="Arial" w:hAnsi="Arial"/>
          <w:sz w:val="21"/>
          <w:szCs w:val="21"/>
          <w:b w:val="1"/>
          <w:bCs w:val="1"/>
          <w:i w:val="1"/>
          <w:iCs w:val="1"/>
          <w:color w:val="auto"/>
        </w:rPr>
        <w:t>Vesting Schedule</w:t>
      </w:r>
      <w:r>
        <w:rPr>
          <w:rFonts w:ascii="Arial" w:cs="Arial" w:eastAsia="Arial" w:hAnsi="Arial"/>
          <w:sz w:val="21"/>
          <w:szCs w:val="21"/>
          <w:i w:val="1"/>
          <w:iCs w:val="1"/>
          <w:color w:val="auto"/>
        </w:rPr>
        <w:t>”</w:t>
      </w:r>
      <w:r>
        <w:rPr>
          <w:rFonts w:ascii="Arial" w:cs="Arial" w:eastAsia="Arial" w:hAnsi="Arial"/>
          <w:sz w:val="21"/>
          <w:szCs w:val="21"/>
          <w:color w:val="auto"/>
        </w:rPr>
        <w:t>). Restricted stock units that have vested and are no longer subject to forfeiture according to the Vesting Schedule are referred to herein as “</w:t>
      </w:r>
      <w:r>
        <w:rPr>
          <w:rFonts w:ascii="Arial" w:cs="Arial" w:eastAsia="Arial" w:hAnsi="Arial"/>
          <w:sz w:val="21"/>
          <w:szCs w:val="21"/>
          <w:b w:val="1"/>
          <w:bCs w:val="1"/>
          <w:i w:val="1"/>
          <w:iCs w:val="1"/>
          <w:color w:val="auto"/>
        </w:rPr>
        <w:t>Vested Units</w:t>
      </w:r>
      <w:r>
        <w:rPr>
          <w:rFonts w:ascii="Arial" w:cs="Arial" w:eastAsia="Arial" w:hAnsi="Arial"/>
          <w:sz w:val="21"/>
          <w:szCs w:val="21"/>
          <w:color w:val="auto"/>
        </w:rPr>
        <w:t>.” Restricted stock units that have not vested and remain subject to forfeiture under the Vesting Schedule are referred to herein as “</w:t>
      </w:r>
      <w:r>
        <w:rPr>
          <w:rFonts w:ascii="Arial" w:cs="Arial" w:eastAsia="Arial" w:hAnsi="Arial"/>
          <w:sz w:val="21"/>
          <w:szCs w:val="21"/>
          <w:b w:val="1"/>
          <w:bCs w:val="1"/>
          <w:i w:val="1"/>
          <w:iCs w:val="1"/>
          <w:color w:val="auto"/>
        </w:rPr>
        <w:t>Unvested Units</w:t>
      </w:r>
      <w:r>
        <w:rPr>
          <w:rFonts w:ascii="Arial" w:cs="Arial" w:eastAsia="Arial" w:hAnsi="Arial"/>
          <w:sz w:val="21"/>
          <w:szCs w:val="21"/>
          <w:color w:val="auto"/>
        </w:rPr>
        <w:t>.” Except as provided in Sections 2 and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21"/>
          <w:szCs w:val="21"/>
          <w:b w:val="1"/>
          <w:bCs w:val="1"/>
          <w:i w:val="1"/>
          <w:iCs w:val="1"/>
          <w:color w:val="auto"/>
        </w:rPr>
        <w:t>Units</w:t>
      </w:r>
      <w:r>
        <w:rPr>
          <w:rFonts w:ascii="Arial" w:cs="Arial" w:eastAsia="Arial" w:hAnsi="Arial"/>
          <w:sz w:val="21"/>
          <w:szCs w:val="21"/>
          <w:color w:val="auto"/>
        </w:rPr>
        <w:t>”).</w:t>
      </w:r>
    </w:p>
    <w:p>
      <w:pPr>
        <w:sectPr>
          <w:pgSz w:w="11900" w:h="16838" w:orient="portrait"/>
          <w:cols w:equalWidth="0" w:num="1">
            <w:col w:w="11420"/>
          </w:cols>
          <w:pgMar w:left="240" w:top="585" w:right="239" w:bottom="1440" w:gutter="0" w:footer="0" w:header="0"/>
        </w:sectPr>
      </w:pPr>
    </w:p>
    <w:bookmarkStart w:id="104" w:name="page105"/>
    <w:bookmarkEnd w:id="104"/>
    <w:p>
      <w:pPr>
        <w:jc w:val="both"/>
        <w:ind w:firstLine="648"/>
        <w:spacing w:after="0" w:line="261" w:lineRule="auto"/>
        <w:rPr>
          <w:sz w:val="20"/>
          <w:szCs w:val="20"/>
          <w:color w:val="auto"/>
        </w:rPr>
      </w:pPr>
      <w:r>
        <w:rPr>
          <w:rFonts w:ascii="Arial" w:cs="Arial" w:eastAsia="Arial" w:hAnsi="Arial"/>
          <w:sz w:val="21"/>
          <w:szCs w:val="21"/>
          <w:color w:val="auto"/>
        </w:rPr>
        <w:t>Vested Units shall be settled as soon as practicable after the Vesting Date or, if earlier, the date set forth in Section 2.2 or 2.3 below, provided, however, that if you are a U.S. taxpayer, the Vested Units shall be settled on the earliest to occur of (a) a date within 30 days following the Vesting Date, (b) a date within 30 days following the termination of your employment (i) due to death or Disability pursuant to Section 3 below or (ii) following a Change in Control Transaction pursuant to Section 2.3 below, or (c) the date of a Change in Control Transaction pursuant to Section 2.2 below that constitutes a “change in control event” within the meaning of U.S. Treasury Regulation Section 1.409A-3(i)(5).</w:t>
      </w:r>
    </w:p>
    <w:p>
      <w:pPr>
        <w:spacing w:after="0" w:line="174"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In the event of a Change in Control Transaction, the Award will be subject to any change in control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party to a CIC Agreement, the provisions of this Section 2 shall apply.</w:t>
      </w:r>
    </w:p>
    <w:p>
      <w:pPr>
        <w:spacing w:after="0" w:line="17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color w:val="auto"/>
        </w:rPr>
        <w:t>In the event of a Change in Control Transaction in which (i) the Unvested Units are not assumed, substituted for,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converted into an award of the acquiring or surviving corporation (or a publicly-traded parent thereof) in a manner which prevents dilution of your rights under the Award or (ii) the acquiring or surviving corporation (or parent thereof) is not publicly-traded, any Unvested Units shall become immediately and fully vested as of the date of the Change in Control Transaction.</w:t>
      </w:r>
    </w:p>
    <w:p>
      <w:pPr>
        <w:spacing w:after="0" w:line="13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2.3 </w:t>
      </w:r>
      <w:r>
        <w:rPr>
          <w:rFonts w:ascii="Arial" w:cs="Arial" w:eastAsia="Arial" w:hAnsi="Arial"/>
          <w:sz w:val="19"/>
          <w:szCs w:val="19"/>
          <w:color w:val="auto"/>
        </w:rPr>
        <w:t>In the event of a Change in Control Transaction in which your Unvested Units are assumed, substituted for,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converted into an award of the acquiring or surviving public corporation (or a publicly-traded parent thereof) and your employment is terminated within twenty-four (24) months following such Change in Control Transaction, other than (a) by the Company for Cause, (b) by reason of death or Disability (which shall be governed by Section 3 below), or (c) by you without Good Reason, any Unvested Units shall become immediately and fully vested as of the date of your termination of employment.</w:t>
      </w:r>
    </w:p>
    <w:p>
      <w:pPr>
        <w:spacing w:after="0" w:line="1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2.4 </w:t>
      </w:r>
      <w:r>
        <w:rPr>
          <w:rFonts w:ascii="Arial" w:cs="Arial" w:eastAsia="Arial" w:hAnsi="Arial"/>
          <w:sz w:val="22"/>
          <w:szCs w:val="22"/>
          <w:color w:val="auto"/>
        </w:rPr>
        <w:t>In the event of a Change in Control Transaction triggering the provisions set forth in Sections 2.1, 2.2 or 2.3,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may not retain its qualified status in which case the specific tax and social security treatment applicable to qualified awards will not apply.</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color w:val="auto"/>
        </w:rPr>
        <w:t>Definitions - For purposes of this Section 2, the following capitalized terms shall have the meanings set forth below:</w:t>
      </w:r>
    </w:p>
    <w:p>
      <w:pPr>
        <w:spacing w:after="0" w:line="239" w:lineRule="exact"/>
        <w:rPr>
          <w:sz w:val="20"/>
          <w:szCs w:val="20"/>
          <w:color w:val="auto"/>
        </w:rPr>
      </w:pPr>
    </w:p>
    <w:p>
      <w:pPr>
        <w:jc w:val="both"/>
        <w:ind w:firstLine="1372"/>
        <w:spacing w:after="0" w:line="260" w:lineRule="auto"/>
        <w:tabs>
          <w:tab w:leader="none" w:pos="1838"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77" w:lineRule="exact"/>
        <w:rPr>
          <w:rFonts w:ascii="Arial" w:cs="Arial" w:eastAsia="Arial" w:hAnsi="Arial"/>
          <w:sz w:val="22"/>
          <w:szCs w:val="22"/>
          <w:color w:val="auto"/>
        </w:rPr>
      </w:pPr>
    </w:p>
    <w:p>
      <w:pPr>
        <w:ind w:left="1800" w:hanging="428"/>
        <w:spacing w:after="0" w:line="253" w:lineRule="exact"/>
        <w:tabs>
          <w:tab w:leader="none" w:pos="18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ectPr>
          <w:pgSz w:w="11900" w:h="16838" w:orient="portrait"/>
          <w:cols w:equalWidth="0" w:num="1">
            <w:col w:w="11420"/>
          </w:cols>
          <w:pgMar w:left="240" w:top="1239" w:right="239" w:bottom="1440" w:gutter="0" w:footer="0" w:header="0"/>
        </w:sectPr>
      </w:pPr>
    </w:p>
    <w:bookmarkStart w:id="105" w:name="page106"/>
    <w:bookmarkEnd w:id="105"/>
    <w:p>
      <w:pPr>
        <w:ind w:left="1800" w:hanging="428"/>
        <w:spacing w:after="0"/>
        <w:tabs>
          <w:tab w:leader="none" w:pos="1800" w:val="left"/>
        </w:tabs>
        <w:numPr>
          <w:ilvl w:val="2"/>
          <w:numId w:val="6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your employment by the Company or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shall mean</w:t>
      </w:r>
    </w:p>
    <w:p>
      <w:pPr>
        <w:spacing w:after="0" w:line="56" w:lineRule="exact"/>
        <w:rPr>
          <w:rFonts w:ascii="Arial" w:cs="Arial" w:eastAsia="Arial" w:hAnsi="Arial"/>
          <w:sz w:val="19"/>
          <w:szCs w:val="19"/>
          <w:color w:val="auto"/>
        </w:rPr>
      </w:pPr>
    </w:p>
    <w:p>
      <w:pPr>
        <w:jc w:val="both"/>
        <w:ind w:firstLine="8"/>
        <w:spacing w:after="0" w:line="288" w:lineRule="auto"/>
        <w:tabs>
          <w:tab w:leader="none" w:pos="284" w:val="left"/>
        </w:tabs>
        <w:numPr>
          <w:ilvl w:val="0"/>
          <w:numId w:val="70"/>
        </w:numPr>
        <w:rPr>
          <w:rFonts w:ascii="Arial" w:cs="Arial" w:eastAsia="Arial" w:hAnsi="Arial"/>
          <w:sz w:val="19"/>
          <w:szCs w:val="19"/>
          <w:color w:val="auto"/>
        </w:rPr>
      </w:pPr>
      <w:r>
        <w:rPr>
          <w:rFonts w:ascii="Arial" w:cs="Arial" w:eastAsia="Arial" w:hAnsi="Arial"/>
          <w:sz w:val="19"/>
          <w:szCs w:val="19"/>
          <w:color w:val="auto"/>
        </w:rPr>
        <w:t>your willful and continued failure (other than any such failure resulting from (A) your incapacity due to physical or mental illness, (B) any such actual or anticipated failure after the issuance by you of a notice of 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(ii) your conviction by a court of competent jurisdiction for felony 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55" w:lineRule="exact"/>
        <w:rPr>
          <w:rFonts w:ascii="Arial" w:cs="Arial" w:eastAsia="Arial" w:hAnsi="Arial"/>
          <w:sz w:val="19"/>
          <w:szCs w:val="19"/>
          <w:color w:val="auto"/>
        </w:rPr>
      </w:pPr>
    </w:p>
    <w:p>
      <w:pPr>
        <w:jc w:val="both"/>
        <w:ind w:firstLine="1305"/>
        <w:spacing w:after="0" w:line="293" w:lineRule="auto"/>
        <w:tabs>
          <w:tab w:leader="none" w:pos="1769" w:val="left"/>
        </w:tabs>
        <w:numPr>
          <w:ilvl w:val="1"/>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(A), (B), (C),</w:t>
      </w:r>
    </w:p>
    <w:p>
      <w:pPr>
        <w:spacing w:after="0" w:line="1"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(D) or (E) below, such act or failure to act is corrected prior to the date of your termination specified in a notice of termination in a form prescribed by the Company given in respect thereof:</w:t>
      </w:r>
    </w:p>
    <w:p>
      <w:pPr>
        <w:spacing w:after="0" w:line="192" w:lineRule="exact"/>
        <w:rPr>
          <w:rFonts w:ascii="Arial" w:cs="Arial" w:eastAsia="Arial" w:hAnsi="Arial"/>
          <w:sz w:val="19"/>
          <w:szCs w:val="19"/>
          <w:color w:val="auto"/>
        </w:rPr>
      </w:pPr>
    </w:p>
    <w:p>
      <w:pPr>
        <w:jc w:val="both"/>
        <w:ind w:firstLine="1953"/>
        <w:spacing w:after="0" w:line="300" w:lineRule="auto"/>
        <w:tabs>
          <w:tab w:leader="none" w:pos="2497" w:val="left"/>
        </w:tabs>
        <w:numPr>
          <w:ilvl w:val="3"/>
          <w:numId w:val="70"/>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2420" w:hanging="467"/>
        <w:spacing w:after="0"/>
        <w:tabs>
          <w:tab w:leader="none" w:pos="2420" w:val="left"/>
        </w:tabs>
        <w:numPr>
          <w:ilvl w:val="3"/>
          <w:numId w:val="70"/>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33" w:lineRule="exact"/>
        <w:rPr>
          <w:rFonts w:ascii="Arial" w:cs="Arial" w:eastAsia="Arial" w:hAnsi="Arial"/>
          <w:sz w:val="22"/>
          <w:szCs w:val="22"/>
          <w:color w:val="auto"/>
        </w:rPr>
      </w:pPr>
    </w:p>
    <w:p>
      <w:pPr>
        <w:ind w:right="20" w:firstLine="1953"/>
        <w:spacing w:after="0" w:line="276" w:lineRule="auto"/>
        <w:tabs>
          <w:tab w:leader="none" w:pos="2480" w:val="left"/>
        </w:tabs>
        <w:numPr>
          <w:ilvl w:val="3"/>
          <w:numId w:val="70"/>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160" w:lineRule="exact"/>
        <w:rPr>
          <w:rFonts w:ascii="Arial" w:cs="Arial" w:eastAsia="Arial" w:hAnsi="Arial"/>
          <w:sz w:val="22"/>
          <w:szCs w:val="22"/>
          <w:color w:val="auto"/>
        </w:rPr>
      </w:pPr>
    </w:p>
    <w:p>
      <w:pPr>
        <w:ind w:firstLine="1953"/>
        <w:spacing w:after="0" w:line="276" w:lineRule="auto"/>
        <w:tabs>
          <w:tab w:leader="none" w:pos="2546" w:val="left"/>
        </w:tabs>
        <w:numPr>
          <w:ilvl w:val="3"/>
          <w:numId w:val="70"/>
        </w:numPr>
        <w:rPr>
          <w:rFonts w:ascii="Arial" w:cs="Arial" w:eastAsia="Arial" w:hAnsi="Arial"/>
          <w:sz w:val="22"/>
          <w:szCs w:val="22"/>
          <w:color w:val="auto"/>
        </w:rPr>
      </w:pPr>
      <w:r>
        <w:rPr>
          <w:rFonts w:ascii="Arial" w:cs="Arial" w:eastAsia="Arial" w:hAnsi="Arial"/>
          <w:sz w:val="22"/>
          <w:szCs w:val="22"/>
          <w:color w:val="auto"/>
        </w:rPr>
        <w:t>the failure to continue provide welfare, pension and fringe benefits which are in each case, in the aggregate, substantially similar to those provided to you immediately prior to Change in Control Transaction;</w:t>
      </w:r>
    </w:p>
    <w:p>
      <w:pPr>
        <w:spacing w:after="0" w:line="160" w:lineRule="exact"/>
        <w:rPr>
          <w:rFonts w:ascii="Arial" w:cs="Arial" w:eastAsia="Arial" w:hAnsi="Arial"/>
          <w:sz w:val="22"/>
          <w:szCs w:val="22"/>
          <w:color w:val="auto"/>
        </w:rPr>
      </w:pPr>
    </w:p>
    <w:p>
      <w:pPr>
        <w:jc w:val="both"/>
        <w:ind w:firstLine="1953"/>
        <w:spacing w:after="0" w:line="254" w:lineRule="auto"/>
        <w:tabs>
          <w:tab w:leader="none" w:pos="2401" w:val="left"/>
        </w:tabs>
        <w:numPr>
          <w:ilvl w:val="3"/>
          <w:numId w:val="70"/>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or</w:t>
      </w:r>
    </w:p>
    <w:p>
      <w:pPr>
        <w:sectPr>
          <w:pgSz w:w="11900" w:h="16838" w:orient="portrait"/>
          <w:cols w:equalWidth="0" w:num="1">
            <w:col w:w="11420"/>
          </w:cols>
          <w:pgMar w:left="240" w:top="591" w:right="239" w:bottom="1440" w:gutter="0" w:footer="0" w:header="0"/>
        </w:sectPr>
      </w:pPr>
    </w:p>
    <w:bookmarkStart w:id="106" w:name="page107"/>
    <w:bookmarkEnd w:id="106"/>
    <w:p>
      <w:pPr>
        <w:jc w:val="both"/>
        <w:ind w:firstLine="1297"/>
        <w:spacing w:after="0" w:line="289" w:lineRule="auto"/>
        <w:rPr>
          <w:sz w:val="20"/>
          <w:szCs w:val="20"/>
          <w:color w:val="auto"/>
        </w:rPr>
      </w:pPr>
      <w:r>
        <w:rPr>
          <w:rFonts w:ascii="Arial" w:cs="Arial" w:eastAsia="Arial" w:hAnsi="Arial"/>
          <w:sz w:val="19"/>
          <w:szCs w:val="19"/>
          <w:color w:val="auto"/>
        </w:rPr>
        <w:t>Notwithstanding the foregoing, the events described in clauses (B), (C) or (D)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58" w:lineRule="exact"/>
        <w:rPr>
          <w:sz w:val="20"/>
          <w:szCs w:val="20"/>
          <w:color w:val="auto"/>
        </w:rPr>
      </w:pPr>
    </w:p>
    <w:p>
      <w:pPr>
        <w:jc w:val="both"/>
        <w:ind w:firstLine="1305"/>
        <w:spacing w:after="0" w:line="300" w:lineRule="auto"/>
        <w:tabs>
          <w:tab w:leader="none" w:pos="1851" w:val="left"/>
        </w:tabs>
        <w:numPr>
          <w:ilvl w:val="1"/>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of such securities or (D) a corporation owned, directly or indirectly, by the stockholders of the Company in substantially the same proportions as their ownership of stock of the Company.</w:t>
      </w:r>
    </w:p>
    <w:p>
      <w:pPr>
        <w:spacing w:after="0" w:line="141" w:lineRule="exact"/>
        <w:rPr>
          <w:rFonts w:ascii="Arial" w:cs="Arial" w:eastAsia="Arial" w:hAnsi="Arial"/>
          <w:sz w:val="19"/>
          <w:szCs w:val="19"/>
          <w:color w:val="auto"/>
        </w:rPr>
      </w:pPr>
    </w:p>
    <w:p>
      <w:pPr>
        <w:ind w:left="660" w:hanging="652"/>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If your employment terminates during the Units' vesting period by reason of death, the Units will become transferable to</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your heirs. The Company will issue the Shares subject to the Units to your heirs upon their request, provided they contact the Company with such a request within six (6) months following your death. If your heirs do not request the issuance of the Shares within six (6) months of your death, the Units will be forfeited to the Company.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your employment terminates during the Units' vesting period by reason of Disability (and such Disability meets the definition of Disability in both the French RSU Plan and the U.S. Plan), any Unvested Units will accelerate in vesting and become Vested Units upon such termination of employment.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your employment terminates during the Units' vesting period for any reason other than death or Disability, any Unvested Units will be forfeited to the Company.</w:t>
      </w:r>
    </w:p>
    <w:p>
      <w:pPr>
        <w:spacing w:after="0" w:line="169"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Units.</w:t>
      </w:r>
    </w:p>
    <w:p>
      <w:pPr>
        <w:spacing w:after="0" w:line="213" w:lineRule="exact"/>
        <w:rPr>
          <w:rFonts w:ascii="Arial" w:cs="Arial" w:eastAsia="Arial" w:hAnsi="Arial"/>
          <w:sz w:val="22"/>
          <w:szCs w:val="22"/>
          <w:b w:val="1"/>
          <w:bCs w:val="1"/>
          <w:color w:val="auto"/>
        </w:rPr>
      </w:pPr>
    </w:p>
    <w:p>
      <w:pPr>
        <w:ind w:left="660" w:hanging="652"/>
        <w:spacing w:after="0"/>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Transferability of Units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Units shall not be sold, transferred, assigned, encumbered, pledged or otherwise disposed of, whether voluntarily or by operation of law.</w:t>
      </w:r>
    </w:p>
    <w:p>
      <w:pPr>
        <w:sectPr>
          <w:pgSz w:w="11900" w:h="16838" w:orient="portrait"/>
          <w:cols w:equalWidth="0" w:num="1">
            <w:col w:w="11420"/>
          </w:cols>
          <w:pgMar w:left="240" w:top="591" w:right="239" w:bottom="1440" w:gutter="0" w:footer="0" w:header="0"/>
        </w:sectPr>
      </w:pPr>
    </w:p>
    <w:bookmarkStart w:id="107" w:name="page108"/>
    <w:bookmarkEnd w:id="107"/>
    <w:p>
      <w:pPr>
        <w:ind w:left="660" w:right="8460" w:hanging="652"/>
        <w:spacing w:after="0" w:line="529" w:lineRule="auto"/>
        <w:tabs>
          <w:tab w:leader="none" w:pos="66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Transferability of Shares 6.1 Holding Period</w:t>
      </w:r>
    </w:p>
    <w:p>
      <w:pPr>
        <w:spacing w:after="0" w:line="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You are required to hold the Shares issued pursuant to the vesting of the Units for two years as measured from the Vesting Date or such other period as is required to comply with the minimum mandatory holding period applicable to Shares underlying French-qualified Restricted Stock Units (the “</w:t>
      </w:r>
      <w:r>
        <w:rPr>
          <w:rFonts w:ascii="Arial" w:cs="Arial" w:eastAsia="Arial" w:hAnsi="Arial"/>
          <w:sz w:val="22"/>
          <w:szCs w:val="22"/>
          <w:b w:val="1"/>
          <w:bCs w:val="1"/>
          <w:i w:val="1"/>
          <w:iCs w:val="1"/>
          <w:color w:val="auto"/>
        </w:rPr>
        <w:t>Holding Period</w:t>
      </w:r>
      <w:r>
        <w:rPr>
          <w:rFonts w:ascii="Arial" w:cs="Arial" w:eastAsia="Arial" w:hAnsi="Arial"/>
          <w:sz w:val="22"/>
          <w:szCs w:val="22"/>
          <w:color w:val="auto"/>
        </w:rPr>
        <w:t>”) in order to benefit from the specific French tax and social insurance contributions regime, even if you are no longer an employee or corporate officer, as applicable, of a French Entity or otherwise employed by the Company or a Subsidiary, if applicable. As from the end of the Holding Period, the corresponding Shares shall be freely transferable, subject to applicable legal and regulatory provisions in force and in particular to the provisions of Section 6.2 below.</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This Holding Period requirement shall not apply to your heirs should they acquire Shares under the Plan pursuant to Section 3 above nor shall it apply if you terminate employment due to Disability (as defined in the French RSU Plan).</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Closed Period</w:t>
      </w:r>
    </w:p>
    <w:p>
      <w:pPr>
        <w:spacing w:after="0" w:line="23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As long as the Award and the Shares issued upon vesting of the Units maintain their qualified status and to the extent such restriction is applicable under French law, the Shares may not be sold during a Closed Period which currently includes: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Ten quotation days preceding and three quotation days following the disclosure to the public of the consolidated financial statements or the annual statements of the Company;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period during which the corporate management of the Company possesses material information which could, if disclosed to the public, significantly impact the quotation of the Shares, until ten quotation days after the day such information is disclosed to the public.</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This Closed Period restriction shall not apply to your heirs should they acquire Shares under the Plan pursuant to Section 3 above nor shall it apply if you terminate employment due to Disability (as defined in the French RSU Plan).</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Shareholding Restrictions</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you qualify as a managing corporate officer (</w:t>
      </w:r>
      <w:r>
        <w:rPr>
          <w:rFonts w:ascii="Arial" w:cs="Arial" w:eastAsia="Arial" w:hAnsi="Arial"/>
          <w:sz w:val="22"/>
          <w:szCs w:val="22"/>
          <w:i w:val="1"/>
          <w:iCs w:val="1"/>
          <w:color w:val="auto"/>
        </w:rPr>
        <w:t>i.e.,</w:t>
      </w:r>
      <w:r>
        <w:rPr>
          <w:rFonts w:ascii="Arial" w:cs="Arial" w:eastAsia="Arial" w:hAnsi="Arial"/>
          <w:sz w:val="22"/>
          <w:szCs w:val="22"/>
          <w:color w:val="auto"/>
        </w:rPr>
        <w:t xml:space="preserve"> “</w:t>
      </w:r>
      <w:r>
        <w:rPr>
          <w:rFonts w:ascii="Arial" w:cs="Arial" w:eastAsia="Arial" w:hAnsi="Arial"/>
          <w:sz w:val="22"/>
          <w:szCs w:val="22"/>
          <w:i w:val="1"/>
          <w:iCs w:val="1"/>
          <w:color w:val="auto"/>
        </w:rPr>
        <w:t>mandataires sociaux</w:t>
      </w:r>
      <w:r>
        <w:rPr>
          <w:rFonts w:ascii="Arial" w:cs="Arial" w:eastAsia="Arial" w:hAnsi="Arial"/>
          <w:sz w:val="22"/>
          <w:szCs w:val="22"/>
          <w:color w:val="auto"/>
        </w:rPr>
        <w:t xml:space="preserve">,” </w:t>
      </w:r>
      <w:r>
        <w:rPr>
          <w:rFonts w:ascii="Arial" w:cs="Arial" w:eastAsia="Arial" w:hAnsi="Arial"/>
          <w:sz w:val="22"/>
          <w:szCs w:val="22"/>
          <w:i w:val="1"/>
          <w:iCs w:val="1"/>
          <w:color w:val="auto"/>
        </w:rPr>
        <w:t>Président du Conseil d’Administration,</w:t>
      </w:r>
      <w:r>
        <w:rPr>
          <w:rFonts w:ascii="Arial" w:cs="Arial" w:eastAsia="Arial" w:hAnsi="Arial"/>
          <w:sz w:val="22"/>
          <w:szCs w:val="22"/>
          <w:color w:val="auto"/>
        </w:rPr>
        <w:t xml:space="preserve"> </w:t>
      </w:r>
      <w:r>
        <w:rPr>
          <w:rFonts w:ascii="Arial" w:cs="Arial" w:eastAsia="Arial" w:hAnsi="Arial"/>
          <w:sz w:val="22"/>
          <w:szCs w:val="22"/>
          <w:i w:val="1"/>
          <w:iCs w:val="1"/>
          <w:color w:val="auto"/>
        </w:rPr>
        <w:t>Directeur Général, Directeur Général Délégué, Membre du Directoire, Gérant de Sociétés par actions</w:t>
      </w:r>
      <w:r>
        <w:rPr>
          <w:rFonts w:ascii="Arial" w:cs="Arial" w:eastAsia="Arial" w:hAnsi="Arial"/>
          <w:sz w:val="22"/>
          <w:szCs w:val="22"/>
          <w:color w:val="auto"/>
        </w:rPr>
        <w:t>) or have a comparable</w:t>
      </w:r>
      <w:r>
        <w:rPr>
          <w:rFonts w:ascii="Arial" w:cs="Arial" w:eastAsia="Arial" w:hAnsi="Arial"/>
          <w:sz w:val="22"/>
          <w:szCs w:val="22"/>
          <w:i w:val="1"/>
          <w:iCs w:val="1"/>
          <w:color w:val="auto"/>
        </w:rPr>
        <w:t xml:space="preserve"> </w:t>
      </w:r>
      <w:r>
        <w:rPr>
          <w:rFonts w:ascii="Arial" w:cs="Arial" w:eastAsia="Arial" w:hAnsi="Arial"/>
          <w:sz w:val="22"/>
          <w:szCs w:val="22"/>
          <w:color w:val="auto"/>
        </w:rPr>
        <w:t>position in any other company within the Company group, and if the Award is granted to you in such capacity, you are subject to shareholding restrictions and you must hold 20% of the Shares issued upon vesting of the Units and not sell such Shares until you cease to serve as a managing corporate officer (or cease to have a comparable position as described herein), if required under French law.</w:t>
      </w:r>
    </w:p>
    <w:p>
      <w:pPr>
        <w:sectPr>
          <w:pgSz w:w="11900" w:h="16838" w:orient="portrait"/>
          <w:cols w:equalWidth="0" w:num="1">
            <w:col w:w="11420"/>
          </w:cols>
          <w:pgMar w:left="240" w:top="585" w:right="239" w:bottom="1440" w:gutter="0" w:footer="0" w:header="0"/>
        </w:sectPr>
      </w:pPr>
    </w:p>
    <w:bookmarkStart w:id="108" w:name="page109"/>
    <w:bookmarkEnd w:id="108"/>
    <w:p>
      <w:pPr>
        <w:ind w:left="660"/>
        <w:spacing w:after="0"/>
        <w:tabs>
          <w:tab w:leader="none" w:pos="10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Compliance with Transfer Restrictions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To ensure compliance with the restrictions on the transfer of Shares described in Sections 6.1, 6.2 and 6.3. above, the Company may require that the Shares be held with Fidelity or any brokerage firm designated by the Company (or according to any procedure implemented by the Company) until such Shares are sold.</w:t>
      </w:r>
    </w:p>
    <w:p>
      <w:pPr>
        <w:spacing w:after="0" w:line="180"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7.1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color w:val="auto"/>
        </w:rPr>
        <w:t xml:space="preserve">7.2 </w:t>
      </w:r>
      <w:r>
        <w:rPr>
          <w:rFonts w:ascii="Arial" w:cs="Arial" w:eastAsia="Arial" w:hAnsi="Arial"/>
          <w:sz w:val="21"/>
          <w:szCs w:val="21"/>
          <w:color w:val="auto"/>
        </w:rPr>
        <w:t>You hereby agree that you will in no event sell or distribute all or any part of the Shares unless (a) there is an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registration statement under the U.S. Securities Act of 1933, as amended (the “</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7.3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7.4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77"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ectPr>
          <w:pgSz w:w="11900" w:h="16838" w:orient="portrait"/>
          <w:cols w:equalWidth="0" w:num="1">
            <w:col w:w="11420"/>
          </w:cols>
          <w:pgMar w:left="240" w:top="585" w:right="239" w:bottom="1440" w:gutter="0" w:footer="0" w:header="0"/>
        </w:sectPr>
      </w:pPr>
    </w:p>
    <w:bookmarkStart w:id="109" w:name="page110"/>
    <w:bookmarkEnd w:id="109"/>
    <w:p>
      <w:pPr>
        <w:ind w:left="660" w:hanging="652"/>
        <w:spacing w:after="0"/>
        <w:tabs>
          <w:tab w:leader="none" w:pos="6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take with respect to any and all income tax,</w:t>
      </w:r>
      <w:r>
        <w:rPr>
          <w:rFonts w:ascii="Arial" w:cs="Arial" w:eastAsia="Arial" w:hAnsi="Arial"/>
          <w:sz w:val="19"/>
          <w:szCs w:val="19"/>
          <w:b w:val="1"/>
          <w:bCs w:val="1"/>
          <w:color w:val="auto"/>
        </w:rPr>
        <w:t xml:space="preserve"> </w:t>
      </w:r>
      <w:r>
        <w:rPr>
          <w:rFonts w:ascii="Arial" w:cs="Arial" w:eastAsia="Arial" w:hAnsi="Arial"/>
          <w:sz w:val="19"/>
          <w:szCs w:val="19"/>
          <w:color w:val="auto"/>
        </w:rPr>
        <w:t>social insurance, 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 the terms of the grant or any aspect of the Award to reduce or eliminate your liability for Tax-Related Items or achieve any particular tax and/or social insurance contribution result. Further, if you have become subject to tax and/or social insurance contributions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57"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1"/>
          <w:szCs w:val="21"/>
          <w:b w:val="1"/>
          <w:bCs w:val="1"/>
          <w:color w:val="auto"/>
        </w:rPr>
        <w:t xml:space="preserve">9.2 </w:t>
      </w:r>
      <w:r>
        <w:rPr>
          <w:rFonts w:ascii="Arial" w:cs="Arial" w:eastAsia="Arial" w:hAnsi="Arial"/>
          <w:sz w:val="21"/>
          <w:szCs w:val="21"/>
          <w:color w:val="auto"/>
        </w:rPr>
        <w:t>Prior to any relevant taxable or tax and/or social insurance contribution withholding event, as applicable, you will pay</w:t>
      </w:r>
      <w:r>
        <w:rPr>
          <w:rFonts w:ascii="Arial" w:cs="Arial" w:eastAsia="Arial" w:hAnsi="Arial"/>
          <w:sz w:val="21"/>
          <w:szCs w:val="21"/>
          <w:b w:val="1"/>
          <w:bCs w:val="1"/>
          <w:color w:val="auto"/>
        </w:rPr>
        <w:t xml:space="preserve"> </w:t>
      </w:r>
      <w:r>
        <w:rPr>
          <w:rFonts w:ascii="Arial" w:cs="Arial" w:eastAsia="Arial" w:hAnsi="Arial"/>
          <w:sz w:val="21"/>
          <w:szCs w:val="21"/>
          <w:color w:val="auto"/>
        </w:rPr>
        <w:t>or make adequate arrangements satisfactory to the Company and or the Employer to satisfy all Tax-Related Items.</w:t>
      </w:r>
    </w:p>
    <w:p>
      <w:pPr>
        <w:spacing w:after="0" w:line="131" w:lineRule="exact"/>
        <w:rPr>
          <w:sz w:val="20"/>
          <w:szCs w:val="20"/>
          <w:color w:val="auto"/>
        </w:rPr>
      </w:pPr>
    </w:p>
    <w:p>
      <w:pPr>
        <w:ind w:right="20" w:firstLine="656"/>
        <w:spacing w:after="0" w:line="276" w:lineRule="auto"/>
        <w:tabs>
          <w:tab w:leader="none" w:pos="1082"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this regard, you hereby irrevocably appoint Fidelity or any stock plan service provider or brokerage firm designated by the Company for such purpose (the "</w:t>
      </w:r>
      <w:r>
        <w:rPr>
          <w:rFonts w:ascii="Arial" w:cs="Arial" w:eastAsia="Arial" w:hAnsi="Arial"/>
          <w:sz w:val="22"/>
          <w:szCs w:val="22"/>
          <w:b w:val="1"/>
          <w:bCs w:val="1"/>
          <w:i w:val="1"/>
          <w:iCs w:val="1"/>
          <w:color w:val="auto"/>
        </w:rPr>
        <w:t>Agent</w:t>
      </w:r>
      <w:r>
        <w:rPr>
          <w:rFonts w:ascii="Arial" w:cs="Arial" w:eastAsia="Arial" w:hAnsi="Arial"/>
          <w:sz w:val="22"/>
          <w:szCs w:val="22"/>
          <w:color w:val="auto"/>
        </w:rPr>
        <w:t>") as your Agent, and authorize the Agent, to:</w:t>
      </w:r>
    </w:p>
    <w:p>
      <w:pPr>
        <w:spacing w:after="0" w:line="160"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188" w:lineRule="exact"/>
        <w:rPr>
          <w:rFonts w:ascii="Arial" w:cs="Arial" w:eastAsia="Arial" w:hAnsi="Arial"/>
          <w:sz w:val="22"/>
          <w:szCs w:val="22"/>
          <w:color w:val="auto"/>
        </w:rPr>
      </w:pPr>
    </w:p>
    <w:p>
      <w:pPr>
        <w:ind w:left="1960" w:hanging="655"/>
        <w:spacing w:after="0"/>
        <w:tabs>
          <w:tab w:leader="none" w:pos="19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19" w:lineRule="exact"/>
        <w:rPr>
          <w:rFonts w:ascii="Arial" w:cs="Arial" w:eastAsia="Arial" w:hAnsi="Arial"/>
          <w:sz w:val="22"/>
          <w:szCs w:val="22"/>
          <w:color w:val="auto"/>
        </w:rPr>
      </w:pPr>
    </w:p>
    <w:p>
      <w:pPr>
        <w:ind w:left="1960" w:right="20" w:hanging="655"/>
        <w:spacing w:after="0" w:line="287" w:lineRule="auto"/>
        <w:tabs>
          <w:tab w:leader="none" w:pos="1960" w:val="left"/>
        </w:tabs>
        <w:numPr>
          <w:ilvl w:val="1"/>
          <w:numId w:val="78"/>
        </w:numPr>
        <w:rPr>
          <w:rFonts w:ascii="Arial" w:cs="Arial" w:eastAsia="Arial" w:hAnsi="Arial"/>
          <w:sz w:val="21"/>
          <w:szCs w:val="21"/>
          <w:color w:val="auto"/>
        </w:rPr>
      </w:pPr>
      <w:r>
        <w:rPr>
          <w:rFonts w:ascii="Arial" w:cs="Arial" w:eastAsia="Arial" w:hAnsi="Arial"/>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151" w:lineRule="exact"/>
        <w:rPr>
          <w:rFonts w:ascii="Arial" w:cs="Arial" w:eastAsia="Arial" w:hAnsi="Arial"/>
          <w:sz w:val="21"/>
          <w:szCs w:val="21"/>
          <w:color w:val="auto"/>
        </w:rPr>
      </w:pPr>
    </w:p>
    <w:p>
      <w:pPr>
        <w:ind w:left="1960" w:hanging="655"/>
        <w:spacing w:after="0"/>
        <w:tabs>
          <w:tab w:leader="none" w:pos="19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ind w:firstLine="656"/>
        <w:spacing w:after="0" w:line="358" w:lineRule="auto"/>
        <w:tabs>
          <w:tab w:leader="none" w:pos="1161" w:val="left"/>
        </w:tabs>
        <w:numPr>
          <w:ilvl w:val="0"/>
          <w:numId w:val="78"/>
        </w:numPr>
        <w:rPr>
          <w:rFonts w:ascii="Arial" w:cs="Arial" w:eastAsia="Arial" w:hAnsi="Arial"/>
          <w:sz w:val="19"/>
          <w:szCs w:val="19"/>
          <w:color w:val="auto"/>
        </w:rPr>
      </w:pPr>
      <w:r>
        <w:rPr>
          <w:rFonts w:ascii="Arial" w:cs="Arial" w:eastAsia="Arial" w:hAnsi="Arial"/>
          <w:sz w:val="19"/>
          <w:szCs w:val="19"/>
          <w:color w:val="auto"/>
        </w:rPr>
        <w:t>Alternatively, or in addition to or in combination with the withholding mechanism described in Section 9.2(a), you authorize the Company and/or the Employer, at their discretion, to satisfy the obligations with regard to all Tax-Related Items by:</w:t>
      </w:r>
    </w:p>
    <w:p>
      <w:pPr>
        <w:sectPr>
          <w:pgSz w:w="11900" w:h="16838" w:orient="portrait"/>
          <w:cols w:equalWidth="0" w:num="1">
            <w:col w:w="11420"/>
          </w:cols>
          <w:pgMar w:left="240" w:top="585" w:right="239" w:bottom="1440" w:gutter="0" w:footer="0" w:header="0"/>
        </w:sectPr>
      </w:pPr>
    </w:p>
    <w:bookmarkStart w:id="110" w:name="page111"/>
    <w:bookmarkEnd w:id="110"/>
    <w:p>
      <w:pPr>
        <w:ind w:left="1960" w:hanging="655"/>
        <w:spacing w:after="0"/>
        <w:tabs>
          <w:tab w:leader="none" w:pos="1960" w:val="left"/>
        </w:tabs>
        <w:numPr>
          <w:ilvl w:val="1"/>
          <w:numId w:val="79"/>
        </w:numPr>
        <w:rPr>
          <w:rFonts w:ascii="Arial" w:cs="Arial" w:eastAsia="Arial" w:hAnsi="Arial"/>
          <w:sz w:val="21"/>
          <w:szCs w:val="21"/>
          <w:color w:val="auto"/>
        </w:rPr>
      </w:pPr>
      <w:r>
        <w:rPr>
          <w:rFonts w:ascii="Arial" w:cs="Arial" w:eastAsia="Arial" w:hAnsi="Arial"/>
          <w:sz w:val="21"/>
          <w:szCs w:val="21"/>
          <w:color w:val="auto"/>
        </w:rPr>
        <w:t>requiring you to pay to the Company or the Employer any amount of the Tax-Related Items; and/or</w:t>
      </w:r>
    </w:p>
    <w:p>
      <w:pPr>
        <w:spacing w:after="0" w:line="231" w:lineRule="exact"/>
        <w:rPr>
          <w:rFonts w:ascii="Arial" w:cs="Arial" w:eastAsia="Arial" w:hAnsi="Arial"/>
          <w:sz w:val="21"/>
          <w:szCs w:val="21"/>
          <w:color w:val="auto"/>
        </w:rPr>
      </w:pPr>
    </w:p>
    <w:p>
      <w:pPr>
        <w:ind w:left="1960" w:hanging="655"/>
        <w:spacing w:after="0" w:line="263" w:lineRule="auto"/>
        <w:tabs>
          <w:tab w:leader="none" w:pos="1960" w:val="left"/>
        </w:tabs>
        <w:numPr>
          <w:ilvl w:val="1"/>
          <w:numId w:val="79"/>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within legal limits; and/or</w:t>
      </w:r>
    </w:p>
    <w:p>
      <w:pPr>
        <w:spacing w:after="0" w:line="174"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withholding in Shares to be issued upon settlement of the Vested Units, provided, however, that if you are a Section 16 officer of the Company under the Exchange Act, then the Plan Administrator (as constituted to satisfy Rule 16b-3 of the Exchange Act) shall establish the method of withholding from the alternatives (i) -</w:t>
      </w:r>
    </w:p>
    <w:p>
      <w:pPr>
        <w:spacing w:after="0" w:line="1" w:lineRule="exact"/>
        <w:rPr>
          <w:rFonts w:ascii="Arial" w:cs="Arial" w:eastAsia="Arial" w:hAnsi="Arial"/>
          <w:sz w:val="19"/>
          <w:szCs w:val="19"/>
          <w:color w:val="auto"/>
        </w:rPr>
      </w:pPr>
    </w:p>
    <w:p>
      <w:pPr>
        <w:jc w:val="both"/>
        <w:ind w:left="1960" w:hanging="7"/>
        <w:spacing w:after="0" w:line="281" w:lineRule="auto"/>
        <w:tabs>
          <w:tab w:leader="none" w:pos="2373" w:val="left"/>
        </w:tabs>
        <w:numPr>
          <w:ilvl w:val="2"/>
          <w:numId w:val="79"/>
        </w:numPr>
        <w:rPr>
          <w:rFonts w:ascii="Arial" w:cs="Arial" w:eastAsia="Arial" w:hAnsi="Arial"/>
          <w:sz w:val="19"/>
          <w:szCs w:val="19"/>
          <w:color w:val="auto"/>
        </w:rPr>
      </w:pPr>
      <w:r>
        <w:rPr>
          <w:rFonts w:ascii="Arial" w:cs="Arial" w:eastAsia="Arial" w:hAnsi="Arial"/>
          <w:sz w:val="19"/>
          <w:szCs w:val="19"/>
          <w:color w:val="auto"/>
        </w:rPr>
        <w:t>herein and, if the Plan Administrator does not exercise its discretion prior to the Tax-Related Items withholding event, then you shall be entitled to elect the method of withholding from the alternatives (i) -</w:t>
      </w:r>
    </w:p>
    <w:p>
      <w:pPr>
        <w:spacing w:after="0" w:line="1" w:lineRule="exact"/>
        <w:rPr>
          <w:rFonts w:ascii="Arial" w:cs="Arial" w:eastAsia="Arial" w:hAnsi="Arial"/>
          <w:sz w:val="19"/>
          <w:szCs w:val="19"/>
          <w:color w:val="auto"/>
        </w:rPr>
      </w:pPr>
    </w:p>
    <w:p>
      <w:pPr>
        <w:ind w:left="2340" w:hanging="387"/>
        <w:spacing w:after="0"/>
        <w:tabs>
          <w:tab w:leader="none" w:pos="2340" w:val="left"/>
        </w:tabs>
        <w:numPr>
          <w:ilvl w:val="2"/>
          <w:numId w:val="80"/>
        </w:numPr>
        <w:rPr>
          <w:rFonts w:ascii="Arial" w:cs="Arial" w:eastAsia="Arial" w:hAnsi="Arial"/>
          <w:sz w:val="22"/>
          <w:szCs w:val="22"/>
          <w:color w:val="auto"/>
        </w:rPr>
      </w:pPr>
      <w:r>
        <w:rPr>
          <w:rFonts w:ascii="Arial" w:cs="Arial" w:eastAsia="Arial" w:hAnsi="Arial"/>
          <w:sz w:val="22"/>
          <w:szCs w:val="22"/>
          <w:color w:val="auto"/>
        </w:rPr>
        <w:t>herein.</w:t>
      </w:r>
    </w:p>
    <w:p>
      <w:pPr>
        <w:spacing w:after="0" w:line="201" w:lineRule="exact"/>
        <w:rPr>
          <w:rFonts w:ascii="Arial" w:cs="Arial" w:eastAsia="Arial" w:hAnsi="Arial"/>
          <w:sz w:val="22"/>
          <w:szCs w:val="22"/>
          <w:color w:val="auto"/>
        </w:rPr>
      </w:pPr>
    </w:p>
    <w:p>
      <w:pPr>
        <w:jc w:val="both"/>
        <w:ind w:firstLine="656"/>
        <w:spacing w:after="0" w:line="261" w:lineRule="auto"/>
        <w:tabs>
          <w:tab w:leader="none" w:pos="1109" w:val="left"/>
        </w:tabs>
        <w:numPr>
          <w:ilvl w:val="0"/>
          <w:numId w:val="81"/>
        </w:numPr>
        <w:rPr>
          <w:rFonts w:ascii="Arial" w:cs="Arial" w:eastAsia="Arial" w:hAnsi="Arial"/>
          <w:sz w:val="21"/>
          <w:szCs w:val="21"/>
          <w:color w:val="auto"/>
        </w:rPr>
      </w:pPr>
      <w:r>
        <w:rPr>
          <w:rFonts w:ascii="Arial" w:cs="Arial" w:eastAsia="Arial" w:hAnsi="Arial"/>
          <w:sz w:val="21"/>
          <w:szCs w:val="21"/>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and/or social insurance contribution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Units sufficient to pay the Tax-Related Items.</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ectPr>
          <w:pgSz w:w="11900" w:h="16838" w:orient="portrait"/>
          <w:cols w:equalWidth="0" w:num="1">
            <w:col w:w="11420"/>
          </w:cols>
          <w:pgMar w:left="240" w:top="591" w:right="239" w:bottom="1440" w:gutter="0" w:footer="0" w:header="0"/>
        </w:sectPr>
      </w:pPr>
    </w:p>
    <w:bookmarkStart w:id="111" w:name="page112"/>
    <w:bookmarkEnd w:id="111"/>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70"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In accepting the grant, you acknowledge, understand and agree that:</w:t>
      </w:r>
    </w:p>
    <w:p>
      <w:pPr>
        <w:spacing w:after="0" w:line="219" w:lineRule="exact"/>
        <w:rPr>
          <w:rFonts w:ascii="Arial" w:cs="Arial" w:eastAsia="Arial" w:hAnsi="Arial"/>
          <w:sz w:val="22"/>
          <w:szCs w:val="22"/>
          <w:b w:val="1"/>
          <w:bCs w:val="1"/>
          <w:color w:val="auto"/>
        </w:rPr>
      </w:pPr>
    </w:p>
    <w:p>
      <w:pPr>
        <w:ind w:firstLine="656"/>
        <w:spacing w:after="0" w:line="276" w:lineRule="auto"/>
        <w:tabs>
          <w:tab w:leader="none" w:pos="1163"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07"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restricted stock units, or benefits in lieu of restricted stock units, even if restricted stock units have been granted in the past;</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1"/>
          <w:numId w:val="82"/>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 Company;</w:t>
      </w:r>
    </w:p>
    <w:p>
      <w:pPr>
        <w:spacing w:after="0" w:line="267" w:lineRule="exact"/>
        <w:rPr>
          <w:rFonts w:ascii="Arial" w:cs="Arial" w:eastAsia="Arial" w:hAnsi="Arial"/>
          <w:sz w:val="19"/>
          <w:szCs w:val="19"/>
          <w:color w:val="auto"/>
        </w:rPr>
      </w:pPr>
    </w:p>
    <w:p>
      <w:pPr>
        <w:jc w:val="both"/>
        <w:ind w:firstLine="656"/>
        <w:spacing w:after="0" w:line="254" w:lineRule="auto"/>
        <w:tabs>
          <w:tab w:leader="none" w:pos="1134"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67" w:lineRule="exact"/>
        <w:rPr>
          <w:rFonts w:ascii="Arial" w:cs="Arial" w:eastAsia="Arial" w:hAnsi="Arial"/>
          <w:sz w:val="19"/>
          <w:szCs w:val="19"/>
          <w:color w:val="auto"/>
        </w:rPr>
      </w:pPr>
    </w:p>
    <w:p>
      <w:pPr>
        <w:jc w:val="both"/>
        <w:ind w:firstLine="656"/>
        <w:spacing w:after="0" w:line="320" w:lineRule="auto"/>
        <w:tabs>
          <w:tab w:leader="none" w:pos="1107"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Award and the Shares subject to the Award, and the income and value of same, are not part of normal or expected compensation for any purpose, including but not limited to, calculating any severance, resignation, termination, redundancy, dismissal, end of service payments, bonuses, long-service awards, pension or retirement or welfare benefits or similar payments;</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44" w:lineRule="exact"/>
        <w:rPr>
          <w:rFonts w:ascii="Arial" w:cs="Arial" w:eastAsia="Arial" w:hAnsi="Arial"/>
          <w:sz w:val="21"/>
          <w:szCs w:val="21"/>
          <w:color w:val="auto"/>
        </w:rPr>
      </w:pPr>
    </w:p>
    <w:p>
      <w:pPr>
        <w:jc w:val="both"/>
        <w:ind w:firstLine="656"/>
        <w:spacing w:after="0" w:line="248" w:lineRule="auto"/>
        <w:tabs>
          <w:tab w:leader="none" w:pos="1154" w:val="left"/>
        </w:tabs>
        <w:numPr>
          <w:ilvl w:val="1"/>
          <w:numId w:val="82"/>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 in consideration of the grant of the Award to which you are otherwise not entitled, you irrevocably agree never to institute any claim against the Company, any Related Corporation or the Employer, waive the ability, if any, to bring any such claim and release the Company, any Related Corporation and the Employer from any such claim; if, notwithstanding the foregoing,</w:t>
      </w:r>
    </w:p>
    <w:p>
      <w:pPr>
        <w:sectPr>
          <w:pgSz w:w="11900" w:h="16838" w:orient="portrait"/>
          <w:cols w:equalWidth="0" w:num="1">
            <w:col w:w="11420"/>
          </w:cols>
          <w:pgMar w:left="240" w:top="591" w:right="239" w:bottom="1440" w:gutter="0" w:footer="0" w:header="0"/>
        </w:sectPr>
      </w:pPr>
    </w:p>
    <w:bookmarkStart w:id="112" w:name="page113"/>
    <w:bookmarkEnd w:id="112"/>
    <w:p>
      <w:pPr>
        <w:jc w:val="both"/>
        <w:spacing w:after="0" w:line="253" w:lineRule="auto"/>
        <w:rPr>
          <w:sz w:val="20"/>
          <w:szCs w:val="20"/>
          <w:color w:val="auto"/>
        </w:rPr>
      </w:pPr>
      <w:r>
        <w:rPr>
          <w:rFonts w:ascii="Arial" w:cs="Arial" w:eastAsia="Arial" w:hAnsi="Arial"/>
          <w:sz w:val="22"/>
          <w:szCs w:val="22"/>
          <w:color w:val="auto"/>
        </w:rPr>
        <w:t>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86" w:lineRule="exact"/>
        <w:rPr>
          <w:sz w:val="20"/>
          <w:szCs w:val="20"/>
          <w:color w:val="auto"/>
        </w:rPr>
      </w:pPr>
    </w:p>
    <w:p>
      <w:pPr>
        <w:jc w:val="both"/>
        <w:ind w:firstLine="656"/>
        <w:spacing w:after="0" w:line="290" w:lineRule="auto"/>
        <w:tabs>
          <w:tab w:leader="none" w:pos="1046" w:val="left"/>
        </w:tabs>
        <w:numPr>
          <w:ilvl w:val="0"/>
          <w:numId w:val="83"/>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and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55" w:lineRule="exact"/>
        <w:rPr>
          <w:rFonts w:ascii="Arial" w:cs="Arial" w:eastAsia="Arial" w:hAnsi="Arial"/>
          <w:sz w:val="19"/>
          <w:szCs w:val="19"/>
          <w:color w:val="auto"/>
        </w:rPr>
      </w:pPr>
    </w:p>
    <w:p>
      <w:pPr>
        <w:ind w:left="1080" w:hanging="424"/>
        <w:spacing w:after="0"/>
        <w:tabs>
          <w:tab w:leader="none" w:pos="10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grant of the Award is only made to you in your capacity of “employee” of a Related Corporation;</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032" w:val="left"/>
        </w:tabs>
        <w:numPr>
          <w:ilvl w:val="0"/>
          <w:numId w:val="83"/>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85" w:lineRule="exact"/>
        <w:rPr>
          <w:sz w:val="20"/>
          <w:szCs w:val="20"/>
          <w:color w:val="auto"/>
        </w:rPr>
      </w:pPr>
    </w:p>
    <w:p>
      <w:pPr>
        <w:ind w:right="160" w:firstLine="656"/>
        <w:spacing w:after="0" w:line="320" w:lineRule="auto"/>
        <w:tabs>
          <w:tab w:leader="none" w:pos="1032" w:val="left"/>
        </w:tabs>
        <w:numPr>
          <w:ilvl w:val="1"/>
          <w:numId w:val="84"/>
        </w:numPr>
        <w:rPr>
          <w:rFonts w:ascii="Arial" w:cs="Arial" w:eastAsia="Arial" w:hAnsi="Arial"/>
          <w:sz w:val="19"/>
          <w:szCs w:val="19"/>
          <w:color w:val="auto"/>
        </w:rPr>
      </w:pPr>
      <w:r>
        <w:rPr>
          <w:rFonts w:ascii="Arial" w:cs="Arial" w:eastAsia="Arial" w:hAnsi="Arial"/>
          <w:sz w:val="19"/>
          <w:szCs w:val="19"/>
          <w:color w:val="auto"/>
        </w:rPr>
        <w:t>neither the Company, the Employer nor any Related Corporation shall be liable for any foreign exchange rate fluctuation between your local currency and the United States dollar that may affect the value of the Award or of any amounts due to you pursuant to the settlement of the Award or the subsequent sale of any Shares acquired upon settlement.</w:t>
      </w:r>
    </w:p>
    <w:p>
      <w:pPr>
        <w:spacing w:after="0" w:line="119" w:lineRule="exact"/>
        <w:rPr>
          <w:rFonts w:ascii="Arial" w:cs="Arial" w:eastAsia="Arial" w:hAnsi="Arial"/>
          <w:sz w:val="19"/>
          <w:szCs w:val="19"/>
          <w:color w:val="auto"/>
        </w:rPr>
      </w:pPr>
    </w:p>
    <w:p>
      <w:pPr>
        <w:ind w:left="660" w:hanging="652"/>
        <w:spacing w:after="0"/>
        <w:tabs>
          <w:tab w:leader="none" w:pos="6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1"/>
          <w:szCs w:val="21"/>
          <w:color w:val="auto"/>
        </w:rPr>
        <w:t>The Company is not providing any tax, legal or financial advice, nor is the Company making any recommendations</w:t>
      </w:r>
    </w:p>
    <w:p>
      <w:pPr>
        <w:spacing w:after="0" w:line="3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ectPr>
          <w:pgSz w:w="11900" w:h="16838" w:orient="portrait"/>
          <w:cols w:equalWidth="0" w:num="1">
            <w:col w:w="11420"/>
          </w:cols>
          <w:pgMar w:left="240" w:top="591" w:right="239" w:bottom="1440" w:gutter="0" w:footer="0" w:header="0"/>
        </w:sectPr>
      </w:pPr>
    </w:p>
    <w:bookmarkStart w:id="113" w:name="page114"/>
    <w:bookmarkEnd w:id="113"/>
    <w:p>
      <w:pPr>
        <w:ind w:left="660" w:hanging="652"/>
        <w:spacing w:after="0"/>
        <w:tabs>
          <w:tab w:leader="none" w:pos="66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France.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adversely affected; the only adverse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ectPr>
          <w:pgSz w:w="11900" w:h="16838" w:orient="portrait"/>
          <w:cols w:equalWidth="0" w:num="1">
            <w:col w:w="11420"/>
          </w:cols>
          <w:pgMar w:left="240" w:top="591" w:right="239" w:bottom="1440" w:gutter="0" w:footer="0" w:header="0"/>
        </w:sectPr>
      </w:pPr>
    </w:p>
    <w:bookmarkStart w:id="114" w:name="page115"/>
    <w:bookmarkEnd w:id="114"/>
    <w:p>
      <w:pPr>
        <w:ind w:left="660" w:hanging="652"/>
        <w:spacing w:after="0"/>
        <w:tabs>
          <w:tab w:leader="none" w:pos="66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Participation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8"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Language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you have received this Agreement (or any portion thereof) or any other document related to the Plan translated into a language other than English and if the meaning of the translated version is different from the English version, the English version will control.</w:t>
      </w:r>
    </w:p>
    <w:p>
      <w:pPr>
        <w:spacing w:after="0" w:line="180"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20" w:lineRule="exact"/>
        <w:rPr>
          <w:sz w:val="20"/>
          <w:szCs w:val="20"/>
          <w:color w:val="auto"/>
        </w:rPr>
      </w:pPr>
    </w:p>
    <w:p>
      <w:pPr>
        <w:ind w:firstLine="648"/>
        <w:spacing w:after="0" w:line="307"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1" w:lineRule="auto"/>
        <w:tabs>
          <w:tab w:leader="none" w:pos="1743" w:val="left"/>
        </w:tabs>
        <w:numPr>
          <w:ilvl w:val="0"/>
          <w:numId w:val="90"/>
        </w:numPr>
        <w:rPr>
          <w:rFonts w:ascii="Arial" w:cs="Arial" w:eastAsia="Arial" w:hAnsi="Arial"/>
          <w:sz w:val="19"/>
          <w:szCs w:val="19"/>
          <w:color w:val="auto"/>
        </w:rPr>
      </w:pPr>
      <w:r>
        <w:rPr>
          <w:rFonts w:ascii="Arial" w:cs="Arial" w:eastAsia="Arial" w:hAnsi="Arial"/>
          <w:sz w:val="19"/>
          <w:szCs w:val="19"/>
          <w:color w:val="auto"/>
        </w:rPr>
        <w:t>For purposes of U.S. taxpayers, the settlement of the Units is intended to be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Units, settlement of the Units or other payment hereunder are compliant with Section 409A of the Code and will have no liability to you or any other party if the settlement of the Units or other payment hereunder that is intended to be compliant with Section 409A of the Code, is not compliant or for any action taken by the Plan Administrator with respect thereto.</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931" w:val="left"/>
        </w:tabs>
        <w:numPr>
          <w:ilvl w:val="0"/>
          <w:numId w:val="90"/>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any Units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and such Units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Units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ectPr>
          <w:pgSz w:w="11900" w:h="16838" w:orient="portrait"/>
          <w:cols w:equalWidth="0" w:num="1">
            <w:col w:w="11420"/>
          </w:cols>
          <w:pgMar w:left="240" w:top="585" w:right="239" w:bottom="1440" w:gutter="0" w:footer="0" w:header="0"/>
        </w:sectPr>
      </w:pPr>
    </w:p>
    <w:bookmarkStart w:id="115" w:name="page116"/>
    <w:bookmarkEnd w:id="115"/>
    <w:p>
      <w:pPr>
        <w:jc w:val="both"/>
        <w:ind w:firstLine="648"/>
        <w:spacing w:after="0" w:line="265" w:lineRule="auto"/>
        <w:rPr>
          <w:sz w:val="20"/>
          <w:szCs w:val="20"/>
          <w:color w:val="auto"/>
        </w:rPr>
      </w:pPr>
      <w:r>
        <w:rPr>
          <w:rFonts w:ascii="Arial" w:cs="Arial" w:eastAsia="Arial" w:hAnsi="Arial"/>
          <w:sz w:val="21"/>
          <w:szCs w:val="21"/>
          <w:b w:val="1"/>
          <w:bCs w:val="1"/>
          <w:color w:val="auto"/>
        </w:rPr>
        <w:t>15.3 Governing Law and Choice of Venue</w:t>
      </w:r>
      <w:r>
        <w:rPr>
          <w:rFonts w:ascii="Arial" w:cs="Arial" w:eastAsia="Arial" w:hAnsi="Arial"/>
          <w:sz w:val="21"/>
          <w:szCs w:val="21"/>
          <w:color w:val="auto"/>
        </w:rPr>
        <w:t>. 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69" w:lineRule="exact"/>
        <w:rPr>
          <w:sz w:val="20"/>
          <w:szCs w:val="20"/>
          <w:color w:val="auto"/>
        </w:rPr>
      </w:pPr>
    </w:p>
    <w:p>
      <w:pPr>
        <w:jc w:val="both"/>
        <w:ind w:right="20" w:firstLine="648"/>
        <w:spacing w:after="0" w:line="364"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80" w:lineRule="exact"/>
        <w:rPr>
          <w:sz w:val="20"/>
          <w:szCs w:val="20"/>
          <w:color w:val="auto"/>
        </w:rPr>
      </w:pPr>
    </w:p>
    <w:p>
      <w:pPr>
        <w:ind w:left="660"/>
        <w:spacing w:after="0"/>
        <w:tabs>
          <w:tab w:leader="none" w:pos="1200" w:val="left"/>
          <w:tab w:leader="none" w:pos="2080" w:val="left"/>
        </w:tabs>
        <w:rPr>
          <w:sz w:val="20"/>
          <w:szCs w:val="20"/>
          <w:color w:val="auto"/>
        </w:rPr>
      </w:pPr>
      <w:r>
        <w:rPr>
          <w:rFonts w:ascii="Arial" w:cs="Arial" w:eastAsia="Arial" w:hAnsi="Arial"/>
          <w:sz w:val="22"/>
          <w:szCs w:val="22"/>
          <w:b w:val="1"/>
          <w:bCs w:val="1"/>
          <w:color w:val="auto"/>
        </w:rPr>
        <w:t>15.5</w:t>
        <w:tab/>
        <w:t>Notice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Any notice required or permitted hereunder shall be made in writing and sent to the following address:</w:t>
      </w:r>
    </w:p>
    <w:p>
      <w:pPr>
        <w:spacing w:after="0" w:line="23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Liberty Lake, WA 99019</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USA</w:t>
      </w:r>
    </w:p>
    <w:p>
      <w:pPr>
        <w:spacing w:after="0" w:line="196"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p>
    <w:p>
      <w:pPr>
        <w:spacing w:after="0" w:line="226" w:lineRule="exact"/>
        <w:rPr>
          <w:sz w:val="20"/>
          <w:szCs w:val="20"/>
          <w:color w:val="auto"/>
        </w:rPr>
      </w:pPr>
    </w:p>
    <w:p>
      <w:pPr>
        <w:jc w:val="both"/>
        <w:ind w:right="640"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ectPr>
          <w:pgSz w:w="11900" w:h="16838" w:orient="portrait"/>
          <w:cols w:equalWidth="0" w:num="1">
            <w:col w:w="11420"/>
          </w:cols>
          <w:pgMar w:left="240" w:top="58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4"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FOR U.S. PARTICIPANTS</w:t>
      </w:r>
    </w:p>
    <w:p>
      <w:pPr>
        <w:spacing w:after="0" w:line="200" w:lineRule="exact"/>
        <w:rPr>
          <w:sz w:val="20"/>
          <w:szCs w:val="20"/>
          <w:color w:val="auto"/>
        </w:rPr>
      </w:pP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performance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Long Term Performance Restricted Stock Unit Award Notice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the Long Term Performance Restricted Stock Unit Award Agreement, including Appendices A and B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the Itron, Inc.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Performance Period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line="256" w:lineRule="auto"/>
        <w:rPr>
          <w:sz w:val="20"/>
          <w:szCs w:val="20"/>
          <w:color w:val="auto"/>
        </w:rPr>
      </w:pPr>
      <w:r>
        <w:rPr>
          <w:rFonts w:ascii="Arial" w:cs="Arial" w:eastAsia="Arial" w:hAnsi="Arial"/>
          <w:sz w:val="22"/>
          <w:szCs w:val="22"/>
          <w:b w:val="1"/>
          <w:bCs w:val="1"/>
          <w:color w:val="auto"/>
        </w:rPr>
        <w:t>Number of Long-Term Performance Restricted Stock Units (“</w:t>
      </w:r>
      <w:r>
        <w:rPr>
          <w:rFonts w:ascii="Arial" w:cs="Arial" w:eastAsia="Arial" w:hAnsi="Arial"/>
          <w:sz w:val="22"/>
          <w:szCs w:val="22"/>
          <w:b w:val="1"/>
          <w:bCs w:val="1"/>
          <w:i w:val="1"/>
          <w:iCs w:val="1"/>
          <w:color w:val="auto"/>
        </w:rPr>
        <w:t>PSUs</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FF0000"/>
        </w:rPr>
        <w:t>«First_Name» «Last_Name»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FF0000"/>
        </w:rPr>
        <w:t>«Grant Date»</w:t>
      </w:r>
    </w:p>
    <w:p>
      <w:pPr>
        <w:spacing w:after="0" w:line="103"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January 1, 2014 to December 31, 2016 (“</w:t>
      </w:r>
      <w:r>
        <w:rPr>
          <w:rFonts w:ascii="Arial" w:cs="Arial" w:eastAsia="Arial" w:hAnsi="Arial"/>
          <w:sz w:val="22"/>
          <w:szCs w:val="22"/>
          <w:b w:val="1"/>
          <w:bCs w:val="1"/>
          <w:i w:val="1"/>
          <w:iCs w:val="1"/>
          <w:color w:val="auto"/>
        </w:rPr>
        <w:t>Performance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Period</w:t>
      </w:r>
      <w:r>
        <w:rPr>
          <w:rFonts w:ascii="Arial" w:cs="Arial" w:eastAsia="Arial" w:hAnsi="Arial"/>
          <w:sz w:val="22"/>
          <w:szCs w:val="22"/>
          <w:color w:val="auto"/>
        </w:rPr>
        <w:t>”)</w:t>
      </w:r>
    </w:p>
    <w:p>
      <w:pPr>
        <w:spacing w:after="0" w:line="11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actual number of PSUs that vest shall be determined based on the attainment of the performance goals specified in Appendix A, as assessed by the Plan Administrator as soon as reasonably practicable after the end of the Performance Period.</w:t>
      </w:r>
    </w:p>
    <w:p>
      <w:pPr>
        <w:spacing w:after="0" w:line="359"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The aggregate target number of PSUs for the Performance Period is </w:t>
      </w:r>
      <w:r>
        <w:rPr>
          <w:rFonts w:ascii="Arial" w:cs="Arial" w:eastAsia="Arial" w:hAnsi="Arial"/>
          <w:sz w:val="19"/>
          <w:szCs w:val="19"/>
          <w:color w:val="FF0000"/>
        </w:rPr>
        <w:t>«# of Units</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5520" w:space="340"/>
            <w:col w:w="5560"/>
          </w:cols>
          <w:pgMar w:left="240" w:top="580" w:right="239" w:bottom="1440" w:gutter="0" w:footer="0" w:header="0"/>
          <w:type w:val="continuous"/>
        </w:sectPr>
      </w:pPr>
    </w:p>
    <w:p>
      <w:pPr>
        <w:spacing w:after="0" w:line="8"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317" w:lineRule="exact"/>
        <w:rPr>
          <w:sz w:val="20"/>
          <w:szCs w:val="20"/>
          <w:color w:val="auto"/>
        </w:rPr>
      </w:pPr>
    </w:p>
    <w:p>
      <w:pPr>
        <w:ind w:left="40"/>
        <w:spacing w:after="0"/>
        <w:rPr>
          <w:sz w:val="20"/>
          <w:szCs w:val="20"/>
          <w:color w:val="auto"/>
        </w:rPr>
      </w:pPr>
      <w:r>
        <w:rPr>
          <w:rFonts w:ascii="Arial" w:cs="Arial" w:eastAsia="Arial" w:hAnsi="Arial"/>
          <w:sz w:val="22"/>
          <w:szCs w:val="22"/>
          <w:color w:val="FF0000"/>
        </w:rPr>
        <w:t>«First_Name» «Last_Name»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I accept this Award subject to the terms and conditions stated herein.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FF0000"/>
        </w:rPr>
        <w:t>«Electronically Signed»</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Attachments:</w:t>
      </w:r>
    </w:p>
    <w:p>
      <w:pPr>
        <w:spacing w:after="0" w:line="56" w:lineRule="exact"/>
        <w:rPr>
          <w:sz w:val="20"/>
          <w:szCs w:val="20"/>
          <w:color w:val="auto"/>
        </w:rPr>
      </w:pPr>
    </w:p>
    <w:p>
      <w:pPr>
        <w:ind w:left="260" w:hanging="225"/>
        <w:spacing w:after="0"/>
        <w:tabs>
          <w:tab w:leader="none" w:pos="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Long-Term Performance Restricted Stock Unit Award Agreement, including Appendices A and B</w:t>
      </w:r>
    </w:p>
    <w:p>
      <w:pPr>
        <w:spacing w:after="0" w:line="44" w:lineRule="exact"/>
        <w:rPr>
          <w:rFonts w:ascii="Arial" w:cs="Arial" w:eastAsia="Arial" w:hAnsi="Arial"/>
          <w:sz w:val="22"/>
          <w:szCs w:val="22"/>
          <w:color w:val="auto"/>
        </w:rPr>
      </w:pPr>
    </w:p>
    <w:p>
      <w:pPr>
        <w:ind w:left="260" w:hanging="225"/>
        <w:spacing w:after="0"/>
        <w:tabs>
          <w:tab w:leader="none" w:pos="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Amended and Restated 2010 Stock Incentive Plan</w:t>
      </w:r>
    </w:p>
    <w:p>
      <w:pPr>
        <w:spacing w:after="0" w:line="44" w:lineRule="exact"/>
        <w:rPr>
          <w:rFonts w:ascii="Arial" w:cs="Arial" w:eastAsia="Arial" w:hAnsi="Arial"/>
          <w:sz w:val="22"/>
          <w:szCs w:val="22"/>
          <w:color w:val="auto"/>
        </w:rPr>
      </w:pPr>
    </w:p>
    <w:p>
      <w:pPr>
        <w:ind w:left="260" w:hanging="225"/>
        <w:spacing w:after="0"/>
        <w:tabs>
          <w:tab w:leader="none" w:pos="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Plan Prospectus</w:t>
      </w:r>
    </w:p>
    <w:p>
      <w:pPr>
        <w:sectPr>
          <w:pgSz w:w="11900" w:h="16838" w:orient="portrait"/>
          <w:cols w:equalWidth="0" w:num="1">
            <w:col w:w="11420"/>
          </w:cols>
          <w:pgMar w:left="240" w:top="580" w:right="239" w:bottom="1440" w:gutter="0" w:footer="0" w:header="0"/>
          <w:type w:val="continuous"/>
        </w:sectPr>
      </w:pPr>
    </w:p>
    <w:bookmarkStart w:id="117" w:name="page118"/>
    <w:bookmarkEnd w:id="117"/>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FOR U.S. PARTICIPANTS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Long Term Performance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Long Term Performance Restricted Stock Unit Award Agreement, including Appendices A and B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performance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Capitalized terms not expressly defined in this Agreement but defined in the Plan shall have the same definitions as in the Plan, as applicable.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Number of Units Subject to Award</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Award is a performance-based award, the vesting of which is based on the attainment of the performance goals set by the Plan Administrator at the beginning of the performance period set forth in the Award Notice ( the “</w:t>
      </w:r>
      <w:r>
        <w:rPr>
          <w:rFonts w:ascii="Arial" w:cs="Arial" w:eastAsia="Arial" w:hAnsi="Arial"/>
          <w:sz w:val="21"/>
          <w:szCs w:val="21"/>
          <w:b w:val="1"/>
          <w:bCs w:val="1"/>
          <w:i w:val="1"/>
          <w:iCs w:val="1"/>
          <w:color w:val="auto"/>
        </w:rPr>
        <w:t>Performance Period</w:t>
      </w:r>
      <w:r>
        <w:rPr>
          <w:rFonts w:ascii="Arial" w:cs="Arial" w:eastAsia="Arial" w:hAnsi="Arial"/>
          <w:sz w:val="21"/>
          <w:szCs w:val="21"/>
          <w:color w:val="auto"/>
        </w:rPr>
        <w:t>”) and at the beginning of each Annual EPS Performance Period (as defined in Appendix A), in accordance with the requirements of Section 162(m) of the Code in the case of any Award that is intended to constitute “qualified-performance-based compensation” within the meaning of Section 162(m) (4)(C) of the Code. The performance goals are set forth in Appendix A (or will be communicated to you as described in Appendix A) and the aggregate target number of PSUs for the Performance Period (the “</w:t>
      </w:r>
      <w:r>
        <w:rPr>
          <w:rFonts w:ascii="Arial" w:cs="Arial" w:eastAsia="Arial" w:hAnsi="Arial"/>
          <w:sz w:val="21"/>
          <w:szCs w:val="21"/>
          <w:b w:val="1"/>
          <w:bCs w:val="1"/>
          <w:i w:val="1"/>
          <w:iCs w:val="1"/>
          <w:color w:val="auto"/>
        </w:rPr>
        <w:t>Target PSUs</w:t>
      </w:r>
      <w:r>
        <w:rPr>
          <w:rFonts w:ascii="Arial" w:cs="Arial" w:eastAsia="Arial" w:hAnsi="Arial"/>
          <w:sz w:val="21"/>
          <w:szCs w:val="21"/>
          <w:color w:val="auto"/>
        </w:rPr>
        <w:t>”) is set forth in the Award Notice and in Appendix A.</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8"/>
          <w:szCs w:val="18"/>
          <w:b w:val="1"/>
          <w:bCs w:val="1"/>
          <w:color w:val="auto"/>
        </w:rPr>
        <w:t>Vesting</w:t>
      </w:r>
    </w:p>
    <w:p>
      <w:pPr>
        <w:spacing w:after="0" w:line="2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Award will vest to the extent the performance goals set forth in Appendix A are attained for the Performance Period, as determined by the Plan Administrator. The Plan Administrator shall determine as soon as reasonably practicable, but in any event within thirty (30) days, after the end of the Performance Period, the attainment level of the performance goals. One share of Common Stock will be issuable for each PSU that vests. PSUs that have vested are referred to herein as “</w:t>
      </w:r>
      <w:r>
        <w:rPr>
          <w:rFonts w:ascii="Arial" w:cs="Arial" w:eastAsia="Arial" w:hAnsi="Arial"/>
          <w:sz w:val="19"/>
          <w:szCs w:val="19"/>
          <w:b w:val="1"/>
          <w:bCs w:val="1"/>
          <w:i w:val="1"/>
          <w:iCs w:val="1"/>
          <w:color w:val="auto"/>
        </w:rPr>
        <w:t>Vested PSUs</w:t>
      </w:r>
      <w:r>
        <w:rPr>
          <w:rFonts w:ascii="Arial" w:cs="Arial" w:eastAsia="Arial" w:hAnsi="Arial"/>
          <w:sz w:val="19"/>
          <w:szCs w:val="19"/>
          <w:color w:val="auto"/>
        </w:rPr>
        <w:t>.” PSUs that have not vested and remain subject to forfeiture are referred to herein as “</w:t>
      </w:r>
      <w:r>
        <w:rPr>
          <w:rFonts w:ascii="Arial" w:cs="Arial" w:eastAsia="Arial" w:hAnsi="Arial"/>
          <w:sz w:val="19"/>
          <w:szCs w:val="19"/>
          <w:b w:val="1"/>
          <w:bCs w:val="1"/>
          <w:i w:val="1"/>
          <w:iCs w:val="1"/>
          <w:color w:val="auto"/>
        </w:rPr>
        <w:t>Unvested PSUs</w:t>
      </w:r>
      <w:r>
        <w:rPr>
          <w:rFonts w:ascii="Arial" w:cs="Arial" w:eastAsia="Arial" w:hAnsi="Arial"/>
          <w:sz w:val="19"/>
          <w:szCs w:val="19"/>
          <w:color w:val="auto"/>
        </w:rPr>
        <w:t>.” The Unvested and Vested PSUs are collectively referred to herein as the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Except as provided in Section 3 below, the Award will terminate and the Unvested PSUs will be forfeited upon termination of your employment for any reason.</w:t>
      </w:r>
    </w:p>
    <w:p>
      <w:pPr>
        <w:spacing w:after="0" w:line="145"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Termination of Employment; Change in Control Transaction</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Death and Disability</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your employment terminates during the Performance Period by reason of (a) death or (b) Disability, you will become eligible to receive that number of PSUs that vest based on the actual</w:t>
      </w:r>
    </w:p>
    <w:p>
      <w:pPr>
        <w:sectPr>
          <w:pgSz w:w="11900" w:h="16838" w:orient="portrait"/>
          <w:cols w:equalWidth="0" w:num="1">
            <w:col w:w="11420"/>
          </w:cols>
          <w:pgMar w:left="240" w:top="801" w:right="239" w:bottom="1440" w:gutter="0" w:footer="0" w:header="0"/>
        </w:sectPr>
      </w:pPr>
    </w:p>
    <w:bookmarkStart w:id="118" w:name="page119"/>
    <w:bookmarkEnd w:id="118"/>
    <w:p>
      <w:pPr>
        <w:spacing w:after="0" w:line="263" w:lineRule="auto"/>
        <w:rPr>
          <w:sz w:val="20"/>
          <w:szCs w:val="20"/>
          <w:color w:val="auto"/>
        </w:rPr>
      </w:pPr>
      <w:r>
        <w:rPr>
          <w:rFonts w:ascii="Arial" w:cs="Arial" w:eastAsia="Arial" w:hAnsi="Arial"/>
          <w:sz w:val="22"/>
          <w:szCs w:val="22"/>
          <w:color w:val="auto"/>
        </w:rPr>
        <w:t>attainment of the performance goals as assessed after the end of the Performance Period and such PSUs shall be settled in accordance with Section 4 below.</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Change in Control Transaction</w:t>
      </w:r>
    </w:p>
    <w:p>
      <w:pPr>
        <w:spacing w:after="0" w:line="239" w:lineRule="exact"/>
        <w:rPr>
          <w:sz w:val="20"/>
          <w:szCs w:val="20"/>
          <w:color w:val="auto"/>
        </w:rPr>
      </w:pPr>
    </w:p>
    <w:p>
      <w:pPr>
        <w:jc w:val="both"/>
        <w:ind w:firstLine="1305"/>
        <w:spacing w:after="0" w:line="260" w:lineRule="auto"/>
        <w:tabs>
          <w:tab w:leader="none" w:pos="1757" w:val="left"/>
        </w:tabs>
        <w:numPr>
          <w:ilvl w:val="1"/>
          <w:numId w:val="93"/>
        </w:numPr>
        <w:rPr>
          <w:rFonts w:ascii="Arial" w:cs="Arial" w:eastAsia="Arial" w:hAnsi="Arial"/>
          <w:sz w:val="22"/>
          <w:szCs w:val="22"/>
          <w:color w:val="auto"/>
        </w:rPr>
      </w:pPr>
      <w:r>
        <w:rPr>
          <w:rFonts w:ascii="Arial" w:cs="Arial" w:eastAsia="Arial" w:hAnsi="Arial"/>
          <w:sz w:val="22"/>
          <w:szCs w:val="22"/>
          <w:color w:val="auto"/>
        </w:rPr>
        <w:t>In the event of a Change in Control Transaction, the PSUs will be subject to any change in control severance 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party to a CIC Agreement, the provisions of this Section 3.2 shall apply.</w:t>
      </w:r>
    </w:p>
    <w:p>
      <w:pPr>
        <w:spacing w:after="0" w:line="177" w:lineRule="exact"/>
        <w:rPr>
          <w:rFonts w:ascii="Arial" w:cs="Arial" w:eastAsia="Arial" w:hAnsi="Arial"/>
          <w:sz w:val="22"/>
          <w:szCs w:val="22"/>
          <w:color w:val="auto"/>
        </w:rPr>
      </w:pPr>
    </w:p>
    <w:p>
      <w:pPr>
        <w:jc w:val="both"/>
        <w:ind w:firstLine="1305"/>
        <w:spacing w:after="0" w:line="290" w:lineRule="auto"/>
        <w:tabs>
          <w:tab w:leader="none" w:pos="1769" w:val="left"/>
        </w:tabs>
        <w:numPr>
          <w:ilvl w:val="1"/>
          <w:numId w:val="93"/>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(i) the Unvested PSUs are not assumed, substituted for, or converted into an award of the acquiring or surviving corporation (or a publicly-traded parent thereof) in a manner which prevents dilution of your rights under the Award or (ii) the acquiring or surviving corporation (or parent thereof) is not publicly-traded, the Unvested PSUs shall vest with respect to a number of PSUs equal to the greater of the (A) number of Target PSUs or</w:t>
      </w:r>
    </w:p>
    <w:p>
      <w:pPr>
        <w:spacing w:after="0" w:line="1" w:lineRule="exact"/>
        <w:rPr>
          <w:rFonts w:ascii="Arial" w:cs="Arial" w:eastAsia="Arial" w:hAnsi="Arial"/>
          <w:sz w:val="19"/>
          <w:szCs w:val="19"/>
          <w:color w:val="auto"/>
        </w:rPr>
      </w:pPr>
    </w:p>
    <w:p>
      <w:pPr>
        <w:jc w:val="both"/>
        <w:ind w:firstLine="8"/>
        <w:spacing w:after="0" w:line="295" w:lineRule="auto"/>
        <w:tabs>
          <w:tab w:leader="none" w:pos="348"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number of PSUs based on the actual level of performance attained for the year in which the Change in Control Transaction occurs (as determined by the Board if the Board concludes that such performance may be determined as of the date of the Change in Control Transaction). Any PSUs that vest pursuant to this Section 3.2 (b) shall be paid out pro-rata, in accordance with Section 4 hereof, based on the portion of the Performance Period that has elapsed as of the date of the Change in Control Transaction.</w:t>
      </w:r>
    </w:p>
    <w:p>
      <w:pPr>
        <w:spacing w:after="0" w:line="150" w:lineRule="exact"/>
        <w:rPr>
          <w:rFonts w:ascii="Arial" w:cs="Arial" w:eastAsia="Arial" w:hAnsi="Arial"/>
          <w:sz w:val="19"/>
          <w:szCs w:val="19"/>
          <w:color w:val="auto"/>
        </w:rPr>
      </w:pPr>
    </w:p>
    <w:p>
      <w:pPr>
        <w:jc w:val="both"/>
        <w:ind w:firstLine="1305"/>
        <w:spacing w:after="0" w:line="291" w:lineRule="auto"/>
        <w:tabs>
          <w:tab w:leader="none" w:pos="1743" w:val="left"/>
        </w:tabs>
        <w:numPr>
          <w:ilvl w:val="1"/>
          <w:numId w:val="94"/>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your Unvested PSUs are assumed, substituted for, or converted into an award of the acquiring or surviving public corporation (or a publicly-traded parent thereof) and your employment is terminated within twenty-four (24) months following such Change in Control Transaction and prior to settlement of the PSUs, other than (i) by the Company for Cause, (ii) by reason of death or Disability (which shall be governed by Section 3.1), or (iii) by you without Good Reason, the Unvested PSUs shall vest with respect to a number of PSUs equal to the greater of the (A) Target Number of PSUs or (B) the number of PSUs based on the actual level of performance attained for the year in which your termination occurs (as determined by the Board if the Board concludes that such performance may be determined as of the date of your termination). Any PSUs that vest pursuant to this Section 3.2(c) shall be paid out pro-rata, in accordance with Section 4, based on the portion of the Performance Period that has elapsed as of the date of your termination of employment.</w:t>
      </w:r>
    </w:p>
    <w:p>
      <w:pPr>
        <w:spacing w:after="0" w:line="154" w:lineRule="exact"/>
        <w:rPr>
          <w:rFonts w:ascii="Arial" w:cs="Arial" w:eastAsia="Arial" w:hAnsi="Arial"/>
          <w:sz w:val="19"/>
          <w:szCs w:val="19"/>
          <w:color w:val="auto"/>
        </w:rPr>
      </w:pPr>
    </w:p>
    <w:p>
      <w:pPr>
        <w:ind w:left="1760" w:hanging="455"/>
        <w:spacing w:after="0"/>
        <w:tabs>
          <w:tab w:leader="none" w:pos="1760" w:val="left"/>
        </w:tabs>
        <w:numPr>
          <w:ilvl w:val="1"/>
          <w:numId w:val="94"/>
        </w:numPr>
        <w:rPr>
          <w:rFonts w:ascii="Arial" w:cs="Arial" w:eastAsia="Arial" w:hAnsi="Arial"/>
          <w:sz w:val="19"/>
          <w:szCs w:val="19"/>
          <w:color w:val="auto"/>
        </w:rPr>
      </w:pPr>
      <w:r>
        <w:rPr>
          <w:rFonts w:ascii="Arial" w:cs="Arial" w:eastAsia="Arial" w:hAnsi="Arial"/>
          <w:sz w:val="19"/>
          <w:szCs w:val="19"/>
          <w:color w:val="auto"/>
        </w:rPr>
        <w:t>Definitions - For purposes of this Section 3.2, the following capitalized terms shall have the meanings set forth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below:</w:t>
      </w:r>
    </w:p>
    <w:p>
      <w:pPr>
        <w:spacing w:after="0" w:line="215" w:lineRule="exact"/>
        <w:rPr>
          <w:rFonts w:ascii="Arial" w:cs="Arial" w:eastAsia="Arial" w:hAnsi="Arial"/>
          <w:sz w:val="19"/>
          <w:szCs w:val="19"/>
          <w:color w:val="auto"/>
        </w:rPr>
      </w:pPr>
    </w:p>
    <w:p>
      <w:pPr>
        <w:jc w:val="both"/>
        <w:ind w:firstLine="1953"/>
        <w:spacing w:after="0" w:line="260" w:lineRule="auto"/>
        <w:tabs>
          <w:tab w:leader="none" w:pos="2329" w:val="left"/>
        </w:tabs>
        <w:numPr>
          <w:ilvl w:val="2"/>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77" w:lineRule="exact"/>
        <w:rPr>
          <w:rFonts w:ascii="Arial" w:cs="Arial" w:eastAsia="Arial" w:hAnsi="Arial"/>
          <w:sz w:val="22"/>
          <w:szCs w:val="22"/>
          <w:color w:val="auto"/>
        </w:rPr>
      </w:pPr>
    </w:p>
    <w:p>
      <w:pPr>
        <w:ind w:left="2400" w:hanging="447"/>
        <w:spacing w:after="0" w:line="253" w:lineRule="exact"/>
        <w:tabs>
          <w:tab w:leader="none" w:pos="2400" w:val="left"/>
        </w:tabs>
        <w:numPr>
          <w:ilvl w:val="2"/>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ectPr>
          <w:pgSz w:w="11900" w:h="16838" w:orient="portrait"/>
          <w:cols w:equalWidth="0" w:num="1">
            <w:col w:w="11420"/>
          </w:cols>
          <w:pgMar w:left="240" w:top="591" w:right="239" w:bottom="1440" w:gutter="0" w:footer="0" w:header="0"/>
        </w:sectPr>
      </w:pPr>
    </w:p>
    <w:bookmarkStart w:id="119" w:name="page120"/>
    <w:bookmarkEnd w:id="119"/>
    <w:p>
      <w:pPr>
        <w:jc w:val="both"/>
        <w:ind w:left="-1200" w:firstLine="1953"/>
        <w:spacing w:after="0" w:line="289" w:lineRule="auto"/>
        <w:tabs>
          <w:tab w:leader="none" w:pos="1370"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your employment by the Company or your employer, if different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shall mean (A) your willful and continued failure (other than any such failure resulting from (1) your incapacity due to physical or mental illness, (2) any such actual or anticipated failure after the issuance of a notice of termination in a form prescribed by the Company by you for Good Reason or (3)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(B) your conviction by a court of competent jurisdiction for felony criminal conduct (or the equivalent under applicable local law); or (C)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58" w:lineRule="exact"/>
        <w:rPr>
          <w:rFonts w:ascii="Arial" w:cs="Arial" w:eastAsia="Arial" w:hAnsi="Arial"/>
          <w:sz w:val="19"/>
          <w:szCs w:val="19"/>
          <w:color w:val="auto"/>
        </w:rPr>
      </w:pPr>
    </w:p>
    <w:p>
      <w:pPr>
        <w:jc w:val="both"/>
        <w:ind w:left="-1200" w:firstLine="1953"/>
        <w:spacing w:after="0" w:line="251" w:lineRule="auto"/>
        <w:tabs>
          <w:tab w:leader="none" w:pos="1277"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(A), (B), (C), (D) or (E) below, such act or failure to act is corrected prior to the date of your termination specified in a notice of termination in a form prescribed by the Company given in respect thereof:</w:t>
      </w:r>
    </w:p>
    <w:p>
      <w:pPr>
        <w:spacing w:after="0" w:line="189" w:lineRule="exact"/>
        <w:rPr>
          <w:rFonts w:ascii="Arial" w:cs="Arial" w:eastAsia="Arial" w:hAnsi="Arial"/>
          <w:sz w:val="22"/>
          <w:szCs w:val="22"/>
          <w:color w:val="auto"/>
        </w:rPr>
      </w:pPr>
    </w:p>
    <w:p>
      <w:pPr>
        <w:ind w:left="-1200" w:right="60" w:firstLine="2601"/>
        <w:spacing w:after="0" w:line="300" w:lineRule="auto"/>
        <w:tabs>
          <w:tab w:leader="none" w:pos="1873" w:val="left"/>
        </w:tabs>
        <w:numPr>
          <w:ilvl w:val="1"/>
          <w:numId w:val="95"/>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1860" w:hanging="459"/>
        <w:spacing w:after="0"/>
        <w:tabs>
          <w:tab w:leader="none" w:pos="18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33" w:lineRule="exact"/>
        <w:rPr>
          <w:rFonts w:ascii="Arial" w:cs="Arial" w:eastAsia="Arial" w:hAnsi="Arial"/>
          <w:sz w:val="22"/>
          <w:szCs w:val="22"/>
          <w:color w:val="auto"/>
        </w:rPr>
      </w:pPr>
    </w:p>
    <w:p>
      <w:pPr>
        <w:ind w:left="-1200" w:firstLine="2601"/>
        <w:spacing w:after="0" w:line="276" w:lineRule="auto"/>
        <w:tabs>
          <w:tab w:leader="none" w:pos="1861" w:val="left"/>
        </w:tabs>
        <w:numPr>
          <w:ilvl w:val="1"/>
          <w:numId w:val="95"/>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160" w:lineRule="exact"/>
        <w:rPr>
          <w:rFonts w:ascii="Arial" w:cs="Arial" w:eastAsia="Arial" w:hAnsi="Arial"/>
          <w:sz w:val="22"/>
          <w:szCs w:val="22"/>
          <w:color w:val="auto"/>
        </w:rPr>
      </w:pPr>
    </w:p>
    <w:p>
      <w:pPr>
        <w:ind w:left="-1200" w:firstLine="2601"/>
        <w:spacing w:after="0" w:line="301" w:lineRule="auto"/>
        <w:tabs>
          <w:tab w:leader="none" w:pos="1927"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failure to continue provide welfare, pension and fringe benefits which are in each case, in the aggregate, substantially similar to those provided to you immediately prior to Change in Control Transaction;</w:t>
      </w:r>
    </w:p>
    <w:p>
      <w:pPr>
        <w:spacing w:after="0" w:line="137" w:lineRule="exact"/>
        <w:rPr>
          <w:rFonts w:ascii="Arial" w:cs="Arial" w:eastAsia="Arial" w:hAnsi="Arial"/>
          <w:sz w:val="21"/>
          <w:szCs w:val="21"/>
          <w:color w:val="auto"/>
        </w:rPr>
      </w:pPr>
    </w:p>
    <w:p>
      <w:pPr>
        <w:jc w:val="both"/>
        <w:ind w:left="-1200" w:firstLine="2601"/>
        <w:spacing w:after="0" w:line="254" w:lineRule="auto"/>
        <w:tabs>
          <w:tab w:leader="none" w:pos="1916"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or</w:t>
      </w:r>
    </w:p>
    <w:p>
      <w:pPr>
        <w:sectPr>
          <w:pgSz w:w="11900" w:h="16838" w:orient="portrait"/>
          <w:cols w:equalWidth="0" w:num="1">
            <w:col w:w="10220"/>
          </w:cols>
          <w:pgMar w:left="1440" w:top="591" w:right="239" w:bottom="1440" w:gutter="0" w:footer="0" w:header="0"/>
        </w:sectPr>
      </w:pPr>
    </w:p>
    <w:bookmarkStart w:id="120" w:name="page121"/>
    <w:bookmarkEnd w:id="120"/>
    <w:p>
      <w:pPr>
        <w:jc w:val="both"/>
        <w:ind w:firstLine="1945"/>
        <w:spacing w:after="0" w:line="289" w:lineRule="auto"/>
        <w:rPr>
          <w:sz w:val="20"/>
          <w:szCs w:val="20"/>
          <w:color w:val="auto"/>
        </w:rPr>
      </w:pPr>
      <w:r>
        <w:rPr>
          <w:rFonts w:ascii="Arial" w:cs="Arial" w:eastAsia="Arial" w:hAnsi="Arial"/>
          <w:sz w:val="19"/>
          <w:szCs w:val="19"/>
          <w:color w:val="auto"/>
        </w:rPr>
        <w:t>Notwithstanding the foregoing, the events described in clauses (B), (C) or (D)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58" w:lineRule="exact"/>
        <w:rPr>
          <w:sz w:val="20"/>
          <w:szCs w:val="20"/>
          <w:color w:val="auto"/>
        </w:rPr>
      </w:pPr>
    </w:p>
    <w:p>
      <w:pPr>
        <w:jc w:val="both"/>
        <w:ind w:firstLine="1953"/>
        <w:spacing w:after="0" w:line="300" w:lineRule="auto"/>
        <w:tabs>
          <w:tab w:leader="none" w:pos="2390" w:val="left"/>
        </w:tabs>
        <w:numPr>
          <w:ilvl w:val="1"/>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of such securities or (D) a corporation owned, directly or indirectly, by the stockholders of the Company in substantially the same proportions as their ownership of stock of the Company.</w:t>
      </w:r>
    </w:p>
    <w:p>
      <w:pPr>
        <w:spacing w:after="0" w:line="141" w:lineRule="exact"/>
        <w:rPr>
          <w:rFonts w:ascii="Arial" w:cs="Arial" w:eastAsia="Arial" w:hAnsi="Arial"/>
          <w:sz w:val="19"/>
          <w:szCs w:val="19"/>
          <w:color w:val="auto"/>
        </w:rPr>
      </w:pPr>
    </w:p>
    <w:p>
      <w:pPr>
        <w:ind w:left="360" w:hanging="352"/>
        <w:spacing w:after="0"/>
        <w:tabs>
          <w:tab w:leader="none" w:pos="36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Vested PSUs shall be settled on the earliest to occur of (a) a date within 60 days following the end of the Performance Period, (b) a date within 30 days following the termination of your employment (i) due to death or Disability pursuant to Section 3.1 above or (ii) following a Change in Control Transaction pursuant to Section 3.2(c) above, or (c) the date of a Change in Control Transaction pursuant to Section 3.2(b) above that constitutes a “change in control event” within the meaning of U.S. Treasury Regulation Section 1.409A-3(i)(5).</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Securities Law Compliance</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7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 xml:space="preserve">5.2 </w:t>
      </w:r>
      <w:r>
        <w:rPr>
          <w:rFonts w:ascii="Arial" w:cs="Arial" w:eastAsia="Arial" w:hAnsi="Arial"/>
          <w:sz w:val="21"/>
          <w:szCs w:val="21"/>
          <w:color w:val="auto"/>
        </w:rPr>
        <w:t>You hereby agree that you will in no event sell or distribute all or any part of the shares of Common Stock that you</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pursuant to settlement of this Award (the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unless (a) there is an effective registration statement under the U.S. Securities Act of 1933, as amended (the “</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w:t>
      </w:r>
    </w:p>
    <w:p>
      <w:pPr>
        <w:sectPr>
          <w:pgSz w:w="11900" w:h="16838" w:orient="portrait"/>
          <w:cols w:equalWidth="0" w:num="1">
            <w:col w:w="11420"/>
          </w:cols>
          <w:pgMar w:left="240" w:top="591" w:right="23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22"/>
          <w:szCs w:val="22"/>
          <w:color w:val="auto"/>
        </w:rPr>
        <w:t>Company has no obligation to you to register the Shares with the U.S. Securities and Exchange Commission or any foreign securities regulator and has not represented to you that it will so register the Shares.</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Transfer Restrictions</w:t>
      </w:r>
    </w:p>
    <w:p>
      <w:pPr>
        <w:spacing w:after="0" w:line="239"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PSUs shall not be sold, transferred, assigned, encumbered, pledged or otherwise disposed of, whether voluntarily or by operation of law.</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No Rights as Shareholder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 shall not have voting or other rights as a shareholder of the Company with respect to the PSUs.</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Book Entry Registration of Shares</w:t>
      </w:r>
    </w:p>
    <w:p>
      <w:pPr>
        <w:spacing w:after="0" w:line="23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Responsibility for Taxes</w:t>
      </w:r>
    </w:p>
    <w:p>
      <w:pPr>
        <w:spacing w:after="0" w:line="2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your employer, if different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take with respect to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income tax, social insurance, 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PSUs, the issuance of Shares upon settlement of the Vested PSUs, the subsequent sale of Shares acquired upon settlement of the Vested PSUs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w:t>
      </w:r>
    </w:p>
    <w:p>
      <w:pPr>
        <w:sectPr>
          <w:pgSz w:w="11900" w:h="16838" w:orient="portrait"/>
          <w:cols w:equalWidth="0" w:num="1">
            <w:col w:w="11420"/>
          </w:cols>
          <w:pgMar w:left="240" w:top="591" w:right="239" w:bottom="1440" w:gutter="0" w:footer="0" w:header="0"/>
        </w:sectPr>
      </w:pPr>
    </w:p>
    <w:bookmarkStart w:id="122" w:name="page123"/>
    <w:bookmarkEnd w:id="122"/>
    <w:p>
      <w:pPr>
        <w:spacing w:after="0" w:line="263" w:lineRule="auto"/>
        <w:rPr>
          <w:sz w:val="20"/>
          <w:szCs w:val="20"/>
          <w:color w:val="auto"/>
        </w:rPr>
      </w:pPr>
      <w:r>
        <w:rPr>
          <w:rFonts w:ascii="Arial" w:cs="Arial" w:eastAsia="Arial" w:hAnsi="Arial"/>
          <w:sz w:val="22"/>
          <w:szCs w:val="22"/>
          <w:color w:val="auto"/>
        </w:rPr>
        <w:t>acknowledge that the Company and/or the Employer (or former employer, as applicable) may be required to withhold or account for Tax-Related Items in more than one jurisdiction.</w:t>
      </w:r>
    </w:p>
    <w:p>
      <w:pPr>
        <w:spacing w:after="0" w:line="169"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54" w:lineRule="exact"/>
        <w:rPr>
          <w:sz w:val="20"/>
          <w:szCs w:val="20"/>
          <w:color w:val="auto"/>
        </w:rPr>
      </w:pPr>
    </w:p>
    <w:p>
      <w:pPr>
        <w:ind w:right="20" w:firstLine="656"/>
        <w:spacing w:after="0" w:line="276" w:lineRule="auto"/>
        <w:tabs>
          <w:tab w:leader="none" w:pos="1082"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 this regard, you hereby irrevocably appoint Fidelity or any stock plan service provider or brokerage firm designated by the Company for such purpose (the “</w:t>
      </w:r>
      <w:r>
        <w:rPr>
          <w:rFonts w:ascii="Arial" w:cs="Arial" w:eastAsia="Arial" w:hAnsi="Arial"/>
          <w:sz w:val="22"/>
          <w:szCs w:val="22"/>
          <w:b w:val="1"/>
          <w:bCs w:val="1"/>
          <w:i w:val="1"/>
          <w:iCs w:val="1"/>
          <w:color w:val="auto"/>
        </w:rPr>
        <w:t>Agent</w:t>
      </w:r>
      <w:r>
        <w:rPr>
          <w:rFonts w:ascii="Arial" w:cs="Arial" w:eastAsia="Arial" w:hAnsi="Arial"/>
          <w:sz w:val="22"/>
          <w:szCs w:val="22"/>
          <w:color w:val="auto"/>
        </w:rPr>
        <w:t>”) as your Agent, and authorize the Agent, to:</w:t>
      </w:r>
    </w:p>
    <w:p>
      <w:pPr>
        <w:spacing w:after="0" w:line="160"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Sell on the open market at the then prevailing market price(s), on your behalf, as soon as practicable on or after the settlement date for any Vested Unit, a number of Shares (rounded up to the next whole number) sufficient to generate proceeds to cover the Tax-Related Items and all applicable fees and commissions due to, or required to be collected by, the Agent;</w:t>
      </w:r>
    </w:p>
    <w:p>
      <w:pPr>
        <w:spacing w:after="0" w:line="188" w:lineRule="exact"/>
        <w:rPr>
          <w:rFonts w:ascii="Arial" w:cs="Arial" w:eastAsia="Arial" w:hAnsi="Arial"/>
          <w:sz w:val="22"/>
          <w:szCs w:val="22"/>
          <w:color w:val="auto"/>
        </w:rPr>
      </w:pPr>
    </w:p>
    <w:p>
      <w:pPr>
        <w:ind w:left="1960" w:hanging="655"/>
        <w:spacing w:after="0"/>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19" w:lineRule="exact"/>
        <w:rPr>
          <w:rFonts w:ascii="Arial" w:cs="Arial" w:eastAsia="Arial" w:hAnsi="Arial"/>
          <w:sz w:val="22"/>
          <w:szCs w:val="22"/>
          <w:color w:val="auto"/>
        </w:rPr>
      </w:pPr>
    </w:p>
    <w:p>
      <w:pPr>
        <w:ind w:left="1960" w:right="20" w:hanging="655"/>
        <w:spacing w:after="0" w:line="287" w:lineRule="auto"/>
        <w:tabs>
          <w:tab w:leader="none" w:pos="1960" w:val="left"/>
        </w:tabs>
        <w:numPr>
          <w:ilvl w:val="1"/>
          <w:numId w:val="98"/>
        </w:numPr>
        <w:rPr>
          <w:rFonts w:ascii="Arial" w:cs="Arial" w:eastAsia="Arial" w:hAnsi="Arial"/>
          <w:sz w:val="21"/>
          <w:szCs w:val="21"/>
          <w:color w:val="auto"/>
        </w:rPr>
      </w:pPr>
      <w:r>
        <w:rPr>
          <w:rFonts w:ascii="Arial" w:cs="Arial" w:eastAsia="Arial" w:hAnsi="Arial"/>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151" w:lineRule="exact"/>
        <w:rPr>
          <w:rFonts w:ascii="Arial" w:cs="Arial" w:eastAsia="Arial" w:hAnsi="Arial"/>
          <w:sz w:val="21"/>
          <w:szCs w:val="21"/>
          <w:color w:val="auto"/>
        </w:rPr>
      </w:pPr>
    </w:p>
    <w:p>
      <w:pPr>
        <w:ind w:left="1960" w:hanging="655"/>
        <w:spacing w:after="0"/>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ind w:firstLine="656"/>
        <w:spacing w:after="0" w:line="358" w:lineRule="auto"/>
        <w:tabs>
          <w:tab w:leader="none" w:pos="1161" w:val="left"/>
        </w:tabs>
        <w:numPr>
          <w:ilvl w:val="0"/>
          <w:numId w:val="98"/>
        </w:numPr>
        <w:rPr>
          <w:rFonts w:ascii="Arial" w:cs="Arial" w:eastAsia="Arial" w:hAnsi="Arial"/>
          <w:sz w:val="19"/>
          <w:szCs w:val="19"/>
          <w:color w:val="auto"/>
        </w:rPr>
      </w:pPr>
      <w:r>
        <w:rPr>
          <w:rFonts w:ascii="Arial" w:cs="Arial" w:eastAsia="Arial" w:hAnsi="Arial"/>
          <w:sz w:val="19"/>
          <w:szCs w:val="19"/>
          <w:color w:val="auto"/>
        </w:rPr>
        <w:t>Alternatively, or in addition to or in combination with the withholding mechanism described in Section 9.2(a), you authorize the Company and/or the Employer, at their discretion, to satisfy the obligations with regard to all Tax-Related Items by:</w:t>
      </w:r>
    </w:p>
    <w:p>
      <w:pPr>
        <w:spacing w:after="0" w:line="90" w:lineRule="exact"/>
        <w:rPr>
          <w:rFonts w:ascii="Arial" w:cs="Arial" w:eastAsia="Arial" w:hAnsi="Arial"/>
          <w:sz w:val="19"/>
          <w:szCs w:val="19"/>
          <w:color w:val="auto"/>
        </w:rPr>
      </w:pPr>
    </w:p>
    <w:p>
      <w:pPr>
        <w:ind w:left="1960" w:hanging="655"/>
        <w:spacing w:after="0"/>
        <w:tabs>
          <w:tab w:leader="none" w:pos="1960" w:val="left"/>
        </w:tabs>
        <w:numPr>
          <w:ilvl w:val="1"/>
          <w:numId w:val="98"/>
        </w:numPr>
        <w:rPr>
          <w:rFonts w:ascii="Arial" w:cs="Arial" w:eastAsia="Arial" w:hAnsi="Arial"/>
          <w:sz w:val="21"/>
          <w:szCs w:val="21"/>
          <w:color w:val="auto"/>
        </w:rPr>
      </w:pPr>
      <w:r>
        <w:rPr>
          <w:rFonts w:ascii="Arial" w:cs="Arial" w:eastAsia="Arial" w:hAnsi="Arial"/>
          <w:sz w:val="21"/>
          <w:szCs w:val="21"/>
          <w:color w:val="auto"/>
        </w:rPr>
        <w:t>requiring you to pay to the Company or the Employer any amount of the Tax-Related Items; and/or</w:t>
      </w:r>
    </w:p>
    <w:p>
      <w:pPr>
        <w:spacing w:after="0" w:line="231" w:lineRule="exact"/>
        <w:rPr>
          <w:rFonts w:ascii="Arial" w:cs="Arial" w:eastAsia="Arial" w:hAnsi="Arial"/>
          <w:sz w:val="21"/>
          <w:szCs w:val="21"/>
          <w:color w:val="auto"/>
        </w:rPr>
      </w:pPr>
    </w:p>
    <w:p>
      <w:pPr>
        <w:ind w:left="1960" w:hanging="655"/>
        <w:spacing w:after="0" w:line="263" w:lineRule="auto"/>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1"/>
          <w:numId w:val="98"/>
        </w:numPr>
        <w:rPr>
          <w:rFonts w:ascii="Arial" w:cs="Arial" w:eastAsia="Arial" w:hAnsi="Arial"/>
          <w:sz w:val="19"/>
          <w:szCs w:val="19"/>
          <w:color w:val="auto"/>
        </w:rPr>
      </w:pPr>
      <w:r>
        <w:rPr>
          <w:rFonts w:ascii="Arial" w:cs="Arial" w:eastAsia="Arial" w:hAnsi="Arial"/>
          <w:sz w:val="19"/>
          <w:szCs w:val="19"/>
          <w:color w:val="auto"/>
        </w:rPr>
        <w:t>withholding in Shares to be issued upon settlement of the Vested PSUs provided, however, that if you are a Section 16 officer of the Company under the Exchange Act, then the Plan Administrator (as constituted to satisfy Rule 16b-3 of the Exchange Act) shall establish the method of withholding from the alternatives (i) -</w:t>
      </w:r>
    </w:p>
    <w:p>
      <w:pPr>
        <w:spacing w:after="0" w:line="1" w:lineRule="exact"/>
        <w:rPr>
          <w:rFonts w:ascii="Arial" w:cs="Arial" w:eastAsia="Arial" w:hAnsi="Arial"/>
          <w:sz w:val="19"/>
          <w:szCs w:val="19"/>
          <w:color w:val="auto"/>
        </w:rPr>
      </w:pPr>
    </w:p>
    <w:p>
      <w:pPr>
        <w:jc w:val="both"/>
        <w:ind w:left="1960" w:hanging="7"/>
        <w:spacing w:after="0" w:line="281" w:lineRule="auto"/>
        <w:tabs>
          <w:tab w:leader="none" w:pos="2373" w:val="left"/>
        </w:tabs>
        <w:numPr>
          <w:ilvl w:val="2"/>
          <w:numId w:val="98"/>
        </w:numPr>
        <w:rPr>
          <w:rFonts w:ascii="Arial" w:cs="Arial" w:eastAsia="Arial" w:hAnsi="Arial"/>
          <w:sz w:val="19"/>
          <w:szCs w:val="19"/>
          <w:color w:val="auto"/>
        </w:rPr>
      </w:pPr>
      <w:r>
        <w:rPr>
          <w:rFonts w:ascii="Arial" w:cs="Arial" w:eastAsia="Arial" w:hAnsi="Arial"/>
          <w:sz w:val="19"/>
          <w:szCs w:val="19"/>
          <w:color w:val="auto"/>
        </w:rPr>
        <w:t>herein and, if the Plan Administrator does not exercise its discretion prior to the Tax-Related Items withholding event, then you shall be entitled to elect the method of withholding from the alternatives (i) -</w:t>
      </w:r>
    </w:p>
    <w:p>
      <w:pPr>
        <w:spacing w:after="0" w:line="1" w:lineRule="exact"/>
        <w:rPr>
          <w:rFonts w:ascii="Arial" w:cs="Arial" w:eastAsia="Arial" w:hAnsi="Arial"/>
          <w:sz w:val="19"/>
          <w:szCs w:val="19"/>
          <w:color w:val="auto"/>
        </w:rPr>
      </w:pPr>
    </w:p>
    <w:p>
      <w:pPr>
        <w:ind w:left="2340" w:hanging="387"/>
        <w:spacing w:after="0"/>
        <w:tabs>
          <w:tab w:leader="none" w:pos="2340" w:val="left"/>
        </w:tabs>
        <w:numPr>
          <w:ilvl w:val="2"/>
          <w:numId w:val="99"/>
        </w:numPr>
        <w:rPr>
          <w:rFonts w:ascii="Arial" w:cs="Arial" w:eastAsia="Arial" w:hAnsi="Arial"/>
          <w:sz w:val="22"/>
          <w:szCs w:val="22"/>
          <w:color w:val="auto"/>
        </w:rPr>
      </w:pPr>
      <w:r>
        <w:rPr>
          <w:rFonts w:ascii="Arial" w:cs="Arial" w:eastAsia="Arial" w:hAnsi="Arial"/>
          <w:sz w:val="22"/>
          <w:szCs w:val="22"/>
          <w:color w:val="auto"/>
        </w:rPr>
        <w:t>herein.</w:t>
      </w:r>
    </w:p>
    <w:p>
      <w:pPr>
        <w:sectPr>
          <w:pgSz w:w="11900" w:h="16838" w:orient="portrait"/>
          <w:cols w:equalWidth="0" w:num="1">
            <w:col w:w="11420"/>
          </w:cols>
          <w:pgMar w:left="240" w:top="591" w:right="239" w:bottom="1440" w:gutter="0" w:footer="0" w:header="0"/>
        </w:sectPr>
      </w:pPr>
    </w:p>
    <w:bookmarkStart w:id="123" w:name="page124"/>
    <w:bookmarkEnd w:id="123"/>
    <w:p>
      <w:pPr>
        <w:jc w:val="both"/>
        <w:ind w:firstLine="656"/>
        <w:spacing w:after="0" w:line="294" w:lineRule="auto"/>
        <w:tabs>
          <w:tab w:leader="none" w:pos="110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PSUs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4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PSUs sufficient to pay the Tax-Related Items.</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ectPr>
          <w:pgSz w:w="11900" w:h="16838" w:orient="portrait"/>
          <w:cols w:equalWidth="0" w:num="1">
            <w:col w:w="11420"/>
          </w:cols>
          <w:pgMar w:left="240" w:top="591" w:right="239" w:bottom="1440" w:gutter="0" w:footer="0" w:header="0"/>
        </w:sectPr>
      </w:pPr>
    </w:p>
    <w:bookmarkStart w:id="124" w:name="page125"/>
    <w:bookmarkEnd w:id="124"/>
    <w:p>
      <w:pPr>
        <w:spacing w:after="0"/>
        <w:tabs>
          <w:tab w:leader="none" w:pos="44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Nature of Grant</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 accepting the grant, you acknowledge, understand and agree that:</w:t>
      </w:r>
    </w:p>
    <w:p>
      <w:pPr>
        <w:spacing w:after="0" w:line="220" w:lineRule="exact"/>
        <w:rPr>
          <w:sz w:val="20"/>
          <w:szCs w:val="20"/>
          <w:color w:val="auto"/>
        </w:rPr>
      </w:pPr>
    </w:p>
    <w:p>
      <w:pPr>
        <w:ind w:firstLine="656"/>
        <w:spacing w:after="0" w:line="276" w:lineRule="auto"/>
        <w:tabs>
          <w:tab w:leader="none" w:pos="116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performance restricted stock units, or benefits in lieu of performance restricted stock units, even if performance restricted stock units have been granted in the past;</w:t>
      </w:r>
    </w:p>
    <w:p>
      <w:pPr>
        <w:spacing w:after="0" w:line="177" w:lineRule="exact"/>
        <w:rPr>
          <w:rFonts w:ascii="Arial" w:cs="Arial" w:eastAsia="Arial" w:hAnsi="Arial"/>
          <w:sz w:val="22"/>
          <w:szCs w:val="22"/>
          <w:color w:val="auto"/>
        </w:rPr>
      </w:pPr>
    </w:p>
    <w:p>
      <w:pPr>
        <w:ind w:firstLine="656"/>
        <w:spacing w:after="0" w:line="276" w:lineRule="auto"/>
        <w:tabs>
          <w:tab w:leader="none" w:pos="109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all decisions with respect to future grants of performance restricted stock units, if any, will be at the sole discretion of the Company;</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13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67" w:lineRule="exact"/>
        <w:rPr>
          <w:rFonts w:ascii="Arial" w:cs="Arial" w:eastAsia="Arial" w:hAnsi="Arial"/>
          <w:sz w:val="19"/>
          <w:szCs w:val="19"/>
          <w:color w:val="auto"/>
        </w:rPr>
      </w:pPr>
    </w:p>
    <w:p>
      <w:pPr>
        <w:jc w:val="both"/>
        <w:ind w:firstLine="656"/>
        <w:spacing w:after="0" w:line="278" w:lineRule="auto"/>
        <w:tabs>
          <w:tab w:leader="none" w:pos="110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Award and the Shares subject to the Award, and the income and value of same, are not part of normal or expected compensation for purposes of calculating any severance, resignation, termination, redundancy, dismissal, end of service payments, bonuses, long-service awards, pension or retirement or welfare benefits or similar payments;</w:t>
      </w:r>
    </w:p>
    <w:p>
      <w:pPr>
        <w:spacing w:after="0" w:line="160" w:lineRule="exact"/>
        <w:rPr>
          <w:rFonts w:ascii="Arial" w:cs="Arial" w:eastAsia="Arial" w:hAnsi="Arial"/>
          <w:sz w:val="21"/>
          <w:szCs w:val="21"/>
          <w:color w:val="auto"/>
        </w:rPr>
      </w:pPr>
    </w:p>
    <w:p>
      <w:pPr>
        <w:ind w:left="1080" w:hanging="424"/>
        <w:spacing w:after="0"/>
        <w:tabs>
          <w:tab w:leader="none" w:pos="10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44" w:lineRule="exact"/>
        <w:rPr>
          <w:rFonts w:ascii="Arial" w:cs="Arial" w:eastAsia="Arial" w:hAnsi="Arial"/>
          <w:sz w:val="21"/>
          <w:szCs w:val="21"/>
          <w:color w:val="auto"/>
        </w:rPr>
      </w:pPr>
    </w:p>
    <w:p>
      <w:pPr>
        <w:jc w:val="both"/>
        <w:ind w:firstLine="656"/>
        <w:spacing w:after="0" w:line="260" w:lineRule="auto"/>
        <w:tabs>
          <w:tab w:leader="none" w:pos="1154" w:val="left"/>
        </w:tabs>
        <w:numPr>
          <w:ilvl w:val="0"/>
          <w:numId w:val="101"/>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 in consideration of the grant of the Award to which you are otherwise not entitled, you irrevocably agree never to institute any claim against the Company, any Related Corporation or the Employer, waive the ability, if any, to bring any such claim and release the Company, any Related Corporation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ectPr>
          <w:pgSz w:w="11900" w:h="16838" w:orient="portrait"/>
          <w:cols w:equalWidth="0" w:num="1">
            <w:col w:w="11420"/>
          </w:cols>
          <w:pgMar w:left="240" w:top="585" w:right="239" w:bottom="1440" w:gutter="0" w:footer="0" w:header="0"/>
        </w:sectPr>
      </w:pPr>
    </w:p>
    <w:bookmarkStart w:id="125" w:name="page126"/>
    <w:bookmarkEnd w:id="125"/>
    <w:p>
      <w:pPr>
        <w:jc w:val="both"/>
        <w:ind w:firstLine="656"/>
        <w:spacing w:after="0" w:line="290" w:lineRule="auto"/>
        <w:tabs>
          <w:tab w:leader="none" w:pos="104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 and</w:t>
      </w:r>
    </w:p>
    <w:p>
      <w:pPr>
        <w:spacing w:after="0" w:line="155" w:lineRule="exact"/>
        <w:rPr>
          <w:rFonts w:ascii="Arial" w:cs="Arial" w:eastAsia="Arial" w:hAnsi="Arial"/>
          <w:sz w:val="19"/>
          <w:szCs w:val="19"/>
          <w:color w:val="auto"/>
        </w:rPr>
      </w:pPr>
    </w:p>
    <w:p>
      <w:pPr>
        <w:jc w:val="both"/>
        <w:ind w:firstLine="656"/>
        <w:spacing w:after="0" w:line="254" w:lineRule="auto"/>
        <w:tabs>
          <w:tab w:leader="none" w:pos="108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w:t>
      </w:r>
    </w:p>
    <w:p>
      <w:pPr>
        <w:spacing w:after="0" w:line="179" w:lineRule="exact"/>
        <w:rPr>
          <w:rFonts w:ascii="Arial" w:cs="Arial" w:eastAsia="Arial" w:hAnsi="Arial"/>
          <w:sz w:val="22"/>
          <w:szCs w:val="22"/>
          <w:color w:val="auto"/>
        </w:rPr>
      </w:pPr>
    </w:p>
    <w:p>
      <w:pPr>
        <w:ind w:left="440" w:hanging="432"/>
        <w:spacing w:after="0"/>
        <w:tabs>
          <w:tab w:leader="none" w:pos="44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50"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You understand that Data will be transferred to Fidelity or such other stock plan service provider as may be selected by the Company in the future, which is assisting the Company with</w:t>
      </w:r>
    </w:p>
    <w:p>
      <w:pPr>
        <w:sectPr>
          <w:pgSz w:w="11900" w:h="16838" w:orient="portrait"/>
          <w:cols w:equalWidth="0" w:num="1">
            <w:col w:w="11420"/>
          </w:cols>
          <w:pgMar w:left="240" w:top="591" w:right="239" w:bottom="1440" w:gutter="0" w:footer="0" w:header="0"/>
        </w:sectPr>
      </w:pPr>
    </w:p>
    <w:bookmarkStart w:id="126" w:name="page127"/>
    <w:bookmarkEnd w:id="126"/>
    <w:p>
      <w:pPr>
        <w:jc w:val="both"/>
        <w:spacing w:after="0" w:line="285" w:lineRule="auto"/>
        <w:rPr>
          <w:sz w:val="20"/>
          <w:szCs w:val="20"/>
          <w:color w:val="auto"/>
        </w:rPr>
      </w:pPr>
      <w:r>
        <w:rPr>
          <w:rFonts w:ascii="Arial" w:cs="Arial" w:eastAsia="Arial" w:hAnsi="Arial"/>
          <w:sz w:val="19"/>
          <w:szCs w:val="19"/>
          <w:b w:val="1"/>
          <w:bCs w:val="1"/>
          <w:i w:val="1"/>
          <w:iCs w:val="1"/>
          <w:color w:val="auto"/>
        </w:rPr>
        <w:t>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adversely affected; the only adverse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Electronic Delivery and Participation</w:t>
      </w:r>
    </w:p>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Language</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General Provisions</w:t>
      </w:r>
    </w:p>
    <w:p>
      <w:pPr>
        <w:spacing w:after="0" w:line="23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ectPr>
          <w:pgSz w:w="11900" w:h="16838" w:orient="portrait"/>
          <w:cols w:equalWidth="0" w:num="1">
            <w:col w:w="11420"/>
          </w:cols>
          <w:pgMar w:left="240" w:top="591" w:right="239" w:bottom="1440" w:gutter="0" w:footer="0" w:header="0"/>
        </w:sectPr>
      </w:pPr>
    </w:p>
    <w:bookmarkStart w:id="127" w:name="page128"/>
    <w:bookmarkEnd w:id="127"/>
    <w:p>
      <w:pPr>
        <w:ind w:left="660"/>
        <w:spacing w:after="0"/>
        <w:tabs>
          <w:tab w:leader="none" w:pos="120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743" w:val="left"/>
        </w:tabs>
        <w:numPr>
          <w:ilvl w:val="0"/>
          <w:numId w:val="105"/>
        </w:numPr>
        <w:rPr>
          <w:rFonts w:ascii="Arial" w:cs="Arial" w:eastAsia="Arial" w:hAnsi="Arial"/>
          <w:sz w:val="21"/>
          <w:szCs w:val="21"/>
          <w:color w:val="auto"/>
        </w:rPr>
      </w:pPr>
      <w:r>
        <w:rPr>
          <w:rFonts w:ascii="Arial" w:cs="Arial" w:eastAsia="Arial" w:hAnsi="Arial"/>
          <w:sz w:val="21"/>
          <w:szCs w:val="21"/>
          <w:color w:val="auto"/>
        </w:rPr>
        <w:t>For purposes of U.S. taxpayers, the PSUs and the settlement of the PSUs are intended to comply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PSUs, settlement of the PSUs or other payment hereunder are compliant with Section 409A of the Code and neither the Company nor any of its affiliates shall under any circumstances have any liability to you or any other party if the settlement of the PSUs or other payment hereunder that is intended to be compliant with Section 409A of the Code is not compliant or for any action taken by the Plan Administrator with respect thereto.</w:t>
      </w:r>
    </w:p>
    <w:p>
      <w:pPr>
        <w:spacing w:after="0" w:line="179" w:lineRule="exact"/>
        <w:rPr>
          <w:rFonts w:ascii="Arial" w:cs="Arial" w:eastAsia="Arial" w:hAnsi="Arial"/>
          <w:sz w:val="21"/>
          <w:szCs w:val="21"/>
          <w:color w:val="auto"/>
        </w:rPr>
      </w:pPr>
    </w:p>
    <w:p>
      <w:pPr>
        <w:jc w:val="both"/>
        <w:ind w:firstLine="1305"/>
        <w:spacing w:after="0" w:line="260" w:lineRule="auto"/>
        <w:tabs>
          <w:tab w:leader="none" w:pos="1931" w:val="left"/>
        </w:tabs>
        <w:numPr>
          <w:ilvl w:val="0"/>
          <w:numId w:val="105"/>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any PSUs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and such PSUs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PSUs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pacing w:after="0" w:line="17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15.3 Governing Law and Choice of Venue</w:t>
      </w:r>
      <w:r>
        <w:rPr>
          <w:rFonts w:ascii="Arial" w:cs="Arial" w:eastAsia="Arial" w:hAnsi="Arial"/>
          <w:sz w:val="21"/>
          <w:szCs w:val="21"/>
          <w:color w:val="auto"/>
        </w:rPr>
        <w:t>. 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69" w:lineRule="exact"/>
        <w:rPr>
          <w:sz w:val="20"/>
          <w:szCs w:val="20"/>
          <w:color w:val="auto"/>
        </w:rPr>
      </w:pPr>
    </w:p>
    <w:p>
      <w:pPr>
        <w:jc w:val="both"/>
        <w:ind w:right="20" w:firstLine="648"/>
        <w:spacing w:after="0" w:line="364"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ectPr>
          <w:pgSz w:w="11900" w:h="16838" w:orient="portrait"/>
          <w:cols w:equalWidth="0" w:num="1">
            <w:col w:w="11420"/>
          </w:cols>
          <w:pgMar w:left="240" w:top="585" w:right="239" w:bottom="1440" w:gutter="0" w:footer="0" w:header="0"/>
        </w:sectPr>
      </w:pPr>
    </w:p>
    <w:bookmarkStart w:id="128" w:name="page129"/>
    <w:bookmarkEnd w:id="128"/>
    <w:p>
      <w:pPr>
        <w:jc w:val="center"/>
        <w:ind w:right="-19"/>
        <w:spacing w:after="0"/>
        <w:tabs>
          <w:tab w:leader="none" w:pos="16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Any notice required or permitted hereunder shall be made in writing and sent to the following address:</w:t>
      </w:r>
    </w:p>
    <w:p>
      <w:pPr>
        <w:spacing w:after="0" w:line="23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Liberty Lake, WA USA 99019</w:t>
      </w:r>
    </w:p>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Appendix B</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 provisions in this Agreement, the Award shall be subject to any special terms and conditions set forth in Appendix B to this Agreement for your country (“</w:t>
      </w:r>
      <w:r>
        <w:rPr>
          <w:rFonts w:ascii="Arial" w:cs="Arial" w:eastAsia="Arial" w:hAnsi="Arial"/>
          <w:sz w:val="22"/>
          <w:szCs w:val="22"/>
          <w:b w:val="1"/>
          <w:bCs w:val="1"/>
          <w:i w:val="1"/>
          <w:iCs w:val="1"/>
          <w:color w:val="auto"/>
        </w:rPr>
        <w:t>Appendix B</w:t>
      </w:r>
      <w:r>
        <w:rPr>
          <w:rFonts w:ascii="Arial" w:cs="Arial" w:eastAsia="Arial" w:hAnsi="Arial"/>
          <w:sz w:val="22"/>
          <w:szCs w:val="22"/>
          <w:color w:val="auto"/>
        </w:rPr>
        <w:t>”). Moreover, if you relocate to one of the countries included in Appendix B, the special terms and conditions for such country will apply to you, to the extent the Company determines that the application of such terms and conditions is necessary or advisable for legal or administrative reasons. Appendix B constitutes part of this Agreement.</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Imposition of Other Requirements</w:t>
      </w:r>
    </w:p>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2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Waiver</w:t>
      </w:r>
    </w:p>
    <w:p>
      <w:pPr>
        <w:spacing w:after="0" w:line="23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Repayment/Clawback/Recovery</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Participant is subject to the Company’s Incentive Repayment Policy (the “</w:t>
      </w:r>
      <w:r>
        <w:rPr>
          <w:rFonts w:ascii="Arial" w:cs="Arial" w:eastAsia="Arial" w:hAnsi="Arial"/>
          <w:sz w:val="19"/>
          <w:szCs w:val="19"/>
          <w:b w:val="1"/>
          <w:bCs w:val="1"/>
          <w:i w:val="1"/>
          <w:iCs w:val="1"/>
          <w:color w:val="auto"/>
        </w:rPr>
        <w:t>Repayment Policy</w:t>
      </w:r>
      <w:r>
        <w:rPr>
          <w:rFonts w:ascii="Arial" w:cs="Arial" w:eastAsia="Arial" w:hAnsi="Arial"/>
          <w:sz w:val="19"/>
          <w:szCs w:val="19"/>
          <w:color w:val="auto"/>
        </w:rPr>
        <w:t>”) at any time between the Grant Date and the date the PSUs are settled, any Shares, payment or benefit made under the Award shall be subject to repayment in accordance with the provisions of the Repayment Policy. In addition, any Shares, payment or benefit made under the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ectPr>
          <w:pgSz w:w="11900" w:h="16838" w:orient="portrait"/>
          <w:cols w:equalWidth="0" w:num="1">
            <w:col w:w="11420"/>
          </w:cols>
          <w:pgMar w:left="240" w:top="585" w:right="239" w:bottom="1440" w:gutter="0" w:footer="0" w:header="0"/>
        </w:sectPr>
      </w:pPr>
    </w:p>
    <w:bookmarkStart w:id="129" w:name="page130"/>
    <w:bookmarkEnd w:id="129"/>
    <w:p>
      <w:pPr>
        <w:ind w:left="5060"/>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Appendix A sets forth the performance goals for the performance restricted stock unit award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w:t>
      </w:r>
      <w:r>
        <w:rPr>
          <w:rFonts w:ascii="Arial" w:cs="Arial" w:eastAsia="Arial" w:hAnsi="Arial"/>
          <w:sz w:val="22"/>
          <w:szCs w:val="22"/>
          <w:color w:val="auto"/>
        </w:rPr>
        <w:t xml:space="preserve">) under the Itron, Inc. Amended and Restated 2010 Stock Incentive Plan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xml:space="preserve">) evidenced by the Long Term Performance Restricted Stock Unit Award Agreement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to which it is attached. Capitalized terms not expressly defined in this Appendix A but defined in the Plan or the Agreement shall have the same definitions as in the Plan and/or the Agreement, as applicable. Please refer to the schedule that is attached to Appendix A for supplemental information explaining the operation of the performance goals applicable to the Award.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aggregate target number of PSUs for the Performance Period is: </w:t>
      </w:r>
      <w:r>
        <w:rPr>
          <w:rFonts w:ascii="Arial" w:cs="Arial" w:eastAsia="Arial" w:hAnsi="Arial"/>
          <w:sz w:val="22"/>
          <w:szCs w:val="22"/>
          <w:color w:val="FF0000"/>
        </w:rPr>
        <w:t>«# of Units»</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actual number of PSUs that shall vest is based on the level of attainment of a combination of the following two performance goals: non-GAAP Earnings Per Share (“</w:t>
      </w:r>
      <w:r>
        <w:rPr>
          <w:rFonts w:ascii="Arial" w:cs="Arial" w:eastAsia="Arial" w:hAnsi="Arial"/>
          <w:sz w:val="22"/>
          <w:szCs w:val="22"/>
          <w:b w:val="1"/>
          <w:bCs w:val="1"/>
          <w:i w:val="1"/>
          <w:iCs w:val="1"/>
          <w:color w:val="auto"/>
        </w:rPr>
        <w:t>EPS</w:t>
      </w:r>
      <w:r>
        <w:rPr>
          <w:rFonts w:ascii="Arial" w:cs="Arial" w:eastAsia="Arial" w:hAnsi="Arial"/>
          <w:sz w:val="22"/>
          <w:szCs w:val="22"/>
          <w:color w:val="auto"/>
        </w:rPr>
        <w:t>”) of the Company as calculated for purposes of the Company’s earnings release as described in the Company’s public filings and Total Shareholder Return (“</w:t>
      </w:r>
      <w:r>
        <w:rPr>
          <w:rFonts w:ascii="Arial" w:cs="Arial" w:eastAsia="Arial" w:hAnsi="Arial"/>
          <w:sz w:val="22"/>
          <w:szCs w:val="22"/>
          <w:b w:val="1"/>
          <w:bCs w:val="1"/>
          <w:i w:val="1"/>
          <w:iCs w:val="1"/>
          <w:color w:val="auto"/>
        </w:rPr>
        <w:t>TSR</w:t>
      </w:r>
      <w:r>
        <w:rPr>
          <w:rFonts w:ascii="Arial" w:cs="Arial" w:eastAsia="Arial" w:hAnsi="Arial"/>
          <w:sz w:val="22"/>
          <w:szCs w:val="22"/>
          <w:color w:val="auto"/>
        </w:rPr>
        <w:t>”) of the Company during the Performance Period as further described below.</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total number of PSUs that is eligible to vest under this Award is between 0% - 200% of the Target PSUs based on attainment of the EPS performance goal and the TSR performance goal. The total number of PSUs that will actually vest will be equal to the sum of (i) the EPS-Based Vested PSUs, plus (ii) the product of (x) the TSR Performance Goal Multiplier, multiplied by</w:t>
      </w:r>
    </w:p>
    <w:p>
      <w:pPr>
        <w:spacing w:after="0" w:line="1" w:lineRule="exact"/>
        <w:rPr>
          <w:sz w:val="20"/>
          <w:szCs w:val="20"/>
          <w:color w:val="auto"/>
        </w:rPr>
      </w:pPr>
    </w:p>
    <w:p>
      <w:pPr>
        <w:ind w:left="660" w:right="3560" w:hanging="652"/>
        <w:spacing w:after="0" w:line="506" w:lineRule="auto"/>
        <w:tabs>
          <w:tab w:leader="none" w:pos="31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EPS-Based Vested PSUs (as these terms are defined and further described below). Any PSUs that vest shall be settled in accordance with Section 4 of the Agreement.</w:t>
      </w:r>
    </w:p>
    <w:p>
      <w:pPr>
        <w:ind w:left="660"/>
        <w:spacing w:after="0"/>
        <w:rPr>
          <w:sz w:val="20"/>
          <w:szCs w:val="20"/>
          <w:color w:val="auto"/>
        </w:rPr>
      </w:pPr>
      <w:r>
        <w:rPr>
          <w:rFonts w:ascii="Arial" w:cs="Arial" w:eastAsia="Arial" w:hAnsi="Arial"/>
          <w:sz w:val="22"/>
          <w:szCs w:val="22"/>
          <w:b w:val="1"/>
          <w:bCs w:val="1"/>
          <w:u w:val="single" w:color="auto"/>
          <w:color w:val="auto"/>
        </w:rPr>
        <w:t>EPS Performance Goal</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number of PSUs that is equal to between 0% - 160% of the Target PSUs is eligible to vest based on the attainment of EPS performance goals in accordance with the following terms: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An annual “</w:t>
      </w:r>
      <w:r>
        <w:rPr>
          <w:rFonts w:ascii="Arial" w:cs="Arial" w:eastAsia="Arial" w:hAnsi="Arial"/>
          <w:sz w:val="22"/>
          <w:szCs w:val="22"/>
          <w:b w:val="1"/>
          <w:bCs w:val="1"/>
          <w:i w:val="1"/>
          <w:iCs w:val="1"/>
          <w:color w:val="auto"/>
        </w:rPr>
        <w:t>EPS Performance Goal</w:t>
      </w:r>
      <w:r>
        <w:rPr>
          <w:rFonts w:ascii="Arial" w:cs="Arial" w:eastAsia="Arial" w:hAnsi="Arial"/>
          <w:sz w:val="22"/>
          <w:szCs w:val="22"/>
          <w:color w:val="auto"/>
        </w:rPr>
        <w:t>” (including “</w:t>
      </w:r>
      <w:r>
        <w:rPr>
          <w:rFonts w:ascii="Arial" w:cs="Arial" w:eastAsia="Arial" w:hAnsi="Arial"/>
          <w:sz w:val="22"/>
          <w:szCs w:val="22"/>
          <w:b w:val="1"/>
          <w:bCs w:val="1"/>
          <w:i w:val="1"/>
          <w:iCs w:val="1"/>
          <w:color w:val="auto"/>
        </w:rPr>
        <w:t>Threshold Goal</w:t>
      </w:r>
      <w:r>
        <w:rPr>
          <w:rFonts w:ascii="Arial" w:cs="Arial" w:eastAsia="Arial" w:hAnsi="Arial"/>
          <w:sz w:val="22"/>
          <w:szCs w:val="22"/>
          <w:color w:val="auto"/>
        </w:rPr>
        <w:t>” and “</w:t>
      </w:r>
      <w:r>
        <w:rPr>
          <w:rFonts w:ascii="Arial" w:cs="Arial" w:eastAsia="Arial" w:hAnsi="Arial"/>
          <w:sz w:val="22"/>
          <w:szCs w:val="22"/>
          <w:b w:val="1"/>
          <w:bCs w:val="1"/>
          <w:i w:val="1"/>
          <w:iCs w:val="1"/>
          <w:color w:val="auto"/>
        </w:rPr>
        <w:t>Maximum Goal</w:t>
      </w:r>
      <w:r>
        <w:rPr>
          <w:rFonts w:ascii="Arial" w:cs="Arial" w:eastAsia="Arial" w:hAnsi="Arial"/>
          <w:sz w:val="22"/>
          <w:szCs w:val="22"/>
          <w:color w:val="auto"/>
        </w:rPr>
        <w:t>”) shall be established at the beginning of each year for each of the calendar years contained in the Performance Periods (each, an “</w:t>
      </w:r>
      <w:r>
        <w:rPr>
          <w:rFonts w:ascii="Arial" w:cs="Arial" w:eastAsia="Arial" w:hAnsi="Arial"/>
          <w:sz w:val="22"/>
          <w:szCs w:val="22"/>
          <w:b w:val="1"/>
          <w:bCs w:val="1"/>
          <w:i w:val="1"/>
          <w:iCs w:val="1"/>
          <w:color w:val="auto"/>
        </w:rPr>
        <w:t>Annual EPS Performance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Period</w:t>
      </w:r>
      <w:r>
        <w:rPr>
          <w:rFonts w:ascii="Arial" w:cs="Arial" w:eastAsia="Arial" w:hAnsi="Arial"/>
          <w:sz w:val="22"/>
          <w:szCs w:val="22"/>
          <w:color w:val="auto"/>
        </w:rPr>
        <w:t>”). Immediately following the end of each Annual EPS Performance Period, the Plan Administrator shall assess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attainment level of the Company’s EPS against the annual EPS Performance Goal corresponding to the Annual EPS Performance Period and assign a percentage of attainment of between 0% - 160% (with attainment between the Threshold Goal and Maximum Goal subject to interpolation). The number of PSUs that is eligible to vest at the end of the Performance Period based on the attainment of the EPS Performance</w:t>
      </w:r>
    </w:p>
    <w:p>
      <w:pPr>
        <w:sectPr>
          <w:pgSz w:w="11900" w:h="16838" w:orient="portrait"/>
          <w:cols w:equalWidth="0" w:num="1">
            <w:col w:w="11420"/>
          </w:cols>
          <w:pgMar w:left="240" w:top="585" w:right="239" w:bottom="1440" w:gutter="0" w:footer="0" w:header="0"/>
        </w:sectPr>
      </w:pPr>
    </w:p>
    <w:bookmarkStart w:id="130" w:name="page131"/>
    <w:bookmarkEnd w:id="130"/>
    <w:p>
      <w:pPr>
        <w:jc w:val="both"/>
        <w:spacing w:after="0" w:line="253" w:lineRule="auto"/>
        <w:rPr>
          <w:sz w:val="20"/>
          <w:szCs w:val="20"/>
          <w:color w:val="auto"/>
        </w:rPr>
      </w:pPr>
      <w:r>
        <w:rPr>
          <w:rFonts w:ascii="Arial" w:cs="Arial" w:eastAsia="Arial" w:hAnsi="Arial"/>
          <w:sz w:val="22"/>
          <w:szCs w:val="22"/>
          <w:color w:val="auto"/>
        </w:rPr>
        <w:t>Goal shall be equal to the product of (a) the average of the attainment level of the EPS Performance Goal for each of the Annual EPS Performance Periods contained in the Performance Period (expressed as a percentage), multiplied by (b) the portion of the Target PSUs for the Performance Period (the “</w:t>
      </w:r>
      <w:r>
        <w:rPr>
          <w:rFonts w:ascii="Arial" w:cs="Arial" w:eastAsia="Arial" w:hAnsi="Arial"/>
          <w:sz w:val="22"/>
          <w:szCs w:val="22"/>
          <w:b w:val="1"/>
          <w:bCs w:val="1"/>
          <w:i w:val="1"/>
          <w:iCs w:val="1"/>
          <w:color w:val="auto"/>
        </w:rPr>
        <w:t>EPS-Based Vested PSUs</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PSUs will become eligible for vesting if the Company’s EPS is below the Threshold Goal.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TSR Performance Goal Multiplier</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number of PSUs that is eligible to vest may be greater or less than the number of EPS-Based Vested PSUs depending on the level of attainment of Company TSR performance relative to the TSR attained by companies comprising the Russell 3000 Index (such increase or decrease to the number of PSUs eligible to vest, the “</w:t>
      </w:r>
      <w:r>
        <w:rPr>
          <w:rFonts w:ascii="Arial" w:cs="Arial" w:eastAsia="Arial" w:hAnsi="Arial"/>
          <w:sz w:val="21"/>
          <w:szCs w:val="21"/>
          <w:b w:val="1"/>
          <w:bCs w:val="1"/>
          <w:i w:val="1"/>
          <w:iCs w:val="1"/>
          <w:color w:val="auto"/>
        </w:rPr>
        <w:t>TSR Performance Goal Multiplier</w:t>
      </w:r>
      <w:r>
        <w:rPr>
          <w:rFonts w:ascii="Arial" w:cs="Arial" w:eastAsia="Arial" w:hAnsi="Arial"/>
          <w:sz w:val="21"/>
          <w:szCs w:val="21"/>
          <w:i w:val="1"/>
          <w:iCs w:val="1"/>
          <w:color w:val="auto"/>
        </w:rPr>
        <w:t>,</w:t>
      </w:r>
      <w:r>
        <w:rPr>
          <w:rFonts w:ascii="Arial" w:cs="Arial" w:eastAsia="Arial" w:hAnsi="Arial"/>
          <w:sz w:val="21"/>
          <w:szCs w:val="21"/>
          <w:color w:val="auto"/>
        </w:rPr>
        <w:t>” and the index, the “</w:t>
      </w:r>
      <w:r>
        <w:rPr>
          <w:rFonts w:ascii="Arial" w:cs="Arial" w:eastAsia="Arial" w:hAnsi="Arial"/>
          <w:sz w:val="21"/>
          <w:szCs w:val="21"/>
          <w:b w:val="1"/>
          <w:bCs w:val="1"/>
          <w:i w:val="1"/>
          <w:iCs w:val="1"/>
          <w:color w:val="auto"/>
        </w:rPr>
        <w:t>Peer Group TSR</w:t>
      </w:r>
      <w:r>
        <w:rPr>
          <w:rFonts w:ascii="Arial" w:cs="Arial" w:eastAsia="Arial" w:hAnsi="Arial"/>
          <w:sz w:val="21"/>
          <w:szCs w:val="21"/>
          <w:color w:val="auto"/>
        </w:rPr>
        <w:t>”). For purposes of calculating the Company’s TSR, the value of the Common Stock on the first day of the Performance Period shall be deemed to be the average of the closing price of the Common Stock for the 20 trading days ending on the first trading day of the Performance Period and the value of the Common Stock for the last day of the Performance Period shall be deemed to be the average of the closing price of the Common Stock for the 20 trading days ending on the last trading day of the Performance Period. The TSR Performance Goal Multiplier shall be between 0.75 and 1.25, as determined in accordance with the following schedule:</w:t>
      </w:r>
    </w:p>
    <w:p>
      <w:pPr>
        <w:spacing w:after="0" w:line="180" w:lineRule="exact"/>
        <w:rPr>
          <w:sz w:val="20"/>
          <w:szCs w:val="20"/>
          <w:color w:val="auto"/>
        </w:rPr>
      </w:pPr>
    </w:p>
    <w:p>
      <w:pPr>
        <w:ind w:left="1300" w:hanging="320"/>
        <w:spacing w:after="0" w:line="263" w:lineRule="auto"/>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If Company TSR is at or below the 25% percentile of the Peer Group TSR, the TSR Performance Goal Multiplier shall be equal to 0.75.</w:t>
      </w:r>
    </w:p>
    <w:p>
      <w:pPr>
        <w:spacing w:after="0" w:line="174"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If Company TSR is at the 50% percentile of the Peer Group TSR, the TSR Performance Goal Multiplier shall be equal to 1.</w:t>
      </w:r>
    </w:p>
    <w:p>
      <w:pPr>
        <w:spacing w:after="0" w:line="174" w:lineRule="exact"/>
        <w:rPr>
          <w:rFonts w:ascii="Arial" w:cs="Arial" w:eastAsia="Arial" w:hAnsi="Arial"/>
          <w:sz w:val="22"/>
          <w:szCs w:val="22"/>
          <w:color w:val="auto"/>
        </w:rPr>
      </w:pPr>
    </w:p>
    <w:p>
      <w:pPr>
        <w:ind w:left="1300" w:right="20" w:hanging="320"/>
        <w:spacing w:after="0" w:line="263" w:lineRule="auto"/>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If Company TSR is at or above the 75th percentile of the Peer Group TSR, the TSR Performance Goal Multiplier shall be equal to 1.25.</w:t>
      </w:r>
    </w:p>
    <w:p>
      <w:pPr>
        <w:spacing w:after="0" w:line="164" w:lineRule="exact"/>
        <w:rPr>
          <w:rFonts w:ascii="Arial" w:cs="Arial" w:eastAsia="Arial" w:hAnsi="Arial"/>
          <w:sz w:val="22"/>
          <w:szCs w:val="22"/>
          <w:color w:val="auto"/>
        </w:rPr>
      </w:pPr>
    </w:p>
    <w:p>
      <w:pPr>
        <w:ind w:left="1300" w:hanging="320"/>
        <w:spacing w:after="0" w:line="226" w:lineRule="auto"/>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If Company TSR is above the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or below the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the Peer Group TSR, the attainment between the goals shall be subject to interpolation.</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the Award is intended to constitute “qualified performance-based compensation,” within the meaning of Section 162(m) (4)(C) of the Code, the Plan Administrator shall determine and certify the actual level of attainment of the performance goals and the number of PSUs that become eligible for vesting in accordance with the requirements of Section 162(m) of the Code. The performance goals shall be adjusted per the 2014 Long-Term Performance Plan Criteria, as approved by the Plan Administrator, provided that the Plan Administrator may also adjust the performance goals in a manner that would result in a decrease to the number of PSUs that would otherwise become eligible for vesting. Further, in determining the number of PSUs that become eligible for vesting, the Plan Administrator has the discretion to reduce (including to zero), but not increase, the number of PSUs that would otherwise become eligible for vesting.</w:t>
      </w:r>
    </w:p>
    <w:p>
      <w:pPr>
        <w:sectPr>
          <w:pgSz w:w="11900" w:h="16838" w:orient="portrait"/>
          <w:cols w:equalWidth="0" w:num="1">
            <w:col w:w="11420"/>
          </w:cols>
          <w:pgMar w:left="240" w:top="591" w:right="239" w:bottom="1440" w:gutter="0" w:footer="0" w:header="0"/>
        </w:sectPr>
      </w:pPr>
    </w:p>
    <w:bookmarkStart w:id="131" w:name="page132"/>
    <w:bookmarkEnd w:id="131"/>
    <w:p>
      <w:pPr>
        <w:ind w:left="5060"/>
        <w:spacing w:after="0"/>
        <w:rPr>
          <w:sz w:val="20"/>
          <w:szCs w:val="20"/>
          <w:color w:val="auto"/>
        </w:rPr>
      </w:pPr>
      <w:r>
        <w:rPr>
          <w:rFonts w:ascii="Arial" w:cs="Arial" w:eastAsia="Arial" w:hAnsi="Arial"/>
          <w:sz w:val="22"/>
          <w:szCs w:val="22"/>
          <w:b w:val="1"/>
          <w:bCs w:val="1"/>
          <w:color w:val="auto"/>
        </w:rPr>
        <w:t>APPENDIX B</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Appendix B includes additional terms and conditions that govern the grant of the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xml:space="preserve">) under the Itron, Inc. Amended and Restated 2010 Stock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xml:space="preserve">) in the countries listed below. Capitalized terms not expressly defined in this Appendix B but defined in the Plan or the Long Term Performance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shall have the same definitions as in the Plan and/or the Agreement, as applicable.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Appendix B also includes information regarding exchange control and other issues of which you should be aware with respect to your participation in the Plan. The information is based on the exchange control, securities and other laws in effect in the respective countries as of February 2014. Such laws are often complex and change frequently. As a result, the Company strongly recommends that you not rely on the information herein as the only source of information relating to the consequences of participation in the Plan because the information may be out of date at the time that the Award vests or the Shares acquired under the Plan are sold.</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or if you transfer employment or residency to another country after the Award is granted, the information contained herein may not be applicable to you.</w:t>
      </w:r>
    </w:p>
    <w:p>
      <w:pPr>
        <w:sectPr>
          <w:pgSz w:w="11900" w:h="16838" w:orient="portrait"/>
          <w:cols w:equalWidth="0" w:num="1">
            <w:col w:w="11420"/>
          </w:cols>
          <w:pgMar w:left="240" w:top="585"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u w:val="single" w:color="auto"/>
          <w:color w:val="auto"/>
        </w:rPr>
        <w:t>UNITED STATES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 This provision supplements Section 3.1 of the Agreement: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your employment terminates during the Performance Period by reason of Retirement, you shall be eligible to receive a prorated number of PSUs that vest based on the actual attainment of the performance goals as assessed after the end of the Performance Period and such PSUs shall be settled in accordance with Section 4. The prorated portion shall be calculated by multiplying the number of PSUs that vest based on actual attainment of the performance goal by a fraction, the numerator of which shall be equal to the number of the calendar days you were actively employed with the Company and/or a Related Corporation during the Performance Period and the denominator of which shall be the number of calendar days in the Performance Period.</w:t>
      </w:r>
    </w:p>
    <w:p>
      <w:pPr>
        <w:spacing w:after="0" w:line="15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For purposes of this Agreement, “Retirement” shall mean a termination of employment (other than an involuntary termination for Cause) (a) on or after your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or (b) on or after your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if you have, at such time, been employed by the Company and/or a Related Corporation for at least ten (10) years.</w:t>
      </w:r>
    </w:p>
    <w:p>
      <w:pPr>
        <w:sectPr>
          <w:pgSz w:w="11900" w:h="16838" w:orient="portrait"/>
          <w:cols w:equalWidth="0" w:num="1">
            <w:col w:w="11420"/>
          </w:cols>
          <w:pgMar w:left="240" w:top="58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4"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FOR PARTICIPANTS IN FRANCE</w:t>
      </w:r>
    </w:p>
    <w:p>
      <w:pPr>
        <w:spacing w:after="0" w:line="200" w:lineRule="exact"/>
        <w:rPr>
          <w:sz w:val="20"/>
          <w:szCs w:val="20"/>
          <w:color w:val="auto"/>
        </w:rPr>
      </w:pPr>
    </w:p>
    <w:p>
      <w:pPr>
        <w:spacing w:after="0" w:line="2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Itron,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hereby grants to Participant a performance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The Award is subject to all the terms and conditions set forth in this Long Term Performance Restricted Stock Unit Award Notice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the Long Term Performance Restricted Stock Unit Award Agreement, including Appendix A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Itron, Inc. 2010 Amended and Restated Stock Incentive Plan (the “</w:t>
      </w:r>
      <w:r>
        <w:rPr>
          <w:rFonts w:ascii="Arial" w:cs="Arial" w:eastAsia="Arial" w:hAnsi="Arial"/>
          <w:sz w:val="19"/>
          <w:szCs w:val="19"/>
          <w:b w:val="1"/>
          <w:bCs w:val="1"/>
          <w:i w:val="1"/>
          <w:iCs w:val="1"/>
          <w:color w:val="auto"/>
        </w:rPr>
        <w:t>U.S. Plan</w:t>
      </w:r>
      <w:r>
        <w:rPr>
          <w:rFonts w:ascii="Arial" w:cs="Arial" w:eastAsia="Arial" w:hAnsi="Arial"/>
          <w:sz w:val="19"/>
          <w:szCs w:val="19"/>
          <w:color w:val="auto"/>
        </w:rPr>
        <w:t>”), and the Rules of the Itron, Inc. Amended and Restated 2010 Stock Incentive Plan for the Grant of Restricted Stock Units to Participants in France (the “</w:t>
      </w:r>
      <w:r>
        <w:rPr>
          <w:rFonts w:ascii="Arial" w:cs="Arial" w:eastAsia="Arial" w:hAnsi="Arial"/>
          <w:sz w:val="19"/>
          <w:szCs w:val="19"/>
          <w:b w:val="1"/>
          <w:bCs w:val="1"/>
          <w:i w:val="1"/>
          <w:iCs w:val="1"/>
          <w:color w:val="auto"/>
        </w:rPr>
        <w:t>French RSU Plan</w:t>
      </w:r>
      <w:r>
        <w:rPr>
          <w:rFonts w:ascii="Arial" w:cs="Arial" w:eastAsia="Arial" w:hAnsi="Arial"/>
          <w:sz w:val="19"/>
          <w:szCs w:val="19"/>
          <w:color w:val="auto"/>
        </w:rPr>
        <w:t>” and together with the U.S.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all of which are incorporated into the Award Notice in their entirety.</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Performance Period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Time-Based Vesting Date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line="256" w:lineRule="auto"/>
        <w:rPr>
          <w:sz w:val="20"/>
          <w:szCs w:val="20"/>
          <w:color w:val="auto"/>
        </w:rPr>
      </w:pPr>
      <w:r>
        <w:rPr>
          <w:rFonts w:ascii="Arial" w:cs="Arial" w:eastAsia="Arial" w:hAnsi="Arial"/>
          <w:sz w:val="22"/>
          <w:szCs w:val="22"/>
          <w:b w:val="1"/>
          <w:bCs w:val="1"/>
          <w:color w:val="auto"/>
        </w:rPr>
        <w:t>Number of Long-Term Performance Restricted Stock Units (“</w:t>
      </w:r>
      <w:r>
        <w:rPr>
          <w:rFonts w:ascii="Arial" w:cs="Arial" w:eastAsia="Arial" w:hAnsi="Arial"/>
          <w:sz w:val="22"/>
          <w:szCs w:val="22"/>
          <w:b w:val="1"/>
          <w:bCs w:val="1"/>
          <w:i w:val="1"/>
          <w:iCs w:val="1"/>
          <w:color w:val="auto"/>
        </w:rPr>
        <w:t>PSUs</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FF0000"/>
        </w:rPr>
        <w:t>«First_Name» «Last_Name»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FF0000"/>
        </w:rPr>
        <w:t>«Grant Date»</w:t>
      </w:r>
    </w:p>
    <w:p>
      <w:pPr>
        <w:spacing w:after="0" w:line="103"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January 1, 2014 to December 31, 2016 (“</w:t>
      </w:r>
      <w:r>
        <w:rPr>
          <w:rFonts w:ascii="Arial" w:cs="Arial" w:eastAsia="Arial" w:hAnsi="Arial"/>
          <w:sz w:val="22"/>
          <w:szCs w:val="22"/>
          <w:b w:val="1"/>
          <w:bCs w:val="1"/>
          <w:i w:val="1"/>
          <w:iCs w:val="1"/>
          <w:color w:val="auto"/>
        </w:rPr>
        <w:t>Performance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Period</w:t>
      </w:r>
      <w:r>
        <w:rPr>
          <w:rFonts w:ascii="Arial" w:cs="Arial" w:eastAsia="Arial" w:hAnsi="Arial"/>
          <w:sz w:val="22"/>
          <w:szCs w:val="22"/>
          <w:color w:val="auto"/>
        </w:rPr>
        <w:t>”)</w:t>
      </w:r>
    </w:p>
    <w:p>
      <w:pPr>
        <w:spacing w:after="0" w:line="200" w:lineRule="exact"/>
        <w:rPr>
          <w:sz w:val="20"/>
          <w:szCs w:val="20"/>
          <w:color w:val="auto"/>
        </w:rPr>
      </w:pPr>
    </w:p>
    <w:p>
      <w:pPr>
        <w:spacing w:after="0" w:line="297"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Last day of the Performance Period (which shall, in no event, be prior to the second anniversary of the Grant Date).</w:t>
      </w:r>
    </w:p>
    <w:p>
      <w:pPr>
        <w:spacing w:after="0" w:line="105" w:lineRule="exact"/>
        <w:rPr>
          <w:sz w:val="20"/>
          <w:szCs w:val="20"/>
          <w:color w:val="auto"/>
        </w:rPr>
      </w:pPr>
    </w:p>
    <w:p>
      <w:pPr>
        <w:jc w:val="both"/>
        <w:ind w:right="20"/>
        <w:spacing w:after="0" w:line="248" w:lineRule="auto"/>
        <w:rPr>
          <w:sz w:val="20"/>
          <w:szCs w:val="20"/>
          <w:color w:val="auto"/>
        </w:rPr>
      </w:pPr>
      <w:r>
        <w:rPr>
          <w:rFonts w:ascii="Arial" w:cs="Arial" w:eastAsia="Arial" w:hAnsi="Arial"/>
          <w:sz w:val="21"/>
          <w:szCs w:val="21"/>
          <w:color w:val="auto"/>
        </w:rPr>
        <w:t>The actual number of PSUs that vest shall be determined based on Participant’s continued employment through the Time-Based Vesting Date and the attainment of the performance goals specified in Appendix A, as assessed by the Plan Administrator as soon as reasonably practicable after the end of the Performance Period.</w:t>
      </w:r>
    </w:p>
    <w:p>
      <w:pPr>
        <w:spacing w:after="0" w:line="17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The aggregate target number of PSUs for the Performance Period is </w:t>
      </w:r>
      <w:r>
        <w:rPr>
          <w:rFonts w:ascii="Arial" w:cs="Arial" w:eastAsia="Arial" w:hAnsi="Arial"/>
          <w:sz w:val="19"/>
          <w:szCs w:val="19"/>
          <w:color w:val="FF0000"/>
        </w:rPr>
        <w:t>«# of Units</w:t>
      </w:r>
      <w:r>
        <w:rPr>
          <w:rFonts w:ascii="Arial" w:cs="Arial" w:eastAsia="Arial" w:hAnsi="Arial"/>
          <w:sz w:val="22"/>
          <w:szCs w:val="22"/>
          <w:color w:val="auto"/>
        </w:rPr>
        <w:t xml:space="preserve">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5520" w:space="340"/>
            <w:col w:w="5560"/>
          </w:cols>
          <w:pgMar w:left="240" w:top="5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Restriction on Sale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Any Shares acquired pursuant to the Award cannot be sold prior to the second anniversary of the date the Shares are issued to you or during Closed Periods (as described in the Agreement), except in certain exceptional circumstances.</w:t>
      </w:r>
    </w:p>
    <w:p>
      <w:pPr>
        <w:sectPr>
          <w:pgSz w:w="11900" w:h="16838" w:orient="portrait"/>
          <w:cols w:equalWidth="0" w:num="2">
            <w:col w:w="5140" w:space="720"/>
            <w:col w:w="5560"/>
          </w:cols>
          <w:pgMar w:left="240" w:top="580" w:right="239" w:bottom="1440" w:gutter="0" w:footer="0" w:header="0"/>
          <w:type w:val="continuous"/>
        </w:sectPr>
      </w:pPr>
    </w:p>
    <w:bookmarkStart w:id="134" w:name="page135"/>
    <w:bookmarkEnd w:id="134"/>
    <w:p>
      <w:pPr>
        <w:jc w:val="both"/>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this Award Notice and Agreement providing for the terms and conditions of my grant, I confirm having read and understood the documents relating to this grant (the Performance Restricted Stock Unit Award Agreement, including Appendix A, the U.S. Plan, the French RSU Plan and the U.S. Plan Prospectus) which were provided to me in English language. I accept the terms of those documents accordingly.</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i w:val="1"/>
          <w:iCs w:val="1"/>
          <w:color w:val="auto"/>
        </w:rPr>
        <w:t>En acceptant la présente Notice d’Attribution et le Contrat décrivant les termes et conditions de mon attribution, je confirme ainsi avoir lu et compris les documents relatifs à cette attribution (le Contrat d’Attribution d’Actions Gratuites soumises à des Conditions de Performance, incluant l‘Annexe A, le Plan Américain, le Sous-Plan pour la France et le Prospectus Américain) qui m’ont été communiqués en langue anglaise. J’en accepte les termes en connaissance de cause.</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22"/>
          <w:szCs w:val="22"/>
          <w:color w:val="FF0000"/>
        </w:rPr>
        <w:t>«First_Name» «Last_Name»</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I accept this Award subject to the terms and conditions stated herein.</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22"/>
          <w:szCs w:val="22"/>
          <w:color w:val="FF0000"/>
        </w:rPr>
        <w:t>«Electronically Signed»</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Attachments:</w:t>
      </w:r>
    </w:p>
    <w:p>
      <w:pPr>
        <w:spacing w:after="0" w:line="54" w:lineRule="exact"/>
        <w:rPr>
          <w:sz w:val="20"/>
          <w:szCs w:val="20"/>
          <w:color w:val="auto"/>
        </w:rPr>
      </w:pPr>
    </w:p>
    <w:p>
      <w:pPr>
        <w:ind w:left="440" w:hanging="189"/>
        <w:spacing w:after="0"/>
        <w:tabs>
          <w:tab w:leader="none" w:pos="4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Long-Term Performance Restricted Stock Unit Award Agreement, including Appendix A</w:t>
      </w:r>
    </w:p>
    <w:p>
      <w:pPr>
        <w:spacing w:after="0" w:line="53" w:lineRule="exact"/>
        <w:rPr>
          <w:rFonts w:ascii="Arial" w:cs="Arial" w:eastAsia="Arial" w:hAnsi="Arial"/>
          <w:sz w:val="20"/>
          <w:szCs w:val="20"/>
          <w:color w:val="auto"/>
        </w:rPr>
      </w:pPr>
    </w:p>
    <w:p>
      <w:pPr>
        <w:ind w:left="440" w:hanging="189"/>
        <w:spacing w:after="0"/>
        <w:tabs>
          <w:tab w:leader="none" w:pos="4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U.S. Plan</w:t>
      </w:r>
    </w:p>
    <w:p>
      <w:pPr>
        <w:spacing w:after="0" w:line="53" w:lineRule="exact"/>
        <w:rPr>
          <w:rFonts w:ascii="Arial" w:cs="Arial" w:eastAsia="Arial" w:hAnsi="Arial"/>
          <w:sz w:val="20"/>
          <w:szCs w:val="20"/>
          <w:color w:val="auto"/>
        </w:rPr>
      </w:pPr>
    </w:p>
    <w:p>
      <w:pPr>
        <w:ind w:left="440" w:hanging="189"/>
        <w:spacing w:after="0"/>
        <w:tabs>
          <w:tab w:leader="none" w:pos="4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French RSU Plan</w:t>
      </w:r>
    </w:p>
    <w:p>
      <w:pPr>
        <w:spacing w:after="0" w:line="53" w:lineRule="exact"/>
        <w:rPr>
          <w:rFonts w:ascii="Arial" w:cs="Arial" w:eastAsia="Arial" w:hAnsi="Arial"/>
          <w:sz w:val="20"/>
          <w:szCs w:val="20"/>
          <w:color w:val="auto"/>
        </w:rPr>
      </w:pPr>
    </w:p>
    <w:p>
      <w:pPr>
        <w:ind w:left="440" w:hanging="189"/>
        <w:spacing w:after="0"/>
        <w:tabs>
          <w:tab w:leader="none" w:pos="4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U.S. Plan Prospectus</w:t>
      </w:r>
    </w:p>
    <w:p>
      <w:pPr>
        <w:sectPr>
          <w:pgSz w:w="11900" w:h="16838" w:orient="portrait"/>
          <w:cols w:equalWidth="0" w:num="1">
            <w:col w:w="11420"/>
          </w:cols>
          <w:pgMar w:left="240" w:top="693" w:right="239" w:bottom="1440" w:gutter="0" w:footer="0" w:header="0"/>
        </w:sectPr>
      </w:pPr>
    </w:p>
    <w:bookmarkStart w:id="135" w:name="page136"/>
    <w:bookmarkEnd w:id="135"/>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FOR PARTICIPANTS IN FRANCE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Pursuant to your Long Term Performance Restricted Stock Unit Award Notice (the “</w:t>
      </w:r>
      <w:r>
        <w:rPr>
          <w:rFonts w:ascii="Arial" w:cs="Arial" w:eastAsia="Arial" w:hAnsi="Arial"/>
          <w:sz w:val="19"/>
          <w:szCs w:val="19"/>
          <w:b w:val="1"/>
          <w:bCs w:val="1"/>
          <w:i w:val="1"/>
          <w:iCs w:val="1"/>
          <w:color w:val="auto"/>
        </w:rPr>
        <w:t>Award Notice</w:t>
      </w:r>
      <w:r>
        <w:rPr>
          <w:rFonts w:ascii="Arial" w:cs="Arial" w:eastAsia="Arial" w:hAnsi="Arial"/>
          <w:sz w:val="19"/>
          <w:szCs w:val="19"/>
          <w:color w:val="auto"/>
        </w:rPr>
        <w:t>”) and this Long Term Performance Restricted Stock Unit Award Agreement, including Appendix A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Itron,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 performance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under its Amended and Restated 2010 Stock Incentive Plan (the “</w:t>
      </w:r>
      <w:r>
        <w:rPr>
          <w:rFonts w:ascii="Arial" w:cs="Arial" w:eastAsia="Arial" w:hAnsi="Arial"/>
          <w:sz w:val="19"/>
          <w:szCs w:val="19"/>
          <w:b w:val="1"/>
          <w:bCs w:val="1"/>
          <w:i w:val="1"/>
          <w:iCs w:val="1"/>
          <w:color w:val="auto"/>
        </w:rPr>
        <w:t>U.S. Plan</w:t>
      </w:r>
      <w:r>
        <w:rPr>
          <w:rFonts w:ascii="Arial" w:cs="Arial" w:eastAsia="Arial" w:hAnsi="Arial"/>
          <w:sz w:val="19"/>
          <w:szCs w:val="19"/>
          <w:color w:val="auto"/>
        </w:rPr>
        <w:t>”) and the Rules of the Itron, Inc. Amended and Restated 2010 Stock Incentive Plan for the Grant of Restricted Stock Units to Participants in France (the “</w:t>
      </w:r>
      <w:r>
        <w:rPr>
          <w:rFonts w:ascii="Arial" w:cs="Arial" w:eastAsia="Arial" w:hAnsi="Arial"/>
          <w:sz w:val="19"/>
          <w:szCs w:val="19"/>
          <w:b w:val="1"/>
          <w:bCs w:val="1"/>
          <w:i w:val="1"/>
          <w:iCs w:val="1"/>
          <w:color w:val="auto"/>
        </w:rPr>
        <w:t>French RSU Plan</w:t>
      </w:r>
      <w:r>
        <w:rPr>
          <w:rFonts w:ascii="Arial" w:cs="Arial" w:eastAsia="Arial" w:hAnsi="Arial"/>
          <w:sz w:val="19"/>
          <w:szCs w:val="19"/>
          <w:color w:val="auto"/>
        </w:rPr>
        <w:t>” and together with the U.S.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Capitalized terms not expressly defined in this Agreement but defined in the Plan shall have the same definitions as in the Plan, as applicable.</w:t>
      </w:r>
    </w:p>
    <w:p>
      <w:pPr>
        <w:spacing w:after="0" w:line="15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Award is intended to qualify for the specific tax and social security treatment in France applicable to shares granted for no consideration under Sections L. 225-197-1 to</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 225-197-6 of the French Commercial Code, as amended. However, certain events may affect the qualified status of the Award and the Company does not make any undertaking or representation to maintain the qualified status of the Award. If the Award does not retain its qualified status, the specific tax and social security treatment will not apply and you will be required to pay your portion of social security contributions resulting from the Award.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Moreover, if you relocate to another country, any special terms and conditions applicable to restricted stock unit awards granted in such country will apply to you, to the extent the Company determines that the application of such terms and conditions is necessary or advisable for legal or administrative reasons.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addition, the Company reserves the right to impose other requirements on the Award and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Number of Units Subject to Award</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This Award is a performance-based award, the vesting of which is based both on your continued employment through the Time-Based Vesting Date and on the attainment of the performance goals set by the Plan Administrator at the beginning of the performance period set forth in the Award Notice (the “</w:t>
      </w:r>
      <w:r>
        <w:rPr>
          <w:rFonts w:ascii="Arial" w:cs="Arial" w:eastAsia="Arial" w:hAnsi="Arial"/>
          <w:sz w:val="21"/>
          <w:szCs w:val="21"/>
          <w:b w:val="1"/>
          <w:bCs w:val="1"/>
          <w:i w:val="1"/>
          <w:iCs w:val="1"/>
          <w:color w:val="auto"/>
        </w:rPr>
        <w:t>Performance Period</w:t>
      </w:r>
      <w:r>
        <w:rPr>
          <w:rFonts w:ascii="Arial" w:cs="Arial" w:eastAsia="Arial" w:hAnsi="Arial"/>
          <w:sz w:val="21"/>
          <w:szCs w:val="21"/>
          <w:color w:val="auto"/>
        </w:rPr>
        <w:t>”) and at the beginning of each Annual EPS Performance Period (as defined in Appendix A), in accordance with the requirements of Section 162(m) of the Code in the case of any Award that is intended to constitute “qualified-performance-based compensation” within the</w:t>
      </w:r>
    </w:p>
    <w:p>
      <w:pPr>
        <w:sectPr>
          <w:pgSz w:w="11900" w:h="16838" w:orient="portrait"/>
          <w:cols w:equalWidth="0" w:num="1">
            <w:col w:w="11420"/>
          </w:cols>
          <w:pgMar w:left="240" w:top="801" w:right="239" w:bottom="1440" w:gutter="0" w:footer="0" w:header="0"/>
        </w:sectPr>
      </w:pPr>
    </w:p>
    <w:bookmarkStart w:id="136" w:name="page137"/>
    <w:bookmarkEnd w:id="136"/>
    <w:p>
      <w:pPr>
        <w:jc w:val="both"/>
        <w:spacing w:after="0" w:line="253" w:lineRule="auto"/>
        <w:rPr>
          <w:sz w:val="20"/>
          <w:szCs w:val="20"/>
          <w:color w:val="auto"/>
        </w:rPr>
      </w:pPr>
      <w:r>
        <w:rPr>
          <w:rFonts w:ascii="Arial" w:cs="Arial" w:eastAsia="Arial" w:hAnsi="Arial"/>
          <w:sz w:val="22"/>
          <w:szCs w:val="22"/>
          <w:color w:val="auto"/>
        </w:rPr>
        <w:t>meaning of Section 162(m) (4)(C) of the Code. The performance goals are set forth in Appendix A (or will be communicated to you as described in Appendix A) and the aggregate target number of PSUs for the Performance Period (the “</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 is set forth in the Award Notice and in Appendix A.</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8"/>
          <w:szCs w:val="18"/>
          <w:b w:val="1"/>
          <w:bCs w:val="1"/>
          <w:color w:val="auto"/>
        </w:rPr>
        <w:t>Vesting</w:t>
      </w:r>
    </w:p>
    <w:p>
      <w:pPr>
        <w:spacing w:after="0" w:line="2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Award will vest based on your continued employment through the Time-Based Vesting Date and to the extent the performance goals set forth in Appendix A are attained for the Performance Period, as determined by the Plan Administrator. The Plan Administrator shall determine as soon as reasonably practicable, but in any event within thirty (30) days, after the end of the Performance Period, the attainment level of the performance goals.</w:t>
      </w:r>
    </w:p>
    <w:p>
      <w:pPr>
        <w:spacing w:after="0" w:line="188"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21"/>
          <w:szCs w:val="21"/>
          <w:color w:val="auto"/>
        </w:rPr>
        <w:t>One share of Common Stock will be issuable for each PSU that vests. PSUs that have vested are referred to herein as “</w:t>
      </w:r>
      <w:r>
        <w:rPr>
          <w:rFonts w:ascii="Arial" w:cs="Arial" w:eastAsia="Arial" w:hAnsi="Arial"/>
          <w:sz w:val="21"/>
          <w:szCs w:val="21"/>
          <w:b w:val="1"/>
          <w:bCs w:val="1"/>
          <w:i w:val="1"/>
          <w:iCs w:val="1"/>
          <w:color w:val="auto"/>
        </w:rPr>
        <w:t>Vested PSUs</w:t>
      </w:r>
      <w:r>
        <w:rPr>
          <w:rFonts w:ascii="Arial" w:cs="Arial" w:eastAsia="Arial" w:hAnsi="Arial"/>
          <w:sz w:val="21"/>
          <w:szCs w:val="21"/>
          <w:color w:val="auto"/>
        </w:rPr>
        <w:t>.” PSUs that have not vested and remain subject to forfeiture are referred to herein as “</w:t>
      </w:r>
      <w:r>
        <w:rPr>
          <w:rFonts w:ascii="Arial" w:cs="Arial" w:eastAsia="Arial" w:hAnsi="Arial"/>
          <w:sz w:val="21"/>
          <w:szCs w:val="21"/>
          <w:b w:val="1"/>
          <w:bCs w:val="1"/>
          <w:i w:val="1"/>
          <w:iCs w:val="1"/>
          <w:color w:val="auto"/>
        </w:rPr>
        <w:t>Unvested PSUs</w:t>
      </w:r>
      <w:r>
        <w:rPr>
          <w:rFonts w:ascii="Arial" w:cs="Arial" w:eastAsia="Arial" w:hAnsi="Arial"/>
          <w:sz w:val="21"/>
          <w:szCs w:val="21"/>
          <w:color w:val="auto"/>
        </w:rPr>
        <w:t>.” The Unvested and Vested PSUs are collectively referred to herein as the “</w:t>
      </w:r>
      <w:r>
        <w:rPr>
          <w:rFonts w:ascii="Arial" w:cs="Arial" w:eastAsia="Arial" w:hAnsi="Arial"/>
          <w:sz w:val="21"/>
          <w:szCs w:val="21"/>
          <w:b w:val="1"/>
          <w:bCs w:val="1"/>
          <w:i w:val="1"/>
          <w:iCs w:val="1"/>
          <w:color w:val="auto"/>
        </w:rPr>
        <w:t>PSUs</w:t>
      </w:r>
      <w:r>
        <w:rPr>
          <w:rFonts w:ascii="Arial" w:cs="Arial" w:eastAsia="Arial" w:hAnsi="Arial"/>
          <w:sz w:val="21"/>
          <w:szCs w:val="21"/>
          <w:color w:val="auto"/>
        </w:rPr>
        <w:t>.” Except as provided in Section 3 below, the Award will terminate and the Unvested PSUs will be forfeited upon termination of your employment for any reason.</w:t>
      </w:r>
    </w:p>
    <w:p>
      <w:pPr>
        <w:spacing w:after="0" w:line="170" w:lineRule="exact"/>
        <w:rPr>
          <w:sz w:val="20"/>
          <w:szCs w:val="20"/>
          <w:color w:val="auto"/>
        </w:rPr>
      </w:pPr>
    </w:p>
    <w:p>
      <w:pPr>
        <w:ind w:left="660" w:right="5460" w:hanging="652"/>
        <w:spacing w:after="0" w:line="464" w:lineRule="auto"/>
        <w:tabs>
          <w:tab w:leader="none" w:pos="354"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Change in Control Transaction 3.1 Death and Disability</w:t>
      </w:r>
    </w:p>
    <w:p>
      <w:pPr>
        <w:jc w:val="both"/>
        <w:ind w:firstLine="648"/>
        <w:spacing w:after="0" w:line="247" w:lineRule="auto"/>
        <w:rPr>
          <w:sz w:val="20"/>
          <w:szCs w:val="20"/>
          <w:color w:val="auto"/>
        </w:rPr>
      </w:pPr>
      <w:r>
        <w:rPr>
          <w:rFonts w:ascii="Arial" w:cs="Arial" w:eastAsia="Arial" w:hAnsi="Arial"/>
          <w:sz w:val="22"/>
          <w:szCs w:val="22"/>
          <w:color w:val="auto"/>
        </w:rPr>
        <w:t>If your employment terminates during the Performance Period by reason of death, the number of PSUs that vest based on the actual attainment of the performance goals as assessed after the end of the Performance Period and such PSUs shall be settled in accordance with Section 4 below. The Company will issue the Shares subject to such PSUs to your heirs in the year following the end of the Performance Period, provided they contact the Company to request the issuance of the Shares within six (6) months following your death. If your heirs do not request the issuance of the Shares within six (6) months of your death, all of the PSUs will be forfeited to the Company.</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If your employment terminates during a Performance Period by reason of Disability (as defined in the French RSU Plan), you will become eligible to receive that number of PSUs that vest based on the actual attainment of the performance goals as assessed after the end of the corresponding Performance Period and such PSUs shall be settled in accordance with Section 4 below.</w:t>
      </w:r>
    </w:p>
    <w:p>
      <w:pPr>
        <w:spacing w:after="0" w:line="12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Change in Control Transaction</w:t>
      </w:r>
    </w:p>
    <w:p>
      <w:pPr>
        <w:spacing w:after="0" w:line="239" w:lineRule="exact"/>
        <w:rPr>
          <w:sz w:val="20"/>
          <w:szCs w:val="20"/>
          <w:color w:val="auto"/>
        </w:rPr>
      </w:pPr>
    </w:p>
    <w:p>
      <w:pPr>
        <w:jc w:val="both"/>
        <w:ind w:firstLine="1305"/>
        <w:spacing w:after="0" w:line="260" w:lineRule="auto"/>
        <w:tabs>
          <w:tab w:leader="none" w:pos="175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In the event of a Change in Control Transaction, the PSUs will be subject to any change in control severance 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party to a CIC Agreement, the provisions of this Section 3.2 shall apply.</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76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In the event of a Change in Control Transaction in which (i) the Unvested PSUs are not assumed, substituted for, or converted into an award of the acquiring or surviving corporation (or a publicly-traded parent thereof) in a manner which prevents dilution of your rights under the Award or (ii) the acquiring or surviving corporation (or parent thereof) is not publicly-traded, the</w:t>
      </w:r>
    </w:p>
    <w:p>
      <w:pPr>
        <w:sectPr>
          <w:pgSz w:w="11900" w:h="16838" w:orient="portrait"/>
          <w:cols w:equalWidth="0" w:num="1">
            <w:col w:w="11420"/>
          </w:cols>
          <w:pgMar w:left="240" w:top="591" w:right="239" w:bottom="1440" w:gutter="0" w:footer="0" w:header="0"/>
        </w:sectPr>
      </w:pPr>
    </w:p>
    <w:bookmarkStart w:id="137" w:name="page138"/>
    <w:bookmarkEnd w:id="137"/>
    <w:p>
      <w:pPr>
        <w:jc w:val="both"/>
        <w:spacing w:after="0" w:line="297" w:lineRule="auto"/>
        <w:rPr>
          <w:sz w:val="20"/>
          <w:szCs w:val="20"/>
          <w:color w:val="auto"/>
        </w:rPr>
      </w:pPr>
      <w:r>
        <w:rPr>
          <w:rFonts w:ascii="Arial" w:cs="Arial" w:eastAsia="Arial" w:hAnsi="Arial"/>
          <w:sz w:val="19"/>
          <w:szCs w:val="19"/>
          <w:color w:val="auto"/>
        </w:rPr>
        <w:t>Unvested PSUs shall vest with respect to a number of PSUs equal to the greater of the (A) number of Target PSUs or (B) the number of PSUs based on the actual level of performance attained for the year in which the Change in Control Transaction occurs (as determined by the Board if the Board concludes that such performance may be determined as of the date of the Change in Control Transaction). Any PSUs that vest pursuant to this Section 3.2 (b) shall be paid out pro-rata, in accordance with Section 4 hereof, based on the portion of the Performance Period that has elapsed as of the date of the Change in Control Transaction.</w:t>
      </w:r>
    </w:p>
    <w:p>
      <w:pPr>
        <w:spacing w:after="0" w:line="147" w:lineRule="exact"/>
        <w:rPr>
          <w:sz w:val="20"/>
          <w:szCs w:val="20"/>
          <w:color w:val="auto"/>
        </w:rPr>
      </w:pPr>
    </w:p>
    <w:p>
      <w:pPr>
        <w:jc w:val="both"/>
        <w:ind w:firstLine="1305"/>
        <w:spacing w:after="0" w:line="291" w:lineRule="auto"/>
        <w:tabs>
          <w:tab w:leader="none" w:pos="174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your Unvested PSUs are assumed, substituted for, or converted into an award of the acquiring or surviving public corporation (or a publicly-traded parent thereof) and your employment is terminated within twenty-four (24) months following such Change in Control Transaction and prior to settlement of the PSUs, other than (i) by the Company for Cause, (ii) by reason of death or Disability (which shall be governed by Section 3.1), or (iii) by you without Good Reason, the Unvested PSUs shall vest with respect to a number of PSUs equal to the greater of the (A) Target Number of PSUs or (B) the number of PSUs based on the actual level of performance attained for the year in which your termination occurs (as determined by the Board if the Board concludes that such performance may be determined as of the date of your termination). Any PSUs that vest pursuant to this Section 3.2(c) shall be paid out pro-rata, in accordance with Section 4, based on the portion of the Performance Period that has elapsed as of the date of your termination of employment.</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75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the event of a Change in Control Transaction triggering the provisions set forth in Sections 3.2(a), 3.2(b) or 3.2(c), the Award may not retain its qualified status in which case the specific tax and social security treatment applicable to qualified awards will not apply.</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Definitions - For purposes of this Section 3.2, the following capitalized terms shall have the meanings set forth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below:</w:t>
      </w:r>
    </w:p>
    <w:p>
      <w:pPr>
        <w:spacing w:after="0" w:line="215" w:lineRule="exact"/>
        <w:rPr>
          <w:rFonts w:ascii="Arial" w:cs="Arial" w:eastAsia="Arial" w:hAnsi="Arial"/>
          <w:sz w:val="19"/>
          <w:szCs w:val="19"/>
          <w:color w:val="auto"/>
        </w:rPr>
      </w:pPr>
    </w:p>
    <w:p>
      <w:pPr>
        <w:jc w:val="both"/>
        <w:ind w:firstLine="1953"/>
        <w:spacing w:after="0" w:line="260" w:lineRule="auto"/>
        <w:tabs>
          <w:tab w:leader="none" w:pos="2329"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77" w:lineRule="exact"/>
        <w:rPr>
          <w:rFonts w:ascii="Arial" w:cs="Arial" w:eastAsia="Arial" w:hAnsi="Arial"/>
          <w:sz w:val="22"/>
          <w:szCs w:val="22"/>
          <w:color w:val="auto"/>
        </w:rPr>
      </w:pPr>
    </w:p>
    <w:p>
      <w:pPr>
        <w:ind w:left="2400" w:hanging="447"/>
        <w:spacing w:after="0" w:line="253" w:lineRule="exact"/>
        <w:tabs>
          <w:tab w:leader="none" w:pos="240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pacing w:after="0" w:line="233" w:lineRule="exact"/>
        <w:rPr>
          <w:rFonts w:ascii="Arial" w:cs="Arial" w:eastAsia="Arial" w:hAnsi="Arial"/>
          <w:sz w:val="22"/>
          <w:szCs w:val="22"/>
          <w:color w:val="auto"/>
        </w:rPr>
      </w:pPr>
    </w:p>
    <w:p>
      <w:pPr>
        <w:jc w:val="both"/>
        <w:ind w:firstLine="1953"/>
        <w:spacing w:after="0" w:line="292" w:lineRule="auto"/>
        <w:tabs>
          <w:tab w:leader="none" w:pos="2543" w:val="left"/>
        </w:tabs>
        <w:numPr>
          <w:ilvl w:val="1"/>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your employment by the Company or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shall mean (A) your willful and continued failure (other than any such failure resulting from (1) your incapacity due to physical or mental illness, (2) any such actual or anticipated failure after the issuance of a notice of termination in a form prescribed by the Company by you for Good Reason or (3)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(B) your conviction by a court of competent jurisdiction for felony criminal conduct (or the equivalent under applicable local law); or</w:t>
      </w:r>
    </w:p>
    <w:p>
      <w:pPr>
        <w:sectPr>
          <w:pgSz w:w="11900" w:h="16838" w:orient="portrait"/>
          <w:cols w:equalWidth="0" w:num="1">
            <w:col w:w="11420"/>
          </w:cols>
          <w:pgMar w:left="240" w:top="591" w:right="239" w:bottom="1440" w:gutter="0" w:footer="0" w:header="0"/>
        </w:sectPr>
      </w:pPr>
    </w:p>
    <w:bookmarkStart w:id="138" w:name="page139"/>
    <w:bookmarkEnd w:id="138"/>
    <w:p>
      <w:pPr>
        <w:jc w:val="both"/>
        <w:ind w:firstLine="8"/>
        <w:spacing w:after="0" w:line="250" w:lineRule="auto"/>
        <w:tabs>
          <w:tab w:leader="none" w:pos="39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88" w:lineRule="exact"/>
        <w:rPr>
          <w:rFonts w:ascii="Arial" w:cs="Arial" w:eastAsia="Arial" w:hAnsi="Arial"/>
          <w:sz w:val="22"/>
          <w:szCs w:val="22"/>
          <w:color w:val="auto"/>
        </w:rPr>
      </w:pPr>
    </w:p>
    <w:p>
      <w:pPr>
        <w:jc w:val="both"/>
        <w:ind w:firstLine="1953"/>
        <w:spacing w:after="0" w:line="251" w:lineRule="auto"/>
        <w:tabs>
          <w:tab w:leader="none" w:pos="2477" w:val="left"/>
        </w:tabs>
        <w:numPr>
          <w:ilvl w:val="1"/>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(A), (B), (C), (D) or (E) below, such act or failure to act is corrected prior to the date of your termination specified in a notice of termination in a form prescribed by the Company given in respect thereof:</w:t>
      </w:r>
    </w:p>
    <w:p>
      <w:pPr>
        <w:spacing w:after="0" w:line="189" w:lineRule="exact"/>
        <w:rPr>
          <w:rFonts w:ascii="Arial" w:cs="Arial" w:eastAsia="Arial" w:hAnsi="Arial"/>
          <w:sz w:val="22"/>
          <w:szCs w:val="22"/>
          <w:color w:val="auto"/>
        </w:rPr>
      </w:pPr>
    </w:p>
    <w:p>
      <w:pPr>
        <w:jc w:val="both"/>
        <w:ind w:firstLine="2601"/>
        <w:spacing w:after="0" w:line="300" w:lineRule="auto"/>
        <w:tabs>
          <w:tab w:leader="none" w:pos="3073" w:val="left"/>
        </w:tabs>
        <w:numPr>
          <w:ilvl w:val="2"/>
          <w:numId w:val="112"/>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3060" w:hanging="459"/>
        <w:spacing w:after="0"/>
        <w:tabs>
          <w:tab w:leader="none" w:pos="3060" w:val="left"/>
        </w:tabs>
        <w:numPr>
          <w:ilvl w:val="2"/>
          <w:numId w:val="112"/>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33" w:lineRule="exact"/>
        <w:rPr>
          <w:rFonts w:ascii="Arial" w:cs="Arial" w:eastAsia="Arial" w:hAnsi="Arial"/>
          <w:sz w:val="22"/>
          <w:szCs w:val="22"/>
          <w:color w:val="auto"/>
        </w:rPr>
      </w:pPr>
    </w:p>
    <w:p>
      <w:pPr>
        <w:ind w:firstLine="2601"/>
        <w:spacing w:after="0" w:line="276" w:lineRule="auto"/>
        <w:tabs>
          <w:tab w:leader="none" w:pos="3061" w:val="left"/>
        </w:tabs>
        <w:numPr>
          <w:ilvl w:val="2"/>
          <w:numId w:val="112"/>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160" w:lineRule="exact"/>
        <w:rPr>
          <w:rFonts w:ascii="Arial" w:cs="Arial" w:eastAsia="Arial" w:hAnsi="Arial"/>
          <w:sz w:val="22"/>
          <w:szCs w:val="22"/>
          <w:color w:val="auto"/>
        </w:rPr>
      </w:pPr>
    </w:p>
    <w:p>
      <w:pPr>
        <w:ind w:firstLine="2601"/>
        <w:spacing w:after="0" w:line="301" w:lineRule="auto"/>
        <w:tabs>
          <w:tab w:leader="none" w:pos="3127" w:val="left"/>
        </w:tabs>
        <w:numPr>
          <w:ilvl w:val="2"/>
          <w:numId w:val="112"/>
        </w:numPr>
        <w:rPr>
          <w:rFonts w:ascii="Arial" w:cs="Arial" w:eastAsia="Arial" w:hAnsi="Arial"/>
          <w:sz w:val="21"/>
          <w:szCs w:val="21"/>
          <w:color w:val="auto"/>
        </w:rPr>
      </w:pPr>
      <w:r>
        <w:rPr>
          <w:rFonts w:ascii="Arial" w:cs="Arial" w:eastAsia="Arial" w:hAnsi="Arial"/>
          <w:sz w:val="21"/>
          <w:szCs w:val="21"/>
          <w:color w:val="auto"/>
        </w:rPr>
        <w:t>the failure to continue provide welfare, pension and fringe benefits which are in each case, in the aggregate, substantially similar to those provided to you immediately prior to Change in Control Transaction;</w:t>
      </w:r>
    </w:p>
    <w:p>
      <w:pPr>
        <w:spacing w:after="0" w:line="137" w:lineRule="exact"/>
        <w:rPr>
          <w:rFonts w:ascii="Arial" w:cs="Arial" w:eastAsia="Arial" w:hAnsi="Arial"/>
          <w:sz w:val="21"/>
          <w:szCs w:val="21"/>
          <w:color w:val="auto"/>
        </w:rPr>
      </w:pPr>
    </w:p>
    <w:p>
      <w:pPr>
        <w:jc w:val="both"/>
        <w:ind w:firstLine="2601"/>
        <w:spacing w:after="0" w:line="254" w:lineRule="auto"/>
        <w:tabs>
          <w:tab w:leader="none" w:pos="3116" w:val="left"/>
        </w:tabs>
        <w:numPr>
          <w:ilvl w:val="2"/>
          <w:numId w:val="112"/>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or</w:t>
      </w:r>
    </w:p>
    <w:p>
      <w:pPr>
        <w:spacing w:after="0" w:line="185" w:lineRule="exact"/>
        <w:rPr>
          <w:sz w:val="20"/>
          <w:szCs w:val="20"/>
          <w:color w:val="auto"/>
        </w:rPr>
      </w:pPr>
    </w:p>
    <w:p>
      <w:pPr>
        <w:jc w:val="both"/>
        <w:ind w:firstLine="1945"/>
        <w:spacing w:after="0" w:line="290" w:lineRule="auto"/>
        <w:rPr>
          <w:sz w:val="20"/>
          <w:szCs w:val="20"/>
          <w:color w:val="auto"/>
        </w:rPr>
      </w:pPr>
      <w:r>
        <w:rPr>
          <w:rFonts w:ascii="Arial" w:cs="Arial" w:eastAsia="Arial" w:hAnsi="Arial"/>
          <w:sz w:val="19"/>
          <w:szCs w:val="19"/>
          <w:color w:val="auto"/>
        </w:rPr>
        <w:t>Notwithstanding the foregoing, the events described in clauses (B), (C) or (D)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w:t>
      </w:r>
    </w:p>
    <w:p>
      <w:pPr>
        <w:sectPr>
          <w:pgSz w:w="11900" w:h="16838" w:orient="portrait"/>
          <w:cols w:equalWidth="0" w:num="1">
            <w:col w:w="11420"/>
          </w:cols>
          <w:pgMar w:left="240" w:top="591" w:right="239" w:bottom="1440" w:gutter="0" w:footer="0" w:header="0"/>
        </w:sectPr>
      </w:pPr>
    </w:p>
    <w:bookmarkStart w:id="139" w:name="page140"/>
    <w:bookmarkEnd w:id="139"/>
    <w:p>
      <w:pPr>
        <w:ind w:right="20"/>
        <w:spacing w:after="0" w:line="263" w:lineRule="auto"/>
        <w:rPr>
          <w:sz w:val="20"/>
          <w:szCs w:val="20"/>
          <w:color w:val="auto"/>
        </w:rPr>
      </w:pPr>
      <w:r>
        <w:rPr>
          <w:rFonts w:ascii="Arial" w:cs="Arial" w:eastAsia="Arial" w:hAnsi="Arial"/>
          <w:sz w:val="22"/>
          <w:szCs w:val="22"/>
          <w:color w:val="auto"/>
        </w:rPr>
        <w:t>employment shall not constitute consent to, or a waiver of rights with respect to, any act or failure to act constituting Good Reason hereunder.</w:t>
      </w:r>
    </w:p>
    <w:p>
      <w:pPr>
        <w:spacing w:after="0" w:line="175" w:lineRule="exact"/>
        <w:rPr>
          <w:sz w:val="20"/>
          <w:szCs w:val="20"/>
          <w:color w:val="auto"/>
        </w:rPr>
      </w:pPr>
    </w:p>
    <w:p>
      <w:pPr>
        <w:jc w:val="both"/>
        <w:ind w:firstLine="1953"/>
        <w:spacing w:after="0" w:line="300" w:lineRule="auto"/>
        <w:tabs>
          <w:tab w:leader="none" w:pos="239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of such securities or (D) a corporation owned, directly or indirectly, by the stockholders of the Company in substantially the same proportions as their ownership of stock of the Company.</w:t>
      </w:r>
    </w:p>
    <w:p>
      <w:pPr>
        <w:spacing w:after="0" w:line="141" w:lineRule="exact"/>
        <w:rPr>
          <w:rFonts w:ascii="Arial" w:cs="Arial" w:eastAsia="Arial" w:hAnsi="Arial"/>
          <w:sz w:val="19"/>
          <w:szCs w:val="19"/>
          <w:color w:val="auto"/>
        </w:rPr>
      </w:pPr>
    </w:p>
    <w:p>
      <w:pPr>
        <w:ind w:left="360" w:hanging="352"/>
        <w:spacing w:after="0"/>
        <w:tabs>
          <w:tab w:leader="none" w:pos="3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PSUs.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Vested PSUs shall be settled on the earliest to occur of (a) a date within 60 days following the end of the Performance Period, (b) a date within 30 days following the termination of your employment (i) due to death or Disability pursuant to Section 3.1 above or (ii) following a Change in Control Transaction pursuant to Section 3.2(c) above, or (c) the date of a Change in Control Transaction pursuant to Section 3.2(b) above that constitutes a “change in control event” within the meaning of U.S. Treasury Regulation Section 1.409A-3(i)(5).</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Securities Law Compliance</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ectPr>
          <w:pgSz w:w="11900" w:h="16838" w:orient="portrait"/>
          <w:cols w:equalWidth="0" w:num="1">
            <w:col w:w="11420"/>
          </w:cols>
          <w:pgMar w:left="240" w:top="591" w:right="239" w:bottom="1440" w:gutter="0" w:footer="0" w:header="0"/>
        </w:sectPr>
      </w:pPr>
    </w:p>
    <w:bookmarkStart w:id="140" w:name="page141"/>
    <w:bookmarkEnd w:id="140"/>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Transfer Restrictions</w:t>
      </w:r>
    </w:p>
    <w:p>
      <w:pPr>
        <w:spacing w:after="0" w:line="239"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PSUs shall not be sold, transferred, assigned, encumbered, pledged or otherwise disposed of, whether voluntarily or by operation of law.</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Holding Period</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You are required to hold the Shares issued pursuant to the vesting of the PSUs for two years as measured from the date the Shares are issued to you in accordance to Section 4 above or such other period as is required to comply with the minimum mandatory holding period applicable to Shares underlying French-qualified Restricted Stock Units (the “</w:t>
      </w:r>
      <w:r>
        <w:rPr>
          <w:rFonts w:ascii="Arial" w:cs="Arial" w:eastAsia="Arial" w:hAnsi="Arial"/>
          <w:sz w:val="21"/>
          <w:szCs w:val="21"/>
          <w:b w:val="1"/>
          <w:bCs w:val="1"/>
          <w:i w:val="1"/>
          <w:iCs w:val="1"/>
          <w:color w:val="auto"/>
        </w:rPr>
        <w:t>Holding Period</w:t>
      </w:r>
      <w:r>
        <w:rPr>
          <w:rFonts w:ascii="Arial" w:cs="Arial" w:eastAsia="Arial" w:hAnsi="Arial"/>
          <w:sz w:val="21"/>
          <w:szCs w:val="21"/>
          <w:color w:val="auto"/>
        </w:rPr>
        <w:t>”) in order to benefit from the specific French tax and social insurance contributions regime, even if you are no longer an employee or corporate officer, as applicable, of a French Entity or otherwise employed by the Company or a Subsidiary, if applicable. As from the end of the Holding Period, the corresponding Shares shall be freely transferable, subject to applicable legal and regulatory provisions in force and in particular to the provisions of Section 6.2 below.</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This Holding Period requirement shall not apply to your heirs should they acquire Shares under the Plan pursuant to Section 3.1 above nor shall it apply if you terminate employment due to Disability (as defined in the French RSU Plan).</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Closed Period</w:t>
      </w:r>
    </w:p>
    <w:p>
      <w:pPr>
        <w:spacing w:after="0" w:line="23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As long as the Award and the Shares issued upon settlement of the vested PSUs maintain their qualified status and to the extent such restriction is applicable under French law, the Shares may not be sold during a Closed Period which currently includes: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Ten quotation days preceding and three quotation days following the disclosure to the public of the consolidated financial statements or the annual statements of the Company; and</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period during which the corporate management of the Company possesses material information which could, if disclosed to the public, significantly impact the quotation of the Shares, until ten quotation days after the day such information is disclosed to the public. This Closed Period restriction shall not apply to your heirs should they acquire Shares under the Plan pursuant to Section 3.1 above nor shall it apply if you terminate employment due to Disability (as defined in the French RSU Plan).</w:t>
      </w:r>
    </w:p>
    <w:p>
      <w:pPr>
        <w:sectPr>
          <w:pgSz w:w="11900" w:h="16838" w:orient="portrait"/>
          <w:cols w:equalWidth="0" w:num="1">
            <w:col w:w="11420"/>
          </w:cols>
          <w:pgMar w:left="240" w:top="585" w:right="239" w:bottom="1440" w:gutter="0" w:footer="0" w:header="0"/>
        </w:sectPr>
      </w:pPr>
    </w:p>
    <w:bookmarkStart w:id="141" w:name="page142"/>
    <w:bookmarkEnd w:id="141"/>
    <w:p>
      <w:pPr>
        <w:ind w:left="660"/>
        <w:spacing w:after="0"/>
        <w:tabs>
          <w:tab w:leader="none" w:pos="10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Shareholding Restrictions</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you qualify as a managing corporate officer (</w:t>
      </w:r>
      <w:r>
        <w:rPr>
          <w:rFonts w:ascii="Arial" w:cs="Arial" w:eastAsia="Arial" w:hAnsi="Arial"/>
          <w:sz w:val="22"/>
          <w:szCs w:val="22"/>
          <w:i w:val="1"/>
          <w:iCs w:val="1"/>
          <w:color w:val="auto"/>
        </w:rPr>
        <w:t>i.e.,</w:t>
      </w:r>
      <w:r>
        <w:rPr>
          <w:rFonts w:ascii="Arial" w:cs="Arial" w:eastAsia="Arial" w:hAnsi="Arial"/>
          <w:sz w:val="22"/>
          <w:szCs w:val="22"/>
          <w:color w:val="auto"/>
        </w:rPr>
        <w:t xml:space="preserve"> “</w:t>
      </w:r>
      <w:r>
        <w:rPr>
          <w:rFonts w:ascii="Arial" w:cs="Arial" w:eastAsia="Arial" w:hAnsi="Arial"/>
          <w:sz w:val="22"/>
          <w:szCs w:val="22"/>
          <w:i w:val="1"/>
          <w:iCs w:val="1"/>
          <w:color w:val="auto"/>
        </w:rPr>
        <w:t>mandataires sociaux</w:t>
      </w:r>
      <w:r>
        <w:rPr>
          <w:rFonts w:ascii="Arial" w:cs="Arial" w:eastAsia="Arial" w:hAnsi="Arial"/>
          <w:sz w:val="22"/>
          <w:szCs w:val="22"/>
          <w:color w:val="auto"/>
        </w:rPr>
        <w:t xml:space="preserve">,” </w:t>
      </w:r>
      <w:r>
        <w:rPr>
          <w:rFonts w:ascii="Arial" w:cs="Arial" w:eastAsia="Arial" w:hAnsi="Arial"/>
          <w:sz w:val="22"/>
          <w:szCs w:val="22"/>
          <w:i w:val="1"/>
          <w:iCs w:val="1"/>
          <w:color w:val="auto"/>
        </w:rPr>
        <w:t>Président du Conseil d’Administration,</w:t>
      </w:r>
      <w:r>
        <w:rPr>
          <w:rFonts w:ascii="Arial" w:cs="Arial" w:eastAsia="Arial" w:hAnsi="Arial"/>
          <w:sz w:val="22"/>
          <w:szCs w:val="22"/>
          <w:color w:val="auto"/>
        </w:rPr>
        <w:t xml:space="preserve"> </w:t>
      </w:r>
      <w:r>
        <w:rPr>
          <w:rFonts w:ascii="Arial" w:cs="Arial" w:eastAsia="Arial" w:hAnsi="Arial"/>
          <w:sz w:val="22"/>
          <w:szCs w:val="22"/>
          <w:i w:val="1"/>
          <w:iCs w:val="1"/>
          <w:color w:val="auto"/>
        </w:rPr>
        <w:t>Directeur Général, Directeur Général Délégué, Membre du Directoire, Gérant de Sociétés par actions</w:t>
      </w:r>
      <w:r>
        <w:rPr>
          <w:rFonts w:ascii="Arial" w:cs="Arial" w:eastAsia="Arial" w:hAnsi="Arial"/>
          <w:sz w:val="22"/>
          <w:szCs w:val="22"/>
          <w:color w:val="auto"/>
        </w:rPr>
        <w:t>) or have a comparable</w:t>
      </w:r>
      <w:r>
        <w:rPr>
          <w:rFonts w:ascii="Arial" w:cs="Arial" w:eastAsia="Arial" w:hAnsi="Arial"/>
          <w:sz w:val="22"/>
          <w:szCs w:val="22"/>
          <w:i w:val="1"/>
          <w:iCs w:val="1"/>
          <w:color w:val="auto"/>
        </w:rPr>
        <w:t xml:space="preserve"> </w:t>
      </w:r>
      <w:r>
        <w:rPr>
          <w:rFonts w:ascii="Arial" w:cs="Arial" w:eastAsia="Arial" w:hAnsi="Arial"/>
          <w:sz w:val="22"/>
          <w:szCs w:val="22"/>
          <w:color w:val="auto"/>
        </w:rPr>
        <w:t>position in any other company within the Company group, and if the Award is granted to you in such capacity, you are subject to shareholding restrictions and you must hold 20% of the Shares issued upon vesting of the PSUs and not sell such Shares until you cease to serve as a managing corporate officer of the Company (or cease to have a comparable position as described herein), if required under French law.</w:t>
      </w:r>
    </w:p>
    <w:p>
      <w:pPr>
        <w:spacing w:after="0" w:line="188"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No Rights as Shareholder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 shall not have voting or other rights as a shareholder of the Company with respect to the PSUs.</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Book Entry Registration of Shares</w:t>
      </w:r>
    </w:p>
    <w:p>
      <w:pPr>
        <w:spacing w:after="0" w:line="23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Responsibility for Taxes</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9.1 </w:t>
      </w:r>
      <w:r>
        <w:rPr>
          <w:rFonts w:ascii="Arial" w:cs="Arial" w:eastAsia="Arial" w:hAnsi="Arial"/>
          <w:sz w:val="21"/>
          <w:szCs w:val="21"/>
          <w:color w:val="auto"/>
        </w:rPr>
        <w:t>Regardless of any action the Company or your employer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take with respect to any and all income tax,</w:t>
      </w:r>
      <w:r>
        <w:rPr>
          <w:rFonts w:ascii="Arial" w:cs="Arial" w:eastAsia="Arial" w:hAnsi="Arial"/>
          <w:sz w:val="21"/>
          <w:szCs w:val="21"/>
          <w:b w:val="1"/>
          <w:bCs w:val="1"/>
          <w:color w:val="auto"/>
        </w:rPr>
        <w:t xml:space="preserve"> </w:t>
      </w:r>
      <w:r>
        <w:rPr>
          <w:rFonts w:ascii="Arial" w:cs="Arial" w:eastAsia="Arial" w:hAnsi="Arial"/>
          <w:sz w:val="21"/>
          <w:szCs w:val="21"/>
          <w:color w:val="auto"/>
        </w:rPr>
        <w:t>social insurance, payroll tax, fringe benefits tax, payment on account or other tax-related items related to your participation in the Plan and legally applicable to you (“</w:t>
      </w:r>
      <w:r>
        <w:rPr>
          <w:rFonts w:ascii="Arial" w:cs="Arial" w:eastAsia="Arial" w:hAnsi="Arial"/>
          <w:sz w:val="21"/>
          <w:szCs w:val="21"/>
          <w:b w:val="1"/>
          <w:bCs w:val="1"/>
          <w:i w:val="1"/>
          <w:iCs w:val="1"/>
          <w:color w:val="auto"/>
        </w:rPr>
        <w:t>Tax-Related Items</w:t>
      </w:r>
      <w:r>
        <w:rPr>
          <w:rFonts w:ascii="Arial" w:cs="Arial" w:eastAsia="Arial" w:hAnsi="Arial"/>
          <w:sz w:val="21"/>
          <w:szCs w:val="21"/>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PSUs, the issuance of Shares upon settlement of the Vested PSUs, the subsequent sale of Shares acquired upon settlement of the Vested PSUs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ectPr>
          <w:pgSz w:w="11900" w:h="16838" w:orient="portrait"/>
          <w:cols w:equalWidth="0" w:num="1">
            <w:col w:w="11420"/>
          </w:cols>
          <w:pgMar w:left="240" w:top="585" w:right="239" w:bottom="1440" w:gutter="0" w:footer="0" w:header="0"/>
        </w:sectPr>
      </w:pPr>
    </w:p>
    <w:bookmarkStart w:id="142" w:name="page143"/>
    <w:bookmarkEnd w:id="142"/>
    <w:p>
      <w:pPr>
        <w:ind w:left="-656" w:right="20" w:firstLine="656"/>
        <w:spacing w:after="0" w:line="276" w:lineRule="auto"/>
        <w:tabs>
          <w:tab w:leader="none" w:pos="42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this regard, you hereby irrevocably appoint Fidelity or any stock plan service provider or brokerage firm designated by the Company for such purpose (the “</w:t>
      </w:r>
      <w:r>
        <w:rPr>
          <w:rFonts w:ascii="Arial" w:cs="Arial" w:eastAsia="Arial" w:hAnsi="Arial"/>
          <w:sz w:val="22"/>
          <w:szCs w:val="22"/>
          <w:b w:val="1"/>
          <w:bCs w:val="1"/>
          <w:i w:val="1"/>
          <w:iCs w:val="1"/>
          <w:color w:val="auto"/>
        </w:rPr>
        <w:t>Agent</w:t>
      </w:r>
      <w:r>
        <w:rPr>
          <w:rFonts w:ascii="Arial" w:cs="Arial" w:eastAsia="Arial" w:hAnsi="Arial"/>
          <w:sz w:val="22"/>
          <w:szCs w:val="22"/>
          <w:color w:val="auto"/>
        </w:rPr>
        <w:t>”) as your Agent, and authorize the Agent, to:</w:t>
      </w:r>
    </w:p>
    <w:p>
      <w:pPr>
        <w:spacing w:after="0" w:line="160" w:lineRule="exact"/>
        <w:rPr>
          <w:rFonts w:ascii="Arial" w:cs="Arial" w:eastAsia="Arial" w:hAnsi="Arial"/>
          <w:sz w:val="22"/>
          <w:szCs w:val="22"/>
          <w:color w:val="auto"/>
        </w:rPr>
      </w:pPr>
    </w:p>
    <w:p>
      <w:pPr>
        <w:jc w:val="both"/>
        <w:ind w:left="1304" w:hanging="655"/>
        <w:spacing w:after="0" w:line="250" w:lineRule="auto"/>
        <w:tabs>
          <w:tab w:leader="none" w:pos="1304" w:val="left"/>
        </w:tabs>
        <w:numPr>
          <w:ilvl w:val="1"/>
          <w:numId w:val="115"/>
        </w:numPr>
        <w:rPr>
          <w:rFonts w:ascii="Arial" w:cs="Arial" w:eastAsia="Arial" w:hAnsi="Arial"/>
          <w:sz w:val="22"/>
          <w:szCs w:val="22"/>
          <w:color w:val="auto"/>
        </w:rPr>
      </w:pPr>
      <w:r>
        <w:rPr>
          <w:rFonts w:ascii="Arial" w:cs="Arial" w:eastAsia="Arial" w:hAnsi="Arial"/>
          <w:sz w:val="22"/>
          <w:szCs w:val="22"/>
          <w:color w:val="auto"/>
        </w:rPr>
        <w:t>Sell on the open market at the then prevailing market price(s), on your behalf, as soon as practicable on or after the settlement date for any Vested Unit, a number of Shares (rounded up to the next whole number) sufficient to generate proceeds to cover the Tax-Related Items and all applicable fees and commissions due to, or required to be collected by, the Agent;</w:t>
      </w:r>
    </w:p>
    <w:p>
      <w:pPr>
        <w:spacing w:after="0" w:line="188" w:lineRule="exact"/>
        <w:rPr>
          <w:rFonts w:ascii="Arial" w:cs="Arial" w:eastAsia="Arial" w:hAnsi="Arial"/>
          <w:sz w:val="22"/>
          <w:szCs w:val="22"/>
          <w:color w:val="auto"/>
        </w:rPr>
      </w:pPr>
    </w:p>
    <w:p>
      <w:pPr>
        <w:ind w:left="1304" w:hanging="655"/>
        <w:spacing w:after="0"/>
        <w:tabs>
          <w:tab w:leader="none" w:pos="1304" w:val="left"/>
        </w:tabs>
        <w:numPr>
          <w:ilvl w:val="1"/>
          <w:numId w:val="115"/>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19" w:lineRule="exact"/>
        <w:rPr>
          <w:rFonts w:ascii="Arial" w:cs="Arial" w:eastAsia="Arial" w:hAnsi="Arial"/>
          <w:sz w:val="22"/>
          <w:szCs w:val="22"/>
          <w:color w:val="auto"/>
        </w:rPr>
      </w:pPr>
    </w:p>
    <w:p>
      <w:pPr>
        <w:ind w:left="1304" w:right="20" w:hanging="655"/>
        <w:spacing w:after="0" w:line="287" w:lineRule="auto"/>
        <w:tabs>
          <w:tab w:leader="none" w:pos="1304" w:val="left"/>
        </w:tabs>
        <w:numPr>
          <w:ilvl w:val="1"/>
          <w:numId w:val="115"/>
        </w:numPr>
        <w:rPr>
          <w:rFonts w:ascii="Arial" w:cs="Arial" w:eastAsia="Arial" w:hAnsi="Arial"/>
          <w:sz w:val="21"/>
          <w:szCs w:val="21"/>
          <w:color w:val="auto"/>
        </w:rPr>
      </w:pPr>
      <w:r>
        <w:rPr>
          <w:rFonts w:ascii="Arial" w:cs="Arial" w:eastAsia="Arial" w:hAnsi="Arial"/>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151" w:lineRule="exact"/>
        <w:rPr>
          <w:rFonts w:ascii="Arial" w:cs="Arial" w:eastAsia="Arial" w:hAnsi="Arial"/>
          <w:sz w:val="21"/>
          <w:szCs w:val="21"/>
          <w:color w:val="auto"/>
        </w:rPr>
      </w:pPr>
    </w:p>
    <w:p>
      <w:pPr>
        <w:ind w:left="1304" w:hanging="655"/>
        <w:spacing w:after="0"/>
        <w:tabs>
          <w:tab w:leader="none" w:pos="1304" w:val="left"/>
        </w:tabs>
        <w:numPr>
          <w:ilvl w:val="1"/>
          <w:numId w:val="115"/>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ind w:left="-656" w:firstLine="656"/>
        <w:spacing w:after="0" w:line="358" w:lineRule="auto"/>
        <w:tabs>
          <w:tab w:leader="none" w:pos="50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Alternatively, or in addition to or in combination with the withholding mechanism described in Section 9.2(a), you authorize the Company and/or the Employer, at their discretion, to satisfy the obligations with regard to all Tax-Related Items by:</w:t>
      </w:r>
    </w:p>
    <w:p>
      <w:pPr>
        <w:spacing w:after="0" w:line="90" w:lineRule="exact"/>
        <w:rPr>
          <w:rFonts w:ascii="Arial" w:cs="Arial" w:eastAsia="Arial" w:hAnsi="Arial"/>
          <w:sz w:val="19"/>
          <w:szCs w:val="19"/>
          <w:color w:val="auto"/>
        </w:rPr>
      </w:pPr>
    </w:p>
    <w:p>
      <w:pPr>
        <w:ind w:left="1304" w:hanging="655"/>
        <w:spacing w:after="0"/>
        <w:tabs>
          <w:tab w:leader="none" w:pos="1304" w:val="left"/>
        </w:tabs>
        <w:numPr>
          <w:ilvl w:val="1"/>
          <w:numId w:val="115"/>
        </w:numPr>
        <w:rPr>
          <w:rFonts w:ascii="Arial" w:cs="Arial" w:eastAsia="Arial" w:hAnsi="Arial"/>
          <w:sz w:val="21"/>
          <w:szCs w:val="21"/>
          <w:color w:val="auto"/>
        </w:rPr>
      </w:pPr>
      <w:r>
        <w:rPr>
          <w:rFonts w:ascii="Arial" w:cs="Arial" w:eastAsia="Arial" w:hAnsi="Arial"/>
          <w:sz w:val="21"/>
          <w:szCs w:val="21"/>
          <w:color w:val="auto"/>
        </w:rPr>
        <w:t>requiring you to pay to the Company or the Employer any amount of the Tax-Related Items; and/or</w:t>
      </w:r>
    </w:p>
    <w:p>
      <w:pPr>
        <w:spacing w:after="0" w:line="231" w:lineRule="exact"/>
        <w:rPr>
          <w:rFonts w:ascii="Arial" w:cs="Arial" w:eastAsia="Arial" w:hAnsi="Arial"/>
          <w:sz w:val="21"/>
          <w:szCs w:val="21"/>
          <w:color w:val="auto"/>
        </w:rPr>
      </w:pPr>
    </w:p>
    <w:p>
      <w:pPr>
        <w:ind w:left="1304" w:hanging="655"/>
        <w:spacing w:after="0" w:line="263" w:lineRule="auto"/>
        <w:tabs>
          <w:tab w:leader="none" w:pos="1304" w:val="left"/>
        </w:tabs>
        <w:numPr>
          <w:ilvl w:val="1"/>
          <w:numId w:val="115"/>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left="1304" w:hanging="655"/>
        <w:spacing w:after="0" w:line="288" w:lineRule="auto"/>
        <w:tabs>
          <w:tab w:leader="none" w:pos="130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withholding in Shares to be issued upon settlement of the Vested PSUs provided, however, that if you are a Section 16 officer of the Company under the Exchange Act, then the Plan Administrator (as constituted to satisfy Rule 16b-3 of the Exchange Act) shall establish the method of withholding from the alternatives (i) -</w:t>
      </w:r>
    </w:p>
    <w:p>
      <w:pPr>
        <w:spacing w:after="0" w:line="1" w:lineRule="exact"/>
        <w:rPr>
          <w:rFonts w:ascii="Arial" w:cs="Arial" w:eastAsia="Arial" w:hAnsi="Arial"/>
          <w:sz w:val="19"/>
          <w:szCs w:val="19"/>
          <w:color w:val="auto"/>
        </w:rPr>
      </w:pPr>
    </w:p>
    <w:p>
      <w:pPr>
        <w:jc w:val="both"/>
        <w:ind w:left="1304" w:hanging="7"/>
        <w:spacing w:after="0" w:line="281" w:lineRule="auto"/>
        <w:tabs>
          <w:tab w:leader="none" w:pos="1716" w:val="left"/>
        </w:tabs>
        <w:numPr>
          <w:ilvl w:val="2"/>
          <w:numId w:val="115"/>
        </w:numPr>
        <w:rPr>
          <w:rFonts w:ascii="Arial" w:cs="Arial" w:eastAsia="Arial" w:hAnsi="Arial"/>
          <w:sz w:val="19"/>
          <w:szCs w:val="19"/>
          <w:color w:val="auto"/>
        </w:rPr>
      </w:pPr>
      <w:r>
        <w:rPr>
          <w:rFonts w:ascii="Arial" w:cs="Arial" w:eastAsia="Arial" w:hAnsi="Arial"/>
          <w:sz w:val="19"/>
          <w:szCs w:val="19"/>
          <w:color w:val="auto"/>
        </w:rPr>
        <w:t>herein and, if the Plan Administrator does not exercise its discretion prior to the Tax-Related Items withholding event, then you shall be entitled to elect the method of withholding from the alternatives (i) -</w:t>
      </w:r>
    </w:p>
    <w:p>
      <w:pPr>
        <w:spacing w:after="0" w:line="1" w:lineRule="exact"/>
        <w:rPr>
          <w:rFonts w:ascii="Arial" w:cs="Arial" w:eastAsia="Arial" w:hAnsi="Arial"/>
          <w:sz w:val="19"/>
          <w:szCs w:val="19"/>
          <w:color w:val="auto"/>
        </w:rPr>
      </w:pPr>
    </w:p>
    <w:p>
      <w:pPr>
        <w:ind w:left="1684" w:hanging="387"/>
        <w:spacing w:after="0"/>
        <w:tabs>
          <w:tab w:leader="none" w:pos="1684" w:val="left"/>
        </w:tabs>
        <w:numPr>
          <w:ilvl w:val="2"/>
          <w:numId w:val="116"/>
        </w:numPr>
        <w:rPr>
          <w:rFonts w:ascii="Arial" w:cs="Arial" w:eastAsia="Arial" w:hAnsi="Arial"/>
          <w:sz w:val="22"/>
          <w:szCs w:val="22"/>
          <w:color w:val="auto"/>
        </w:rPr>
      </w:pPr>
      <w:r>
        <w:rPr>
          <w:rFonts w:ascii="Arial" w:cs="Arial" w:eastAsia="Arial" w:hAnsi="Arial"/>
          <w:sz w:val="22"/>
          <w:szCs w:val="22"/>
          <w:color w:val="auto"/>
        </w:rPr>
        <w:t>herein.</w:t>
      </w:r>
    </w:p>
    <w:p>
      <w:pPr>
        <w:spacing w:after="0" w:line="201" w:lineRule="exact"/>
        <w:rPr>
          <w:rFonts w:ascii="Arial" w:cs="Arial" w:eastAsia="Arial" w:hAnsi="Arial"/>
          <w:sz w:val="22"/>
          <w:szCs w:val="22"/>
          <w:color w:val="auto"/>
        </w:rPr>
      </w:pPr>
    </w:p>
    <w:p>
      <w:pPr>
        <w:jc w:val="both"/>
        <w:ind w:left="-656" w:firstLine="656"/>
        <w:spacing w:after="0" w:line="248" w:lineRule="auto"/>
        <w:tabs>
          <w:tab w:leader="none" w:pos="45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and/or social insurance contribution purposes, you will be deemed to have been issued the full number of Shares subject to the Vested PSUs notwithstanding that a number of the Shares are held back solely for the purpose of paying the Tax-Related Items due as a result of any aspect of your participation in</w:t>
      </w:r>
    </w:p>
    <w:p>
      <w:pPr>
        <w:sectPr>
          <w:pgSz w:w="11900" w:h="16838" w:orient="portrait"/>
          <w:cols w:equalWidth="0" w:num="1">
            <w:col w:w="10764"/>
          </w:cols>
          <w:pgMar w:left="896" w:top="591" w:right="239" w:bottom="1440" w:gutter="0" w:footer="0" w:header="0"/>
        </w:sectPr>
      </w:pPr>
    </w:p>
    <w:bookmarkStart w:id="143" w:name="page144"/>
    <w:bookmarkEnd w:id="143"/>
    <w:p>
      <w:pPr>
        <w:jc w:val="both"/>
        <w:spacing w:after="0" w:line="263" w:lineRule="auto"/>
        <w:rPr>
          <w:sz w:val="20"/>
          <w:szCs w:val="20"/>
          <w:color w:val="auto"/>
        </w:rPr>
      </w:pPr>
      <w:r>
        <w:rPr>
          <w:rFonts w:ascii="Arial" w:cs="Arial" w:eastAsia="Arial" w:hAnsi="Arial"/>
          <w:sz w:val="22"/>
          <w:szCs w:val="22"/>
          <w:color w:val="auto"/>
        </w:rPr>
        <w:t>the Plan. The Company may refuse to issue or deliver Shares to you if you fail to comply with your obligations in connection with the Tax-Related Items.</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PSUs sufficient to pay the Tax-Related Items.</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Nature of Grant</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 accepting the grant, you acknowledge, understand and agree that:</w:t>
      </w:r>
    </w:p>
    <w:p>
      <w:pPr>
        <w:spacing w:after="0" w:line="220" w:lineRule="exact"/>
        <w:rPr>
          <w:sz w:val="20"/>
          <w:szCs w:val="20"/>
          <w:color w:val="auto"/>
        </w:rPr>
      </w:pPr>
    </w:p>
    <w:p>
      <w:pPr>
        <w:ind w:firstLine="656"/>
        <w:spacing w:after="0" w:line="276" w:lineRule="auto"/>
        <w:tabs>
          <w:tab w:leader="none" w:pos="116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performance restricted stock units, or benefits in lieu of performance restricted stock units, even if performance restricted stock units have been granted in the past;</w:t>
      </w:r>
    </w:p>
    <w:p>
      <w:pPr>
        <w:spacing w:after="0" w:line="177" w:lineRule="exact"/>
        <w:rPr>
          <w:rFonts w:ascii="Arial" w:cs="Arial" w:eastAsia="Arial" w:hAnsi="Arial"/>
          <w:sz w:val="22"/>
          <w:szCs w:val="22"/>
          <w:color w:val="auto"/>
        </w:rPr>
      </w:pPr>
    </w:p>
    <w:p>
      <w:pPr>
        <w:ind w:firstLine="656"/>
        <w:spacing w:after="0" w:line="276" w:lineRule="auto"/>
        <w:tabs>
          <w:tab w:leader="none" w:pos="109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all decisions with respect to future grants of performance restricted stock units, if any, will be at the sole discretion of the Company;</w:t>
      </w:r>
    </w:p>
    <w:p>
      <w:pPr>
        <w:spacing w:after="0" w:line="160" w:lineRule="exact"/>
        <w:rPr>
          <w:rFonts w:ascii="Arial" w:cs="Arial" w:eastAsia="Arial" w:hAnsi="Arial"/>
          <w:sz w:val="22"/>
          <w:szCs w:val="22"/>
          <w:color w:val="auto"/>
        </w:rPr>
      </w:pPr>
    </w:p>
    <w:p>
      <w:pPr>
        <w:ind w:firstLine="656"/>
        <w:spacing w:after="0" w:line="276" w:lineRule="auto"/>
        <w:tabs>
          <w:tab w:leader="none" w:pos="113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w:t>
      </w:r>
    </w:p>
    <w:p>
      <w:pPr>
        <w:sectPr>
          <w:pgSz w:w="11900" w:h="16838" w:orient="portrait"/>
          <w:cols w:equalWidth="0" w:num="1">
            <w:col w:w="11420"/>
          </w:cols>
          <w:pgMar w:left="240" w:top="591" w:right="239" w:bottom="1440" w:gutter="0" w:footer="0" w:header="0"/>
        </w:sectPr>
      </w:pPr>
    </w:p>
    <w:bookmarkStart w:id="144" w:name="page145"/>
    <w:bookmarkEnd w:id="144"/>
    <w:p>
      <w:pPr>
        <w:ind w:right="20"/>
        <w:spacing w:after="0" w:line="263" w:lineRule="auto"/>
        <w:rPr>
          <w:sz w:val="20"/>
          <w:szCs w:val="20"/>
          <w:color w:val="auto"/>
        </w:rPr>
      </w:pPr>
      <w:r>
        <w:rPr>
          <w:rFonts w:ascii="Arial" w:cs="Arial" w:eastAsia="Arial" w:hAnsi="Arial"/>
          <w:sz w:val="22"/>
          <w:szCs w:val="22"/>
          <w:color w:val="auto"/>
        </w:rPr>
        <w:t>Company or any Related Corporation and shall not interfere with the ability of the Employer, the Company or any Related Corporation to terminate your employment or service relationship (if any);</w:t>
      </w:r>
    </w:p>
    <w:p>
      <w:pPr>
        <w:spacing w:after="0" w:line="175"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67" w:lineRule="exact"/>
        <w:rPr>
          <w:rFonts w:ascii="Arial" w:cs="Arial" w:eastAsia="Arial" w:hAnsi="Arial"/>
          <w:sz w:val="19"/>
          <w:szCs w:val="19"/>
          <w:color w:val="auto"/>
        </w:rPr>
      </w:pPr>
    </w:p>
    <w:p>
      <w:pPr>
        <w:jc w:val="both"/>
        <w:ind w:firstLine="656"/>
        <w:spacing w:after="0" w:line="320" w:lineRule="auto"/>
        <w:tabs>
          <w:tab w:leader="none" w:pos="110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Award and the Shares subject to the Award, and the income and value of same, are not part of normal or expected compensation for any purpose including, but not limited to, calculating any severance, resignation, termination, redundancy, dismissal, end of service payments, bonuses, long-service awards, pension or retirement or welfare benefits or similar payments;</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44" w:lineRule="exact"/>
        <w:rPr>
          <w:rFonts w:ascii="Arial" w:cs="Arial" w:eastAsia="Arial" w:hAnsi="Arial"/>
          <w:sz w:val="21"/>
          <w:szCs w:val="21"/>
          <w:color w:val="auto"/>
        </w:rPr>
      </w:pPr>
    </w:p>
    <w:p>
      <w:pPr>
        <w:jc w:val="both"/>
        <w:ind w:firstLine="656"/>
        <w:spacing w:after="0" w:line="260" w:lineRule="auto"/>
        <w:tabs>
          <w:tab w:leader="none" w:pos="1154"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 in consideration of the grant of the Award to which you are otherwise not entitled, you irrevocably agree never to institute any claim against the Company, any Related Corporation or the Employer, waive the ability, if any, to bring any such claim and release the Company, any Related Corporation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84" w:lineRule="exact"/>
        <w:rPr>
          <w:rFonts w:ascii="Arial" w:cs="Arial" w:eastAsia="Arial" w:hAnsi="Arial"/>
          <w:sz w:val="21"/>
          <w:szCs w:val="21"/>
          <w:color w:val="auto"/>
        </w:rPr>
      </w:pPr>
    </w:p>
    <w:p>
      <w:pPr>
        <w:jc w:val="both"/>
        <w:ind w:firstLine="656"/>
        <w:spacing w:after="0" w:line="290" w:lineRule="auto"/>
        <w:tabs>
          <w:tab w:leader="none" w:pos="104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and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55" w:lineRule="exact"/>
        <w:rPr>
          <w:rFonts w:ascii="Arial" w:cs="Arial" w:eastAsia="Arial" w:hAnsi="Arial"/>
          <w:sz w:val="19"/>
          <w:szCs w:val="19"/>
          <w:color w:val="auto"/>
        </w:rPr>
      </w:pPr>
    </w:p>
    <w:p>
      <w:pPr>
        <w:ind w:left="1080" w:hanging="424"/>
        <w:spacing w:after="0"/>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grant of the Award is only made to you in your capacity of “employee” of a Related Corporation;</w:t>
      </w:r>
    </w:p>
    <w:p>
      <w:pPr>
        <w:sectPr>
          <w:pgSz w:w="11900" w:h="16838" w:orient="portrait"/>
          <w:cols w:equalWidth="0" w:num="1">
            <w:col w:w="11420"/>
          </w:cols>
          <w:pgMar w:left="240" w:top="591" w:right="239" w:bottom="1440" w:gutter="0" w:footer="0" w:header="0"/>
        </w:sectPr>
      </w:pPr>
    </w:p>
    <w:bookmarkStart w:id="145" w:name="page146"/>
    <w:bookmarkEnd w:id="145"/>
    <w:p>
      <w:pPr>
        <w:jc w:val="both"/>
        <w:ind w:firstLine="656"/>
        <w:spacing w:after="0" w:line="254" w:lineRule="auto"/>
        <w:tabs>
          <w:tab w:leader="none" w:pos="1032" w:val="left"/>
        </w:tabs>
        <w:numPr>
          <w:ilvl w:val="1"/>
          <w:numId w:val="12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85" w:lineRule="exact"/>
        <w:rPr>
          <w:rFonts w:ascii="Arial" w:cs="Arial" w:eastAsia="Arial" w:hAnsi="Arial"/>
          <w:sz w:val="22"/>
          <w:szCs w:val="22"/>
          <w:color w:val="auto"/>
        </w:rPr>
      </w:pPr>
    </w:p>
    <w:p>
      <w:pPr>
        <w:jc w:val="both"/>
        <w:ind w:firstLine="656"/>
        <w:spacing w:after="0" w:line="320" w:lineRule="auto"/>
        <w:tabs>
          <w:tab w:leader="none" w:pos="1302" w:val="left"/>
        </w:tabs>
        <w:numPr>
          <w:ilvl w:val="1"/>
          <w:numId w:val="120"/>
        </w:numPr>
        <w:rPr>
          <w:rFonts w:ascii="Arial" w:cs="Arial" w:eastAsia="Arial" w:hAnsi="Arial"/>
          <w:sz w:val="19"/>
          <w:szCs w:val="19"/>
          <w:color w:val="auto"/>
        </w:rPr>
      </w:pPr>
      <w:r>
        <w:rPr>
          <w:rFonts w:ascii="Arial" w:cs="Arial" w:eastAsia="Arial" w:hAnsi="Arial"/>
          <w:sz w:val="19"/>
          <w:szCs w:val="19"/>
          <w:color w:val="auto"/>
        </w:rPr>
        <w:t>neither the Company, the Employer nor any Related Corporation shall be liable for any foreign exchange rate fluctuation between your local currency and the United States dollar that may affect the value of the Award or of any amounts due to you pursuant to the settlement of the PSUs or the subsequent sale of any Shares acquired upon settlement.</w:t>
      </w:r>
    </w:p>
    <w:p>
      <w:pPr>
        <w:spacing w:after="0" w:line="119" w:lineRule="exact"/>
        <w:rPr>
          <w:rFonts w:ascii="Arial" w:cs="Arial" w:eastAsia="Arial" w:hAnsi="Arial"/>
          <w:sz w:val="19"/>
          <w:szCs w:val="19"/>
          <w:color w:val="auto"/>
        </w:rPr>
      </w:pPr>
    </w:p>
    <w:p>
      <w:pPr>
        <w:ind w:left="440" w:hanging="432"/>
        <w:spacing w:after="0"/>
        <w:tabs>
          <w:tab w:leader="none" w:pos="44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50"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France.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w:t>
      </w:r>
    </w:p>
    <w:p>
      <w:pPr>
        <w:sectPr>
          <w:pgSz w:w="11900" w:h="16838" w:orient="portrait"/>
          <w:cols w:equalWidth="0" w:num="1">
            <w:col w:w="11420"/>
          </w:cols>
          <w:pgMar w:left="240" w:top="591" w:right="239" w:bottom="1440" w:gutter="0" w:footer="0" w:header="0"/>
        </w:sectPr>
      </w:pPr>
    </w:p>
    <w:bookmarkStart w:id="146" w:name="page147"/>
    <w:bookmarkEnd w:id="146"/>
    <w:p>
      <w:pPr>
        <w:jc w:val="both"/>
        <w:spacing w:after="0" w:line="288" w:lineRule="auto"/>
        <w:rPr>
          <w:sz w:val="20"/>
          <w:szCs w:val="20"/>
          <w:color w:val="auto"/>
        </w:rPr>
      </w:pPr>
      <w:r>
        <w:rPr>
          <w:rFonts w:ascii="Arial" w:cs="Arial" w:eastAsia="Arial" w:hAnsi="Arial"/>
          <w:sz w:val="19"/>
          <w:szCs w:val="19"/>
          <w:b w:val="1"/>
          <w:bCs w:val="1"/>
          <w:i w:val="1"/>
          <w:iCs w:val="1"/>
          <w:color w:val="auto"/>
        </w:rPr>
        <w:t>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adversely affected; the only adverse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Electronic Delivery and Participation</w:t>
      </w:r>
    </w:p>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Language</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you have received this Agreement (or any portion thereof) or any other document related to the Plan translated into a language other than English and if the meaning of the translated version is different from the English version, the English version will control.</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General Provisions</w:t>
      </w:r>
    </w:p>
    <w:p>
      <w:pPr>
        <w:spacing w:after="0" w:line="23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15.2 Section 409A</w:t>
      </w:r>
      <w:r>
        <w:rPr>
          <w:rFonts w:ascii="Arial" w:cs="Arial" w:eastAsia="Arial" w:hAnsi="Arial"/>
          <w:sz w:val="21"/>
          <w:szCs w:val="21"/>
          <w:color w:val="auto"/>
        </w:rPr>
        <w:t>. For purposes of U.S. taxpayers, the PSUs and the settlement of the PSUs are intended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PSUs, settlement of the PSUs or other payment hereunder are compliant with Section 409A of the Code and neither the Company nor any of its affiliates shall under any circumstances have any liability to you or any other party if the settlement of the PSUs or other payment hereunder that is intended to be compliant with Section 409A of the Code is not compliant or for any action taken by the Plan Administrator with respect thereto.</w:t>
      </w:r>
    </w:p>
    <w:p>
      <w:pPr>
        <w:sectPr>
          <w:pgSz w:w="11900" w:h="16838" w:orient="portrait"/>
          <w:cols w:equalWidth="0" w:num="1">
            <w:col w:w="11420"/>
          </w:cols>
          <w:pgMar w:left="240" w:top="591" w:right="239" w:bottom="1440" w:gutter="0" w:footer="0" w:header="0"/>
        </w:sectPr>
      </w:pPr>
    </w:p>
    <w:bookmarkStart w:id="147" w:name="page148"/>
    <w:bookmarkEnd w:id="147"/>
    <w:p>
      <w:pPr>
        <w:jc w:val="both"/>
        <w:ind w:firstLine="1305"/>
        <w:spacing w:after="0" w:line="260" w:lineRule="auto"/>
        <w:tabs>
          <w:tab w:leader="none" w:pos="1919" w:val="left"/>
        </w:tabs>
        <w:numPr>
          <w:ilvl w:val="0"/>
          <w:numId w:val="123"/>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any PSUs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and such PSUs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PSUs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pacing w:after="0" w:line="17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15.3 Governing Law and Choice of Venue</w:t>
      </w:r>
      <w:r>
        <w:rPr>
          <w:rFonts w:ascii="Arial" w:cs="Arial" w:eastAsia="Arial" w:hAnsi="Arial"/>
          <w:sz w:val="21"/>
          <w:szCs w:val="21"/>
          <w:color w:val="auto"/>
        </w:rPr>
        <w:t>. 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69" w:lineRule="exact"/>
        <w:rPr>
          <w:sz w:val="20"/>
          <w:szCs w:val="20"/>
          <w:color w:val="auto"/>
        </w:rPr>
      </w:pPr>
    </w:p>
    <w:p>
      <w:pPr>
        <w:jc w:val="both"/>
        <w:ind w:right="20" w:firstLine="648"/>
        <w:spacing w:after="0" w:line="364"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80" w:lineRule="exact"/>
        <w:rPr>
          <w:sz w:val="20"/>
          <w:szCs w:val="20"/>
          <w:color w:val="auto"/>
        </w:rPr>
      </w:pPr>
    </w:p>
    <w:p>
      <w:pPr>
        <w:ind w:left="660"/>
        <w:spacing w:after="0"/>
        <w:tabs>
          <w:tab w:leader="none" w:pos="1200" w:val="left"/>
          <w:tab w:leader="none" w:pos="2080" w:val="left"/>
        </w:tabs>
        <w:rPr>
          <w:sz w:val="20"/>
          <w:szCs w:val="20"/>
          <w:color w:val="auto"/>
        </w:rPr>
      </w:pPr>
      <w:r>
        <w:rPr>
          <w:rFonts w:ascii="Arial" w:cs="Arial" w:eastAsia="Arial" w:hAnsi="Arial"/>
          <w:sz w:val="22"/>
          <w:szCs w:val="22"/>
          <w:b w:val="1"/>
          <w:bCs w:val="1"/>
          <w:color w:val="auto"/>
        </w:rPr>
        <w:t>15.5</w:t>
        <w:tab/>
        <w:t>Notice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Any notice required or permitted hereunder shall be made in writing and sent to the following address:</w:t>
      </w:r>
    </w:p>
    <w:p>
      <w:pPr>
        <w:spacing w:after="0" w:line="23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Liberty Lake, WA USA 99019</w:t>
      </w:r>
    </w:p>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Waiver</w:t>
      </w:r>
    </w:p>
    <w:p>
      <w:pPr>
        <w:spacing w:after="0" w:line="23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Repayment/Clawback/Recovery</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Participant is subject to the Company’s Incentive Repayment Policy (the “</w:t>
      </w:r>
      <w:r>
        <w:rPr>
          <w:rFonts w:ascii="Arial" w:cs="Arial" w:eastAsia="Arial" w:hAnsi="Arial"/>
          <w:sz w:val="21"/>
          <w:szCs w:val="21"/>
          <w:b w:val="1"/>
          <w:bCs w:val="1"/>
          <w:i w:val="1"/>
          <w:iCs w:val="1"/>
          <w:color w:val="auto"/>
        </w:rPr>
        <w:t>Repayment Policy</w:t>
      </w:r>
      <w:r>
        <w:rPr>
          <w:rFonts w:ascii="Arial" w:cs="Arial" w:eastAsia="Arial" w:hAnsi="Arial"/>
          <w:sz w:val="21"/>
          <w:szCs w:val="21"/>
          <w:color w:val="auto"/>
        </w:rPr>
        <w:t>”) at any time between the Grant Date and the date the PSUs are settled, any Shares, payment or benefit made under the Award shall be subject to repayment in accordance with the provisions of the Repayment Policy. In addition, any Shares, payment or benefit made under the Award will be subject to recoupment in accordance with any clawback policy that the Company is required to adopt pursuant to the listing standards of any national securities exchange or association on which the</w:t>
      </w:r>
    </w:p>
    <w:p>
      <w:pPr>
        <w:sectPr>
          <w:pgSz w:w="11900" w:h="16838" w:orient="portrait"/>
          <w:cols w:equalWidth="0" w:num="1">
            <w:col w:w="11420"/>
          </w:cols>
          <w:pgMar w:left="240" w:top="591" w:right="239" w:bottom="1440" w:gutter="0" w:footer="0" w:header="0"/>
        </w:sectPr>
      </w:pPr>
    </w:p>
    <w:bookmarkStart w:id="148" w:name="page149"/>
    <w:bookmarkEnd w:id="148"/>
    <w:p>
      <w:pPr>
        <w:spacing w:after="0" w:line="263" w:lineRule="auto"/>
        <w:rPr>
          <w:sz w:val="20"/>
          <w:szCs w:val="20"/>
          <w:color w:val="auto"/>
        </w:rPr>
      </w:pPr>
      <w:r>
        <w:rPr>
          <w:rFonts w:ascii="Arial" w:cs="Arial" w:eastAsia="Arial" w:hAnsi="Arial"/>
          <w:sz w:val="22"/>
          <w:szCs w:val="22"/>
          <w:color w:val="auto"/>
        </w:rPr>
        <w:t>Company’s securities are listed or as is otherwise required by the Dodd-Frank Wall Street Reform and Consumer Protection Act or other applicable law.</w:t>
      </w:r>
    </w:p>
    <w:p>
      <w:pPr>
        <w:sectPr>
          <w:pgSz w:w="11900" w:h="16838" w:orient="portrait"/>
          <w:cols w:equalWidth="0" w:num="1">
            <w:col w:w="11400"/>
          </w:cols>
          <w:pgMar w:left="240" w:top="591" w:right="259" w:bottom="1440" w:gutter="0" w:footer="0" w:header="0"/>
        </w:sectPr>
      </w:pPr>
    </w:p>
    <w:bookmarkStart w:id="149" w:name="page150"/>
    <w:bookmarkEnd w:id="149"/>
    <w:p>
      <w:pPr>
        <w:ind w:left="5060"/>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Appendix A sets forth the performance goals for the performance restricted stock unit award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w:t>
      </w:r>
      <w:r>
        <w:rPr>
          <w:rFonts w:ascii="Arial" w:cs="Arial" w:eastAsia="Arial" w:hAnsi="Arial"/>
          <w:sz w:val="22"/>
          <w:szCs w:val="22"/>
          <w:color w:val="auto"/>
        </w:rPr>
        <w:t xml:space="preserve">) under the Itron, Inc. Amended and Restated 2010 Stock Incentive Plan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xml:space="preserve">) evidenced by the Long Term Performance Restricted Stock Unit Award Agreement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to which it is attached. Capitalized terms not expressly defined in this Appendix A but defined in the Plan or the Agreement shall have the same definitions as in the Plan and/or the Agreement, as applicable. Please refer to the schedule that is attached to Appendix A for supplemental information explaining the operation of the performance goals applicable to the Award.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aggregate target number of PSUs for the Performance Period is: </w:t>
      </w:r>
      <w:r>
        <w:rPr>
          <w:rFonts w:ascii="Arial" w:cs="Arial" w:eastAsia="Arial" w:hAnsi="Arial"/>
          <w:sz w:val="22"/>
          <w:szCs w:val="22"/>
          <w:color w:val="FF0000"/>
        </w:rPr>
        <w:t>«# of Units»</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actual number of PSUs that shall vest is based on the level of attainment of a combination of the following two performance goals: non-GAAP Earnings Per Share (“</w:t>
      </w:r>
      <w:r>
        <w:rPr>
          <w:rFonts w:ascii="Arial" w:cs="Arial" w:eastAsia="Arial" w:hAnsi="Arial"/>
          <w:sz w:val="22"/>
          <w:szCs w:val="22"/>
          <w:b w:val="1"/>
          <w:bCs w:val="1"/>
          <w:i w:val="1"/>
          <w:iCs w:val="1"/>
          <w:color w:val="auto"/>
        </w:rPr>
        <w:t>EPS</w:t>
      </w:r>
      <w:r>
        <w:rPr>
          <w:rFonts w:ascii="Arial" w:cs="Arial" w:eastAsia="Arial" w:hAnsi="Arial"/>
          <w:sz w:val="22"/>
          <w:szCs w:val="22"/>
          <w:color w:val="auto"/>
        </w:rPr>
        <w:t>”) of the Company as calculated for purposes of the Company’s earning release as described in the Company’s public filings and Total Shareholder Return (“</w:t>
      </w:r>
      <w:r>
        <w:rPr>
          <w:rFonts w:ascii="Arial" w:cs="Arial" w:eastAsia="Arial" w:hAnsi="Arial"/>
          <w:sz w:val="22"/>
          <w:szCs w:val="22"/>
          <w:b w:val="1"/>
          <w:bCs w:val="1"/>
          <w:i w:val="1"/>
          <w:iCs w:val="1"/>
          <w:color w:val="auto"/>
        </w:rPr>
        <w:t>TSR</w:t>
      </w:r>
      <w:r>
        <w:rPr>
          <w:rFonts w:ascii="Arial" w:cs="Arial" w:eastAsia="Arial" w:hAnsi="Arial"/>
          <w:sz w:val="22"/>
          <w:szCs w:val="22"/>
          <w:color w:val="auto"/>
        </w:rPr>
        <w:t>”) of the Company during the Performance Period as further described below.</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total number of PSUs that is eligible to vest under this Award is between 0% - 200% of the Target PSUs based on attainment of the EPS performance goal and the TSR performance goal. The total number of PSUs that will actually vest will be equal to the sum of (i) the EPS-Based Vested PSUs, plus (ii) the product of (x) the TSR Performance Goal Multiplier, multiplied by (y) the EPS-Based Vested PSUs (as these terms are defined and further described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PSUs that vest shall be settled in accordance with Section 4 of the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EPS Performance Goal</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number of PSUs that is equal to between 0% - 160% of the Target PSUs is eligible to vest based on the attainment of EPS performance goals in accordance with the following terms: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An annual “</w:t>
      </w:r>
      <w:r>
        <w:rPr>
          <w:rFonts w:ascii="Arial" w:cs="Arial" w:eastAsia="Arial" w:hAnsi="Arial"/>
          <w:sz w:val="22"/>
          <w:szCs w:val="22"/>
          <w:b w:val="1"/>
          <w:bCs w:val="1"/>
          <w:i w:val="1"/>
          <w:iCs w:val="1"/>
          <w:color w:val="auto"/>
        </w:rPr>
        <w:t>EPS Performance Goal</w:t>
      </w:r>
      <w:r>
        <w:rPr>
          <w:rFonts w:ascii="Arial" w:cs="Arial" w:eastAsia="Arial" w:hAnsi="Arial"/>
          <w:sz w:val="22"/>
          <w:szCs w:val="22"/>
          <w:color w:val="auto"/>
        </w:rPr>
        <w:t>” (including “</w:t>
      </w:r>
      <w:r>
        <w:rPr>
          <w:rFonts w:ascii="Arial" w:cs="Arial" w:eastAsia="Arial" w:hAnsi="Arial"/>
          <w:sz w:val="22"/>
          <w:szCs w:val="22"/>
          <w:b w:val="1"/>
          <w:bCs w:val="1"/>
          <w:i w:val="1"/>
          <w:iCs w:val="1"/>
          <w:color w:val="auto"/>
        </w:rPr>
        <w:t>Threshold Goal</w:t>
      </w:r>
      <w:r>
        <w:rPr>
          <w:rFonts w:ascii="Arial" w:cs="Arial" w:eastAsia="Arial" w:hAnsi="Arial"/>
          <w:sz w:val="22"/>
          <w:szCs w:val="22"/>
          <w:color w:val="auto"/>
        </w:rPr>
        <w:t>” and “</w:t>
      </w:r>
      <w:r>
        <w:rPr>
          <w:rFonts w:ascii="Arial" w:cs="Arial" w:eastAsia="Arial" w:hAnsi="Arial"/>
          <w:sz w:val="22"/>
          <w:szCs w:val="22"/>
          <w:b w:val="1"/>
          <w:bCs w:val="1"/>
          <w:i w:val="1"/>
          <w:iCs w:val="1"/>
          <w:color w:val="auto"/>
        </w:rPr>
        <w:t>Maximum Goal</w:t>
      </w:r>
      <w:r>
        <w:rPr>
          <w:rFonts w:ascii="Arial" w:cs="Arial" w:eastAsia="Arial" w:hAnsi="Arial"/>
          <w:sz w:val="22"/>
          <w:szCs w:val="22"/>
          <w:color w:val="auto"/>
        </w:rPr>
        <w:t>”) shall be established at the beginning of each year for each of the calendar years contained in the Performance Periods (each, an “</w:t>
      </w:r>
      <w:r>
        <w:rPr>
          <w:rFonts w:ascii="Arial" w:cs="Arial" w:eastAsia="Arial" w:hAnsi="Arial"/>
          <w:sz w:val="22"/>
          <w:szCs w:val="22"/>
          <w:b w:val="1"/>
          <w:bCs w:val="1"/>
          <w:i w:val="1"/>
          <w:iCs w:val="1"/>
          <w:color w:val="auto"/>
        </w:rPr>
        <w:t>Annual EPS Performance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Period</w:t>
      </w:r>
      <w:r>
        <w:rPr>
          <w:rFonts w:ascii="Arial" w:cs="Arial" w:eastAsia="Arial" w:hAnsi="Arial"/>
          <w:sz w:val="22"/>
          <w:szCs w:val="22"/>
          <w:color w:val="auto"/>
        </w:rPr>
        <w:t>”). Immediately following the end of each Annual EPS Performance Period, the Plan Administrator shall assess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attainment level of the Company’s EPS against the annual EPS Performance Goal corresponding to the Annual EPS Performance Period and assign a percentage of attainment of between 0% - 160% (with attainment between the Threshold Goal and Maximum Goal subject to interpolation). The number of PSUs that is eligible to vest at the end of the Performance Period based on the attainment of the EPS Performance</w:t>
      </w:r>
    </w:p>
    <w:p>
      <w:pPr>
        <w:sectPr>
          <w:pgSz w:w="11900" w:h="16838" w:orient="portrait"/>
          <w:cols w:equalWidth="0" w:num="1">
            <w:col w:w="11420"/>
          </w:cols>
          <w:pgMar w:left="240" w:top="585" w:right="239" w:bottom="1440" w:gutter="0" w:footer="0" w:header="0"/>
        </w:sectPr>
      </w:pPr>
    </w:p>
    <w:bookmarkStart w:id="150" w:name="page151"/>
    <w:bookmarkEnd w:id="150"/>
    <w:p>
      <w:pPr>
        <w:jc w:val="both"/>
        <w:spacing w:after="0" w:line="253" w:lineRule="auto"/>
        <w:rPr>
          <w:sz w:val="20"/>
          <w:szCs w:val="20"/>
          <w:color w:val="auto"/>
        </w:rPr>
      </w:pPr>
      <w:r>
        <w:rPr>
          <w:rFonts w:ascii="Arial" w:cs="Arial" w:eastAsia="Arial" w:hAnsi="Arial"/>
          <w:sz w:val="22"/>
          <w:szCs w:val="22"/>
          <w:color w:val="auto"/>
        </w:rPr>
        <w:t>Goal shall be equal to the product of (a) the average of the attainment level of the EPS Performance Goal for each of the Annual EPS Performance Periods contained in the Performance Period (expressed as a percentage), multiplied by (b) the portion of the Target PSUs for the Performance Period (the “</w:t>
      </w:r>
      <w:r>
        <w:rPr>
          <w:rFonts w:ascii="Arial" w:cs="Arial" w:eastAsia="Arial" w:hAnsi="Arial"/>
          <w:sz w:val="22"/>
          <w:szCs w:val="22"/>
          <w:b w:val="1"/>
          <w:bCs w:val="1"/>
          <w:i w:val="1"/>
          <w:iCs w:val="1"/>
          <w:color w:val="auto"/>
        </w:rPr>
        <w:t>EPS-Based Vested PSUs</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PSUs will become eligible for vesting if the Company’s EPS is below the Threshold Goal.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TSR Performance Goal Multiplier</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number of PSUs that is eligible to vest may be greater or less than the number of EPS-Based Vested PSUs depending on the level of attainment of Company TSR performance relative to the TSR attained by companies comprising the Russell 3000 Index (such increase or decrease to the number of PSUs eligible to vest, the “</w:t>
      </w:r>
      <w:r>
        <w:rPr>
          <w:rFonts w:ascii="Arial" w:cs="Arial" w:eastAsia="Arial" w:hAnsi="Arial"/>
          <w:sz w:val="21"/>
          <w:szCs w:val="21"/>
          <w:b w:val="1"/>
          <w:bCs w:val="1"/>
          <w:i w:val="1"/>
          <w:iCs w:val="1"/>
          <w:color w:val="auto"/>
        </w:rPr>
        <w:t>TSR Performance Goal Multiplier</w:t>
      </w:r>
      <w:r>
        <w:rPr>
          <w:rFonts w:ascii="Arial" w:cs="Arial" w:eastAsia="Arial" w:hAnsi="Arial"/>
          <w:sz w:val="21"/>
          <w:szCs w:val="21"/>
          <w:i w:val="1"/>
          <w:iCs w:val="1"/>
          <w:color w:val="auto"/>
        </w:rPr>
        <w:t>,</w:t>
      </w:r>
      <w:r>
        <w:rPr>
          <w:rFonts w:ascii="Arial" w:cs="Arial" w:eastAsia="Arial" w:hAnsi="Arial"/>
          <w:sz w:val="21"/>
          <w:szCs w:val="21"/>
          <w:color w:val="auto"/>
        </w:rPr>
        <w:t>” and the index, the “</w:t>
      </w:r>
      <w:r>
        <w:rPr>
          <w:rFonts w:ascii="Arial" w:cs="Arial" w:eastAsia="Arial" w:hAnsi="Arial"/>
          <w:sz w:val="21"/>
          <w:szCs w:val="21"/>
          <w:b w:val="1"/>
          <w:bCs w:val="1"/>
          <w:i w:val="1"/>
          <w:iCs w:val="1"/>
          <w:color w:val="auto"/>
        </w:rPr>
        <w:t>Peer Group TSR</w:t>
      </w:r>
      <w:r>
        <w:rPr>
          <w:rFonts w:ascii="Arial" w:cs="Arial" w:eastAsia="Arial" w:hAnsi="Arial"/>
          <w:sz w:val="21"/>
          <w:szCs w:val="21"/>
          <w:color w:val="auto"/>
        </w:rPr>
        <w:t>”). For purposes of calculating the Company’s TSR, the value of the Common Stock on the first day of the Performance Period shall be deemed to be the average of the closing price of the Common Stock for the 20 trading days ending on the first trading day of the Performance Period and the value of the Common Stock for the last day of the Performance Period shall be deemed to be the average of the closing price of the Common Stock for the 20 trading days ending on the last trading day of the Performance Period. The TSR Performance Goal Multiplier shall be between 0.75 and 1.25, as determined in accordance with the following schedule:</w:t>
      </w:r>
    </w:p>
    <w:p>
      <w:pPr>
        <w:spacing w:after="0" w:line="180" w:lineRule="exact"/>
        <w:rPr>
          <w:sz w:val="20"/>
          <w:szCs w:val="20"/>
          <w:color w:val="auto"/>
        </w:rPr>
      </w:pPr>
    </w:p>
    <w:p>
      <w:pPr>
        <w:ind w:left="1300" w:hanging="320"/>
        <w:spacing w:after="0" w:line="251"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Company TSR is at or below the 25% percentile of the Peer Group TSR, the TSR Performance Goal Multiplier shall be equal to 0.75.</w:t>
      </w:r>
    </w:p>
    <w:p>
      <w:pPr>
        <w:spacing w:after="0" w:line="2" w:lineRule="exact"/>
        <w:rPr>
          <w:rFonts w:ascii="Arial" w:cs="Arial" w:eastAsia="Arial" w:hAnsi="Arial"/>
          <w:sz w:val="22"/>
          <w:szCs w:val="22"/>
          <w:color w:val="auto"/>
        </w:rPr>
      </w:pPr>
    </w:p>
    <w:p>
      <w:pPr>
        <w:ind w:left="1300" w:hanging="320"/>
        <w:spacing w:after="0" w:line="243"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Company TSR is at the 50% percentile of the Peer Group TSR, the TSR Performance Goal Multiplier shall be equal to 1.</w:t>
      </w:r>
    </w:p>
    <w:p>
      <w:pPr>
        <w:ind w:left="1300" w:right="20" w:hanging="320"/>
        <w:spacing w:after="0" w:line="243"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Company TSR is at or above the 75th percentile of the Peer Group TSR, the TSR Performance Goal Multiplier shall be equal to 1.25.</w:t>
      </w:r>
    </w:p>
    <w:p>
      <w:pPr>
        <w:ind w:left="1300" w:hanging="320"/>
        <w:spacing w:after="0" w:line="214"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Company TSR is above the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or below the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the Peer Group TSR, the attainment between the goals shall be subject to interpolation.</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If the Award is intended to constitute “qualified performance-based compensation,” within the meaning of Section 162(m)(4)(C) of the Code, the Plan Administrator shall determine and certify the actual level of attainment of the performance goals and the number of PSUs that become eligible for vesting in accordance with the requirements of Section 162(m) of the Code. The performance goals shall be adjusted per the 2014 Long-Term Performance Plan Criteria, as approved by the Plan Administrator, provided that the Plan Administrator may also adjust the performance goals in a manner that would result in a decrease to the number of PSUs that would otherwise become eligible for vesting. Further, in determining the number of PSUs that become eligible for vesting, the Plan Administrator has the discretion to reduce (including to zero), but not increase, the number of PSUs that would otherwise become eligible for vesting.</w:t>
      </w:r>
    </w:p>
    <w:p>
      <w:pPr>
        <w:sectPr>
          <w:pgSz w:w="11900" w:h="16838" w:orient="portrait"/>
          <w:cols w:equalWidth="0" w:num="1">
            <w:col w:w="11420"/>
          </w:cols>
          <w:pgMar w:left="240" w:top="59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Rules of the Itron,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 2010 Stock Incentive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the Grant of Restricted Stock Units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Participants in France</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Introduction</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jc w:val="both"/>
        <w:ind w:firstLine="656"/>
        <w:spacing w:after="0" w:line="251" w:lineRule="auto"/>
        <w:tabs>
          <w:tab w:leader="none" w:pos="1163" w:val="left"/>
        </w:tabs>
        <w:numPr>
          <w:ilvl w:val="1"/>
          <w:numId w:val="125"/>
        </w:numPr>
        <w:rPr>
          <w:rFonts w:ascii="Arial" w:cs="Arial" w:eastAsia="Arial" w:hAnsi="Arial"/>
          <w:sz w:val="22"/>
          <w:szCs w:val="22"/>
          <w:color w:val="auto"/>
        </w:rPr>
      </w:pPr>
      <w:r>
        <w:rPr>
          <w:rFonts w:ascii="Arial" w:cs="Arial" w:eastAsia="Arial" w:hAnsi="Arial"/>
          <w:sz w:val="22"/>
          <w:szCs w:val="22"/>
          <w:color w:val="auto"/>
        </w:rPr>
        <w:t xml:space="preserve">The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xml:space="preserve">) of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has established the Itron, Inc. Amended and Restated 2010 Stock Incentive Plan, as amended from time to time (the </w:t>
      </w:r>
      <w:r>
        <w:rPr>
          <w:rFonts w:ascii="Arial" w:cs="Arial" w:eastAsia="Arial" w:hAnsi="Arial"/>
          <w:sz w:val="22"/>
          <w:szCs w:val="22"/>
          <w:b w:val="1"/>
          <w:bCs w:val="1"/>
          <w:i w:val="1"/>
          <w:iCs w:val="1"/>
          <w:color w:val="auto"/>
        </w:rPr>
        <w:t>“U.S. Plan”</w:t>
      </w:r>
      <w:r>
        <w:rPr>
          <w:rFonts w:ascii="Arial" w:cs="Arial" w:eastAsia="Arial" w:hAnsi="Arial"/>
          <w:sz w:val="22"/>
          <w:szCs w:val="22"/>
          <w:color w:val="auto"/>
        </w:rPr>
        <w:t xml:space="preserve">) for the benefit of certain eligible persons, including employees of the Company and its Related Corporations (as defined in the U.S. Plan), including its Related Corporations in France of which the Company holds directly or indirectly at least 10% of the share capital (each a </w:t>
      </w:r>
      <w:r>
        <w:rPr>
          <w:rFonts w:ascii="Arial" w:cs="Arial" w:eastAsia="Arial" w:hAnsi="Arial"/>
          <w:sz w:val="22"/>
          <w:szCs w:val="22"/>
          <w:b w:val="1"/>
          <w:bCs w:val="1"/>
          <w:i w:val="1"/>
          <w:iCs w:val="1"/>
          <w:color w:val="auto"/>
        </w:rPr>
        <w:t>“French Entity”</w:t>
      </w:r>
      <w:r>
        <w:rPr>
          <w:rFonts w:ascii="Arial" w:cs="Arial" w:eastAsia="Arial" w:hAnsi="Arial"/>
          <w:sz w:val="22"/>
          <w:szCs w:val="22"/>
          <w:color w:val="auto"/>
        </w:rPr>
        <w:t xml:space="preserve"> and collectively the </w:t>
      </w:r>
      <w:r>
        <w:rPr>
          <w:rFonts w:ascii="Arial" w:cs="Arial" w:eastAsia="Arial" w:hAnsi="Arial"/>
          <w:sz w:val="22"/>
          <w:szCs w:val="22"/>
          <w:b w:val="1"/>
          <w:bCs w:val="1"/>
          <w:i w:val="1"/>
          <w:iCs w:val="1"/>
          <w:color w:val="auto"/>
        </w:rPr>
        <w:t>“French Entities”</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jc w:val="both"/>
        <w:ind w:firstLine="656"/>
        <w:spacing w:after="0" w:line="289" w:lineRule="auto"/>
        <w:tabs>
          <w:tab w:leader="none" w:pos="108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Sections 3.2 and 18.7 of the U.S. Plan specifically authorize the Plan Administrator (which, as defined in the U.S. Plan, is the Board and/or a committee appointed by the Board) to determine all terms, conditions, restrictions and limitations, if any, of an award granted under the U.S. Plan and the terms of any instrument that evidences the award, and to adopt such modifications, procedures and sub-plans as may be necessary or desirable to ensure the viability of the benefits from awards granted to participants in foreign countries and to meet the objectives of the U.S. Plan. The Plan Administrator has determined that it is advisable to establish a sub-plan for the purpose of permitting restricted stock units granted to eligible persons to qualify for the favorable tax and social security treatment available for such grants in France. The Plan Administrator, therefore, intends to establish a sub-plan of the U.S. Plan for the purpose of granting restricted stock units that qualify for the favorable tax and social security treatment in France applicable to shares granted for no consideration under Sections L. 225-197-1 to L. 225-197-6 of the French Commercial Code, as amended (</w:t>
      </w:r>
      <w:r>
        <w:rPr>
          <w:rFonts w:ascii="Arial" w:cs="Arial" w:eastAsia="Arial" w:hAnsi="Arial"/>
          <w:sz w:val="19"/>
          <w:szCs w:val="19"/>
          <w:b w:val="1"/>
          <w:bCs w:val="1"/>
          <w:i w:val="1"/>
          <w:iCs w:val="1"/>
          <w:color w:val="auto"/>
        </w:rPr>
        <w:t>“French-qualified Restricted Stock Units”</w:t>
      </w:r>
      <w:r>
        <w:rPr>
          <w:rFonts w:ascii="Arial" w:cs="Arial" w:eastAsia="Arial" w:hAnsi="Arial"/>
          <w:sz w:val="19"/>
          <w:szCs w:val="19"/>
          <w:color w:val="auto"/>
        </w:rPr>
        <w:t xml:space="preserve">), to qualifying participants who are resident in France for French tax purposes and/or subject to the French social security regime (the </w:t>
      </w:r>
      <w:r>
        <w:rPr>
          <w:rFonts w:ascii="Arial" w:cs="Arial" w:eastAsia="Arial" w:hAnsi="Arial"/>
          <w:sz w:val="19"/>
          <w:szCs w:val="19"/>
          <w:b w:val="1"/>
          <w:bCs w:val="1"/>
          <w:i w:val="1"/>
          <w:iCs w:val="1"/>
          <w:color w:val="auto"/>
        </w:rPr>
        <w:t>“French Participants”</w:t>
      </w:r>
      <w:r>
        <w:rPr>
          <w:rFonts w:ascii="Arial" w:cs="Arial" w:eastAsia="Arial" w:hAnsi="Arial"/>
          <w:sz w:val="19"/>
          <w:szCs w:val="19"/>
          <w:color w:val="auto"/>
        </w:rPr>
        <w:t>).</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The terms of the U.S. Plan applicable to restricted stock units, as set out in Appendix 1 hereto, shall, subject to the modifications in the following rules, constitute the Rules of the Itron, Inc. Amended and Restated 2010 Stock Incentive Plan for the Grant of Restricted Stock Units to Participants in France (the </w:t>
      </w:r>
      <w:r>
        <w:rPr>
          <w:rFonts w:ascii="Arial" w:cs="Arial" w:eastAsia="Arial" w:hAnsi="Arial"/>
          <w:sz w:val="22"/>
          <w:szCs w:val="22"/>
          <w:b w:val="1"/>
          <w:bCs w:val="1"/>
          <w:i w:val="1"/>
          <w:iCs w:val="1"/>
          <w:color w:val="auto"/>
        </w:rPr>
        <w:t>“French RSU Plan”</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Under the French RSU Plan, qualifying employees will be granted Restricted Stock Units only as defined in Section 2 hereunder. The provisions of the U.S. Plan permitting the grant of Options, Stock Appreciation Rights, Unrestricted Stock, Restricted Stock, Performance Shares, and Performance Units are not applicable to grants made under the French RSU Plan.</w:t>
      </w:r>
    </w:p>
    <w:p>
      <w:pPr>
        <w:sectPr>
          <w:pgSz w:w="11900" w:h="16838" w:orient="portrait"/>
          <w:cols w:equalWidth="0" w:num="1">
            <w:col w:w="11420"/>
          </w:cols>
          <w:pgMar w:left="240" w:top="580" w:right="239" w:bottom="1440" w:gutter="0" w:footer="0" w:header="0"/>
        </w:sectPr>
      </w:pPr>
    </w:p>
    <w:bookmarkStart w:id="152" w:name="page153"/>
    <w:bookmarkEnd w:id="152"/>
    <w:p>
      <w:pPr>
        <w:ind w:left="360" w:hanging="352"/>
        <w:spacing w:after="0"/>
        <w:tabs>
          <w:tab w:leader="none" w:pos="36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w:t>
      </w:r>
    </w:p>
    <w:p>
      <w:pPr>
        <w:spacing w:after="0" w:line="2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Any capitalized term used in this French RSU Plan without definition shall have the meaning ascribed to such term in the U.S.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set forth below shall have the following meanings:</w:t>
      </w:r>
    </w:p>
    <w:p>
      <w:pPr>
        <w:spacing w:after="0" w:line="220"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The term </w:t>
      </w:r>
      <w:r>
        <w:rPr>
          <w:rFonts w:ascii="Arial" w:cs="Arial" w:eastAsia="Arial" w:hAnsi="Arial"/>
          <w:sz w:val="19"/>
          <w:szCs w:val="19"/>
          <w:b w:val="1"/>
          <w:bCs w:val="1"/>
          <w:i w:val="1"/>
          <w:iCs w:val="1"/>
          <w:color w:val="auto"/>
        </w:rPr>
        <w:t>“Closed Period”</w:t>
      </w:r>
      <w:r>
        <w:rPr>
          <w:rFonts w:ascii="Arial" w:cs="Arial" w:eastAsia="Arial" w:hAnsi="Arial"/>
          <w:sz w:val="19"/>
          <w:szCs w:val="19"/>
          <w:color w:val="auto"/>
        </w:rPr>
        <w:t xml:space="preserve"> is defined in Section L. 225-197-1 of the French Commercial Code, as amended, as:</w:t>
      </w:r>
    </w:p>
    <w:p>
      <w:pPr>
        <w:spacing w:after="0" w:line="267" w:lineRule="exact"/>
        <w:rPr>
          <w:rFonts w:ascii="Arial" w:cs="Arial" w:eastAsia="Arial" w:hAnsi="Arial"/>
          <w:sz w:val="19"/>
          <w:szCs w:val="19"/>
          <w:color w:val="auto"/>
        </w:rPr>
      </w:pPr>
    </w:p>
    <w:p>
      <w:pPr>
        <w:ind w:firstLine="1305"/>
        <w:spacing w:after="0" w:line="276" w:lineRule="auto"/>
        <w:tabs>
          <w:tab w:leader="none" w:pos="1694"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Ten quotation days preceding and following the disclosure to the public of the consolidated financial statements or the annual statements of the Company; or</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822"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Any period during which the corporate management of the Company possesses material information which could, if disclosed to the public, significantly impact the quotation of the Shares, until ten quotation days after the day such information is disclosed to the public.</w:t>
      </w:r>
    </w:p>
    <w:p>
      <w:pPr>
        <w:spacing w:after="0" w:line="17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If the French Commercial Code is amended after adoption of this French RSU Plan to modify the definition and/or the applicability of the Closed Periods to French-qualified Restricted Stock Units, such amendments shall become applicable to any French-qualified Restricted Stock Units granted under this French Plan, to the extent required by French law.</w:t>
      </w:r>
    </w:p>
    <w:p>
      <w:pPr>
        <w:spacing w:after="0" w:line="134" w:lineRule="exact"/>
        <w:rPr>
          <w:sz w:val="20"/>
          <w:szCs w:val="20"/>
          <w:color w:val="auto"/>
        </w:rPr>
      </w:pPr>
    </w:p>
    <w:p>
      <w:pPr>
        <w:ind w:left="1080" w:hanging="424"/>
        <w:spacing w:after="0"/>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The term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 xml:space="preserve"> shall be the date on which the Plan Administrator both:</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designates the French Participant; and</w:t>
      </w:r>
    </w:p>
    <w:p>
      <w:pPr>
        <w:spacing w:after="0" w:line="233" w:lineRule="exact"/>
        <w:rPr>
          <w:rFonts w:ascii="Arial" w:cs="Arial" w:eastAsia="Arial" w:hAnsi="Arial"/>
          <w:sz w:val="22"/>
          <w:szCs w:val="22"/>
          <w:color w:val="auto"/>
        </w:rPr>
      </w:pPr>
    </w:p>
    <w:p>
      <w:pPr>
        <w:jc w:val="both"/>
        <w:ind w:firstLine="1305"/>
        <w:spacing w:after="0" w:line="307" w:lineRule="auto"/>
        <w:tabs>
          <w:tab w:leader="none" w:pos="175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specifies the terms and conditions of the Restricted Stock Units, including the number of Shares to be issued at a future date (or the method by which the number of Shares to be issued at a future date is to be determined), the conditions for the vesting of the Restricted Stock Units, and the conditions for the issuance of the Shares underlying the Restricted Stock Units by the Company, if any, and the conditions for the transferability of the Shares once issued, if any.</w:t>
      </w:r>
    </w:p>
    <w:p>
      <w:pPr>
        <w:spacing w:after="0" w:line="138" w:lineRule="exact"/>
        <w:rPr>
          <w:rFonts w:ascii="Arial" w:cs="Arial" w:eastAsia="Arial" w:hAnsi="Arial"/>
          <w:sz w:val="19"/>
          <w:szCs w:val="19"/>
          <w:color w:val="auto"/>
        </w:rPr>
      </w:pPr>
    </w:p>
    <w:p>
      <w:pPr>
        <w:ind w:right="20" w:firstLine="656"/>
        <w:spacing w:after="0" w:line="276" w:lineRule="auto"/>
        <w:tabs>
          <w:tab w:leader="none" w:pos="112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The term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xml:space="preserve"> means disability as defined under categories 2 and 3 of Section L. 341-1 of the French Social Security Code and subject to the fulfillment of related conditions.</w:t>
      </w:r>
    </w:p>
    <w:p>
      <w:pPr>
        <w:spacing w:after="0" w:line="160" w:lineRule="exact"/>
        <w:rPr>
          <w:rFonts w:ascii="Arial" w:cs="Arial" w:eastAsia="Arial" w:hAnsi="Arial"/>
          <w:sz w:val="22"/>
          <w:szCs w:val="22"/>
          <w:color w:val="auto"/>
        </w:rPr>
      </w:pPr>
    </w:p>
    <w:p>
      <w:pPr>
        <w:jc w:val="both"/>
        <w:ind w:firstLine="656"/>
        <w:spacing w:after="0" w:line="270" w:lineRule="auto"/>
        <w:tabs>
          <w:tab w:leader="none" w:pos="112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The term </w:t>
      </w:r>
      <w:r>
        <w:rPr>
          <w:rFonts w:ascii="Arial" w:cs="Arial" w:eastAsia="Arial" w:hAnsi="Arial"/>
          <w:sz w:val="21"/>
          <w:szCs w:val="21"/>
          <w:b w:val="1"/>
          <w:bCs w:val="1"/>
          <w:i w:val="1"/>
          <w:iCs w:val="1"/>
          <w:color w:val="auto"/>
        </w:rPr>
        <w:t>“Restricted Stock Unit”</w:t>
      </w:r>
      <w:r>
        <w:rPr>
          <w:rFonts w:ascii="Arial" w:cs="Arial" w:eastAsia="Arial" w:hAnsi="Arial"/>
          <w:sz w:val="21"/>
          <w:szCs w:val="21"/>
          <w:color w:val="auto"/>
        </w:rPr>
        <w:t xml:space="preserve"> shall mean a promise by the Company to issue to a French Participant, at a future date, for no cash consideration, one Share for each Restricted Stock Unit granted to a French Participant, provided the French Participant remains employed by the French Entity or the Company, and for which any dividend and voting rights are attached only upon the issuance of the Shares at the time of vesting of the Restricted Stock Units.</w:t>
      </w:r>
    </w:p>
    <w:p>
      <w:pPr>
        <w:spacing w:after="0" w:line="169" w:lineRule="exact"/>
        <w:rPr>
          <w:rFonts w:ascii="Arial" w:cs="Arial" w:eastAsia="Arial" w:hAnsi="Arial"/>
          <w:sz w:val="21"/>
          <w:szCs w:val="21"/>
          <w:color w:val="auto"/>
        </w:rPr>
      </w:pPr>
    </w:p>
    <w:p>
      <w:pPr>
        <w:ind w:left="1080" w:hanging="424"/>
        <w:spacing w:after="0"/>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The term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means shares of common stock of the Company, no par value;</w:t>
      </w:r>
    </w:p>
    <w:p>
      <w:pPr>
        <w:spacing w:after="0" w:line="233" w:lineRule="exact"/>
        <w:rPr>
          <w:rFonts w:ascii="Arial" w:cs="Arial" w:eastAsia="Arial" w:hAnsi="Arial"/>
          <w:sz w:val="22"/>
          <w:szCs w:val="22"/>
          <w:color w:val="auto"/>
        </w:rPr>
      </w:pPr>
    </w:p>
    <w:p>
      <w:pPr>
        <w:jc w:val="both"/>
        <w:ind w:firstLine="656"/>
        <w:spacing w:after="0" w:line="307" w:lineRule="auto"/>
        <w:tabs>
          <w:tab w:leader="none" w:pos="108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term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xml:space="preserve"> shall mean the relevant date on which Restricted Stock Units are vested, as specified by the Plan Administrator, and the French Participants are entitled to receive the Shares of the Company underlying the Restricted Stock Units. To qualify for the French favorable tax and social security regime, such Vesting Date shall not occur prior to the second anniversary of the Date of Grant, or such other period as is required to comply with the minimum mandatory vesting</w:t>
      </w:r>
    </w:p>
    <w:p>
      <w:pPr>
        <w:sectPr>
          <w:pgSz w:w="11900" w:h="16838" w:orient="portrait"/>
          <w:cols w:equalWidth="0" w:num="1">
            <w:col w:w="11420"/>
          </w:cols>
          <w:pgMar w:left="240" w:top="585" w:right="239" w:bottom="1440" w:gutter="0" w:footer="0" w:header="0"/>
        </w:sectPr>
      </w:pPr>
    </w:p>
    <w:bookmarkStart w:id="153" w:name="page154"/>
    <w:bookmarkEnd w:id="153"/>
    <w:p>
      <w:pPr>
        <w:jc w:val="both"/>
        <w:spacing w:after="0" w:line="250" w:lineRule="auto"/>
        <w:rPr>
          <w:sz w:val="20"/>
          <w:szCs w:val="20"/>
          <w:color w:val="auto"/>
        </w:rPr>
      </w:pPr>
      <w:r>
        <w:rPr>
          <w:rFonts w:ascii="Arial" w:cs="Arial" w:eastAsia="Arial" w:hAnsi="Arial"/>
          <w:sz w:val="22"/>
          <w:szCs w:val="22"/>
          <w:color w:val="auto"/>
        </w:rPr>
        <w:t>period applicable to French-qualified Restricted Stock Units under Section L. 225-197-1 of the French Commercial Code, as amended, or the relevant sections of the French Tax Code or the French Social Security Code, as amended, to benefit from the favorable tax and social security regime and provided any additional conditions for the vesting that may be provided for in the Restricted Stock Unit Award Notice and Award Agreement are satisfied.</w:t>
      </w:r>
    </w:p>
    <w:p>
      <w:pPr>
        <w:spacing w:after="0" w:line="182" w:lineRule="exact"/>
        <w:rPr>
          <w:sz w:val="20"/>
          <w:szCs w:val="20"/>
          <w:color w:val="auto"/>
        </w:rPr>
      </w:pPr>
    </w:p>
    <w:p>
      <w:pPr>
        <w:ind w:left="360" w:hanging="352"/>
        <w:spacing w:after="0"/>
        <w:tabs>
          <w:tab w:leader="none" w:pos="3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Eligibility to Participate</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jc w:val="both"/>
        <w:ind w:firstLine="656"/>
        <w:spacing w:after="0" w:line="260" w:lineRule="auto"/>
        <w:tabs>
          <w:tab w:leader="none" w:pos="119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Notwithstanding any other term of this French RSU Plan, Restricted Stock Units may be granted only to French Participants who hold less than ten percent (10%) of the outstanding Shares of the Company (including unvested Restricted Stock Units) and who otherwise satisfy the eligibility conditions of Section 5 of the U.S. Plan.</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256" w:val="left"/>
        </w:tabs>
        <w:numPr>
          <w:ilvl w:val="1"/>
          <w:numId w:val="129"/>
        </w:numPr>
        <w:rPr>
          <w:rFonts w:ascii="Arial" w:cs="Arial" w:eastAsia="Arial" w:hAnsi="Arial"/>
          <w:sz w:val="22"/>
          <w:szCs w:val="22"/>
          <w:color w:val="auto"/>
        </w:rPr>
      </w:pPr>
      <w:r>
        <w:rPr>
          <w:rFonts w:ascii="Arial" w:cs="Arial" w:eastAsia="Arial" w:hAnsi="Arial"/>
          <w:sz w:val="22"/>
          <w:szCs w:val="22"/>
          <w:color w:val="auto"/>
        </w:rPr>
        <w:t>Subject to Section 3(c) below, the following persons shall be eligible to receive, at the discretion of the Plan Administrator, Restricted Stock Units under this French RSU Plan, provided he or she also satisfies the eligibility conditions of Section 5 of the U.S. Plan:</w:t>
      </w:r>
    </w:p>
    <w:p>
      <w:pPr>
        <w:spacing w:after="0" w:line="177"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2"/>
          <w:numId w:val="129"/>
        </w:numPr>
        <w:rPr>
          <w:rFonts w:ascii="Arial" w:cs="Arial" w:eastAsia="Arial" w:hAnsi="Arial"/>
          <w:sz w:val="21"/>
          <w:szCs w:val="21"/>
          <w:color w:val="auto"/>
        </w:rPr>
      </w:pPr>
      <w:r>
        <w:rPr>
          <w:rFonts w:ascii="Arial" w:cs="Arial" w:eastAsia="Arial" w:hAnsi="Arial"/>
          <w:sz w:val="21"/>
          <w:szCs w:val="21"/>
          <w:color w:val="auto"/>
        </w:rPr>
        <w:t>any French Participant who, on the Date of Grant and to the extent required under French law, is (A) employed under the terms and conditions of an employment contract (“</w:t>
      </w:r>
      <w:r>
        <w:rPr>
          <w:rFonts w:ascii="Arial" w:cs="Arial" w:eastAsia="Arial" w:hAnsi="Arial"/>
          <w:sz w:val="21"/>
          <w:szCs w:val="21"/>
          <w:i w:val="1"/>
          <w:iCs w:val="1"/>
          <w:color w:val="auto"/>
        </w:rPr>
        <w:t>contrat de travail</w:t>
      </w:r>
      <w:r>
        <w:rPr>
          <w:rFonts w:ascii="Arial" w:cs="Arial" w:eastAsia="Arial" w:hAnsi="Arial"/>
          <w:sz w:val="21"/>
          <w:szCs w:val="21"/>
          <w:color w:val="auto"/>
        </w:rPr>
        <w:t>”) by a French Entity, or (B) a managing corporate officer (as described in 3(c) below) of a French Entity, and</w:t>
      </w:r>
    </w:p>
    <w:p>
      <w:pPr>
        <w:spacing w:after="0" w:line="167" w:lineRule="exact"/>
        <w:rPr>
          <w:rFonts w:ascii="Arial" w:cs="Arial" w:eastAsia="Arial" w:hAnsi="Arial"/>
          <w:sz w:val="21"/>
          <w:szCs w:val="21"/>
          <w:color w:val="auto"/>
        </w:rPr>
      </w:pPr>
    </w:p>
    <w:p>
      <w:pPr>
        <w:jc w:val="both"/>
        <w:ind w:left="1960" w:hanging="655"/>
        <w:spacing w:after="0" w:line="261" w:lineRule="auto"/>
        <w:tabs>
          <w:tab w:leader="none" w:pos="1960" w:val="left"/>
        </w:tabs>
        <w:numPr>
          <w:ilvl w:val="2"/>
          <w:numId w:val="129"/>
        </w:numPr>
        <w:rPr>
          <w:rFonts w:ascii="Arial" w:cs="Arial" w:eastAsia="Arial" w:hAnsi="Arial"/>
          <w:sz w:val="21"/>
          <w:szCs w:val="21"/>
          <w:color w:val="auto"/>
        </w:rPr>
      </w:pPr>
      <w:r>
        <w:rPr>
          <w:rFonts w:ascii="Arial" w:cs="Arial" w:eastAsia="Arial" w:hAnsi="Arial"/>
          <w:sz w:val="21"/>
          <w:szCs w:val="21"/>
          <w:color w:val="auto"/>
        </w:rPr>
        <w:t>to the extent permissible under French tax and social security laws, including guidelines and specific tax or social security rulings issued by French tax and social security authorities, any individual who is otherwise employed by the Company or a Subsidiary even if the individual is not French tax resident and/or subject to French social contribution regime at the Date of Grant and such an individual shall be considered, to the extent applicable (as determined by the Administrator in its sole discretion), as a French Participant for purposes of this French RSU Plan.</w:t>
      </w:r>
    </w:p>
    <w:p>
      <w:pPr>
        <w:spacing w:after="0" w:line="180" w:lineRule="exact"/>
        <w:rPr>
          <w:rFonts w:ascii="Arial" w:cs="Arial" w:eastAsia="Arial" w:hAnsi="Arial"/>
          <w:sz w:val="21"/>
          <w:szCs w:val="21"/>
          <w:color w:val="auto"/>
        </w:rPr>
      </w:pPr>
    </w:p>
    <w:p>
      <w:pPr>
        <w:jc w:val="both"/>
        <w:ind w:firstLine="656"/>
        <w:spacing w:after="0" w:line="254" w:lineRule="auto"/>
        <w:tabs>
          <w:tab w:leader="none" w:pos="1122" w:val="left"/>
        </w:tabs>
        <w:numPr>
          <w:ilvl w:val="1"/>
          <w:numId w:val="129"/>
        </w:numPr>
        <w:rPr>
          <w:rFonts w:ascii="Arial" w:cs="Arial" w:eastAsia="Arial" w:hAnsi="Arial"/>
          <w:sz w:val="22"/>
          <w:szCs w:val="22"/>
          <w:color w:val="auto"/>
        </w:rPr>
      </w:pPr>
      <w:r>
        <w:rPr>
          <w:rFonts w:ascii="Arial" w:cs="Arial" w:eastAsia="Arial" w:hAnsi="Arial"/>
          <w:sz w:val="22"/>
          <w:szCs w:val="22"/>
          <w:color w:val="auto"/>
        </w:rPr>
        <w:t>Restricted Stock Units may not be issued to corporate officers of French Entities, other than the managing corporate officers (</w:t>
      </w:r>
      <w:r>
        <w:rPr>
          <w:rFonts w:ascii="Arial" w:cs="Arial" w:eastAsia="Arial" w:hAnsi="Arial"/>
          <w:sz w:val="22"/>
          <w:szCs w:val="22"/>
          <w:i w:val="1"/>
          <w:iCs w:val="1"/>
          <w:color w:val="auto"/>
        </w:rPr>
        <w:t>i.e.,</w:t>
      </w:r>
      <w:r>
        <w:rPr>
          <w:rFonts w:ascii="Arial" w:cs="Arial" w:eastAsia="Arial" w:hAnsi="Arial"/>
          <w:sz w:val="22"/>
          <w:szCs w:val="22"/>
          <w:color w:val="auto"/>
        </w:rPr>
        <w:t xml:space="preserve"> “</w:t>
      </w:r>
      <w:r>
        <w:rPr>
          <w:rFonts w:ascii="Arial" w:cs="Arial" w:eastAsia="Arial" w:hAnsi="Arial"/>
          <w:sz w:val="22"/>
          <w:szCs w:val="22"/>
          <w:i w:val="1"/>
          <w:iCs w:val="1"/>
          <w:color w:val="auto"/>
        </w:rPr>
        <w:t>mandataires sociaux</w:t>
      </w:r>
      <w:r>
        <w:rPr>
          <w:rFonts w:ascii="Arial" w:cs="Arial" w:eastAsia="Arial" w:hAnsi="Arial"/>
          <w:sz w:val="22"/>
          <w:szCs w:val="22"/>
          <w:color w:val="auto"/>
        </w:rPr>
        <w:t xml:space="preserve">,” </w:t>
      </w:r>
      <w:r>
        <w:rPr>
          <w:rFonts w:ascii="Arial" w:cs="Arial" w:eastAsia="Arial" w:hAnsi="Arial"/>
          <w:sz w:val="22"/>
          <w:szCs w:val="22"/>
          <w:i w:val="1"/>
          <w:iCs w:val="1"/>
          <w:color w:val="auto"/>
        </w:rPr>
        <w:t>Président du Conseil d’Administration, Directeur Général, Directeur Général Délégué,</w:t>
      </w:r>
      <w:r>
        <w:rPr>
          <w:rFonts w:ascii="Arial" w:cs="Arial" w:eastAsia="Arial" w:hAnsi="Arial"/>
          <w:sz w:val="22"/>
          <w:szCs w:val="22"/>
          <w:color w:val="auto"/>
        </w:rPr>
        <w:t xml:space="preserve"> </w:t>
      </w:r>
      <w:r>
        <w:rPr>
          <w:rFonts w:ascii="Arial" w:cs="Arial" w:eastAsia="Arial" w:hAnsi="Arial"/>
          <w:sz w:val="22"/>
          <w:szCs w:val="22"/>
          <w:i w:val="1"/>
          <w:iCs w:val="1"/>
          <w:color w:val="auto"/>
        </w:rPr>
        <w:t>Membre du Directoire, Gérant de Sociétés par actions</w:t>
      </w:r>
      <w:r>
        <w:rPr>
          <w:rFonts w:ascii="Arial" w:cs="Arial" w:eastAsia="Arial" w:hAnsi="Arial"/>
          <w:sz w:val="22"/>
          <w:szCs w:val="22"/>
          <w:color w:val="auto"/>
        </w:rPr>
        <w:t>) unless the corporate officer is an employee of a French Entity, as defined by</w:t>
      </w:r>
      <w:r>
        <w:rPr>
          <w:rFonts w:ascii="Arial" w:cs="Arial" w:eastAsia="Arial" w:hAnsi="Arial"/>
          <w:sz w:val="22"/>
          <w:szCs w:val="22"/>
          <w:i w:val="1"/>
          <w:iCs w:val="1"/>
          <w:color w:val="auto"/>
        </w:rPr>
        <w:t xml:space="preserve"> </w:t>
      </w:r>
      <w:r>
        <w:rPr>
          <w:rFonts w:ascii="Arial" w:cs="Arial" w:eastAsia="Arial" w:hAnsi="Arial"/>
          <w:sz w:val="22"/>
          <w:szCs w:val="22"/>
          <w:color w:val="auto"/>
        </w:rPr>
        <w:t>French law.</w:t>
      </w:r>
    </w:p>
    <w:p>
      <w:pPr>
        <w:spacing w:after="0" w:line="179" w:lineRule="exact"/>
        <w:rPr>
          <w:rFonts w:ascii="Arial" w:cs="Arial" w:eastAsia="Arial" w:hAnsi="Arial"/>
          <w:sz w:val="22"/>
          <w:szCs w:val="22"/>
          <w:color w:val="auto"/>
        </w:rPr>
      </w:pPr>
    </w:p>
    <w:p>
      <w:pPr>
        <w:ind w:left="360" w:hanging="352"/>
        <w:spacing w:after="0"/>
        <w:tabs>
          <w:tab w:leader="none" w:pos="3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Conditions of the Restricted Stock Units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jc w:val="both"/>
        <w:ind w:firstLine="656"/>
        <w:spacing w:after="0" w:line="250" w:lineRule="auto"/>
        <w:tabs>
          <w:tab w:leader="none" w:pos="1109"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Restricted Stock Units will not vest prior to the second anniversary of the Date of Grant in accordance with the Vesting Date defined under Section 2(f) above and provided any additional conditions for the vesting that may be provided for in the Restricted Stock Unit Award Notice and Award Agreement are satisfied. However, notwithstanding the foregoing, (i) in the event of the death of a French Participant, all of his or her outstanding Restricted Stock Units shall become vested under the conditions set forth in Section 5 of this French RSU Plan and (ii) in the event of Disability of a French Participant, the Restricted Stock Units may vest prior</w:t>
      </w:r>
    </w:p>
    <w:p>
      <w:pPr>
        <w:sectPr>
          <w:pgSz w:w="11900" w:h="16838" w:orient="portrait"/>
          <w:cols w:equalWidth="0" w:num="1">
            <w:col w:w="11420"/>
          </w:cols>
          <w:pgMar w:left="240" w:top="591" w:right="2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to the second anniversary of the Date of Grant under the conditions set forth in Section 5 of this French RSU Plan.</w:t>
      </w:r>
    </w:p>
    <w:p>
      <w:pPr>
        <w:spacing w:after="0" w:line="220" w:lineRule="exact"/>
        <w:rPr>
          <w:sz w:val="20"/>
          <w:szCs w:val="20"/>
          <w:color w:val="auto"/>
        </w:rPr>
      </w:pPr>
    </w:p>
    <w:p>
      <w:pPr>
        <w:jc w:val="both"/>
        <w:ind w:firstLine="656"/>
        <w:spacing w:after="0" w:line="294" w:lineRule="auto"/>
        <w:tabs>
          <w:tab w:leader="none" w:pos="1107"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Transfer of Shares</w:t>
      </w:r>
      <w:r>
        <w:rPr>
          <w:rFonts w:ascii="Arial" w:cs="Arial" w:eastAsia="Arial" w:hAnsi="Arial"/>
          <w:sz w:val="19"/>
          <w:szCs w:val="19"/>
          <w:color w:val="auto"/>
        </w:rPr>
        <w:t>. The sale or transfer of the Shares issued pursuant to the Restricted Stock Units held by the French Participants shall not occur prior to the relevant anniversary of the Vesting Date specified by the Plan Administrator and in no case prior to the second anniversary of the Vesting Date, or such other period as is required to comply with the minimum mandatory holding period applicable to shares underlying French-qualified Restricted Stock Units under Section L. 225-197-1 of the French Commercial Code, as amended, or under the relevant sections of the French Tax Code or the French Social Security Code, as amended, to benefit from the favorable tax and social security regime. This holding period applies even after the French Participant is no longer an employee or corporate officer of a French Entity, except as provided for in Section 5 of this French RSU Plan.</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addition, the Shares may not be sold or transferred during certain Closed Periods as provided for by Section L. 225-197-1 of the French Commercial Code, as amended, and as interpreted by the French administrative guideline, to the extent Closed Periods are applicable to Shares underlying French-qualified Restricted Stock Units.</w:t>
      </w:r>
    </w:p>
    <w:p>
      <w:pPr>
        <w:spacing w:after="0" w:line="18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To the extent required for French-qualified Restricted Stock Units, the Plan Administrator may specify a specific holding period for the Shares underlying the French-qualified Restricted Stock Units with respect to French Participants who qualify as managing corporate officers under French law (“</w:t>
      </w:r>
      <w:r>
        <w:rPr>
          <w:rFonts w:ascii="Arial" w:cs="Arial" w:eastAsia="Arial" w:hAnsi="Arial"/>
          <w:sz w:val="21"/>
          <w:szCs w:val="21"/>
          <w:i w:val="1"/>
          <w:iCs w:val="1"/>
          <w:color w:val="auto"/>
        </w:rPr>
        <w:t>mandataires sociaux</w:t>
      </w:r>
      <w:r>
        <w:rPr>
          <w:rFonts w:ascii="Arial" w:cs="Arial" w:eastAsia="Arial" w:hAnsi="Arial"/>
          <w:sz w:val="21"/>
          <w:szCs w:val="21"/>
          <w:color w:val="auto"/>
        </w:rPr>
        <w:t>”), as defined under Section 3(c) of this French RSU Plan, or who have a comparable position in any other company within the Company group.</w:t>
      </w:r>
    </w:p>
    <w:p>
      <w:pPr>
        <w:spacing w:after="0" w:line="176" w:lineRule="exact"/>
        <w:rPr>
          <w:sz w:val="20"/>
          <w:szCs w:val="20"/>
          <w:color w:val="auto"/>
        </w:rPr>
      </w:pPr>
    </w:p>
    <w:p>
      <w:pPr>
        <w:jc w:val="both"/>
        <w:ind w:firstLine="656"/>
        <w:spacing w:after="0" w:line="278" w:lineRule="auto"/>
        <w:tabs>
          <w:tab w:leader="none" w:pos="1122" w:val="left"/>
        </w:tabs>
        <w:numPr>
          <w:ilvl w:val="1"/>
          <w:numId w:val="131"/>
        </w:numPr>
        <w:rPr>
          <w:rFonts w:ascii="Arial" w:cs="Arial" w:eastAsia="Arial" w:hAnsi="Arial"/>
          <w:sz w:val="21"/>
          <w:szCs w:val="21"/>
          <w:color w:val="auto"/>
        </w:rPr>
      </w:pPr>
      <w:r>
        <w:rPr>
          <w:rFonts w:ascii="Arial" w:cs="Arial" w:eastAsia="Arial" w:hAnsi="Arial"/>
          <w:sz w:val="21"/>
          <w:szCs w:val="21"/>
          <w:u w:val="single" w:color="auto"/>
          <w:color w:val="auto"/>
        </w:rPr>
        <w:t>French Participant’s Account</w:t>
      </w:r>
      <w:r>
        <w:rPr>
          <w:rFonts w:ascii="Arial" w:cs="Arial" w:eastAsia="Arial" w:hAnsi="Arial"/>
          <w:sz w:val="21"/>
          <w:szCs w:val="21"/>
          <w:color w:val="auto"/>
        </w:rPr>
        <w:t>. The Shares issued to a French Participant shall be recorded in the name of the French Participant in an account with the Company or a broker, or in such other manner as the Company may otherwise determine, to ensure compliance with applicable restrictions and holding periods provided under French law.</w:t>
      </w:r>
    </w:p>
    <w:p>
      <w:pPr>
        <w:spacing w:after="0" w:line="154" w:lineRule="exact"/>
        <w:rPr>
          <w:rFonts w:ascii="Arial" w:cs="Arial" w:eastAsia="Arial" w:hAnsi="Arial"/>
          <w:sz w:val="21"/>
          <w:szCs w:val="21"/>
          <w:color w:val="auto"/>
        </w:rPr>
      </w:pPr>
    </w:p>
    <w:p>
      <w:pPr>
        <w:ind w:left="360" w:hanging="352"/>
        <w:spacing w:after="0"/>
        <w:tabs>
          <w:tab w:leader="none" w:pos="36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Death and Disability</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If a French Participant’s service to the Company or any Related Corporation terminates by reason of his or her death, the Restricted Stock Units held by the French Participant at the time of death become transferable to the French Participant’s heirs. The Company shall issue the Shares underlying the Restricted Stock Units to the French Participant’s heirs, at the heirs’ request, if such request occurs within six (6) months following the death of the French Participant and pursuant to the conditions provided for in the Restricted Stock Unit Award Notice and Award Agreement. If the French Participant’s heirs do not request the issuance of the Shares underlying the Restricted Stock Units within six (6) months following the French Participant’s death, the Restricted Stock Units will be forfeited.</w:t>
      </w:r>
    </w:p>
    <w:p>
      <w:pPr>
        <w:spacing w:after="0" w:line="19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French Participant’s heirs are not subject to the restrictions on the sale of Shares set forth in Section 4(b) of this French RSU Plan.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French Participant’s service to the Company or any Related Corporation terminates by reason of his or her Disability (and such Disability meets the definition of Disability in both this French RSU Plan and the U.S. Plan), the Restricted Stock Units may become fully vested and the</w:t>
      </w:r>
    </w:p>
    <w:p>
      <w:pPr>
        <w:sectPr>
          <w:pgSz w:w="11900" w:h="16838" w:orient="portrait"/>
          <w:cols w:equalWidth="0" w:num="1">
            <w:col w:w="11420"/>
          </w:cols>
          <w:pgMar w:left="240" w:top="591" w:right="239" w:bottom="1440" w:gutter="0" w:footer="0" w:header="0"/>
        </w:sectPr>
      </w:pPr>
    </w:p>
    <w:bookmarkStart w:id="155" w:name="page156"/>
    <w:bookmarkEnd w:id="155"/>
    <w:p>
      <w:pPr>
        <w:ind w:right="20"/>
        <w:spacing w:after="0" w:line="263" w:lineRule="auto"/>
        <w:rPr>
          <w:sz w:val="20"/>
          <w:szCs w:val="20"/>
          <w:color w:val="auto"/>
        </w:rPr>
      </w:pPr>
      <w:r>
        <w:rPr>
          <w:rFonts w:ascii="Arial" w:cs="Arial" w:eastAsia="Arial" w:hAnsi="Arial"/>
          <w:sz w:val="22"/>
          <w:szCs w:val="22"/>
          <w:color w:val="auto"/>
        </w:rPr>
        <w:t>Company may issue the underlying Shares to the French Participant, if such provisions are included in the terms and conditions of the Award Agreement delivered to the French Participant.</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In </w:t>
      </w:r>
      <w:r>
        <w:rPr>
          <w:rFonts w:ascii="Arial" w:cs="Arial" w:eastAsia="Arial" w:hAnsi="Arial"/>
          <w:sz w:val="22"/>
          <w:szCs w:val="22"/>
          <w:color w:val="0000FF"/>
        </w:rPr>
        <w:t>the</w:t>
      </w:r>
      <w:r>
        <w:rPr>
          <w:rFonts w:ascii="Arial" w:cs="Arial" w:eastAsia="Arial" w:hAnsi="Arial"/>
          <w:sz w:val="22"/>
          <w:szCs w:val="22"/>
          <w:color w:val="auto"/>
        </w:rPr>
        <w:t xml:space="preserve"> case of Disability of a French Participant, the French Participant is no longer subject to the </w:t>
      </w:r>
      <w:r>
        <w:rPr>
          <w:rFonts w:ascii="Arial" w:cs="Arial" w:eastAsia="Arial" w:hAnsi="Arial"/>
          <w:sz w:val="22"/>
          <w:szCs w:val="22"/>
          <w:color w:val="0000FF"/>
        </w:rPr>
        <w:t>restrictions</w:t>
      </w:r>
      <w:r>
        <w:rPr>
          <w:rFonts w:ascii="Arial" w:cs="Arial" w:eastAsia="Arial" w:hAnsi="Arial"/>
          <w:sz w:val="22"/>
          <w:szCs w:val="22"/>
          <w:color w:val="auto"/>
        </w:rPr>
        <w:t xml:space="preserve"> on the sale of Shares set forth in Section 4(b) of this French RSU Plan.</w:t>
      </w:r>
    </w:p>
    <w:p>
      <w:pPr>
        <w:spacing w:after="0" w:line="169" w:lineRule="exact"/>
        <w:rPr>
          <w:sz w:val="20"/>
          <w:szCs w:val="20"/>
          <w:color w:val="auto"/>
        </w:rPr>
      </w:pPr>
    </w:p>
    <w:p>
      <w:pPr>
        <w:ind w:left="360" w:hanging="352"/>
        <w:spacing w:after="0"/>
        <w:tabs>
          <w:tab w:leader="none" w:pos="36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 upon Changes in Capital Structure</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the event of a change in the Company’s corporate or capital structure or a Change in Control Transaction as set forth in Section 16 of the U.S. Plan, adjustment to the terms and conditions of the French-qualified Restricted Stock Units or underlying Shares may be made only in accordance with the U.S. Plan and pursuant to applicable French legal and tax rules. Nevertheless, the Plan Administrator, at its discretion, may decide to make adjustments in the case of a transaction for which adjustments are not authorized under French law, in which case, the Restricted Stock Units may no longer qualify as French-qualified Restricted Stock Units and the favorable tax and social security treatment may be lost.</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Assumption or substitution of the Restricted Stock Units in the case of a Change in Control Transaction as well as an acceleration of vesting or the holding period or any other mechanism implemented upon a Change in Control Transaction, or in any other event, may result in the Restricted Stock Units no longer being eligible for the favorable French tax and social security treatment.</w:t>
      </w:r>
    </w:p>
    <w:p>
      <w:pPr>
        <w:spacing w:after="0" w:line="182" w:lineRule="exact"/>
        <w:rPr>
          <w:sz w:val="20"/>
          <w:szCs w:val="20"/>
          <w:color w:val="auto"/>
        </w:rPr>
      </w:pPr>
    </w:p>
    <w:p>
      <w:pPr>
        <w:ind w:left="360" w:hanging="352"/>
        <w:spacing w:after="0"/>
        <w:tabs>
          <w:tab w:leader="none" w:pos="36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Disqualification of Restricted Stock Units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the Restricted Stock Units are otherwise modified or adjusted in a manner in keeping with the terms of the U.S. Plan or as mandated as a matter of law or by decision of the Company’s shareholders, the Board, or the Plan Administrator and the modification or adjustment is contrary to the terms and conditions of this French RSU Plan, the Restricted Stock Units may no longer qualify as French-qualified Restricted Stock Units.</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the Restricted Stock Units no longer qualify as French-qualified Restricted Stock Units, the Plan Administrator may, provided it is authorized to do so under the U.S. Plan, and in its sole discretion, determine to lift, shorten or terminate certain restrictions applicable to the vesting of the Restricted Stock Units or the sale of the Shares underlying the Restricted Stock Units which may have been imposed under this French RSU Plan or in the Restricted Stock Unit Award Notice and/or Award Agreement delivered to the French Participant.</w:t>
      </w:r>
    </w:p>
    <w:p>
      <w:pPr>
        <w:spacing w:after="0" w:line="186"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Interpretation</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It is intended that the Restricted Stock Units granted under this French RSU Plan shall qualify for the favorable tax and social security treatment applicable to shares granted for no consideration under Sections L. 225-197-1 to L. 225-197-6 of the French Commercial Code, as amended, and in accordance with the relevant provisions set forth by French tax and social security laws, but no undertaking is made to maintain such status.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terms of the French RSU Plan shall be interpreted accordingly and in accordance with the relevant provisions set forth by French tax and social security laws, as well as the French tax and</w:t>
      </w:r>
    </w:p>
    <w:p>
      <w:pPr>
        <w:sectPr>
          <w:pgSz w:w="11900" w:h="16838" w:orient="portrait"/>
          <w:cols w:equalWidth="0" w:num="1">
            <w:col w:w="11420"/>
          </w:cols>
          <w:pgMar w:left="240" w:top="591" w:right="239" w:bottom="1440" w:gutter="0" w:footer="0" w:header="0"/>
        </w:sectPr>
      </w:pPr>
    </w:p>
    <w:bookmarkStart w:id="156" w:name="page157"/>
    <w:bookmarkEnd w:id="156"/>
    <w:p>
      <w:pPr>
        <w:spacing w:after="0" w:line="263" w:lineRule="auto"/>
        <w:rPr>
          <w:sz w:val="20"/>
          <w:szCs w:val="20"/>
          <w:color w:val="auto"/>
        </w:rPr>
      </w:pPr>
      <w:r>
        <w:rPr>
          <w:rFonts w:ascii="Arial" w:cs="Arial" w:eastAsia="Arial" w:hAnsi="Arial"/>
          <w:sz w:val="22"/>
          <w:szCs w:val="22"/>
          <w:color w:val="auto"/>
        </w:rPr>
        <w:t>social security administrations and the relevant guidelines released by the French tax and social security authorities and subject to the fulfillment of any applicable legal, tax and reporting obligations, if applicable.</w:t>
      </w:r>
    </w:p>
    <w:p>
      <w:pPr>
        <w:spacing w:after="0" w:line="169" w:lineRule="exact"/>
        <w:rPr>
          <w:sz w:val="20"/>
          <w:szCs w:val="20"/>
          <w:color w:val="auto"/>
        </w:rPr>
      </w:pPr>
    </w:p>
    <w:p>
      <w:pPr>
        <w:ind w:left="360" w:hanging="352"/>
        <w:spacing w:after="0"/>
        <w:tabs>
          <w:tab w:leader="none" w:pos="36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 Rights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adoption of this French RSU Plan shall not confer upon the French Participants or any employees of a French Entity, any employment rights and shall not be construed as a part of any employment contracts that a French Entity has with its employees.</w:t>
      </w:r>
    </w:p>
    <w:p>
      <w:pPr>
        <w:spacing w:after="0" w:line="18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 provision in the U.S. Plan to the contrary and, except in the case of death, the Restricted Stock Units shall not be transferred to any third party other than the Participant’s heirs, and Shares shall be issued only to the French Participant during his or her lifetime.</w:t>
      </w:r>
    </w:p>
    <w:p>
      <w:pPr>
        <w:spacing w:after="0" w:line="180" w:lineRule="exact"/>
        <w:rPr>
          <w:sz w:val="20"/>
          <w:szCs w:val="20"/>
          <w:color w:val="auto"/>
        </w:rPr>
      </w:pPr>
    </w:p>
    <w:p>
      <w:pPr>
        <w:ind w:left="440" w:hanging="432"/>
        <w:spacing w:after="0"/>
        <w:tabs>
          <w:tab w:leader="none" w:pos="44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w:t>
      </w:r>
    </w:p>
    <w:p>
      <w:pPr>
        <w:spacing w:after="0" w:line="2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Subject to the terms of the U.S. Plan, the Plan Administrator reserves the right to amend or terminate the French RSU Plan at any time.</w:t>
      </w:r>
    </w:p>
    <w:p>
      <w:pPr>
        <w:spacing w:after="0" w:line="169"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Number of Shares Granted and Shareholder Approval.</w:t>
      </w:r>
    </w:p>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U.S. Plan, including the share limitations set forth in Section 4 of the U.S. Plan, has been approved by the Company’s shareholders for grants to eligible persons, including French Participants, and such approval is intended to meet the requirements of Section L. 225-197-1 of the French Commercial Code, to the extent applicable to grants made by the Company.</w:t>
      </w:r>
    </w:p>
    <w:p>
      <w:pPr>
        <w:spacing w:after="0" w:line="128"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 Date</w:t>
      </w:r>
      <w:r>
        <w:rPr>
          <w:rFonts w:ascii="Arial" w:cs="Arial" w:eastAsia="Arial" w:hAnsi="Arial"/>
          <w:sz w:val="22"/>
          <w:szCs w:val="22"/>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French RSU Plan is effective as of May 1, 2014.</w:t>
      </w:r>
    </w:p>
    <w:p>
      <w:pPr>
        <w:sectPr>
          <w:pgSz w:w="11900" w:h="16838" w:orient="portrait"/>
          <w:cols w:equalWidth="0" w:num="1">
            <w:col w:w="11420"/>
          </w:cols>
          <w:pgMar w:left="240" w:top="591" w:right="2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22"/>
          <w:szCs w:val="22"/>
          <w:b w:val="1"/>
          <w:bCs w:val="1"/>
          <w:color w:val="auto"/>
        </w:rPr>
        <w:t>Appendix 1</w:t>
      </w:r>
    </w:p>
    <w:p>
      <w:pPr>
        <w:spacing w:after="0" w:line="200" w:lineRule="exact"/>
        <w:rPr>
          <w:sz w:val="20"/>
          <w:szCs w:val="20"/>
          <w:color w:val="auto"/>
        </w:rPr>
      </w:pPr>
    </w:p>
    <w:p>
      <w:pPr>
        <w:spacing w:after="0" w:line="28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Amended and Restated 2010 Stock Incentive Plan was filed as Appendix A to Itron, Inc's Proxy Statement for the 2014 Annual Meeting of Shareholders, filed on March 13, 2014.</w:t>
      </w:r>
    </w:p>
    <w:p>
      <w:pPr>
        <w:sectPr>
          <w:pgSz w:w="11900" w:h="16838" w:orient="portrait"/>
          <w:cols w:equalWidth="0" w:num="1">
            <w:col w:w="11420"/>
          </w:cols>
          <w:pgMar w:left="240" w:top="58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1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ectPr>
          <w:pgSz w:w="11900" w:h="16838" w:orient="portrait"/>
          <w:cols w:equalWidth="0" w:num="1">
            <w:col w:w="11420"/>
          </w:cols>
          <w:pgMar w:left="240" w:top="58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ectPr>
          <w:pgSz w:w="11900" w:h="16838" w:orient="portrait"/>
          <w:cols w:equalWidth="0" w:num="1">
            <w:col w:w="11420"/>
          </w:cols>
          <w:pgMar w:left="240" w:top="58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2014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Steven M. Helmbrecht,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5, 2014</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5, 2014</w:t>
      </w:r>
    </w:p>
    <w:sectPr>
      <w:pgSz w:w="11900" w:h="16838" w:orient="portrait"/>
      <w:cols w:equalWidth="0" w:num="1">
        <w:col w:w="11420"/>
      </w:cols>
      <w:pgMar w:left="240" w:top="7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x"/>
      <w:numFmt w:val="bullet"/>
      <w:start w:val="1"/>
    </w:lvl>
  </w:abstractNum>
  <w:abstractNum w:abstractNumId="1">
    <w:nsid w:val="168E121F"/>
    <w:multiLevelType w:val="hybridMultilevel"/>
    <w:lvl w:ilvl="0">
      <w:lvlJc w:val="left"/>
      <w:lvlText w:val="o"/>
      <w:numFmt w:val="bullet"/>
      <w:start w:val="1"/>
    </w:lvl>
  </w:abstractNum>
  <w:abstractNum w:abstractNumId="2">
    <w:nsid w:val="1EBA5D23"/>
    <w:multiLevelType w:val="hybridMultilevel"/>
    <w:lvl w:ilvl="0">
      <w:lvlJc w:val="left"/>
      <w:lvlText w:val="(%1)"/>
      <w:numFmt w:val="decimal"/>
      <w:start w:val="2"/>
    </w:lvl>
  </w:abstractNum>
  <w:abstractNum w:abstractNumId="3">
    <w:nsid w:val="661E3F1E"/>
    <w:multiLevelType w:val="hybridMultilevel"/>
    <w:lvl w:ilvl="0">
      <w:lvlJc w:val="left"/>
      <w:lvlText w:val="(%1)"/>
      <w:numFmt w:val="decimal"/>
      <w:start w:val="1"/>
    </w:lvl>
  </w:abstractNum>
  <w:abstractNum w:abstractNumId="4">
    <w:nsid w:val="5DC79EA8"/>
    <w:multiLevelType w:val="hybridMultilevel"/>
    <w:lvl w:ilvl="0">
      <w:lvlJc w:val="left"/>
      <w:lvlText w:val="(%1)"/>
      <w:numFmt w:val="decimal"/>
      <w:start w:val="1"/>
    </w:lvl>
  </w:abstractNum>
  <w:abstractNum w:abstractNumId="5">
    <w:nsid w:val="540A471C"/>
    <w:multiLevelType w:val="hybridMultilevel"/>
    <w:lvl w:ilvl="0">
      <w:lvlJc w:val="left"/>
      <w:lvlText w:val="(%1)"/>
      <w:numFmt w:val="decimal"/>
      <w:start w:val="1"/>
    </w:lvl>
  </w:abstractNum>
  <w:abstractNum w:abstractNumId="6">
    <w:nsid w:val="7BD3EE7B"/>
    <w:multiLevelType w:val="hybridMultilevel"/>
    <w:lvl w:ilvl="0">
      <w:lvlJc w:val="left"/>
      <w:lvlText w:val="(%1)"/>
      <w:numFmt w:val="decimal"/>
      <w:start w:val="1"/>
    </w:lvl>
  </w:abstractNum>
  <w:abstractNum w:abstractNumId="7">
    <w:nsid w:val="51D9C564"/>
    <w:multiLevelType w:val="hybridMultilevel"/>
    <w:lvl w:ilvl="0">
      <w:lvlJc w:val="left"/>
      <w:lvlText w:val="(%1)"/>
      <w:numFmt w:val="decimal"/>
      <w:start w:val="1"/>
    </w:lvl>
  </w:abstractNum>
  <w:abstractNum w:abstractNumId="8">
    <w:nsid w:val="613EFDC5"/>
    <w:multiLevelType w:val="hybridMultilevel"/>
    <w:lvl w:ilvl="0">
      <w:lvlJc w:val="left"/>
      <w:lvlText w:val="(%1)"/>
      <w:numFmt w:val="decimal"/>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1)"/>
      <w:numFmt w:val="lowerLetter"/>
      <w:start w:val="1"/>
    </w:lvl>
  </w:abstractNum>
  <w:abstractNum w:abstractNumId="11">
    <w:nsid w:val="42963E5A"/>
    <w:multiLevelType w:val="hybridMultilevel"/>
    <w:lvl w:ilvl="0">
      <w:lvlJc w:val="left"/>
      <w:lvlText w:val="(%1)"/>
      <w:numFmt w:val="lowerLetter"/>
      <w:start w:val="1"/>
    </w:lvl>
  </w:abstractNum>
  <w:abstractNum w:abstractNumId="12">
    <w:nsid w:val="A0382C5"/>
    <w:multiLevelType w:val="hybridMultilevel"/>
    <w:lvl w:ilvl="0">
      <w:lvlJc w:val="left"/>
      <w:lvlText w:val="(%1)"/>
      <w:numFmt w:val="decimal"/>
      <w:start w:val="1"/>
    </w:lvl>
  </w:abstractNum>
  <w:abstractNum w:abstractNumId="13">
    <w:nsid w:val="8F2B15E"/>
    <w:multiLevelType w:val="hybridMultilevel"/>
    <w:lvl w:ilvl="0">
      <w:lvlJc w:val="left"/>
      <w:lvlText w:val="(%1)"/>
      <w:numFmt w:val="lowerLetter"/>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7">
    <w:nsid w:val="4962813B"/>
    <w:multiLevelType w:val="hybridMultilevel"/>
    <w:lvl w:ilvl="0">
      <w:lvlJc w:val="left"/>
      <w:lvlText w:val="(%1)"/>
      <w:numFmt w:val="lowerRoman"/>
      <w:start w:val="1"/>
    </w:lvl>
    <w:lvl w:ilvl="1">
      <w:lvlJc w:val="left"/>
      <w:lvlText w:val="(%2)"/>
      <w:numFmt w:val="upperLetter"/>
      <w:start w:val="1"/>
    </w:lvl>
  </w:abstractNum>
  <w:abstractNum w:abstractNumId="18">
    <w:nsid w:val="60B6DF70"/>
    <w:multiLevelType w:val="hybridMultilevel"/>
    <w:lvl w:ilvl="0">
      <w:lvlJc w:val="left"/>
      <w:lvlText w:val="(%1)"/>
      <w:numFmt w:val="upperLetter"/>
      <w:start w:val="2"/>
    </w:lvl>
  </w:abstractNum>
  <w:abstractNum w:abstractNumId="19">
    <w:nsid w:val="6A5EE64"/>
    <w:multiLevelType w:val="hybridMultilevel"/>
    <w:lvl w:ilvl="0">
      <w:lvlJc w:val="left"/>
      <w:lvlText w:val="(%1)"/>
      <w:numFmt w:val="lowerRoman"/>
      <w:start w:val="5"/>
    </w:lvl>
  </w:abstractNum>
  <w:abstractNum w:abstractNumId="20">
    <w:nsid w:val="14330624"/>
    <w:multiLevelType w:val="hybridMultilevel"/>
    <w:lvl w:ilvl="0">
      <w:lvlJc w:val="left"/>
      <w:lvlText w:val="%1."/>
      <w:numFmt w:val="decimal"/>
      <w:start w:val="3"/>
    </w:lvl>
    <w:lvl w:ilvl="1">
      <w:lvlJc w:val="left"/>
      <w:lvlText w:val="(%2)"/>
      <w:numFmt w:val="lowerLetter"/>
      <w:start w:val="1"/>
    </w:lvl>
  </w:abstractNum>
  <w:abstractNum w:abstractNumId="21">
    <w:nsid w:val="7FFFCA11"/>
    <w:multiLevelType w:val="hybridMultilevel"/>
    <w:lvl w:ilvl="0">
      <w:lvlJc w:val="left"/>
      <w:lvlText w:val="%1."/>
      <w:numFmt w:val="decimal"/>
      <w:start w:val="5"/>
    </w:lvl>
    <w:lvl w:ilvl="1">
      <w:lvlJc w:val="left"/>
      <w:lvlText w:val="(%2)"/>
      <w:numFmt w:val="lowerLetter"/>
      <w:start w:val="1"/>
    </w:lvl>
  </w:abstractNum>
  <w:abstractNum w:abstractNumId="22">
    <w:nsid w:val="1A27709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
    <w:nsid w:val="71EA1109"/>
    <w:multiLevelType w:val="hybridMultilevel"/>
    <w:lvl w:ilvl="0">
      <w:lvlJc w:val="left"/>
      <w:lvlText w:val="(%1)"/>
      <w:numFmt w:val="lowerRoman"/>
      <w:start w:val="4"/>
    </w:lvl>
  </w:abstractNum>
  <w:abstractNum w:abstractNumId="24">
    <w:nsid w:val="100F59DC"/>
    <w:multiLevelType w:val="hybridMultilevel"/>
    <w:lvl w:ilvl="0">
      <w:lvlJc w:val="left"/>
      <w:lvlText w:val="%1."/>
      <w:numFmt w:val="decimal"/>
      <w:start w:val="7"/>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1."/>
      <w:numFmt w:val="decimal"/>
      <w:start w:val="9"/>
    </w:lvl>
  </w:abstractNum>
  <w:abstractNum w:abstractNumId="27">
    <w:nsid w:val="6F6DD9AC"/>
    <w:multiLevelType w:val="hybridMultilevel"/>
    <w:lvl w:ilvl="0">
      <w:lvlJc w:val="left"/>
      <w:lvlText w:val="%1."/>
      <w:numFmt w:val="decimal"/>
      <w:start w:val="10"/>
    </w:lvl>
  </w:abstractNum>
  <w:abstractNum w:abstractNumId="28">
    <w:nsid w:val="94211F2"/>
    <w:multiLevelType w:val="hybridMultilevel"/>
    <w:lvl w:ilvl="0">
      <w:lvlJc w:val="left"/>
      <w:lvlText w:val="%1"/>
      <w:numFmt w:val="decimal"/>
      <w:start w:val="1"/>
    </w:lvl>
    <w:lvl w:ilvl="1">
      <w:lvlJc w:val="left"/>
      <w:lvlText w:val="%2."/>
      <w:numFmt w:val="decimal"/>
      <w:start w:val="2"/>
    </w:lvl>
  </w:abstractNum>
  <w:abstractNum w:abstractNumId="29">
    <w:nsid w:val="885E1B"/>
    <w:multiLevelType w:val="hybridMultilevel"/>
    <w:lvl w:ilvl="0">
      <w:lvlJc w:val="left"/>
      <w:lvlText w:val="%1."/>
      <w:numFmt w:val="decimal"/>
      <w:start w:val="3"/>
    </w:lvl>
    <w:lvl w:ilvl="1">
      <w:lvlJc w:val="left"/>
      <w:lvlText w:val="%2"/>
      <w:numFmt w:val="decimal"/>
      <w:start w:val="1"/>
    </w:lvl>
  </w:abstractNum>
  <w:abstractNum w:abstractNumId="30">
    <w:nsid w:val="76272110"/>
    <w:multiLevelType w:val="hybridMultilevel"/>
    <w:lvl w:ilvl="0">
      <w:lvlJc w:val="left"/>
      <w:lvlText w:val="%1."/>
      <w:numFmt w:val="decimal"/>
      <w:start w:val="1"/>
    </w:lvl>
  </w:abstractNum>
  <w:abstractNum w:abstractNumId="31">
    <w:nsid w:val="4C04A8AF"/>
    <w:multiLevelType w:val="hybridMultilevel"/>
    <w:lvl w:ilvl="0">
      <w:lvlJc w:val="left"/>
      <w:lvlText w:val="%1."/>
      <w:numFmt w:val="decimal"/>
      <w:start w:val="2"/>
    </w:lvl>
  </w:abstractNum>
  <w:abstractNum w:abstractNumId="32">
    <w:nsid w:val="1716703B"/>
    <w:multiLevelType w:val="hybridMultilevel"/>
    <w:lvl w:ilvl="0">
      <w:lvlJc w:val="left"/>
      <w:lvlText w:val="%1."/>
      <w:numFmt w:val="decimal"/>
      <w:start w:val="3"/>
    </w:lvl>
  </w:abstractNum>
  <w:abstractNum w:abstractNumId="33">
    <w:nsid w:val="14E17E3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34">
    <w:nsid w:val="3222E7CD"/>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35">
    <w:nsid w:val="74DE0EE3"/>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36">
    <w:nsid w:val="68EBC550"/>
    <w:multiLevelType w:val="hybridMultilevel"/>
    <w:lvl w:ilvl="0">
      <w:lvlJc w:val="left"/>
      <w:lvlText w:val="(%1)"/>
      <w:numFmt w:val="lowerRoman"/>
      <w:start w:val="1"/>
    </w:lvl>
  </w:abstractNum>
  <w:abstractNum w:abstractNumId="37">
    <w:nsid w:val="2DF6D648"/>
    <w:multiLevelType w:val="hybridMultilevel"/>
    <w:lvl w:ilvl="0">
      <w:lvlJc w:val="left"/>
      <w:lvlText w:val="(%1)"/>
      <w:numFmt w:val="lowerLetter"/>
      <w:start w:val="5"/>
    </w:lvl>
  </w:abstractNum>
  <w:abstractNum w:abstractNumId="38">
    <w:nsid w:val="46B7D447"/>
    <w:multiLevelType w:val="hybridMultilevel"/>
    <w:lvl w:ilvl="0">
      <w:lvlJc w:val="left"/>
      <w:lvlText w:val="%1."/>
      <w:numFmt w:val="decimal"/>
      <w:start w:val="4"/>
    </w:lvl>
  </w:abstractNum>
  <w:abstractNum w:abstractNumId="39">
    <w:nsid w:val="4A2AC315"/>
    <w:multiLevelType w:val="hybridMultilevel"/>
    <w:lvl w:ilvl="0">
      <w:lvlJc w:val="left"/>
      <w:lvlText w:val="%1."/>
      <w:numFmt w:val="decimal"/>
      <w:start w:val="5"/>
    </w:lvl>
  </w:abstractNum>
  <w:abstractNum w:abstractNumId="40">
    <w:nsid w:val="39EE015C"/>
    <w:multiLevelType w:val="hybridMultilevel"/>
    <w:lvl w:ilvl="0">
      <w:lvlJc w:val="left"/>
      <w:lvlText w:val="%1."/>
      <w:numFmt w:val="decimal"/>
      <w:start w:val="6"/>
    </w:lvl>
  </w:abstractNum>
  <w:abstractNum w:abstractNumId="41">
    <w:nsid w:val="57FC4FBB"/>
    <w:multiLevelType w:val="hybridMultilevel"/>
    <w:lvl w:ilvl="0">
      <w:lvlJc w:val="left"/>
      <w:lvlText w:val="%1."/>
      <w:numFmt w:val="decimal"/>
      <w:start w:val="7"/>
    </w:lvl>
  </w:abstractNum>
  <w:abstractNum w:abstractNumId="42">
    <w:nsid w:val="CC1016F"/>
    <w:multiLevelType w:val="hybridMultilevel"/>
    <w:lvl w:ilvl="0">
      <w:lvlJc w:val="left"/>
      <w:lvlText w:val="%1."/>
      <w:numFmt w:val="decimal"/>
      <w:start w:val="9"/>
    </w:lvl>
  </w:abstractNum>
  <w:abstractNum w:abstractNumId="43">
    <w:nsid w:val="43F18422"/>
    <w:multiLevelType w:val="hybridMultilevel"/>
    <w:lvl w:ilvl="0">
      <w:lvlJc w:val="left"/>
      <w:lvlText w:val="(%1)"/>
      <w:numFmt w:val="lowerLetter"/>
      <w:start w:val="1"/>
    </w:lvl>
    <w:lvl w:ilvl="1">
      <w:lvlJc w:val="left"/>
      <w:lvlText w:val="(%2)"/>
      <w:numFmt w:val="lowerRoman"/>
      <w:start w:val="1"/>
    </w:lvl>
  </w:abstractNum>
  <w:abstractNum w:abstractNumId="44">
    <w:nsid w:val="60EF0119"/>
    <w:multiLevelType w:val="hybridMultilevel"/>
    <w:lvl w:ilvl="0">
      <w:lvlJc w:val="left"/>
      <w:lvlText w:val="%1"/>
      <w:numFmt w:val="lowerLetter"/>
      <w:start w:val="1"/>
    </w:lvl>
    <w:lvl w:ilvl="1">
      <w:lvlJc w:val="left"/>
      <w:lvlText w:val="(%2)"/>
      <w:numFmt w:val="lowerRoman"/>
      <w:start w:val="3"/>
    </w:lvl>
  </w:abstractNum>
  <w:abstractNum w:abstractNumId="45">
    <w:nsid w:val="26F324BA"/>
    <w:multiLevelType w:val="hybridMultilevel"/>
    <w:lvl w:ilvl="0">
      <w:lvlJc w:val="left"/>
      <w:lvlText w:val="(%1)"/>
      <w:numFmt w:val="lowerLetter"/>
      <w:start w:val="2"/>
    </w:lvl>
    <w:lvl w:ilvl="1">
      <w:lvlJc w:val="left"/>
      <w:lvlText w:val="(%2)"/>
      <w:numFmt w:val="lowerRoman"/>
      <w:start w:val="1"/>
    </w:lvl>
  </w:abstractNum>
  <w:abstractNum w:abstractNumId="46">
    <w:nsid w:val="7F01579B"/>
    <w:multiLevelType w:val="hybridMultilevel"/>
    <w:lvl w:ilvl="0">
      <w:lvlJc w:val="left"/>
      <w:lvlText w:val="%1."/>
      <w:numFmt w:val="decimal"/>
      <w:start w:val="10"/>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1)"/>
      <w:numFmt w:val="lowerLetter"/>
      <w:start w:val="9"/>
    </w:lvl>
    <w:lvl w:ilvl="1">
      <w:lvlJc w:val="left"/>
      <w:lvlText w:val="(%2)"/>
      <w:numFmt w:val="lowerRoman"/>
      <w:start w:val="1"/>
    </w:lvl>
  </w:abstractNum>
  <w:abstractNum w:abstractNumId="49">
    <w:nsid w:val="5FB8370B"/>
    <w:multiLevelType w:val="hybridMultilevel"/>
    <w:lvl w:ilvl="0">
      <w:lvlJc w:val="left"/>
      <w:lvlText w:val="%1."/>
      <w:numFmt w:val="decimal"/>
      <w:start w:val="12"/>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1)"/>
      <w:numFmt w:val="lowerRoman"/>
      <w:start w:val="1"/>
    </w:lvl>
  </w:abstractNum>
  <w:abstractNum w:abstractNumId="52">
    <w:nsid w:val="5FB8011C"/>
    <w:multiLevelType w:val="hybridMultilevel"/>
    <w:lvl w:ilvl="0">
      <w:lvlJc w:val="left"/>
      <w:lvlText w:val="1"/>
      <w:numFmt w:val="bullet"/>
      <w:start w:val="1"/>
    </w:lvl>
  </w:abstractNum>
  <w:abstractNum w:abstractNumId="53">
    <w:nsid w:val="6AA78F7F"/>
    <w:multiLevelType w:val="hybridMultilevel"/>
    <w:lvl w:ilvl="0">
      <w:lvlJc w:val="left"/>
      <w:lvlText w:val="1"/>
      <w:numFmt w:val="bullet"/>
      <w:start w:val="1"/>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1)"/>
      <w:numFmt w:val="decimal"/>
      <w:start w:val="1"/>
    </w:lvl>
  </w:abstractNum>
  <w:abstractNum w:abstractNumId="56">
    <w:nsid w:val="6A5F7029"/>
    <w:multiLevelType w:val="hybridMultilevel"/>
    <w:lvl w:ilvl="0">
      <w:lvlJc w:val="left"/>
      <w:lvlText w:val="2"/>
      <w:numFmt w:val="bullet"/>
      <w:start w:val="1"/>
    </w:lvl>
  </w:abstractNum>
  <w:abstractNum w:abstractNumId="57">
    <w:nsid w:val="7D5E18F8"/>
    <w:multiLevelType w:val="hybridMultilevel"/>
    <w:lvl w:ilvl="0">
      <w:lvlJc w:val="left"/>
      <w:lvlText w:val="2"/>
      <w:numFmt w:val="bullet"/>
      <w:start w:val="1"/>
    </w:lvl>
  </w:abstractNum>
  <w:abstractNum w:abstractNumId="58">
    <w:nsid w:val="5F3534A4"/>
    <w:multiLevelType w:val="hybridMultilevel"/>
    <w:lvl w:ilvl="0">
      <w:lvlJc w:val="left"/>
      <w:lvlText w:val="l"/>
      <w:numFmt w:val="bullet"/>
      <w:start w:val="1"/>
    </w:lvl>
  </w:abstractNum>
  <w:abstractNum w:abstractNumId="59">
    <w:nsid w:val="73A1821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0">
    <w:nsid w:val="7DE67713"/>
    <w:multiLevelType w:val="hybridMultilevel"/>
    <w:lvl w:ilvl="0">
      <w:lvlJc w:val="left"/>
      <w:lvlText w:val="%1."/>
      <w:numFmt w:val="decimal"/>
      <w:start w:val="3"/>
    </w:lvl>
  </w:abstractNum>
  <w:abstractNum w:abstractNumId="61">
    <w:nsid w:val="555C55B5"/>
    <w:multiLevelType w:val="hybridMultilevel"/>
    <w:lvl w:ilvl="0">
      <w:lvlJc w:val="left"/>
      <w:lvlText w:val="%1."/>
      <w:numFmt w:val="decimal"/>
      <w:start w:val="4"/>
    </w:lvl>
    <w:lvl w:ilvl="1">
      <w:lvlJc w:val="left"/>
      <w:lvlText w:val="(%2)"/>
      <w:numFmt w:val="lowerRoman"/>
      <w:start w:val="1"/>
    </w:lvl>
  </w:abstractNum>
  <w:abstractNum w:abstractNumId="62">
    <w:nsid w:val="3FA62ACA"/>
    <w:multiLevelType w:val="hybridMultilevel"/>
    <w:lvl w:ilvl="0">
      <w:lvlJc w:val="left"/>
      <w:lvlText w:val="%1."/>
      <w:numFmt w:val="decimal"/>
      <w:start w:val="5"/>
    </w:lvl>
  </w:abstractNum>
  <w:abstractNum w:abstractNumId="63">
    <w:nsid w:val="14FCE74E"/>
    <w:multiLevelType w:val="hybridMultilevel"/>
    <w:lvl w:ilvl="0">
      <w:lvlJc w:val="left"/>
      <w:lvlText w:val="(%1)"/>
      <w:numFmt w:val="lowerRoman"/>
      <w:start w:val="1"/>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1."/>
      <w:numFmt w:val="decimal"/>
      <w:start w:val="1"/>
    </w:lvl>
  </w:abstractNum>
  <w:abstractNum w:abstractNumId="66">
    <w:nsid w:val="9DAF632"/>
    <w:multiLevelType w:val="hybridMultilevel"/>
    <w:lvl w:ilvl="0">
      <w:lvlJc w:val="left"/>
      <w:lvlText w:val="%1."/>
      <w:numFmt w:val="decimal"/>
      <w:start w:val="2"/>
    </w:lvl>
  </w:abstractNum>
  <w:abstractNum w:abstractNumId="67">
    <w:nsid w:val="53299938"/>
    <w:multiLevelType w:val="hybridMultilevel"/>
    <w:lvl w:ilvl="0">
      <w:lvlJc w:val="left"/>
      <w:lvlText w:val="(%1)"/>
      <w:numFmt w:val="lowerLetter"/>
      <w:start w:val="1"/>
    </w:lvl>
  </w:abstractNum>
  <w:abstractNum w:abstractNumId="68">
    <w:nsid w:val="1FBFE8E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upperLetter"/>
      <w:start w:val="1"/>
    </w:lvl>
  </w:abstractNum>
  <w:abstractNum w:abstractNumId="69">
    <w:nsid w:val="5092CA79"/>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1"/>
    </w:lvl>
    <w:lvl w:ilvl="3">
      <w:lvlJc w:val="left"/>
      <w:lvlText w:val="(%4)"/>
      <w:numFmt w:val="upperLetter"/>
      <w:start w:val="1"/>
    </w:lvl>
  </w:abstractNum>
  <w:abstractNum w:abstractNumId="70">
    <w:nsid w:val="1D545C4D"/>
    <w:multiLevelType w:val="hybridMultilevel"/>
    <w:lvl w:ilvl="0">
      <w:lvlJc w:val="left"/>
      <w:lvlText w:val="%1"/>
      <w:numFmt w:val="decimal"/>
      <w:start w:val="1"/>
    </w:lvl>
    <w:lvl w:ilvl="1">
      <w:lvlJc w:val="left"/>
      <w:lvlText w:val="(%2)"/>
      <w:numFmt w:val="lowerLetter"/>
      <w:start w:val="5"/>
    </w:lvl>
  </w:abstractNum>
  <w:abstractNum w:abstractNumId="71">
    <w:nsid w:val="59ADEA3D"/>
    <w:multiLevelType w:val="hybridMultilevel"/>
    <w:lvl w:ilvl="0">
      <w:lvlJc w:val="left"/>
      <w:lvlText w:val="%1."/>
      <w:numFmt w:val="decimal"/>
      <w:start w:val="3"/>
    </w:lvl>
    <w:lvl w:ilvl="1">
      <w:lvlJc w:val="left"/>
      <w:lvlText w:val="%2"/>
      <w:numFmt w:val="lowerLetter"/>
      <w:start w:val="1"/>
    </w:lvl>
  </w:abstractNum>
  <w:abstractNum w:abstractNumId="72">
    <w:nsid w:val="288F1A34"/>
    <w:multiLevelType w:val="hybridMultilevel"/>
    <w:lvl w:ilvl="0">
      <w:lvlJc w:val="left"/>
      <w:lvlText w:val="%1."/>
      <w:numFmt w:val="decimal"/>
      <w:start w:val="4"/>
    </w:lvl>
  </w:abstractNum>
  <w:abstractNum w:abstractNumId="73">
    <w:nsid w:val="2A155DBC"/>
    <w:multiLevelType w:val="hybridMultilevel"/>
    <w:lvl w:ilvl="0">
      <w:lvlJc w:val="left"/>
      <w:lvlText w:val="%1."/>
      <w:numFmt w:val="decimal"/>
      <w:start w:val="6"/>
    </w:lvl>
  </w:abstractNum>
  <w:abstractNum w:abstractNumId="74">
    <w:nsid w:val="1D9F6E5F"/>
    <w:multiLevelType w:val="hybridMultilevel"/>
    <w:lvl w:ilvl="0">
      <w:lvlJc w:val="left"/>
      <w:lvlText w:val="%1."/>
      <w:numFmt w:val="decimal"/>
      <w:start w:val="7"/>
    </w:lvl>
  </w:abstractNum>
  <w:abstractNum w:abstractNumId="75">
    <w:nsid w:val="97E1B4E"/>
    <w:multiLevelType w:val="hybridMultilevel"/>
    <w:lvl w:ilvl="0">
      <w:lvlJc w:val="left"/>
      <w:lvlText w:val="%1."/>
      <w:numFmt w:val="decimal"/>
      <w:start w:val="8"/>
    </w:lvl>
  </w:abstractNum>
  <w:abstractNum w:abstractNumId="76">
    <w:nsid w:val="51088277"/>
    <w:multiLevelType w:val="hybridMultilevel"/>
    <w:lvl w:ilvl="0">
      <w:lvlJc w:val="left"/>
      <w:lvlText w:val="%1."/>
      <w:numFmt w:val="decimal"/>
      <w:start w:val="9"/>
    </w:lvl>
  </w:abstractNum>
  <w:abstractNum w:abstractNumId="77">
    <w:nsid w:val="1CA0C5FA"/>
    <w:multiLevelType w:val="hybridMultilevel"/>
    <w:lvl w:ilvl="0">
      <w:lvlJc w:val="left"/>
      <w:lvlText w:val="(%1)"/>
      <w:numFmt w:val="lowerLetter"/>
      <w:start w:val="1"/>
    </w:lvl>
    <w:lvl w:ilvl="1">
      <w:lvlJc w:val="left"/>
      <w:lvlText w:val="(%2)"/>
      <w:numFmt w:val="upperLetter"/>
      <w:start w:val="1"/>
    </w:lvl>
  </w:abstractNum>
  <w:abstractNum w:abstractNumId="78">
    <w:nsid w:val="53584BC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79">
    <w:nsid w:val="415E286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80">
    <w:nsid w:val="7C58FD05"/>
    <w:multiLevelType w:val="hybridMultilevel"/>
    <w:lvl w:ilvl="0">
      <w:lvlJc w:val="left"/>
      <w:lvlText w:val="(%1)"/>
      <w:numFmt w:val="lowerLetter"/>
      <w:start w:val="3"/>
    </w:lvl>
    <w:lvl w:ilvl="1">
      <w:lvlJc w:val="left"/>
      <w:lvlText w:val="%2"/>
      <w:numFmt w:val="upperLetter"/>
      <w:start w:val="1"/>
    </w:lvl>
    <w:lvl w:ilvl="2">
      <w:lvlJc w:val="left"/>
      <w:lvlText w:val="%3"/>
      <w:numFmt w:val="lowerLetter"/>
      <w:start w:val="1"/>
    </w:lvl>
  </w:abstractNum>
  <w:abstractNum w:abstractNumId="81">
    <w:nsid w:val="23D86AAC"/>
    <w:multiLevelType w:val="hybridMultilevel"/>
    <w:lvl w:ilvl="0">
      <w:lvlJc w:val="left"/>
      <w:lvlText w:val="%1."/>
      <w:numFmt w:val="decimal"/>
      <w:start w:val="10"/>
    </w:lvl>
    <w:lvl w:ilvl="1">
      <w:lvlJc w:val="left"/>
      <w:lvlText w:val="(%2)"/>
      <w:numFmt w:val="lowerLetter"/>
      <w:start w:val="1"/>
    </w:lvl>
  </w:abstractNum>
  <w:abstractNum w:abstractNumId="82">
    <w:nsid w:val="45E6D486"/>
    <w:multiLevelType w:val="hybridMultilevel"/>
    <w:lvl w:ilvl="0">
      <w:lvlJc w:val="left"/>
      <w:lvlText w:val="(%1)"/>
      <w:numFmt w:val="lowerLetter"/>
      <w:start w:val="10"/>
    </w:lvl>
  </w:abstractNum>
  <w:abstractNum w:abstractNumId="83">
    <w:nsid w:val="5C10FE21"/>
    <w:multiLevelType w:val="hybridMultilevel"/>
    <w:lvl w:ilvl="0">
      <w:lvlJc w:val="left"/>
      <w:lvlText w:val="%1"/>
      <w:numFmt w:val="decimal"/>
      <w:start w:val="1"/>
    </w:lvl>
    <w:lvl w:ilvl="1">
      <w:lvlJc w:val="left"/>
      <w:lvlText w:val="(%2)"/>
      <w:numFmt w:val="lowerLetter"/>
      <w:start w:val="12"/>
    </w:lvl>
  </w:abstractNum>
  <w:abstractNum w:abstractNumId="84">
    <w:nsid w:val="E7FFA2B"/>
    <w:multiLevelType w:val="hybridMultilevel"/>
    <w:lvl w:ilvl="0">
      <w:lvlJc w:val="left"/>
      <w:lvlText w:val="%1."/>
      <w:numFmt w:val="decimal"/>
      <w:start w:val="11"/>
    </w:lvl>
    <w:lvl w:ilvl="1">
      <w:lvlJc w:val="left"/>
      <w:lvlText w:val="%2"/>
      <w:numFmt w:val="lowerLetter"/>
      <w:start w:val="1"/>
    </w:lvl>
  </w:abstractNum>
  <w:abstractNum w:abstractNumId="85">
    <w:nsid w:val="3C5991AA"/>
    <w:multiLevelType w:val="hybridMultilevel"/>
    <w:lvl w:ilvl="0">
      <w:lvlJc w:val="left"/>
      <w:lvlText w:val="%1."/>
      <w:numFmt w:val="decimal"/>
      <w:start w:val="12"/>
    </w:lvl>
  </w:abstractNum>
  <w:abstractNum w:abstractNumId="86">
    <w:nsid w:val="4BD8591A"/>
    <w:multiLevelType w:val="hybridMultilevel"/>
    <w:lvl w:ilvl="0">
      <w:lvlJc w:val="left"/>
      <w:lvlText w:val="%1."/>
      <w:numFmt w:val="decimal"/>
      <w:start w:val="13"/>
    </w:lvl>
  </w:abstractNum>
  <w:abstractNum w:abstractNumId="87">
    <w:nsid w:val="78DF6A55"/>
    <w:multiLevelType w:val="hybridMultilevel"/>
    <w:lvl w:ilvl="0">
      <w:lvlJc w:val="left"/>
      <w:lvlText w:val="%1."/>
      <w:numFmt w:val="decimal"/>
      <w:start w:val="14"/>
    </w:lvl>
  </w:abstractNum>
  <w:abstractNum w:abstractNumId="88">
    <w:nsid w:val="39B7AAA2"/>
    <w:multiLevelType w:val="hybridMultilevel"/>
    <w:lvl w:ilvl="0">
      <w:lvlJc w:val="left"/>
      <w:lvlText w:val="%1."/>
      <w:numFmt w:val="decimal"/>
      <w:start w:val="15"/>
    </w:lvl>
  </w:abstractNum>
  <w:abstractNum w:abstractNumId="89">
    <w:nsid w:val="2B0D8DBE"/>
    <w:multiLevelType w:val="hybridMultilevel"/>
    <w:lvl w:ilvl="0">
      <w:lvlJc w:val="left"/>
      <w:lvlText w:val="(%1)"/>
      <w:numFmt w:val="lowerLetter"/>
      <w:start w:val="1"/>
    </w:lvl>
  </w:abstractNum>
  <w:abstractNum w:abstractNumId="90">
    <w:nsid w:val="6C80EC70"/>
    <w:multiLevelType w:val="hybridMultilevel"/>
    <w:lvl w:ilvl="0">
      <w:lvlJc w:val="left"/>
      <w:lvlText w:val="%1."/>
      <w:numFmt w:val="decimal"/>
      <w:start w:val="16"/>
    </w:lvl>
  </w:abstractNum>
  <w:abstractNum w:abstractNumId="91">
    <w:nsid w:val="379E21B5"/>
    <w:multiLevelType w:val="hybridMultilevel"/>
    <w:lvl w:ilvl="0">
      <w:lvlJc w:val="left"/>
      <w:lvlText w:val="%1."/>
      <w:numFmt w:val="decimal"/>
      <w:start w:val="1"/>
    </w:lvl>
  </w:abstractNum>
  <w:abstractNum w:abstractNumId="92">
    <w:nsid w:val="69E37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3">
    <w:nsid w:val="2C27173B"/>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94">
    <w:nsid w:val="4C9B0904"/>
    <w:multiLevelType w:val="hybridMultilevel"/>
    <w:lvl w:ilvl="0">
      <w:lvlJc w:val="left"/>
      <w:lvlText w:val="(%1)"/>
      <w:numFmt w:val="lowerRoman"/>
      <w:start w:val="3"/>
    </w:lvl>
    <w:lvl w:ilvl="1">
      <w:lvlJc w:val="left"/>
      <w:lvlText w:val="(%2)"/>
      <w:numFmt w:val="upperLetter"/>
      <w:start w:val="1"/>
    </w:lvl>
  </w:abstractNum>
  <w:abstractNum w:abstractNumId="95">
    <w:nsid w:val="6AA7B75C"/>
    <w:multiLevelType w:val="hybridMultilevel"/>
    <w:lvl w:ilvl="0">
      <w:lvlJc w:val="left"/>
      <w:lvlText w:val="%1"/>
      <w:numFmt w:val="decimal"/>
      <w:start w:val="1"/>
    </w:lvl>
    <w:lvl w:ilvl="1">
      <w:lvlJc w:val="left"/>
      <w:lvlText w:val="(%2)"/>
      <w:numFmt w:val="lowerRoman"/>
      <w:start w:val="5"/>
    </w:lvl>
  </w:abstractNum>
  <w:abstractNum w:abstractNumId="96">
    <w:nsid w:val="1DF029D3"/>
    <w:multiLevelType w:val="hybridMultilevel"/>
    <w:lvl w:ilvl="0">
      <w:lvlJc w:val="left"/>
      <w:lvlText w:val="%1."/>
      <w:numFmt w:val="decimal"/>
      <w:start w:val="4"/>
    </w:lvl>
    <w:lvl w:ilvl="1">
      <w:lvlJc w:val="left"/>
      <w:lvlText w:val="%2"/>
      <w:numFmt w:val="lowerRoman"/>
      <w:start w:val="1"/>
    </w:lvl>
  </w:abstractNum>
  <w:abstractNum w:abstractNumId="97">
    <w:nsid w:val="5675FF3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98">
    <w:nsid w:val="3DD1509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99">
    <w:nsid w:val="3DB012B3"/>
    <w:multiLevelType w:val="hybridMultilevel"/>
    <w:lvl w:ilvl="0">
      <w:lvlJc w:val="left"/>
      <w:lvlText w:val="(%1)"/>
      <w:numFmt w:val="lowerLetter"/>
      <w:start w:val="3"/>
    </w:lvl>
  </w:abstractNum>
  <w:abstractNum w:abstractNumId="100">
    <w:nsid w:val="2708C9AF"/>
    <w:multiLevelType w:val="hybridMultilevel"/>
    <w:lvl w:ilvl="0">
      <w:lvlJc w:val="left"/>
      <w:lvlText w:val="(%1)"/>
      <w:numFmt w:val="lowerLetter"/>
      <w:start w:val="1"/>
    </w:lvl>
  </w:abstractNum>
  <w:abstractNum w:abstractNumId="101">
    <w:nsid w:val="5B25ACE2"/>
    <w:multiLevelType w:val="hybridMultilevel"/>
    <w:lvl w:ilvl="0">
      <w:lvlJc w:val="left"/>
      <w:lvlText w:val="%1"/>
      <w:numFmt w:val="decimal"/>
      <w:start w:val="1"/>
    </w:lvl>
    <w:lvl w:ilvl="1">
      <w:lvlJc w:val="left"/>
      <w:lvlText w:val="(%2)"/>
      <w:numFmt w:val="lowerLetter"/>
      <w:start w:val="10"/>
    </w:lvl>
  </w:abstractNum>
  <w:abstractNum w:abstractNumId="102">
    <w:nsid w:val="175DFCF0"/>
    <w:multiLevelType w:val="hybridMultilevel"/>
    <w:lvl w:ilvl="0">
      <w:lvlJc w:val="left"/>
      <w:lvlText w:val="%1."/>
      <w:numFmt w:val="decimal"/>
      <w:start w:val="11"/>
    </w:lvl>
    <w:lvl w:ilvl="1">
      <w:lvlJc w:val="left"/>
      <w:lvlText w:val="%2"/>
      <w:numFmt w:val="lowerLetter"/>
      <w:start w:val="1"/>
    </w:lvl>
  </w:abstractNum>
  <w:abstractNum w:abstractNumId="103">
    <w:nsid w:val="4F97E3E4"/>
    <w:multiLevelType w:val="hybridMultilevel"/>
    <w:lvl w:ilvl="0">
      <w:lvlJc w:val="left"/>
      <w:lvlText w:val="%1."/>
      <w:numFmt w:val="decimal"/>
      <w:start w:val="12"/>
    </w:lvl>
  </w:abstractNum>
  <w:abstractNum w:abstractNumId="104">
    <w:nsid w:val="53B0A9E"/>
    <w:multiLevelType w:val="hybridMultilevel"/>
    <w:lvl w:ilvl="0">
      <w:lvlJc w:val="left"/>
      <w:lvlText w:val="(%1)"/>
      <w:numFmt w:val="lowerLetter"/>
      <w:start w:val="1"/>
    </w:lvl>
  </w:abstractNum>
  <w:abstractNum w:abstractNumId="105">
    <w:nsid w:val="34FD6B4F"/>
    <w:multiLevelType w:val="hybridMultilevel"/>
    <w:lvl w:ilvl="0">
      <w:lvlJc w:val="left"/>
      <w:lvlText w:val="(%1)"/>
      <w:numFmt w:val="lowerLetter"/>
      <w:start w:val="25"/>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1."/>
      <w:numFmt w:val="decimal"/>
      <w:start w:val="1"/>
    </w:lvl>
  </w:abstractNum>
  <w:abstractNum w:abstractNumId="108">
    <w:nsid w:val="519E3149"/>
    <w:multiLevelType w:val="hybridMultilevel"/>
    <w:lvl w:ilvl="0">
      <w:lvlJc w:val="left"/>
      <w:lvlText w:val="%1."/>
      <w:numFmt w:val="decimal"/>
      <w:start w:val="3"/>
    </w:lvl>
  </w:abstractNum>
  <w:abstractNum w:abstractNumId="109">
    <w:nsid w:val="2C6E4AFD"/>
    <w:multiLevelType w:val="hybridMultilevel"/>
    <w:lvl w:ilvl="0">
      <w:lvlJc w:val="left"/>
      <w:lvlText w:val="(%1)"/>
      <w:numFmt w:val="lowerLetter"/>
      <w:start w:val="1"/>
    </w:lvl>
  </w:abstractNum>
  <w:abstractNum w:abstractNumId="110">
    <w:nsid w:val="17A1B582"/>
    <w:multiLevelType w:val="hybridMultilevel"/>
    <w:lvl w:ilvl="0">
      <w:lvlJc w:val="left"/>
      <w:lvlText w:val="(%1)"/>
      <w:numFmt w:val="lowerLetter"/>
      <w:start w:val="3"/>
    </w:lvl>
    <w:lvl w:ilvl="1">
      <w:lvlJc w:val="left"/>
      <w:lvlText w:val="(%2)"/>
      <w:numFmt w:val="lowerRoman"/>
      <w:start w:val="1"/>
    </w:lvl>
  </w:abstractNum>
  <w:abstractNum w:abstractNumId="111">
    <w:nsid w:val="4DF72E4E"/>
    <w:multiLevelType w:val="hybridMultilevel"/>
    <w:lvl w:ilvl="0">
      <w:lvlJc w:val="left"/>
      <w:lvlText w:val="(%1)"/>
      <w:numFmt w:val="upperLetter"/>
      <w:start w:val="3"/>
    </w:lvl>
    <w:lvl w:ilvl="1">
      <w:lvlJc w:val="left"/>
      <w:lvlText w:val="(%2)"/>
      <w:numFmt w:val="lowerRoman"/>
      <w:start w:val="4"/>
    </w:lvl>
    <w:lvl w:ilvl="2">
      <w:lvlJc w:val="left"/>
      <w:lvlText w:val="(%3)"/>
      <w:numFmt w:val="upperLetter"/>
      <w:start w:val="1"/>
    </w:lvl>
  </w:abstractNum>
  <w:abstractNum w:abstractNumId="112">
    <w:nsid w:val="5046B5A9"/>
    <w:multiLevelType w:val="hybridMultilevel"/>
    <w:lvl w:ilvl="0">
      <w:lvlJc w:val="left"/>
      <w:lvlText w:val="%1"/>
      <w:numFmt w:val="decimal"/>
      <w:start w:val="1"/>
    </w:lvl>
    <w:lvl w:ilvl="1">
      <w:lvlJc w:val="left"/>
      <w:lvlText w:val="(%2)"/>
      <w:numFmt w:val="lowerRoman"/>
      <w:start w:val="5"/>
    </w:lvl>
  </w:abstractNum>
  <w:abstractNum w:abstractNumId="113">
    <w:nsid w:val="5D888A08"/>
    <w:multiLevelType w:val="hybridMultilevel"/>
    <w:lvl w:ilvl="0">
      <w:lvlJc w:val="left"/>
      <w:lvlText w:val="%1."/>
      <w:numFmt w:val="decimal"/>
      <w:start w:val="4"/>
    </w:lvl>
    <w:lvl w:ilvl="1">
      <w:lvlJc w:val="left"/>
      <w:lvlText w:val="%2"/>
      <w:numFmt w:val="lowerRoman"/>
      <w:start w:val="1"/>
    </w:lvl>
  </w:abstractNum>
  <w:abstractNum w:abstractNumId="114">
    <w:nsid w:val="2A082C7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15">
    <w:nsid w:val="5EC6AFD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16">
    <w:nsid w:val="19E21BB2"/>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lowerLetter"/>
      <w:start w:val="5"/>
    </w:lvl>
  </w:abstractNum>
  <w:abstractNum w:abstractNumId="119">
    <w:nsid w:val="5399C654"/>
    <w:multiLevelType w:val="hybridMultilevel"/>
    <w:lvl w:ilvl="0">
      <w:lvlJc w:val="left"/>
      <w:lvlText w:val="%1"/>
      <w:numFmt w:val="decimal"/>
      <w:start w:val="1"/>
    </w:lvl>
    <w:lvl w:ilvl="1">
      <w:lvlJc w:val="left"/>
      <w:lvlText w:val="(%2)"/>
      <w:numFmt w:val="lowerLetter"/>
      <w:start w:val="12"/>
    </w:lvl>
  </w:abstractNum>
  <w:abstractNum w:abstractNumId="120">
    <w:nsid w:val="20EE1348"/>
    <w:multiLevelType w:val="hybridMultilevel"/>
    <w:lvl w:ilvl="0">
      <w:lvlJc w:val="left"/>
      <w:lvlText w:val="%1."/>
      <w:numFmt w:val="decimal"/>
      <w:start w:val="11"/>
    </w:lvl>
    <w:lvl w:ilvl="1">
      <w:lvlJc w:val="left"/>
      <w:lvlText w:val="%2"/>
      <w:numFmt w:val="lowerLetter"/>
      <w:start w:val="1"/>
    </w:lvl>
  </w:abstractNum>
  <w:abstractNum w:abstractNumId="121">
    <w:nsid w:val="4427069A"/>
    <w:multiLevelType w:val="hybridMultilevel"/>
    <w:lvl w:ilvl="0">
      <w:lvlJc w:val="left"/>
      <w:lvlText w:val="%1."/>
      <w:numFmt w:val="decimal"/>
      <w:start w:val="12"/>
    </w:lvl>
  </w:abstractNum>
  <w:abstractNum w:abstractNumId="122">
    <w:nsid w:val="B37E80A"/>
    <w:multiLevelType w:val="hybridMultilevel"/>
    <w:lvl w:ilvl="0">
      <w:lvlJc w:val="left"/>
      <w:lvlText w:val="(%1)"/>
      <w:numFmt w:val="lowerLetter"/>
      <w:start w:val="1"/>
    </w:lvl>
  </w:abstractNum>
  <w:abstractNum w:abstractNumId="123">
    <w:nsid w:val="2157F6BC"/>
    <w:multiLevelType w:val="hybridMultilevel"/>
    <w:lvl w:ilvl="0">
      <w:lvlJc w:val="left"/>
      <w:lvlText w:val="·"/>
      <w:numFmt w:val="bullet"/>
      <w:start w:val="1"/>
    </w:lvl>
  </w:abstractNum>
  <w:abstractNum w:abstractNumId="124">
    <w:nsid w:val="704E1DD5"/>
    <w:multiLevelType w:val="hybridMultilevel"/>
    <w:lvl w:ilvl="0">
      <w:lvlJc w:val="left"/>
      <w:lvlText w:val="%1."/>
      <w:numFmt w:val="decimal"/>
      <w:start w:val="1"/>
    </w:lvl>
    <w:lvl w:ilvl="1">
      <w:lvlJc w:val="left"/>
      <w:lvlText w:val="(%2)"/>
      <w:numFmt w:val="lowerLetter"/>
      <w:start w:val="1"/>
    </w:lvl>
  </w:abstractNum>
  <w:abstractNum w:abstractNumId="125">
    <w:nsid w:val="57D2F10E"/>
    <w:multiLevelType w:val="hybridMultilevel"/>
    <w:lvl w:ilvl="0">
      <w:lvlJc w:val="left"/>
      <w:lvlText w:val="%1."/>
      <w:numFmt w:val="decimal"/>
      <w:start w:val="2"/>
    </w:lvl>
  </w:abstractNum>
  <w:abstractNum w:abstractNumId="126">
    <w:nsid w:val="BFFAE18"/>
    <w:multiLevelType w:val="hybridMultilevel"/>
    <w:lvl w:ilvl="0">
      <w:lvlJc w:val="left"/>
      <w:lvlText w:val="(%1)"/>
      <w:numFmt w:val="lowerLetter"/>
      <w:start w:val="1"/>
    </w:lvl>
    <w:lvl w:ilvl="1">
      <w:lvlJc w:val="left"/>
      <w:lvlText w:val="(%2)"/>
      <w:numFmt w:val="lowerRoman"/>
      <w:start w:val="1"/>
    </w:lvl>
  </w:abstractNum>
  <w:abstractNum w:abstractNumId="127">
    <w:nsid w:val="E3E47A8"/>
    <w:multiLevelType w:val="hybridMultilevel"/>
    <w:lvl w:ilvl="0">
      <w:lvlJc w:val="left"/>
      <w:lvlText w:val="(%1)"/>
      <w:numFmt w:val="lowerLetter"/>
      <w:start w:val="2"/>
    </w:lvl>
    <w:lvl w:ilvl="1">
      <w:lvlJc w:val="left"/>
      <w:lvlText w:val="(%2)"/>
      <w:numFmt w:val="lowerRoman"/>
      <w:start w:val="1"/>
    </w:lvl>
  </w:abstractNum>
  <w:abstractNum w:abstractNumId="128">
    <w:nsid w:val="2E48F04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9">
    <w:nsid w:val="49D0FEAC"/>
    <w:multiLevelType w:val="hybridMultilevel"/>
    <w:lvl w:ilvl="0">
      <w:lvlJc w:val="left"/>
      <w:lvlText w:val="(%1)"/>
      <w:numFmt w:val="lowerLetter"/>
      <w:start w:val="2"/>
    </w:lvl>
  </w:abstractNum>
  <w:abstractNum w:abstractNumId="130">
    <w:nsid w:val="4BEE5A5B"/>
    <w:multiLevelType w:val="hybridMultilevel"/>
    <w:lvl w:ilvl="0">
      <w:lvlJc w:val="left"/>
      <w:lvlText w:val="%1"/>
      <w:numFmt w:val="decimal"/>
      <w:start w:val="1"/>
    </w:lvl>
    <w:lvl w:ilvl="1">
      <w:lvlJc w:val="left"/>
      <w:lvlText w:val="(%2)"/>
      <w:numFmt w:val="lowerLetter"/>
      <w:start w:val="3"/>
    </w:lvl>
  </w:abstractNum>
  <w:abstractNum w:abstractNumId="131">
    <w:nsid w:val="5551B9F3"/>
    <w:multiLevelType w:val="hybridMultilevel"/>
    <w:lvl w:ilvl="0">
      <w:lvlJc w:val="left"/>
      <w:lvlText w:val="%1."/>
      <w:numFmt w:val="decimal"/>
      <w:start w:val="5"/>
    </w:lvl>
    <w:lvl w:ilvl="1">
      <w:lvlJc w:val="left"/>
      <w:lvlText w:val="%2"/>
      <w:numFmt w:val="lowerLetter"/>
      <w:start w:val="1"/>
    </w:lvl>
  </w:abstractNum>
  <w:abstractNum w:abstractNumId="132">
    <w:nsid w:val="24F6AB8E"/>
    <w:multiLevelType w:val="hybridMultilevel"/>
    <w:lvl w:ilvl="0">
      <w:lvlJc w:val="left"/>
      <w:lvlText w:val="%1."/>
      <w:numFmt w:val="decimal"/>
      <w:start w:val="6"/>
    </w:lvl>
  </w:abstractNum>
  <w:abstractNum w:abstractNumId="133">
    <w:nsid w:val="634C574C"/>
    <w:multiLevelType w:val="hybridMultilevel"/>
    <w:lvl w:ilvl="0">
      <w:lvlJc w:val="left"/>
      <w:lvlText w:val="%1."/>
      <w:numFmt w:val="decimal"/>
      <w:start w:val="7"/>
    </w:lvl>
  </w:abstractNum>
  <w:abstractNum w:abstractNumId="134">
    <w:nsid w:val="24E99DD7"/>
    <w:multiLevelType w:val="hybridMultilevel"/>
    <w:lvl w:ilvl="0">
      <w:lvlJc w:val="left"/>
      <w:lvlText w:val="%1."/>
      <w:numFmt w:val="decimal"/>
      <w:start w:val="8"/>
    </w:lvl>
  </w:abstractNum>
  <w:abstractNum w:abstractNumId="135">
    <w:nsid w:val="2A31B62D"/>
    <w:multiLevelType w:val="hybridMultilevel"/>
    <w:lvl w:ilvl="0">
      <w:lvlJc w:val="left"/>
      <w:lvlText w:val="%1."/>
      <w:numFmt w:val="decimal"/>
      <w:start w:val="9"/>
    </w:lvl>
  </w:abstractNum>
  <w:abstractNum w:abstractNumId="136">
    <w:nsid w:val="1849C29B"/>
    <w:multiLevelType w:val="hybridMultilevel"/>
    <w:lvl w:ilvl="0">
      <w:lvlJc w:val="left"/>
      <w:lvlText w:val="%1."/>
      <w:numFmt w:val="decimal"/>
      <w:start w:val="10"/>
    </w:lvl>
  </w:abstractNum>
  <w:abstractNum w:abstractNumId="137">
    <w:nsid w:val="7DFF9D09"/>
    <w:multiLevelType w:val="hybridMultilevel"/>
    <w:lvl w:ilvl="0">
      <w:lvlJc w:val="left"/>
      <w:lvlText w:val="%1."/>
      <w:numFmt w:val="decimal"/>
      <w:start w:val="11"/>
    </w:lvl>
  </w:abstractNum>
  <w:abstractNum w:abstractNumId="138">
    <w:nsid w:val="754342"/>
    <w:multiLevelType w:val="hybridMultilevel"/>
    <w:lvl w:ilvl="0">
      <w:lvlJc w:val="left"/>
      <w:lvlText w:val="%1."/>
      <w:numFmt w:val="decimal"/>
      <w:start w:val="12"/>
    </w:lvl>
  </w:abstractNum>
  <w:abstractNum w:abstractNumId="139">
    <w:nsid w:val="69E7F3E5"/>
    <w:multiLevelType w:val="hybridMultilevel"/>
    <w:lvl w:ilvl="0">
      <w:lvlJc w:val="left"/>
      <w:lvlText w:val="%1."/>
      <w:numFmt w:val="decimal"/>
      <w:start w:val="13"/>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lvl w:ilvl="1">
      <w:lvlJc w:val="left"/>
      <w:lvlText w:val="%2)"/>
      <w:numFmt w:val="lowerLetter"/>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2019-12-05T20:56:35Z</dcterms:created>
  <dcterms:modified xsi:type="dcterms:W3CDTF">2019-12-05T20:56:35Z</dcterms:modified>
</cp:coreProperties>
</file>