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637540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313"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1057"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1057"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1057"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1057" w:right="239" w:bottom="1440" w:gutter="0" w:footer="0" w:header="0"/>
          <w:type w:val="continuous"/>
        </w:sectPr>
      </w:pPr>
    </w:p>
    <w:p>
      <w:pPr>
        <w:spacing w:after="0" w:line="364"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1057" w:right="2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1057"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580"/>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x</w:t>
            </w:r>
          </w:p>
        </w:tc>
        <w:tc>
          <w:tcPr>
            <w:tcW w:w="394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5"/>
        </w:trPr>
        <w:tc>
          <w:tcPr>
            <w:tcW w:w="2440" w:type="dxa"/>
            <w:vAlign w:val="bottom"/>
            <w:vMerge w:val="restart"/>
          </w:tcPr>
          <w:p>
            <w:pPr>
              <w:ind w:left="580"/>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o</w:t>
            </w:r>
          </w:p>
        </w:tc>
        <w:tc>
          <w:tcPr>
            <w:tcW w:w="394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Smaller reporting company</w:t>
            </w:r>
          </w:p>
        </w:tc>
        <w:tc>
          <w:tcPr>
            <w:tcW w:w="780" w:type="dxa"/>
            <w:vAlign w:val="bottom"/>
            <w:vMerge w:val="restart"/>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320" w:type="dxa"/>
            <w:vAlign w:val="bottom"/>
            <w:gridSpan w:val="4"/>
          </w:tcPr>
          <w:p>
            <w:pPr>
              <w:jc w:val="right"/>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78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2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October 31, 2014 there were outstanding 39,058,814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25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EE"/>
          </w:rPr>
          <w:t>Financial Statements (Unaudited)</w:t>
        </w:r>
      </w:hyperlink>
    </w:p>
    <w:p>
      <w:pPr>
        <w:spacing w:after="0" w:line="200" w:lineRule="exact"/>
        <w:rPr>
          <w:sz w:val="20"/>
          <w:szCs w:val="20"/>
          <w:color w:val="auto"/>
        </w:rPr>
      </w:pPr>
    </w:p>
    <w:p>
      <w:pPr>
        <w:spacing w:after="0" w:line="241"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Comprehensive Income (Loss)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Cash Flows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6">
        <w:r>
          <w:rPr>
            <w:rFonts w:ascii="Arial" w:cs="Arial" w:eastAsia="Arial" w:hAnsi="Arial"/>
            <w:sz w:val="16"/>
            <w:szCs w:val="16"/>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3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51">
        <w:r>
          <w:rPr>
            <w:rFonts w:ascii="Arial" w:cs="Arial" w:eastAsia="Arial" w:hAnsi="Arial"/>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2">
        <w:r>
          <w:rPr>
            <w:rFonts w:ascii="Arial" w:cs="Arial" w:eastAsia="Arial" w:hAnsi="Arial"/>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4">
        <w:r>
          <w:rPr>
            <w:rFonts w:ascii="Arial" w:cs="Arial" w:eastAsia="Arial" w:hAnsi="Arial"/>
            <w:sz w:val="18"/>
            <w:szCs w:val="18"/>
            <w:u w:val="single" w:color="auto"/>
            <w:color w:val="0000EE"/>
          </w:rPr>
          <w:t>Legal Proceedings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4">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54">
        <w:r>
          <w:rPr>
            <w:rFonts w:ascii="Arial" w:cs="Arial" w:eastAsia="Arial" w:hAnsi="Arial"/>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4">
        <w:r>
          <w:rPr>
            <w:rFonts w:ascii="Arial" w:cs="Arial" w:eastAsia="Arial" w:hAnsi="Arial"/>
            <w:sz w:val="18"/>
            <w:szCs w:val="18"/>
            <w:u w:val="single" w:color="auto"/>
            <w:color w:val="0000EE"/>
          </w:rPr>
          <w:t>Other Information</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5">
        <w:r>
          <w:rPr>
            <w:rFonts w:ascii="Arial" w:cs="Arial" w:eastAsia="Arial" w:hAnsi="Arial"/>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50</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52</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52</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52</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52</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53</w:t>
        </w:r>
      </w:hyperlink>
    </w:p>
    <w:p>
      <w:pPr>
        <w:spacing w:after="0" w:line="200" w:lineRule="exact"/>
        <w:rPr>
          <w:sz w:val="20"/>
          <w:szCs w:val="20"/>
          <w:color w:val="auto"/>
        </w:rPr>
      </w:pPr>
    </w:p>
    <w:p>
      <w:pPr>
        <w:sectPr>
          <w:pgSz w:w="11900" w:h="16838" w:orient="portrait"/>
          <w:cols w:equalWidth="0" w:num="2">
            <w:col w:w="9880" w:space="720"/>
            <w:col w:w="540"/>
          </w:cols>
          <w:pgMar w:left="240" w:top="125" w:right="51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EE"/>
                <w:w w:val="98"/>
              </w:rPr>
            </w:pPr>
            <w:hyperlink w:anchor="page55">
              <w:r>
                <w:rPr>
                  <w:rFonts w:ascii="Arial" w:cs="Arial" w:eastAsia="Arial" w:hAnsi="Arial"/>
                  <w:sz w:val="18"/>
                  <w:szCs w:val="18"/>
                  <w:b w:val="1"/>
                  <w:bCs w:val="1"/>
                  <w:color w:val="0000EE"/>
                  <w:w w:val="98"/>
                </w:rPr>
                <w:t>SIGNATURE</w:t>
              </w:r>
            </w:hyperlink>
          </w:p>
        </w:tc>
        <w:tc>
          <w:tcPr>
            <w:tcW w:w="10040" w:type="dxa"/>
            <w:vAlign w:val="bottom"/>
            <w:gridSpan w:val="2"/>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6"/>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6"/>
          </w:tcPr>
          <w:p>
            <w:pPr>
              <w:ind w:left="100"/>
              <w:spacing w:after="0"/>
              <w:rPr>
                <w:sz w:val="20"/>
                <w:szCs w:val="20"/>
                <w:color w:val="auto"/>
              </w:rPr>
            </w:pPr>
            <w:r>
              <w:rPr>
                <w:rFonts w:ascii="Arial" w:cs="Arial" w:eastAsia="Arial" w:hAnsi="Arial"/>
                <w:sz w:val="18"/>
                <w:szCs w:val="18"/>
                <w:b w:val="1"/>
                <w:bCs w:val="1"/>
                <w:color w:val="auto"/>
                <w:w w:val="95"/>
              </w:rPr>
              <w:t>(in thousands, except per share data)</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496,454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1,460,602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1,425,202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345,692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345,407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992,264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975,407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150,762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468,338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449,795</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44,484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138,212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138,448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129,184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36,542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114,629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104,172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Amortization of business acquisition-related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31,379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28,379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32,777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134,304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156,572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415,414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435,960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16,458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52,924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Itron,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 - 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(loss) per common share -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39,213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39,325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39,493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39,623</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25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r>
      <w:tr>
        <w:trPr>
          <w:trHeight w:val="229"/>
        </w:trPr>
        <w:tc>
          <w:tcPr>
            <w:tcW w:w="5160" w:type="dxa"/>
            <w:vAlign w:val="bottom"/>
          </w:tcPr>
          <w:p>
            <w:pPr>
              <w:ind w:left="200"/>
              <w:spacing w:after="0"/>
              <w:rPr>
                <w:sz w:val="20"/>
                <w:szCs w:val="20"/>
                <w:color w:val="auto"/>
              </w:rPr>
            </w:pPr>
            <w:r>
              <w:rPr>
                <w:rFonts w:ascii="Arial" w:cs="Arial" w:eastAsia="Arial" w:hAnsi="Arial"/>
                <w:sz w:val="18"/>
                <w:szCs w:val="18"/>
                <w:color w:val="auto"/>
                <w:w w:val="92"/>
              </w:rPr>
              <w:t>Net unrealized gain (loss) on derivative instruments, designated as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cash flow hedges</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hedging loss (gain) reclassified into 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Pension plan benefit liability adjustment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(48,893)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(41,340)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14,772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6,919</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 (loss) attributable to noncontrolling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interests, net of tax:</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Net income (loss) attributable to noncontrolling interests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1,313</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Amounts attributable to noncontrolling interests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1,379</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14,116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5,540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306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rPr>
              <w:t>ITRON, INC.</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gridSpan w:val="4"/>
          </w:tcPr>
          <w:p>
            <w:pPr>
              <w:jc w:val="center"/>
              <w:ind w:right="164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06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88"/>
              </w:rPr>
              <w:t>(in thousands)</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 2014</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2013</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26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2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124,805</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342,480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356,709</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177,467</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Deferred tax assets current, net</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34,581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37,110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8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103,275</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current assets</w:t>
            </w:r>
          </w:p>
        </w:tc>
        <w:tc>
          <w:tcPr>
            <w:tcW w:w="2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795,072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799,366</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222,354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246,820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58,880</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31,604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33,027</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195,840</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515,641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548,578</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1,787,929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1,882,511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507"/>
        </w:trPr>
        <w:tc>
          <w:tcPr>
            <w:tcW w:w="1280" w:type="dxa"/>
            <w:vAlign w:val="bottom"/>
          </w:tcPr>
          <w:p>
            <w:pPr>
              <w:spacing w:after="0"/>
              <w:rPr>
                <w:sz w:val="24"/>
                <w:szCs w:val="24"/>
                <w:color w:val="auto"/>
              </w:rPr>
            </w:pPr>
          </w:p>
        </w:tc>
        <w:tc>
          <w:tcPr>
            <w:tcW w:w="5720" w:type="dxa"/>
            <w:vAlign w:val="bottom"/>
            <w:gridSpan w:val="3"/>
          </w:tcPr>
          <w:p>
            <w:pPr>
              <w:jc w:val="right"/>
              <w:ind w:right="2210"/>
              <w:spacing w:after="0"/>
              <w:rPr>
                <w:sz w:val="20"/>
                <w:szCs w:val="20"/>
                <w:color w:val="auto"/>
              </w:rPr>
            </w:pPr>
            <w:r>
              <w:rPr>
                <w:rFonts w:ascii="Arial" w:cs="Arial" w:eastAsia="Arial" w:hAnsi="Arial"/>
                <w:sz w:val="18"/>
                <w:szCs w:val="18"/>
                <w:b w:val="1"/>
                <w:bCs w:val="1"/>
                <w:color w:val="auto"/>
              </w:rPr>
              <w:t>LIABILITIES AND EQUITY</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199,769</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62,039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70,768</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89,314</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18,491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10,700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26,250</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22,283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21,048</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8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37,163</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475,175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455,012</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280,000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352,500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24,098</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Pension plan benefit liability</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82,529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88,687</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87,927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81,917</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950,922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1,009,540</w:t>
            </w:r>
          </w:p>
        </w:tc>
      </w:tr>
      <w:tr>
        <w:trPr>
          <w:trHeight w:val="284"/>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Preferred stock</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1,287,959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1,290,629</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(81,725)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(21,722)</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(387,358)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(413,671)</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2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818,876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855,236</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17,735</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2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837,007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872,971</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30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1,787,929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1,882,511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138"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22860</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75,233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73,749</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12,703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14,276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Deferred taxes,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(9,787)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(17,490)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Goodwill impairment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Restructuring expense, non-cash</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adjustments,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acquisition:</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(27,833)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4,719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other current liabilities, and taxes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Wages and benefits payable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(7,844)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Warranty</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116,538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65,877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Business acquisitions, net of cash and cash equivalents acquired</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3,705</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(32,253)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(41,703)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Payments on debt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(68,750)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(53,125)</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(23,566)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(79,355)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(36,084)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(7,260)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(2,454)</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124,805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136,411</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122,475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122,047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Non-cash transactions: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Property, plant, and equipment purchased but not yet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2,249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Income taxes,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8,528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10,817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net of amounts capitalized</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7,536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6,276</w:t>
            </w:r>
          </w:p>
        </w:tc>
      </w:tr>
      <w:tr>
        <w:trPr>
          <w:trHeight w:val="27"/>
        </w:trPr>
        <w:tc>
          <w:tcPr>
            <w:tcW w:w="7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electricity, natural gas, and water markets throughout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and nine months ended September 30, 2014 and 2013, the Consolidated Balance Sheets as of September 30, 2014 and December 31, 2013, and the Consolidated Statements of Cash Flows for the nine months ended September 30, 2014 and 2013 of Itron, Inc. and its subsidiaries. All entries required for the fair presentation of the financial statements are of a normal recurring nature, except as disclosed.</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2013 audited financial statements and notes included in our Annual Report on Form 10-K filed with the SEC on February 26, 2014. The results of operations for the three and nine months ended September 30, 2014 are not necessarily indicative of the results expected for the full fiscal year or for any other fiscal period.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Intercompany transactions and balances are eliminated upon consolidation.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(loss) (OCI) and are recognized in earnings when the hedged item affects earnings. Ineffective portions of cash flow hedges are recognized in other income (expense) in the Consolidated Statements of Operations.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 contract counterparties are credit-worthy multinational commercial banks, with whom we have master netting agreements; however, our derivative positions are not recorded on a net basis in the Consolidated Balance Sheets. There are no credit-risk-related contingent features within our derivative instruments. Refer to Note 7 and Note 13 for further disclosures of our derivative instruments and their impact on OCI.</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the straight-line method over the estimated useful lives of the assets, generally 30 years for buildings and improvements and three to ten years for machinery and equipment, computers and software, and furniture. Leasehold improvements are capitalized and depreciated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Statements of Operations according to the use of the asset, except those gains and losses recognized in conjunction with our restructuring activities, which are classified within restructuring expense.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 off and included in interest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recorded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recorded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recorded value of the associated IPR&amp;D is immediately expensed.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 Cash payments for contingent or deferred consideration are classified within cash flows from investing activities within the Consolidated Statements of Cash Flows.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effective in the fourth quarter of 2013.</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result in awards that are significantly greater or less than the estimates made in earlier quarters.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offer standard warranties on our hardware products and large application software products. We accrue the estimated cost of new product warranties based on historical and projected product performance trends and costs during the warranty period. Testing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termination of a contract in accordance with the contract terms or the cessation of the use of the rights conveyed by the contract, whichever occurs later.</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recorded within restructuring expense in the Consolidated Statements of Operations.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From time to time, we may repurchase shares of common stock under programs authorized by our Board of Directors. Share repurchases are made in the open market or in privately negotiated transactions and in accordance with applicable securities laws. Under applicable Washington State law, shares repurchased are retired and not reported separately as treasury stock on the financial statements; the value of the repurchased shares is deducted from common stock.</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loss. The majority of our revenue is recognized when products are shipped to or received by a customer or when services are provided.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Hardware revenues are recognized at the time of shipment, receipt by the customer, or, if applicable, upon completion of customer acceptance provisions.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network software revenue is recognized when shipped if all other revenue recognition criteria are met and services are not essential to the functionality of the software. If implementation services are essential to the functionality of the network software, software and implementation revenues are recognized using the percentage-of-completion methodology of contract accounting when project costs are reliably estimated.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data collection system does not use standard internet protocols and network design services are deemed complex and extensive, revenue from network software and services is recognized using the units-of-delivery method of contract accounting, as network design services and network software are essential to the functionality of the related hardware (network). This methodology results in the deferral of costs and revenues as professional services and software implementation commence prior to deployment of hardware.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unusual instances when we are unable to reliably estimate the cost to complete a contract at its inception, we use the completed contract method of contract accounting. Revenues and costs are recognized upon substantial completion when remaining costs are insignificant and potential risks are minimal.</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it is estimated.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multiple deliverable software arrangements.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Unearned revenue is recorded when a customer pays for products or services, but the criteria for revenue recognition have not been met as of the balance sheet date. Unearned revenues of $80.2 million and $69.8 million at September 30, 2014 and December 31, 2013 related primarily to professional services and software associated with our smart metering contracts, extended or noncustomary warranty, and prepaid post-contract support. Deferred costs are recorded for products or services for which ownership (typically defined as title and risk of loss) has transferred to the customer, but the criteria for revenue recognition have not been met as of the balance sheet date. Deferred costs were $25.9 million and $23.5 million at September 30, 2014 and December 31, 2013 and are recorded within other assets in the Consolidated Balance Sheets.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We do not capitalize product development costs, and we do not generally capitalize software development expenses as the costs incurred are immaterial for the relatively short period of time between technological feasibility and the completion of software development.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For ESPP awards, the fair value is the difference between the market close price of our common stock on the date of purchase and the discounted purchase price. For performance-based restricted stock units and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 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October 1, 2013, we changed the terms of the ESPP to reduce the discount to 5% from the fair market value of the stock at the end of each fiscal quarter. As a result of this change, the ESPP is no longer considered compensatory, and no compensation expense is recognized for sales of our common stock to employees.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compute our interim income tax provision through the use of an estimated annual effective tax rate (ETR) applied to year-to-date operating results and specific events that are discretely recognized as they occur. In calculating the estimated annual ETR, we analyze various factors, including the forecast mix of earnings in domestic and international jurisdictions, new or revised tax legislation and accounting pronouncements, tax credits, state income taxes, adjustments to valuation allowances, and uncertain tax positions, among other items. Discrete items, including the effect of changes in tax laws, tax rates, and certain circumstances with respect to valuation allowances or other unusual or non-recurring tax adjustments, are reflected in the period in which they occur as an addition to, or reduction from, the income tax provision, rather than included in the estimated annual ETR.</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Deferred tax assets and liabilities are recognized based upon anticipated future tax consequences, in each of the jurisdictions in which we operate, attributable to: (1) the differences between the financial statement carrying amounts of existing assets and liabilities and their respective income tax bases; and</w:t>
      </w:r>
    </w:p>
    <w:p>
      <w:pPr>
        <w:jc w:val="both"/>
        <w:ind w:firstLine="8"/>
        <w:spacing w:after="0" w:line="292" w:lineRule="auto"/>
        <w:tabs>
          <w:tab w:leader="none" w:pos="258"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jurisdictions to our tax positions. The effect on deferred tax assets and liabilities of a change in tax rates is recognized in the period that includes the enactment date. A valuation allowance is recorded to reduce the carrying amount of deferred tax assets if it is more likely than not that such assets will not be realized. We do not record tax liabilities on undistributed earnings of international subsidiaries that are permanently reinvested.</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utilize a two step approach to account for uncertain tax positions. A tax position is first evaluated for recognition based on its technical merits. Tax positions that have a greater than 50%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 no longer meets the recognition threshold or upon expiration of the statute of limitations. We classify interest expense and penalties related to uncertain tax positions and interest income on tax overpayments as part of income tax expense.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May 2014, the Financial Accounting Standards Board issued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606 </w:t>
      </w:r>
      <w:r>
        <w:rPr>
          <w:rFonts w:ascii="Arial" w:cs="Arial" w:eastAsia="Arial" w:hAnsi="Arial"/>
          <w:sz w:val="16"/>
          <w:szCs w:val="16"/>
          <w:color w:val="auto"/>
        </w:rPr>
        <w:t>(ASU 2014-09), to supersede nearly all existing revenue recognition guidance under U.S. GAAP. The core principle of ASU 2014-09 is to</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revenues when promised goods or services are transferred to customers in an amount that reflects the consideration that is expected to be received for those goods or services. ASU 2014-09 is effective for us on January 1, 2017 using either the retrospective or modified-retrospective transition method. We are currently evaluating the impact of our pending adoption of ASU 2014-09 on our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54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6"/>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6"/>
          </w:tcPr>
          <w:p>
            <w:pPr>
              <w:ind w:left="240"/>
              <w:spacing w:after="0"/>
              <w:rPr>
                <w:sz w:val="20"/>
                <w:szCs w:val="20"/>
                <w:color w:val="auto"/>
              </w:rPr>
            </w:pPr>
            <w:r>
              <w:rPr>
                <w:rFonts w:ascii="Arial" w:cs="Arial" w:eastAsia="Arial" w:hAnsi="Arial"/>
                <w:sz w:val="16"/>
                <w:szCs w:val="16"/>
                <w:b w:val="1"/>
                <w:bCs w:val="1"/>
                <w:color w:val="auto"/>
              </w:rPr>
              <w:t>(in thousands, except per share data)</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(7,348)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7,621</w:t>
            </w:r>
          </w:p>
        </w:tc>
      </w:tr>
      <w:tr>
        <w:trPr>
          <w:trHeight w:val="270"/>
        </w:trPr>
        <w:tc>
          <w:tcPr>
            <w:tcW w:w="5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39,213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39,127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39,325</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298</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39,493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39,127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39,623</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Earnings (loss) per common share - Basic</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0.19</w:t>
            </w:r>
          </w:p>
        </w:tc>
      </w:tr>
      <w:tr>
        <w:trPr>
          <w:trHeight w:val="73"/>
        </w:trPr>
        <w:tc>
          <w:tcPr>
            <w:tcW w:w="516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42"/>
        </w:trPr>
        <w:tc>
          <w:tcPr>
            <w:tcW w:w="51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Earnings (loss) per common share - 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1.1 million and 1.2 million stock-based awards were excluded from the calculation of diluted EPS for the three and nine months ended September 30, 2014, and approximately 1.3 million and 1.1 million stock-based awards were excluded from the calculation of diluted EPS for the three and nine months ended September 30, 2013, because they were anti-dilutive. These stock-based awards could be dilutive in future periods.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September 30, 2014 and December 31, 2013.</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March 8, 2013, the Board authorized a 12-month repurchase program of up to $50 million in shares of our common stock. The March 8, 2013 authorization expired on March 7, 2014. From January 1, 2014 through March 7, 2014, we repurchased 75,203 shares of our common stock, totaling $2.9 million.</w:t>
      </w:r>
    </w:p>
    <w:p>
      <w:pPr>
        <w:spacing w:after="0" w:line="19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February 7, 2014, the Board authorized a 12-month repurchase program of up to $50 million in shares of our common stock, to begin on March 8, 2014, upon the expiration of the previous stock repurchase program. From March 8, 2014 through September 30, 2014, we repurchased 311,177 shares of our common stock, totaling $12.4 million, and $37.6 million remains under the current program for future purchases.</w:t>
      </w:r>
    </w:p>
    <w:p>
      <w:pPr>
        <w:spacing w:after="0" w:line="21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28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2014</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$6,524 and $8,368)</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310,261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328,240</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32,219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28,469</w:t>
            </w:r>
          </w:p>
        </w:tc>
      </w:tr>
      <w:tr>
        <w:trPr>
          <w:trHeight w:val="33"/>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342,480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356,709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September 30, 2014 and December 31, 2013, $4.7 million and $3.2 million, respectively, were recorded within trade receivables as billed but not yet paid by customers, in accordance with contract retainage provisions. At September 30, 2014 and December 31, 2013, contract retainage amounts that were unbilled and classified as unbilled receivables were $3.6 million and $4.3 million, respectively. These contract retainage amounts within trade receivables and unbilled receivables are expected to be collected within the following 12 months.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2014 and December 31, 2013, long-term unbilled receivables totaled $4.5 million and $4.7 million, respectively. These long-term unbilled receivables are classified within other long-term assets, as collection is not anticipated within the following 12 months. We had no long-term billed contract retainage receivables at September 30, 2014 and December 31, 2013, as we expect to collect all contract retainage receivables within the following 12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accounts activity</w:t>
            </w:r>
          </w:p>
        </w:tc>
        <w:tc>
          <w:tcPr>
            <w:tcW w:w="3060" w:type="dxa"/>
            <w:vAlign w:val="bottom"/>
            <w:gridSpan w:val="5"/>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gridSpan w:val="8"/>
          </w:tcPr>
          <w:p>
            <w:pPr>
              <w:ind w:left="56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gridSpan w:val="3"/>
          </w:tcPr>
          <w:p>
            <w:pPr>
              <w:jc w:val="right"/>
              <w:ind w:right="598"/>
              <w:spacing w:after="0"/>
              <w:rPr>
                <w:sz w:val="20"/>
                <w:szCs w:val="20"/>
                <w:color w:val="auto"/>
              </w:rPr>
            </w:pPr>
            <w:r>
              <w:rPr>
                <w:rFonts w:ascii="Arial" w:cs="Arial" w:eastAsia="Arial" w:hAnsi="Arial"/>
                <w:sz w:val="16"/>
                <w:szCs w:val="16"/>
                <w:b w:val="1"/>
                <w:bCs w:val="1"/>
                <w:color w:val="auto"/>
                <w:w w:val="92"/>
              </w:rPr>
              <w:t>(in thousands)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7,355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6,948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5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Provision (release) of doubtful accounts, net</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1,290</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(545)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Effect of change in exchange rates</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8,227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6,524</w:t>
            </w:r>
          </w:p>
        </w:tc>
        <w:tc>
          <w:tcPr>
            <w:tcW w:w="5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Inventories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2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gridSpan w:val="4"/>
          </w:tcPr>
          <w:p>
            <w:pPr>
              <w:jc w:val="right"/>
              <w:ind w:right="378"/>
              <w:spacing w:after="0"/>
              <w:rPr>
                <w:sz w:val="20"/>
                <w:szCs w:val="20"/>
                <w:color w:val="auto"/>
              </w:rPr>
            </w:pPr>
            <w:r>
              <w:rPr>
                <w:rFonts w:ascii="Arial" w:cs="Arial" w:eastAsia="Arial" w:hAnsi="Arial"/>
                <w:sz w:val="16"/>
                <w:szCs w:val="16"/>
                <w:b w:val="1"/>
                <w:bCs w:val="1"/>
                <w:color w:val="auto"/>
              </w:rPr>
              <w:t>September 30, 2014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gridSpan w:val="5"/>
          </w:tcPr>
          <w:p>
            <w:pPr>
              <w:ind w:left="20"/>
              <w:spacing w:after="0"/>
              <w:rPr>
                <w:sz w:val="20"/>
                <w:szCs w:val="20"/>
                <w:color w:val="auto"/>
              </w:rPr>
            </w:pPr>
            <w:r>
              <w:rPr>
                <w:rFonts w:ascii="Arial" w:cs="Arial" w:eastAsia="Arial" w:hAnsi="Arial"/>
                <w:sz w:val="16"/>
                <w:szCs w:val="16"/>
                <w:b w:val="1"/>
                <w:bCs w:val="1"/>
                <w:color w:val="auto"/>
              </w:rPr>
              <w:t>December 31, 2013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101,607</w:t>
            </w:r>
          </w:p>
        </w:tc>
        <w:tc>
          <w:tcPr>
            <w:tcW w:w="580" w:type="dxa"/>
            <w:vAlign w:val="bottom"/>
            <w:tcBorders>
              <w:bottom w:val="single" w:sz="8" w:color="CCEEFF"/>
            </w:tcBorders>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11,694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13,770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77,388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190,689</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177,467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inventory levels may vary from period to period as a result of our factory scheduling and the timing of contract fulfillments, which may include the buildup of materials in preparation for customer orders or finished goods for shipment.</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Consigned inventory is held at third-party locations; however, we retain title to the inventory until it is purchased by the third-party. Consigned inventory, consisting of raw materials and finished goods, was $3.6 million and $6.4 million at September 30, 2014 and December 31, 2013, respectively.</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28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2014</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307,098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309,525</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software</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101,861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99,654</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145,926</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22,764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24,005</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14,257</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2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588,134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593,367</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(365,780)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(346,547)</w:t>
            </w:r>
          </w:p>
        </w:tc>
      </w:tr>
      <w:tr>
        <w:trPr>
          <w:trHeight w:val="217"/>
        </w:trPr>
        <w:tc>
          <w:tcPr>
            <w:tcW w:w="6740" w:type="dxa"/>
            <w:vAlign w:val="bottom"/>
          </w:tcPr>
          <w:p>
            <w:pPr>
              <w:ind w:left="10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222,354</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246,820</w:t>
            </w:r>
          </w:p>
        </w:tc>
      </w:tr>
      <w:tr>
        <w:trPr>
          <w:trHeight w:val="33"/>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320" w:type="dxa"/>
            <w:vAlign w:val="bottom"/>
          </w:tcPr>
          <w:p>
            <w:pPr>
              <w:spacing w:after="0"/>
              <w:rPr>
                <w:sz w:val="20"/>
                <w:szCs w:val="20"/>
                <w:color w:val="auto"/>
              </w:rPr>
            </w:pPr>
          </w:p>
        </w:tc>
        <w:tc>
          <w:tcPr>
            <w:tcW w:w="338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20"/>
                <w:szCs w:val="20"/>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7"/>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13,691</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14,330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42,118</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42,370</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4"/>
          </w:tcPr>
          <w:p>
            <w:pPr>
              <w:ind w:left="80"/>
              <w:spacing w:after="0"/>
              <w:rPr>
                <w:sz w:val="20"/>
                <w:szCs w:val="20"/>
                <w:color w:val="auto"/>
              </w:rPr>
            </w:pPr>
            <w:r>
              <w:rPr>
                <w:rFonts w:ascii="Arial" w:cs="Arial" w:eastAsia="Arial" w:hAnsi="Arial"/>
                <w:sz w:val="16"/>
                <w:szCs w:val="16"/>
                <w:b w:val="1"/>
                <w:bCs w:val="1"/>
                <w:color w:val="auto"/>
              </w:rPr>
              <w:t>September 30, 2014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gridSpan w:val="6"/>
          </w:tcPr>
          <w:p>
            <w:pPr>
              <w:ind w:left="80"/>
              <w:spacing w:after="0"/>
              <w:rPr>
                <w:sz w:val="20"/>
                <w:szCs w:val="20"/>
                <w:color w:val="auto"/>
              </w:rPr>
            </w:pPr>
            <w:r>
              <w:rPr>
                <w:rFonts w:ascii="Arial" w:cs="Arial" w:eastAsia="Arial" w:hAnsi="Arial"/>
                <w:sz w:val="16"/>
                <w:szCs w:val="16"/>
                <w:b w:val="1"/>
                <w:bCs w:val="1"/>
                <w:color w:val="auto"/>
              </w:rPr>
              <w:t>December 31, 2013</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ind w:left="2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87"/>
              </w:rPr>
              <w:t>Gross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960" w:type="dxa"/>
            <w:vAlign w:val="bottom"/>
            <w:gridSpan w:val="3"/>
          </w:tcPr>
          <w:p>
            <w:pPr>
              <w:ind w:left="18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w w:val="85"/>
              </w:rPr>
              <w:t>Gross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ind w:left="2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Net</w:t>
            </w: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414,289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(361,336)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52,953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428,890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(356,017)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72,873</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274,073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(176,036)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19"/>
              <w:spacing w:after="0"/>
              <w:rPr>
                <w:sz w:val="20"/>
                <w:szCs w:val="20"/>
                <w:color w:val="auto"/>
              </w:rPr>
            </w:pPr>
            <w:r>
              <w:rPr>
                <w:rFonts w:ascii="Arial" w:cs="Arial" w:eastAsia="Arial" w:hAnsi="Arial"/>
                <w:sz w:val="16"/>
                <w:szCs w:val="16"/>
                <w:color w:val="auto"/>
              </w:rPr>
              <w:t>98,037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291,185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(173,952)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117,233</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(67,449)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5,668</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11,584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19"/>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11,089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769,992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(614,560)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155,432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804,281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(608,441)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195,840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620" w:type="dxa"/>
            <w:vAlign w:val="bottom"/>
            <w:gridSpan w:val="3"/>
          </w:tcPr>
          <w:p>
            <w:pPr>
              <w:spacing w:after="0"/>
              <w:rPr>
                <w:sz w:val="20"/>
                <w:szCs w:val="20"/>
                <w:color w:val="auto"/>
              </w:rPr>
            </w:pPr>
            <w:r>
              <w:rPr>
                <w:rFonts w:ascii="Arial" w:cs="Arial" w:eastAsia="Arial" w:hAnsi="Arial"/>
                <w:sz w:val="18"/>
                <w:szCs w:val="18"/>
                <w:color w:val="auto"/>
              </w:rPr>
              <w:t>A summary of intangible asset activity is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21"/>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7"/>
          </w:tcPr>
          <w:p>
            <w:pPr>
              <w:jc w:val="center"/>
              <w:ind w:left="139"/>
              <w:spacing w:after="0"/>
              <w:rPr>
                <w:sz w:val="20"/>
                <w:szCs w:val="20"/>
                <w:color w:val="auto"/>
              </w:rPr>
            </w:pPr>
            <w:r>
              <w:rPr>
                <w:rFonts w:ascii="Arial" w:cs="Arial" w:eastAsia="Arial" w:hAnsi="Arial"/>
                <w:sz w:val="16"/>
                <w:szCs w:val="16"/>
                <w:b w:val="1"/>
                <w:bCs w:val="1"/>
                <w:color w:val="auto"/>
                <w:w w:val="91"/>
              </w:rPr>
              <w:t>Nine Months Ended September 30,</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5"/>
          </w:tcPr>
          <w:p>
            <w:pPr>
              <w:jc w:val="right"/>
              <w:ind w:right="84"/>
              <w:spacing w:after="0"/>
              <w:rPr>
                <w:sz w:val="20"/>
                <w:szCs w:val="20"/>
                <w:color w:val="auto"/>
              </w:rPr>
            </w:pPr>
            <w:r>
              <w:rPr>
                <w:rFonts w:ascii="Arial" w:cs="Arial" w:eastAsia="Arial" w:hAnsi="Arial"/>
                <w:sz w:val="16"/>
                <w:szCs w:val="16"/>
                <w:b w:val="1"/>
                <w:bCs w:val="1"/>
                <w:color w:val="auto"/>
              </w:rPr>
              <w:t>2013</w:t>
            </w:r>
          </w:p>
        </w:tc>
        <w:tc>
          <w:tcPr>
            <w:tcW w:w="82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7"/>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7"/>
          </w:tcPr>
          <w:p>
            <w:pPr>
              <w:jc w:val="center"/>
              <w:ind w:left="159"/>
              <w:spacing w:after="0"/>
              <w:rPr>
                <w:sz w:val="20"/>
                <w:szCs w:val="20"/>
                <w:color w:val="auto"/>
              </w:rPr>
            </w:pPr>
            <w:r>
              <w:rPr>
                <w:rFonts w:ascii="Arial" w:cs="Arial" w:eastAsia="Arial" w:hAnsi="Arial"/>
                <w:sz w:val="16"/>
                <w:szCs w:val="16"/>
                <w:b w:val="1"/>
                <w:bCs w:val="1"/>
                <w:color w:val="auto"/>
                <w:w w:val="90"/>
              </w:rPr>
              <w:t>(in thousands)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804,281</w:t>
            </w:r>
          </w:p>
        </w:tc>
        <w:tc>
          <w:tcPr>
            <w:tcW w:w="1160" w:type="dxa"/>
            <w:vAlign w:val="bottom"/>
            <w:tcBorders>
              <w:bottom w:val="single" w:sz="8" w:color="CCEEFF"/>
            </w:tcBorders>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802,540</w:t>
            </w: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6"/>
                <w:szCs w:val="16"/>
                <w:color w:val="auto"/>
              </w:rPr>
              <w:t>1,453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(35,742)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7"/>
        </w:trPr>
        <w:tc>
          <w:tcPr>
            <w:tcW w:w="3340" w:type="dxa"/>
            <w:vAlign w:val="bottom"/>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769,992</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798,040</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nine months ended September 30, 2014, intangible assets acquired consist of purchased technology and purchased software licenses to be sold to others. Amortization expense associated with these intangible assets will be classified within cost of revenues in the Consolidated Statements of Operations.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For the nine months ended September 30, 2013, the adjustment of $1.5 million to intangible assets acquired is associated with the correction of an error for a long-term revenue contract from the SmartSynch acquisition, which occurred on May 1, 2012. During the second quarter of 2013, we finalized the purchase price allocation related to this acquisition and recorded certain adjustments that are reflected as </w:t>
      </w:r>
      <w:r>
        <w:rPr>
          <w:rFonts w:ascii="Arial" w:cs="Arial" w:eastAsia="Arial" w:hAnsi="Arial"/>
          <w:sz w:val="18"/>
          <w:szCs w:val="18"/>
          <w:i w:val="1"/>
          <w:iCs w:val="1"/>
          <w:color w:val="auto"/>
        </w:rPr>
        <w:t>Intangible assets acquired</w:t>
      </w:r>
      <w:r>
        <w:rPr>
          <w:rFonts w:ascii="Arial" w:cs="Arial" w:eastAsia="Arial" w:hAnsi="Arial"/>
          <w:sz w:val="18"/>
          <w:szCs w:val="18"/>
          <w:color w:val="auto"/>
        </w:rPr>
        <w:t>. These adjustments primarily affected the fair value calculation of certain accrued liabilities associated with specific contracts. Among these adjustments was the correction of an error associated with a long-term revenue contract acquired from SmartSynch. In May 2013, we determined that certain manufacturing costs were not reflected in the model used to value this contract at acquisition. Once these costs were properly added to the total cost and profitability estimates, we determined the total contract would result in a loss over the contract term. Previously, we had recognized a customer relationship intangible asset of $1.5 million associated with this contract, with amortization scheduled to begin in 2014 based on the contract's original projected cash flow. Since the contract is in an overall loss position, we determined that the intangible asset had no value. We reduced the value of this intangible asset to zero with a corresponding adjustment to goodwill.</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of our international subsidiaries are recorded in their respective functional currency; therefore, the carrying amounts of intangible assets increase or decrease, with a corresponding change in accumulated OCI, due to changes in foreign currency exchange rates.</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annual amortization expense is as follows:</w:t>
      </w: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58058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2014 (amount remaining at September 30, 2014)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Beyond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intangible assets subject to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Estimated Annual</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1294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(in thousands)</w:t>
      </w:r>
    </w:p>
    <w:p>
      <w:pPr>
        <w:spacing w:after="0" w:line="90" w:lineRule="exact"/>
        <w:rPr>
          <w:sz w:val="20"/>
          <w:szCs w:val="20"/>
          <w:color w:val="auto"/>
        </w:rPr>
      </w:pPr>
    </w:p>
    <w:p>
      <w:pPr>
        <w:spacing w:after="0"/>
        <w:tabs>
          <w:tab w:leader="none" w:pos="14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10,701</w:t>
      </w:r>
    </w:p>
    <w:p>
      <w:pPr>
        <w:spacing w:after="0" w:line="9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34,505</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27,234</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20,169</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14,102</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48,721</w:t>
      </w:r>
    </w:p>
    <w:p>
      <w:pPr>
        <w:spacing w:after="0" w:line="86" w:lineRule="exact"/>
        <w:rPr>
          <w:sz w:val="20"/>
          <w:szCs w:val="20"/>
          <w:color w:val="auto"/>
        </w:rPr>
      </w:pPr>
    </w:p>
    <w:p>
      <w:pPr>
        <w:ind w:left="1380" w:hanging="1372"/>
        <w:spacing w:after="0"/>
        <w:tabs>
          <w:tab w:leader="none" w:pos="1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155,432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1294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8680" w:space="720"/>
            <w:col w:w="2020"/>
          </w:cols>
          <w:pgMar w:left="240" w:top="125" w:right="239" w:bottom="1440" w:gutter="0" w:footer="0" w:header="0"/>
          <w:type w:val="continuous"/>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as of September 30, 2014:</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Electricity</w:t>
            </w:r>
          </w:p>
        </w:tc>
        <w:tc>
          <w:tcPr>
            <w:tcW w:w="50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Water</w:t>
            </w:r>
          </w:p>
        </w:tc>
        <w:tc>
          <w:tcPr>
            <w:tcW w:w="30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2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color w:val="auto"/>
              </w:rPr>
              <w:t>Balance at January 1, 2014</w:t>
            </w: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493,610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394,878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429,783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1,318,271</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(433,378)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(336,315)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(769,693)</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60,232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394,878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548,578</w:t>
            </w:r>
          </w:p>
        </w:tc>
      </w:tr>
      <w:tr>
        <w:trPr>
          <w:trHeight w:val="264"/>
        </w:trPr>
        <w:tc>
          <w:tcPr>
            <w:tcW w:w="28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(2,408)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(24,211)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(31,960)</w:t>
            </w: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Balance at September 30, 2014</w:t>
            </w:r>
          </w:p>
        </w:tc>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463,550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370,667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397,462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1,231,679</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(406,703)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(309,335)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(716,038)</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56,847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370,667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515,641</w:t>
            </w: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our 2013 annual goodwill impairment test, we determined that the carrying value of the Electricity reporting unit exceeded its fair value, primarily due to delays in global smart grid projects and lower volumes and pricing pressures in certain regions in Europe and Asia/Pacific. The revised forecast for the Electricity business drove a decrease in the fair value of the reporting unit. As a result, we performed the second step of the goodwill impairment test for the Electricity reporting unit, which indicated a goodwill impairment of $173.2 million. This charge was recorded during the fourth quarter of 2013. Upon finalizing our 2013 goodwill analysis late in the year-end reporting process, we determined $977,000 of additional goodwill impairment expense should have been recognized. In accordance with relevant accounting guidance, we evaluated the materiality of the error from a qualitative and quantitative perspective. Based on such evaluation, we concluded that recognizing the incremental goodwill impairment during the three months ended March 31, 2014 would not be material, quantitatively or qualitatively, to our results of operations for the three months ended March 31, 2014 or our expected full year results of operations for 2014 and would not have had a material impact on our results for the year ended December 31, 2013.</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 for a description of our reporting units and the methods used to determine the fair values of our reporting units and to determine the amount of any goodwill impairment.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stock price has declined from $43.04 at October 1, 2013 to $38.75 at October 1, 2014, resulting in a decrease in our market capitalization. However, there were no indicators of impairment that would require an interim goodwill impairment test prior to our annual goodwill impairment test.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and accumulated impairment losses associated with our international subsidiaries are recorded in their respective functional currencies; therefore, the carrying amounts of these balances increase or decrease, with a corresponding change in accumulated OCI, due to changes in foreign currency exchange rates.</w:t>
      </w:r>
    </w:p>
    <w:p>
      <w:pPr>
        <w:sectPr>
          <w:pgSz w:w="11900" w:h="16838" w:orient="portrait"/>
          <w:cols w:equalWidth="0" w:num="1">
            <w:col w:w="11420"/>
          </w:cols>
          <w:pgMar w:left="240" w:top="125" w:right="239" w:bottom="1440" w:gutter="0" w:footer="0" w:header="0"/>
        </w:sectPr>
      </w:pPr>
    </w:p>
    <w:p>
      <w:pPr>
        <w:spacing w:after="0" w:line="23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2014</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33"/>
        </w:trPr>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240,000</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258,750</w:t>
            </w:r>
          </w:p>
        </w:tc>
      </w:tr>
      <w:tr>
        <w:trPr>
          <w:trHeight w:val="270"/>
        </w:trPr>
        <w:tc>
          <w:tcPr>
            <w:tcW w:w="30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120,000</w:t>
            </w:r>
          </w:p>
        </w:tc>
      </w:tr>
      <w:tr>
        <w:trPr>
          <w:trHeight w:val="47"/>
        </w:trPr>
        <w:tc>
          <w:tcPr>
            <w:tcW w:w="3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17"/>
        </w:trPr>
        <w:tc>
          <w:tcPr>
            <w:tcW w:w="300" w:type="dxa"/>
            <w:vAlign w:val="bottom"/>
          </w:tcPr>
          <w:p>
            <w:pPr>
              <w:spacing w:after="0"/>
              <w:rPr>
                <w:sz w:val="18"/>
                <w:szCs w:val="18"/>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310,000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378,750</w:t>
            </w:r>
          </w:p>
        </w:tc>
      </w:tr>
      <w:tr>
        <w:trPr>
          <w:trHeight w:val="270"/>
        </w:trPr>
        <w:tc>
          <w:tcPr>
            <w:tcW w:w="30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26,250</w:t>
            </w:r>
          </w:p>
        </w:tc>
      </w:tr>
      <w:tr>
        <w:trPr>
          <w:trHeight w:val="33"/>
        </w:trPr>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280,000</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352,500</w:t>
            </w:r>
          </w:p>
        </w:tc>
      </w:tr>
      <w:tr>
        <w:trPr>
          <w:trHeight w:val="33"/>
        </w:trPr>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-882650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-539750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-196850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credit facility is dated August 5, 2011. The credit facility consists of a $300 million U.S. dollar term loan (the term loan) and a multicurrency revolving line of credit (the revolver) with a principal amount of up to $660 million. Both the term loan and the revolver mature on August 8, 2016. Amounts borrowed under the revolver are classified as long-term and,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0.20% to 0.40% per annum depending on our total leverage ratio as of the most recently ended fiscal quarter. Amounts repaid on the term loan may not be reborrowed. The credit facility permits us and certain of our foreign subsidiaries to borrow in U.S. dollars, euros, British pounds, or, with lender approval, other currencies readily convertible into U.S. dollars. All obligations under the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credit facility, are guaranteed by the foreign subsidiary and by its direct and indirect foreign parents. The credit facility includes debt covenants, which contain certain financial ratio thresholds and place certain restrictions on the incurrence of debt, investments, and the issuance of dividends. We were in compliance with the debt covenants under the credit facility at September 30, 2014.</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Scheduled principal repayments for the term loan are due quarterly in the amount of $7.5 million through June 2016 with the remainder due at maturity on August 8, 2016. The term loan may be repaid early in whole or in part, subject to certain minimum thresholds, without penalty.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plus an applicable margin, or (2) the Alternate Base Rate, plus an applicable margin. The Alternate Base Rate election is equal to the greatest of three rates: (i) the prime rate, (ii) the Federal Reserve effective rate plus 1/2 of 1%, or (iii) one month LIBOR plus 1%. At September 30, 2014, the interest rate for both the term loan and the revolver was 1.66% (the LIBOR rate plus a margin of 1.50%).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Total credit facility repayments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2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7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80" w:type="dxa"/>
            <w:vAlign w:val="bottom"/>
            <w:gridSpan w:val="3"/>
          </w:tcPr>
          <w:p>
            <w:pPr>
              <w:jc w:val="right"/>
              <w:ind w:right="979"/>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Multicurrency revolving line of credit</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40,000</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credit facility repayments</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53,125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2014, $70.0 million was outstanding under the credit facility revolver, and $49.1 million was utilized by outstanding standby letters of credit, resulting in $540.9 million available for additional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Unamortized prepaid debt fees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399"/>
              <w:spacing w:after="0"/>
              <w:rPr>
                <w:sz w:val="20"/>
                <w:szCs w:val="20"/>
                <w:color w:val="auto"/>
              </w:rPr>
            </w:pPr>
            <w:r>
              <w:rPr>
                <w:rFonts w:ascii="Arial" w:cs="Arial" w:eastAsia="Arial" w:hAnsi="Arial"/>
                <w:sz w:val="16"/>
                <w:szCs w:val="16"/>
                <w:b w:val="1"/>
                <w:bCs w:val="1"/>
                <w:color w:val="auto"/>
              </w:rPr>
              <w:t>September 30, 2014</w:t>
            </w: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Unamortized prepaid debt fees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2,673</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3,810</w:t>
            </w:r>
          </w:p>
        </w:tc>
      </w:tr>
      <w:tr>
        <w:trPr>
          <w:trHeight w:val="33"/>
        </w:trPr>
        <w:tc>
          <w:tcPr>
            <w:tcW w:w="6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13, and Note 14 for additional disclosures on our derivative instruments.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41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700" w:type="dxa"/>
            <w:vAlign w:val="bottom"/>
          </w:tcPr>
          <w:p>
            <w:pPr>
              <w:spacing w:after="0"/>
              <w:rPr>
                <w:sz w:val="18"/>
                <w:szCs w:val="18"/>
                <w:color w:val="auto"/>
              </w:rPr>
            </w:pPr>
          </w:p>
        </w:tc>
        <w:tc>
          <w:tcPr>
            <w:tcW w:w="276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Sheet Location</w:t>
            </w: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2013</w:t>
            </w:r>
          </w:p>
        </w:tc>
      </w:tr>
      <w:tr>
        <w:trPr>
          <w:trHeight w:val="33"/>
        </w:trPr>
        <w:tc>
          <w:tcPr>
            <w:tcW w:w="47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460" w:type="dxa"/>
            <w:vAlign w:val="bottom"/>
          </w:tcPr>
          <w:p>
            <w:pPr>
              <w:spacing w:after="0"/>
              <w:rPr>
                <w:sz w:val="20"/>
                <w:szCs w:val="20"/>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w w:val="92"/>
              </w:rPr>
              <w:t>Derivatives designated as hedging instruments under ASC 815-20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long-term assets</w:t>
            </w:r>
          </w:p>
        </w:tc>
        <w:tc>
          <w:tcPr>
            <w:tcW w:w="1460" w:type="dxa"/>
            <w:vAlign w:val="bottom"/>
            <w:tcBorders>
              <w:bottom w:val="single" w:sz="8" w:color="CCEEFF"/>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46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4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17"/>
        </w:trPr>
        <w:tc>
          <w:tcPr>
            <w:tcW w:w="4700" w:type="dxa"/>
            <w:vAlign w:val="bottom"/>
          </w:tcPr>
          <w:p>
            <w:pPr>
              <w:ind w:left="420"/>
              <w:spacing w:after="0"/>
              <w:rPr>
                <w:sz w:val="20"/>
                <w:szCs w:val="20"/>
                <w:color w:val="auto"/>
              </w:rPr>
            </w:pPr>
            <w:r>
              <w:rPr>
                <w:rFonts w:ascii="Arial" w:cs="Arial" w:eastAsia="Arial" w:hAnsi="Arial"/>
                <w:sz w:val="16"/>
                <w:szCs w:val="16"/>
                <w:b w:val="1"/>
                <w:bCs w:val="1"/>
                <w:color w:val="auto"/>
              </w:rPr>
              <w:t>Total asset derivatives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125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r>
      <w:tr>
        <w:trPr>
          <w:trHeight w:val="73"/>
        </w:trPr>
        <w:tc>
          <w:tcPr>
            <w:tcW w:w="4700" w:type="dxa"/>
            <w:vAlign w:val="bottom"/>
            <w:tcBorders>
              <w:bottom w:val="single" w:sz="8" w:color="CCEEFF"/>
            </w:tcBorders>
          </w:tcPr>
          <w:p>
            <w:pPr>
              <w:spacing w:after="0"/>
              <w:rPr>
                <w:sz w:val="6"/>
                <w:szCs w:val="6"/>
                <w:color w:val="auto"/>
              </w:rPr>
            </w:pPr>
          </w:p>
        </w:tc>
        <w:tc>
          <w:tcPr>
            <w:tcW w:w="26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51"/>
        </w:trPr>
        <w:tc>
          <w:tcPr>
            <w:tcW w:w="470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Liability Derivatives</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47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2"/>
              </w:rPr>
              <w:t>Derivatives designated as hedging instruments under ASC 815-20</w:t>
            </w:r>
          </w:p>
        </w:tc>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Interest rate swap contracts</w:t>
            </w: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Other current liabilities</w:t>
            </w:r>
          </w:p>
        </w:tc>
        <w:tc>
          <w:tcPr>
            <w:tcW w:w="1460" w:type="dxa"/>
            <w:vAlign w:val="bottom"/>
          </w:tcPr>
          <w:p>
            <w:pPr>
              <w:jc w:val="right"/>
              <w:ind w:right="125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w w:val="84"/>
              </w:rPr>
              <w:t>1,474</w:t>
            </w:r>
          </w:p>
        </w:tc>
        <w:tc>
          <w:tcPr>
            <w:tcW w:w="100" w:type="dxa"/>
            <w:vAlign w:val="bottom"/>
          </w:tcPr>
          <w:p>
            <w:pPr>
              <w:spacing w:after="0"/>
              <w:rPr>
                <w:sz w:val="19"/>
                <w:szCs w:val="19"/>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1,557</w:t>
            </w:r>
          </w:p>
        </w:tc>
      </w:tr>
      <w:tr>
        <w:trPr>
          <w:trHeight w:val="47"/>
        </w:trPr>
        <w:tc>
          <w:tcPr>
            <w:tcW w:w="4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long-term obligations</w:t>
            </w: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r>
      <w:tr>
        <w:trPr>
          <w:trHeight w:val="224"/>
        </w:trPr>
        <w:tc>
          <w:tcPr>
            <w:tcW w:w="746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4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r>
      <w:tr>
        <w:trPr>
          <w:trHeight w:val="217"/>
        </w:trPr>
        <w:tc>
          <w:tcPr>
            <w:tcW w:w="4700" w:type="dxa"/>
            <w:vAlign w:val="bottom"/>
          </w:tcPr>
          <w:p>
            <w:pPr>
              <w:ind w:left="420"/>
              <w:spacing w:after="0"/>
              <w:rPr>
                <w:sz w:val="20"/>
                <w:szCs w:val="20"/>
                <w:color w:val="auto"/>
              </w:rPr>
            </w:pPr>
            <w:r>
              <w:rPr>
                <w:rFonts w:ascii="Arial" w:cs="Arial" w:eastAsia="Arial" w:hAnsi="Arial"/>
                <w:sz w:val="16"/>
                <w:szCs w:val="16"/>
                <w:b w:val="1"/>
                <w:bCs w:val="1"/>
                <w:color w:val="auto"/>
              </w:rPr>
              <w:t>Total liability derivatives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125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4"/>
              </w:rPr>
              <w:t>1,726</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2,176</w:t>
            </w: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OCI during the reporting periods for our derivative and nonderivative hedging instruments, net of tax,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ind w:right="719"/>
              <w:spacing w:after="0"/>
              <w:rPr>
                <w:sz w:val="20"/>
                <w:szCs w:val="20"/>
                <w:color w:val="auto"/>
              </w:rPr>
            </w:pPr>
            <w:r>
              <w:rPr>
                <w:rFonts w:ascii="Arial" w:cs="Arial" w:eastAsia="Arial" w:hAnsi="Arial"/>
                <w:sz w:val="16"/>
                <w:szCs w:val="16"/>
                <w:b w:val="1"/>
                <w:bCs w:val="1"/>
                <w:color w:val="auto"/>
              </w:rPr>
              <w:t>2013</w:t>
            </w: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loss on hedging instruments at January 1,</w:t>
            </w: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(16,069)</w:t>
            </w:r>
          </w:p>
        </w:tc>
      </w:tr>
      <w:tr>
        <w:trPr>
          <w:trHeight w:val="224"/>
        </w:trPr>
        <w:tc>
          <w:tcPr>
            <w:tcW w:w="7440" w:type="dxa"/>
            <w:vAlign w:val="bottom"/>
          </w:tcPr>
          <w:p>
            <w:pPr>
              <w:ind w:left="180"/>
              <w:spacing w:after="0"/>
              <w:rPr>
                <w:sz w:val="20"/>
                <w:szCs w:val="20"/>
                <w:color w:val="auto"/>
              </w:rPr>
            </w:pPr>
            <w:r>
              <w:rPr>
                <w:rFonts w:ascii="Arial" w:cs="Arial" w:eastAsia="Arial" w:hAnsi="Arial"/>
                <w:sz w:val="16"/>
                <w:szCs w:val="16"/>
                <w:color w:val="auto"/>
              </w:rPr>
              <w:t>Unrealized gain (loss) on hedging instruments</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94</w:t>
            </w:r>
          </w:p>
        </w:tc>
      </w:tr>
      <w:tr>
        <w:trPr>
          <w:trHeight w:val="47"/>
        </w:trPr>
        <w:tc>
          <w:tcPr>
            <w:tcW w:w="7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losses reclassified into net income (loss)</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unrealized loss on hedging instruments at September 30,</w:t>
            </w:r>
          </w:p>
        </w:tc>
        <w:tc>
          <w:tcPr>
            <w:tcW w:w="1240" w:type="dxa"/>
            <w:vAlign w:val="bottom"/>
            <w:tcBorders>
              <w:top w:val="single" w:sz="8" w:color="auto"/>
            </w:tcBorders>
          </w:tcPr>
          <w:p>
            <w:pPr>
              <w:jc w:val="right"/>
              <w:ind w:right="10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(15,192)</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(15,805)</w:t>
            </w: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net unrealized loss on hedging instruments at September 30, 2014 and 2013 is a loss of $14.4 million, net of tax, related to our nonderivative net investment hedge, which terminated in 2011. This loss on our net investment hedge will remain in accumulated OCI until such time when earnings are impacted by a sale or liquidation of the associated foreign operation.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Assets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2"/>
              </w:rPr>
              <w:t>Gross Amounts Not</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0"/>
              </w:rPr>
              <w:t>Offset in the Consolidated Balance Sheets</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39"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88"/>
              </w:rPr>
              <w:t>Assets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Derivative Financial</w:t>
            </w: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89"/>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Cash Collateral Received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Instruments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September 30, 2014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198</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2013</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Liabilities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2"/>
              </w:rPr>
              <w:t>Gross Amounts Not</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0"/>
              </w:rPr>
              <w:t>Offset in the Consolidated Balance Sheets</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39"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Liabilities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Derivative Financial</w:t>
            </w: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89"/>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Cash Collateral Pledged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September 30, 2014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1,726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1,528</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2,176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derivative assets and liabilities consist of foreign exchange forward and interest rate swap contracts with eight counterparties at September 30, 2014 and seven counterparties at December 31, 2013. No derivative asset or liability balance with any of our counterparties was individually significant at September 30, 2014 or December 31, 2013.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the hedged portion of debt in order to increase our ability to forecast interest expense. The objective of these swaps is to reduce the variability of cash flows from increases in the LIBOR-based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are effective from July 31, 2013 to August 8, 2016. These cash flow hedges are expected to be highly effective in achieving offsetting cash flows attributable to the hedged risk through the term of the hedge. Consequently, effective changes in the fair value of the interest rate swaps are recorded as a component of OCI and are recognized in earnings when the hedged item affects earnings. The amounts paid or received on the hedges are recognized as adjustments to interest expense. The amount of net losses expected to be reclassified into earnings in the next 12 months is $1.5 million. At September 30, 2014, our LIBOR-based debt balance was $310.0 million.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 of our cash flow derivative instruments on the Consolidated Balance Sheets and the Consolidated Statements of Operations for the three and nine months ended September 30 were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3"/>
          </w:tcPr>
          <w:p>
            <w:pPr>
              <w:jc w:val="center"/>
              <w:ind w:right="117"/>
              <w:spacing w:after="0"/>
              <w:rPr>
                <w:sz w:val="20"/>
                <w:szCs w:val="20"/>
                <w:color w:val="auto"/>
              </w:rPr>
            </w:pPr>
            <w:r>
              <w:rPr>
                <w:rFonts w:ascii="Arial" w:cs="Arial" w:eastAsia="Arial" w:hAnsi="Arial"/>
                <w:sz w:val="13"/>
                <w:szCs w:val="13"/>
                <w:b w:val="1"/>
                <w:bCs w:val="1"/>
                <w:color w:val="auto"/>
                <w:w w:val="88"/>
              </w:rPr>
              <w:t>Amount of Gain (Loss)</w:t>
            </w:r>
          </w:p>
        </w:tc>
        <w:tc>
          <w:tcPr>
            <w:tcW w:w="120" w:type="dxa"/>
            <w:vAlign w:val="bottom"/>
          </w:tcPr>
          <w:p>
            <w:pPr>
              <w:spacing w:after="0"/>
              <w:rPr>
                <w:sz w:val="12"/>
                <w:szCs w:val="12"/>
                <w:color w:val="auto"/>
              </w:rPr>
            </w:pPr>
          </w:p>
        </w:tc>
        <w:tc>
          <w:tcPr>
            <w:tcW w:w="2960" w:type="dxa"/>
            <w:vAlign w:val="bottom"/>
            <w:gridSpan w:val="5"/>
          </w:tcPr>
          <w:p>
            <w:pPr>
              <w:jc w:val="right"/>
              <w:spacing w:after="0"/>
              <w:rPr>
                <w:sz w:val="20"/>
                <w:szCs w:val="20"/>
                <w:color w:val="auto"/>
              </w:rPr>
            </w:pPr>
            <w:r>
              <w:rPr>
                <w:rFonts w:ascii="Arial" w:cs="Arial" w:eastAsia="Arial" w:hAnsi="Arial"/>
                <w:sz w:val="13"/>
                <w:szCs w:val="13"/>
                <w:b w:val="1"/>
                <w:bCs w:val="1"/>
                <w:color w:val="auto"/>
              </w:rPr>
              <w:t>Gain (Loss) Reclassified from Accumulated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5"/>
          </w:tcPr>
          <w:p>
            <w:pPr>
              <w:jc w:val="right"/>
              <w:ind w:right="217"/>
              <w:spacing w:after="0"/>
              <w:rPr>
                <w:sz w:val="20"/>
                <w:szCs w:val="20"/>
                <w:color w:val="auto"/>
              </w:rPr>
            </w:pPr>
            <w:r>
              <w:rPr>
                <w:rFonts w:ascii="Arial" w:cs="Arial" w:eastAsia="Arial" w:hAnsi="Arial"/>
                <w:sz w:val="13"/>
                <w:szCs w:val="13"/>
                <w:b w:val="1"/>
                <w:bCs w:val="1"/>
                <w:color w:val="auto"/>
              </w:rPr>
              <w:t>Gain (Loss) Recognized in Income 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00" w:type="dxa"/>
            <w:vAlign w:val="bottom"/>
          </w:tcPr>
          <w:p>
            <w:pPr>
              <w:spacing w:after="0"/>
              <w:rPr>
                <w:sz w:val="12"/>
                <w:szCs w:val="12"/>
                <w:color w:val="auto"/>
              </w:rPr>
            </w:pPr>
          </w:p>
        </w:tc>
        <w:tc>
          <w:tcPr>
            <w:tcW w:w="1780" w:type="dxa"/>
            <w:vAlign w:val="bottom"/>
            <w:gridSpan w:val="3"/>
          </w:tcPr>
          <w:p>
            <w:pPr>
              <w:jc w:val="center"/>
              <w:ind w:right="117"/>
              <w:spacing w:after="0" w:line="144" w:lineRule="exact"/>
              <w:rPr>
                <w:sz w:val="20"/>
                <w:szCs w:val="20"/>
                <w:color w:val="auto"/>
              </w:rPr>
            </w:pPr>
            <w:r>
              <w:rPr>
                <w:rFonts w:ascii="Arial" w:cs="Arial" w:eastAsia="Arial" w:hAnsi="Arial"/>
                <w:sz w:val="13"/>
                <w:szCs w:val="13"/>
                <w:b w:val="1"/>
                <w:bCs w:val="1"/>
                <w:color w:val="auto"/>
                <w:w w:val="89"/>
              </w:rPr>
              <w:t>Recognized in OCI on</w:t>
            </w:r>
          </w:p>
        </w:tc>
        <w:tc>
          <w:tcPr>
            <w:tcW w:w="120" w:type="dxa"/>
            <w:vAlign w:val="bottom"/>
          </w:tcPr>
          <w:p>
            <w:pPr>
              <w:spacing w:after="0"/>
              <w:rPr>
                <w:sz w:val="12"/>
                <w:szCs w:val="12"/>
                <w:color w:val="auto"/>
              </w:rPr>
            </w:pPr>
          </w:p>
        </w:tc>
        <w:tc>
          <w:tcPr>
            <w:tcW w:w="2960" w:type="dxa"/>
            <w:vAlign w:val="bottom"/>
            <w:gridSpan w:val="5"/>
          </w:tcPr>
          <w:p>
            <w:pPr>
              <w:jc w:val="right"/>
              <w:ind w:right="157"/>
              <w:spacing w:after="0" w:line="144" w:lineRule="exact"/>
              <w:rPr>
                <w:sz w:val="20"/>
                <w:szCs w:val="20"/>
                <w:color w:val="auto"/>
              </w:rPr>
            </w:pPr>
            <w:r>
              <w:rPr>
                <w:rFonts w:ascii="Arial" w:cs="Arial" w:eastAsia="Arial" w:hAnsi="Arial"/>
                <w:sz w:val="13"/>
                <w:szCs w:val="13"/>
                <w:b w:val="1"/>
                <w:bCs w:val="1"/>
                <w:color w:val="auto"/>
              </w:rPr>
              <w:t>OCI into Income (Effective Portion)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5"/>
          </w:tcPr>
          <w:p>
            <w:pPr>
              <w:jc w:val="right"/>
              <w:ind w:right="377"/>
              <w:spacing w:after="0" w:line="144" w:lineRule="exact"/>
              <w:rPr>
                <w:sz w:val="20"/>
                <w:szCs w:val="20"/>
                <w:color w:val="auto"/>
              </w:rPr>
            </w:pPr>
            <w:r>
              <w:rPr>
                <w:rFonts w:ascii="Arial" w:cs="Arial" w:eastAsia="Arial" w:hAnsi="Arial"/>
                <w:sz w:val="13"/>
                <w:szCs w:val="13"/>
                <w:b w:val="1"/>
                <w:bCs w:val="1"/>
                <w:color w:val="auto"/>
              </w:rPr>
              <w:t>Derivative (Ineffective Portion)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54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Cash Flow</w:t>
            </w:r>
          </w:p>
        </w:tc>
        <w:tc>
          <w:tcPr>
            <w:tcW w:w="200" w:type="dxa"/>
            <w:vAlign w:val="bottom"/>
          </w:tcPr>
          <w:p>
            <w:pPr>
              <w:spacing w:after="0"/>
              <w:rPr>
                <w:sz w:val="2"/>
                <w:szCs w:val="2"/>
                <w:color w:val="auto"/>
              </w:rPr>
            </w:pPr>
          </w:p>
        </w:tc>
        <w:tc>
          <w:tcPr>
            <w:tcW w:w="1780" w:type="dxa"/>
            <w:vAlign w:val="bottom"/>
            <w:gridSpan w:val="3"/>
            <w:vMerge w:val="restart"/>
          </w:tcPr>
          <w:p>
            <w:pPr>
              <w:jc w:val="center"/>
              <w:ind w:right="117"/>
              <w:spacing w:after="0" w:line="135" w:lineRule="exact"/>
              <w:rPr>
                <w:sz w:val="20"/>
                <w:szCs w:val="20"/>
                <w:color w:val="auto"/>
              </w:rPr>
            </w:pPr>
            <w:r>
              <w:rPr>
                <w:rFonts w:ascii="Arial" w:cs="Arial" w:eastAsia="Arial" w:hAnsi="Arial"/>
                <w:sz w:val="13"/>
                <w:szCs w:val="13"/>
                <w:b w:val="1"/>
                <w:bCs w:val="1"/>
                <w:color w:val="auto"/>
                <w:w w:val="90"/>
              </w:rPr>
              <w:t>Derivative (Effective</w:t>
            </w: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Hedging Relationships</w:t>
            </w:r>
          </w:p>
        </w:tc>
        <w:tc>
          <w:tcPr>
            <w:tcW w:w="200" w:type="dxa"/>
            <w:vAlign w:val="bottom"/>
          </w:tcPr>
          <w:p>
            <w:pPr>
              <w:spacing w:after="0"/>
              <w:rPr>
                <w:sz w:val="15"/>
                <w:szCs w:val="15"/>
                <w:color w:val="auto"/>
              </w:rPr>
            </w:pPr>
          </w:p>
        </w:tc>
        <w:tc>
          <w:tcPr>
            <w:tcW w:w="1180" w:type="dxa"/>
            <w:vAlign w:val="bottom"/>
            <w:gridSpan w:val="2"/>
          </w:tcPr>
          <w:p>
            <w:pPr>
              <w:jc w:val="center"/>
              <w:ind w:left="357"/>
              <w:spacing w:after="0"/>
              <w:rPr>
                <w:sz w:val="20"/>
                <w:szCs w:val="20"/>
                <w:color w:val="auto"/>
              </w:rPr>
            </w:pPr>
            <w:r>
              <w:rPr>
                <w:rFonts w:ascii="Arial" w:cs="Arial" w:eastAsia="Arial" w:hAnsi="Arial"/>
                <w:sz w:val="13"/>
                <w:szCs w:val="13"/>
                <w:b w:val="1"/>
                <w:bCs w:val="1"/>
                <w:color w:val="auto"/>
                <w:w w:val="88"/>
              </w:rPr>
              <w:t>Portion)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500"/>
              <w:spacing w:after="0"/>
              <w:rPr>
                <w:sz w:val="20"/>
                <w:szCs w:val="20"/>
                <w:color w:val="auto"/>
              </w:rPr>
            </w:pPr>
            <w:r>
              <w:rPr>
                <w:rFonts w:ascii="Arial" w:cs="Arial" w:eastAsia="Arial" w:hAnsi="Arial"/>
                <w:sz w:val="13"/>
                <w:szCs w:val="13"/>
                <w:b w:val="1"/>
                <w:bCs w:val="1"/>
                <w:color w:val="auto"/>
              </w:rPr>
              <w:t>Location</w:t>
            </w:r>
          </w:p>
        </w:tc>
        <w:tc>
          <w:tcPr>
            <w:tcW w:w="220" w:type="dxa"/>
            <w:vAlign w:val="bottom"/>
          </w:tcPr>
          <w:p>
            <w:pPr>
              <w:spacing w:after="0"/>
              <w:rPr>
                <w:sz w:val="15"/>
                <w:szCs w:val="15"/>
                <w:color w:val="auto"/>
              </w:rPr>
            </w:pPr>
          </w:p>
        </w:tc>
        <w:tc>
          <w:tcPr>
            <w:tcW w:w="114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340"/>
              <w:spacing w:after="0"/>
              <w:rPr>
                <w:sz w:val="20"/>
                <w:szCs w:val="20"/>
                <w:color w:val="auto"/>
              </w:rPr>
            </w:pPr>
            <w:r>
              <w:rPr>
                <w:rFonts w:ascii="Arial" w:cs="Arial" w:eastAsia="Arial" w:hAnsi="Arial"/>
                <w:sz w:val="13"/>
                <w:szCs w:val="13"/>
                <w:b w:val="1"/>
                <w:bCs w:val="1"/>
                <w:color w:val="auto"/>
              </w:rPr>
              <w:t>Location</w:t>
            </w:r>
          </w:p>
        </w:tc>
        <w:tc>
          <w:tcPr>
            <w:tcW w:w="580" w:type="dxa"/>
            <w:vAlign w:val="bottom"/>
          </w:tcPr>
          <w:p>
            <w:pPr>
              <w:spacing w:after="0"/>
              <w:rPr>
                <w:sz w:val="15"/>
                <w:szCs w:val="15"/>
                <w:color w:val="auto"/>
              </w:rPr>
            </w:pPr>
          </w:p>
        </w:tc>
        <w:tc>
          <w:tcPr>
            <w:tcW w:w="1040" w:type="dxa"/>
            <w:vAlign w:val="bottom"/>
            <w:gridSpan w:val="2"/>
          </w:tcPr>
          <w:p>
            <w:pPr>
              <w:jc w:val="right"/>
              <w:ind w:right="377"/>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2014</w:t>
            </w:r>
          </w:p>
        </w:tc>
        <w:tc>
          <w:tcPr>
            <w:tcW w:w="4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2"/>
              </w:rPr>
              <w:t>2013</w:t>
            </w:r>
          </w:p>
        </w:tc>
        <w:tc>
          <w:tcPr>
            <w:tcW w:w="12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2014</w:t>
            </w:r>
          </w:p>
        </w:tc>
        <w:tc>
          <w:tcPr>
            <w:tcW w:w="4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2013</w:t>
            </w: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2014</w:t>
            </w:r>
          </w:p>
        </w:tc>
        <w:tc>
          <w:tcPr>
            <w:tcW w:w="3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2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left="357"/>
              <w:spacing w:after="0"/>
              <w:rPr>
                <w:sz w:val="20"/>
                <w:szCs w:val="20"/>
                <w:color w:val="auto"/>
              </w:rPr>
            </w:pPr>
            <w:r>
              <w:rPr>
                <w:rFonts w:ascii="Arial" w:cs="Arial" w:eastAsia="Arial" w:hAnsi="Arial"/>
                <w:sz w:val="13"/>
                <w:szCs w:val="13"/>
                <w:b w:val="1"/>
                <w:bCs w:val="1"/>
                <w:color w:val="auto"/>
                <w:w w:val="84"/>
              </w:rPr>
              <w:t>(in thousands)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w w:val="84"/>
              </w:rPr>
              <w:t>(in thousands)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ind w:left="40"/>
              <w:spacing w:after="0"/>
              <w:rPr>
                <w:sz w:val="20"/>
                <w:szCs w:val="20"/>
                <w:color w:val="auto"/>
              </w:rPr>
            </w:pPr>
            <w:r>
              <w:rPr>
                <w:rFonts w:ascii="Arial" w:cs="Arial" w:eastAsia="Arial" w:hAnsi="Arial"/>
                <w:sz w:val="13"/>
                <w:szCs w:val="13"/>
                <w:b w:val="1"/>
                <w:bCs w:val="1"/>
                <w:color w:val="auto"/>
              </w:rPr>
              <w:t>Three Months Ended September 30,</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Interest rate swap contracts</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217</w:t>
            </w:r>
          </w:p>
        </w:tc>
        <w:tc>
          <w:tcPr>
            <w:tcW w:w="4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(1,021)</w:t>
            </w:r>
          </w:p>
        </w:tc>
        <w:tc>
          <w:tcPr>
            <w:tcW w:w="1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w w:val="97"/>
              </w:rPr>
              <w:t>Interest expense</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(431)</w:t>
            </w: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95"/>
              </w:rPr>
              <w:t>Interest expense</w:t>
            </w: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Nine Months Ended September 30,</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540" w:type="dxa"/>
            <w:vAlign w:val="bottom"/>
            <w:gridSpan w:val="2"/>
          </w:tcPr>
          <w:p>
            <w:pPr>
              <w:ind w:left="380"/>
              <w:spacing w:after="0"/>
              <w:rPr>
                <w:sz w:val="20"/>
                <w:szCs w:val="20"/>
                <w:color w:val="auto"/>
              </w:rPr>
            </w:pPr>
            <w:r>
              <w:rPr>
                <w:rFonts w:ascii="Arial" w:cs="Arial" w:eastAsia="Arial" w:hAnsi="Arial"/>
                <w:sz w:val="13"/>
                <w:szCs w:val="13"/>
                <w:color w:val="auto"/>
              </w:rPr>
              <w:t>Interest rate swap contracts</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(556)</w:t>
            </w:r>
          </w:p>
        </w:tc>
        <w:tc>
          <w:tcPr>
            <w:tcW w:w="42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57"/>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5"/>
                <w:szCs w:val="15"/>
                <w:color w:val="auto"/>
              </w:rPr>
            </w:pPr>
          </w:p>
        </w:tc>
        <w:tc>
          <w:tcPr>
            <w:tcW w:w="1600" w:type="dxa"/>
            <w:vAlign w:val="bottom"/>
            <w:gridSpan w:val="2"/>
            <w:vMerge w:val="restart"/>
          </w:tcPr>
          <w:p>
            <w:pPr>
              <w:ind w:left="640"/>
              <w:spacing w:after="0"/>
              <w:rPr>
                <w:sz w:val="20"/>
                <w:szCs w:val="20"/>
                <w:color w:val="auto"/>
              </w:rPr>
            </w:pPr>
            <w:r>
              <w:rPr>
                <w:rFonts w:ascii="Arial" w:cs="Arial" w:eastAsia="Arial" w:hAnsi="Arial"/>
                <w:sz w:val="13"/>
                <w:szCs w:val="13"/>
                <w:color w:val="auto"/>
                <w:w w:val="97"/>
              </w:rPr>
              <w:t>Interest expense</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(1,276)</w:t>
            </w:r>
          </w:p>
        </w:tc>
        <w:tc>
          <w:tcPr>
            <w:tcW w:w="40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15"/>
                <w:szCs w:val="15"/>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3"/>
                <w:szCs w:val="13"/>
                <w:color w:val="auto"/>
                <w:w w:val="95"/>
              </w:rPr>
              <w:t>Interest expense</w:t>
            </w:r>
          </w:p>
        </w:tc>
        <w:tc>
          <w:tcPr>
            <w:tcW w:w="580" w:type="dxa"/>
            <w:vAlign w:val="bottom"/>
            <w:vMerge w:val="restart"/>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390 contracts were entered into during the nine months ended September 30, 2014), which are not designated for hedge accounting, but rather with the intent to reduce earnings volatility associated with certain of these non-functional currency assets and liabilities. The notional amounts of the</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contracts ranged from $86,000 to $19.3 million, offsetting our exposures to the euro, South African rand, Saudi riyal, Canadian dollar, Australian dollar, Chinese yuan renminbi, and various other currencies.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effect of our foreign exchange forward derivative instruments on the Consolidated Statements of Operations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was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Derivatives Not Designated as</w:t>
            </w: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4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Hedging Instrument under ASC 815-20</w:t>
            </w:r>
          </w:p>
        </w:tc>
        <w:tc>
          <w:tcPr>
            <w:tcW w:w="1060" w:type="dxa"/>
            <w:vAlign w:val="bottom"/>
          </w:tcPr>
          <w:p>
            <w:pPr>
              <w:spacing w:after="0"/>
              <w:rPr>
                <w:sz w:val="18"/>
                <w:szCs w:val="18"/>
                <w:color w:val="auto"/>
              </w:rPr>
            </w:pPr>
          </w:p>
        </w:tc>
        <w:tc>
          <w:tcPr>
            <w:tcW w:w="5100" w:type="dxa"/>
            <w:vAlign w:val="bottom"/>
            <w:gridSpan w:val="7"/>
          </w:tcPr>
          <w:p>
            <w:pPr>
              <w:ind w:left="260"/>
              <w:spacing w:after="0"/>
              <w:rPr>
                <w:sz w:val="20"/>
                <w:szCs w:val="20"/>
                <w:color w:val="auto"/>
              </w:rPr>
            </w:pPr>
            <w:r>
              <w:rPr>
                <w:rFonts w:ascii="Arial" w:cs="Arial" w:eastAsia="Arial" w:hAnsi="Arial"/>
                <w:sz w:val="16"/>
                <w:szCs w:val="16"/>
                <w:b w:val="1"/>
                <w:bCs w:val="1"/>
                <w:color w:val="auto"/>
                <w:w w:val="95"/>
              </w:rPr>
              <w:t>Gain (Loss) Recognized on Derivatives in Other Income (Expense)</w:t>
            </w:r>
          </w:p>
        </w:tc>
        <w:tc>
          <w:tcPr>
            <w:tcW w:w="1020" w:type="dxa"/>
            <w:vAlign w:val="bottom"/>
          </w:tcPr>
          <w:p>
            <w:pPr>
              <w:spacing w:after="0"/>
              <w:rPr>
                <w:sz w:val="18"/>
                <w:szCs w:val="18"/>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gridSpan w:val="2"/>
          </w:tcPr>
          <w:p>
            <w:pPr>
              <w:jc w:val="center"/>
              <w:ind w:left="419"/>
              <w:spacing w:after="0"/>
              <w:rPr>
                <w:sz w:val="20"/>
                <w:szCs w:val="20"/>
                <w:color w:val="auto"/>
              </w:rPr>
            </w:pPr>
            <w:r>
              <w:rPr>
                <w:rFonts w:ascii="Arial" w:cs="Arial" w:eastAsia="Arial" w:hAnsi="Arial"/>
                <w:sz w:val="16"/>
                <w:szCs w:val="16"/>
                <w:b w:val="1"/>
                <w:bCs w:val="1"/>
                <w:color w:val="auto"/>
                <w:w w:val="92"/>
              </w:rPr>
              <w:t>Nine Months Ended</w:t>
            </w:r>
          </w:p>
        </w:tc>
        <w:tc>
          <w:tcPr>
            <w:tcW w:w="1020" w:type="dxa"/>
            <w:vAlign w:val="bottom"/>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gridSpan w:val="2"/>
          </w:tcPr>
          <w:p>
            <w:pPr>
              <w:jc w:val="center"/>
              <w:ind w:left="419"/>
              <w:spacing w:after="0"/>
              <w:rPr>
                <w:sz w:val="20"/>
                <w:szCs w:val="20"/>
                <w:color w:val="auto"/>
              </w:rPr>
            </w:pPr>
            <w:r>
              <w:rPr>
                <w:rFonts w:ascii="Arial" w:cs="Arial" w:eastAsia="Arial" w:hAnsi="Arial"/>
                <w:sz w:val="16"/>
                <w:szCs w:val="16"/>
                <w:b w:val="1"/>
                <w:bCs w:val="1"/>
                <w:color w:val="auto"/>
                <w:w w:val="89"/>
              </w:rPr>
              <w:t>September 30,</w:t>
            </w:r>
          </w:p>
        </w:tc>
        <w:tc>
          <w:tcPr>
            <w:tcW w:w="10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639"/>
              <w:spacing w:after="0"/>
              <w:rPr>
                <w:sz w:val="20"/>
                <w:szCs w:val="20"/>
                <w:color w:val="auto"/>
              </w:rPr>
            </w:pPr>
            <w:r>
              <w:rPr>
                <w:rFonts w:ascii="Arial" w:cs="Arial" w:eastAsia="Arial" w:hAnsi="Arial"/>
                <w:sz w:val="16"/>
                <w:szCs w:val="16"/>
                <w:b w:val="1"/>
                <w:bCs w:val="1"/>
                <w:color w:val="auto"/>
              </w:rPr>
              <w:t>2014</w:t>
            </w:r>
          </w:p>
        </w:tc>
        <w:tc>
          <w:tcPr>
            <w:tcW w:w="740" w:type="dxa"/>
            <w:vAlign w:val="bottom"/>
          </w:tcPr>
          <w:p>
            <w:pPr>
              <w:spacing w:after="0"/>
              <w:rPr>
                <w:sz w:val="20"/>
                <w:szCs w:val="20"/>
                <w:color w:val="auto"/>
              </w:rPr>
            </w:pPr>
          </w:p>
        </w:tc>
        <w:tc>
          <w:tcPr>
            <w:tcW w:w="102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7"/>
              </w:rPr>
              <w:t>(in thousands)</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(2,458)</w:t>
            </w:r>
          </w:p>
        </w:tc>
        <w:tc>
          <w:tcPr>
            <w:tcW w:w="122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(4,389)</w:t>
            </w:r>
          </w:p>
        </w:tc>
        <w:tc>
          <w:tcPr>
            <w:tcW w:w="7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offering death and disability, retirement, and special termination benefits. The defined benefit obligation is calculated annually by using the projected unit credit method. The measurement date for the pension plans was December 31, 2013.</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2014</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assets in other long-term assets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1,426</w:t>
            </w:r>
          </w:p>
        </w:tc>
      </w:tr>
      <w:tr>
        <w:trPr>
          <w:trHeight w:val="270"/>
        </w:trPr>
        <w:tc>
          <w:tcPr>
            <w:tcW w:w="6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portion of pension plan liability in wages and benefits payable</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3,366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3,721</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portion of pension plan liability</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88,687</w:t>
            </w:r>
          </w:p>
        </w:tc>
      </w:tr>
      <w:tr>
        <w:trPr>
          <w:trHeight w:val="270"/>
        </w:trPr>
        <w:tc>
          <w:tcPr>
            <w:tcW w:w="6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pension plan benefit liability</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90,982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pension plan benefit liability decreased primarily due to favorable foreign currency exchange rates at September 30, 2014 as compared with December 31, 2013.</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 We contributed $389,000 and $394,000 to the defined benefit pension plans for the nine months ended September 30, 2014 and 2013, respectively. The timing of contributions can vary by plan and from year to year. For 2014, assuming that actual plan asset returns are consistent with our expected rate of return, and that interest rates remain constant, we expect to contribute approximately $425,000 to our defined benefit pension plans. We contributed $436,000 to the defined benefit pension plans for the year ended December 31, 2013.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2,661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2,377</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Settlements and other</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(814)</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5,141</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record stock-based compensation expense for awards of stock options, stock sold pursuant to our ESPP (until October 1, 2013), and the issuance of restricted stock units and unrestricted stock awards. We expense stock-based compensation primarily using the straight-line method over the requisite service period. For the three and nine months ended September 30, stock-based compensation expense and the related tax benefit were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1,529</w:t>
            </w: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2,413</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3,258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10,307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11,651</w:t>
            </w:r>
          </w:p>
        </w:tc>
      </w:tr>
      <w:tr>
        <w:trPr>
          <w:trHeight w:val="47"/>
        </w:trPr>
        <w:tc>
          <w:tcPr>
            <w:tcW w:w="4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w:t>
            </w: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ESPP</w:t>
            </w:r>
          </w:p>
        </w:tc>
        <w:tc>
          <w:tcPr>
            <w:tcW w:w="112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9"/>
                <w:szCs w:val="19"/>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490</w:t>
            </w:r>
          </w:p>
        </w:tc>
      </w:tr>
      <w:tr>
        <w:trPr>
          <w:trHeight w:val="47"/>
        </w:trPr>
        <w:tc>
          <w:tcPr>
            <w:tcW w:w="42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55"/>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4,154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14,276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2"/>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1,085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Subject to stock splits, dividends, and other similar events, 7,473,956 shares of common stock are reserved and authorized for issuance under our Amended and Restated 2010 Stock Incentive Plan (Stock Incentive Plan). Awards consist of stock options, restricted stock units, and unrestricted stock awards. At September 30, 2014, 3,687,977 shares were available for grant under the Stock Incentive Plan. The Stock Incentive Plan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to purchase our common stock are granted to certain employees, senior management, and members of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 yield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volatility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Risk-free interest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Expected term (years)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1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500" w:type="dxa"/>
            <w:vAlign w:val="bottom"/>
          </w:tcPr>
          <w:p>
            <w:pPr>
              <w:spacing w:after="0"/>
              <w:rPr>
                <w:sz w:val="18"/>
                <w:szCs w:val="18"/>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xml:space="preserve">2013 </w:t>
            </w:r>
            <w:r>
              <w:rPr>
                <w:rFonts w:ascii="Arial" w:cs="Arial" w:eastAsia="Arial" w:hAnsi="Arial"/>
                <w:sz w:val="21"/>
                <w:szCs w:val="21"/>
                <w:b w:val="1"/>
                <w:bCs w:val="1"/>
                <w:color w:val="auto"/>
                <w:vertAlign w:val="superscript"/>
              </w:rPr>
              <w:t>(1)</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r>
      <w:tr>
        <w:trPr>
          <w:trHeight w:val="217"/>
        </w:trPr>
        <w:tc>
          <w:tcPr>
            <w:tcW w:w="1160" w:type="dxa"/>
            <w:vAlign w:val="bottom"/>
          </w:tcPr>
          <w:p>
            <w:pPr>
              <w:spacing w:after="0"/>
              <w:rPr>
                <w:sz w:val="18"/>
                <w:szCs w:val="18"/>
                <w:color w:val="auto"/>
              </w:rPr>
            </w:pPr>
          </w:p>
        </w:tc>
        <w:tc>
          <w:tcPr>
            <w:tcW w:w="2000" w:type="dxa"/>
            <w:vAlign w:val="bottom"/>
            <w:gridSpan w:val="3"/>
          </w:tcPr>
          <w:p>
            <w:pPr>
              <w:jc w:val="right"/>
              <w:ind w:right="1379"/>
              <w:spacing w:after="0"/>
              <w:rPr>
                <w:sz w:val="20"/>
                <w:szCs w:val="20"/>
                <w:color w:val="auto"/>
              </w:rPr>
            </w:pPr>
            <w:r>
              <w:rPr>
                <w:rFonts w:ascii="Arial" w:cs="Arial" w:eastAsia="Arial" w:hAnsi="Arial"/>
                <w:sz w:val="16"/>
                <w:szCs w:val="16"/>
                <w:color w:val="auto"/>
              </w:rPr>
              <w:t>—%</w:t>
            </w:r>
          </w:p>
        </w:tc>
        <w:tc>
          <w:tcPr>
            <w:tcW w:w="170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920" w:type="dxa"/>
            <w:vAlign w:val="bottom"/>
            <w:gridSpan w:val="3"/>
          </w:tcPr>
          <w:p>
            <w:pPr>
              <w:jc w:val="right"/>
              <w:ind w:right="12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70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70"/>
        </w:trPr>
        <w:tc>
          <w:tcPr>
            <w:tcW w:w="1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70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1160" w:type="dxa"/>
            <w:vAlign w:val="bottom"/>
          </w:tcPr>
          <w:p>
            <w:pPr>
              <w:spacing w:after="0"/>
              <w:rPr>
                <w:sz w:val="23"/>
                <w:szCs w:val="23"/>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70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-664210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-321310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420" w:space="720"/>
            <w:col w:w="7280"/>
          </w:cols>
          <w:pgMar w:left="240" w:top="125" w:right="239" w:bottom="1440" w:gutter="0" w:footer="0" w:header="0"/>
          <w:type w:val="continuous"/>
        </w:sectPr>
      </w:pPr>
    </w:p>
    <w:p>
      <w:pPr>
        <w:ind w:left="340" w:hanging="332"/>
        <w:spacing w:after="0"/>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There were no employee stock options granted for the three months ended September 30, 2013.</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nine months ended September 30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Weighted 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32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Price per Share</w:t>
            </w:r>
          </w:p>
        </w:tc>
        <w:tc>
          <w:tcPr>
            <w:tcW w:w="140" w:type="dxa"/>
            <w:vAlign w:val="bottom"/>
          </w:tcPr>
          <w:p>
            <w:pPr>
              <w:spacing w:after="0"/>
              <w:rPr>
                <w:sz w:val="21"/>
                <w:szCs w:val="21"/>
                <w:color w:val="auto"/>
              </w:rPr>
            </w:pPr>
          </w:p>
        </w:tc>
        <w:tc>
          <w:tcPr>
            <w:tcW w:w="14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5"/>
              </w:rPr>
              <w:t>Contractual Life</w:t>
            </w:r>
          </w:p>
        </w:tc>
        <w:tc>
          <w:tcPr>
            <w:tcW w:w="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Intrinsic Value</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217"/>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(years)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8"/>
              </w:rPr>
              <w:t>(in thousands)</w:t>
            </w:r>
          </w:p>
        </w:tc>
        <w:tc>
          <w:tcPr>
            <w:tcW w:w="13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2013</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54.06</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42.76</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15.44</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49.04</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September 30, 2013</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54.79</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35.65</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13.65</w:t>
            </w: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26.17</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44.06</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69.24</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September 30, 2014</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51.42</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5.1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Exercisable, September 30, 2014</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56.78</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Expected to vest, September 30, 2014</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39.40</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340" w:hanging="332"/>
        <w:spacing w:after="0" w:line="230"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our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2014, total unrecognized stock-based compensation expense related to nonvested stock options was approximately $3.4 million, which is expected to be recognized over a weighted average period of approximately 1.8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Certain employees, senior management, and members of the Board of Directors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ectPr>
          <w:pgSz w:w="11900" w:h="16838" w:orient="portrait"/>
          <w:cols w:equalWidth="0" w:num="1">
            <w:col w:w="11420"/>
          </w:cols>
          <w:pgMar w:left="240" w:top="125" w:right="239" w:bottom="1440" w:gutter="0" w:footer="0" w:header="0"/>
          <w:type w:val="continuous"/>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in 2013, the performance-based restricted stock units to be issued under the Long-Term Performance Restricted Stock Unit Award Agreement (Performance Award Agreement) are determined based on (1) our achievement of specified non-GAAP EPS targets, as established by the Board at the beginning of each year for each of the calendar years contained in the performance periods (2-year and 3-year awards in 2013 and 3-year awards in subsequent years) (the performance condition) and (2) our total shareholder return (TSR) relative to the TSR attained by companies that are included in the Russell 3000 Index during the performance periods (the market condition). Compensation expense, net of forfeitures, is recognized on a straight-line basis, and the units vest upon achievement of the performance condition, provided participants are employed by Itron at the end of the respective performance periods.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Depending on the level of achievement of the performance condition, the actual number of shares to be earned ranges between 0% and 160% of the awards originally granted. At the end of the performance periods, if the performance 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awards originally granted. Due to the presence of the TSR multiplier market condition, we utilize a Monte Carlo valuation model to determine the fair value of the awards at the grant date. This pricing model uses multiple simulations to evaluate the probability of our achievement of various stock price levels to determine our expected TSR performance ranking. The weighted-average assumptions used to estimate the fair value of performance-based restricted stock units granted and the resulting weighted average fair-value are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31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1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xml:space="preserve">2013 </w:t>
            </w:r>
            <w:r>
              <w:rPr>
                <w:rFonts w:ascii="Arial" w:cs="Arial" w:eastAsia="Arial" w:hAnsi="Arial"/>
                <w:sz w:val="21"/>
                <w:szCs w:val="21"/>
                <w:b w:val="1"/>
                <w:bCs w:val="1"/>
                <w:color w:val="auto"/>
                <w:vertAlign w:val="superscript"/>
              </w:rPr>
              <w:t>(1)</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2013</w:t>
            </w:r>
          </w:p>
        </w:tc>
      </w:tr>
      <w:tr>
        <w:trPr>
          <w:trHeight w:val="217"/>
        </w:trPr>
        <w:tc>
          <w:tcPr>
            <w:tcW w:w="41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112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8"/>
                <w:szCs w:val="18"/>
                <w:color w:val="auto"/>
              </w:rPr>
            </w:pPr>
          </w:p>
        </w:tc>
        <w:tc>
          <w:tcPr>
            <w:tcW w:w="88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24"/>
        </w:trPr>
        <w:tc>
          <w:tcPr>
            <w:tcW w:w="41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47"/>
        </w:trPr>
        <w:tc>
          <w:tcPr>
            <w:tcW w:w="4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r>
      <w:tr>
        <w:trPr>
          <w:trHeight w:val="270"/>
        </w:trPr>
        <w:tc>
          <w:tcPr>
            <w:tcW w:w="4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7"/>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fair value</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43.05</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35.15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45.03</w:t>
            </w:r>
          </w:p>
        </w:tc>
      </w:tr>
      <w:tr>
        <w:trPr>
          <w:trHeight w:val="33"/>
        </w:trPr>
        <w:tc>
          <w:tcPr>
            <w:tcW w:w="4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6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There were no long-term performance restricted stock units granted for the three months ended September 30, 2013.</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nine months ended September 30: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Aggregate</w:t>
            </w:r>
          </w:p>
        </w:tc>
      </w:tr>
      <w:tr>
        <w:trPr>
          <w:trHeight w:val="243"/>
        </w:trPr>
        <w:tc>
          <w:tcPr>
            <w:tcW w:w="4360" w:type="dxa"/>
            <w:vAlign w:val="bottom"/>
          </w:tcPr>
          <w:p>
            <w:pPr>
              <w:spacing w:after="0"/>
              <w:rPr>
                <w:sz w:val="21"/>
                <w:szCs w:val="21"/>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r>
      <w:tr>
        <w:trPr>
          <w:trHeight w:val="217"/>
        </w:trPr>
        <w:tc>
          <w:tcPr>
            <w:tcW w:w="4360" w:type="dxa"/>
            <w:vAlign w:val="bottom"/>
          </w:tcPr>
          <w:p>
            <w:pPr>
              <w:spacing w:after="0"/>
              <w:rPr>
                <w:sz w:val="18"/>
                <w:szCs w:val="18"/>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2013</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42.51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13,860</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September 30, 2013</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35.64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13,022</w:t>
            </w:r>
          </w:p>
        </w:tc>
      </w:tr>
      <w:tr>
        <w:trPr>
          <w:trHeight w:val="224"/>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September 30, 2014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September 30, 2014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September 30, 2014</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588</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23,125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64" w:lineRule="exact"/>
        <w:rPr>
          <w:rFonts w:ascii="Arial" w:cs="Arial" w:eastAsia="Arial" w:hAnsi="Arial"/>
          <w:sz w:val="22"/>
          <w:szCs w:val="22"/>
          <w:color w:val="auto"/>
          <w:vertAlign w:val="superscript"/>
        </w:rPr>
      </w:pPr>
    </w:p>
    <w:p>
      <w:pPr>
        <w:jc w:val="both"/>
        <w:ind w:left="340" w:hanging="332"/>
        <w:spacing w:after="0" w:line="225"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Restricted stock units granted in 2013 and 2014 do not include awards under the Performance Award Agreement for the respective years, as these awards are not granted until attainment of annual performance goals has been determined at the conclusion of the performance period, which had not occurred as of September 30, 2013 and 2014, respectively.</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2014, unrecognized compensation expense on restricted stock units was $16.9 million, which is expected to be recognized over a weighted average period of approximately 1.8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grant unrestricted stock awards to members of our Board of Directors as part of their compensation. Awards are fully vested and expensed when granted.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unrestricted stock awards is the market close price of our common stock on the date of grant.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three and nine months ended September 30:</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60" w:type="dxa"/>
            <w:vAlign w:val="bottom"/>
            <w:gridSpan w:val="5"/>
          </w:tcPr>
          <w:p>
            <w:pPr>
              <w:jc w:val="right"/>
              <w:ind w:right="439"/>
              <w:spacing w:after="0"/>
              <w:rPr>
                <w:sz w:val="20"/>
                <w:szCs w:val="20"/>
                <w:color w:val="auto"/>
              </w:rPr>
            </w:pPr>
            <w:r>
              <w:rPr>
                <w:rFonts w:ascii="Arial" w:cs="Arial" w:eastAsia="Arial" w:hAnsi="Arial"/>
                <w:sz w:val="16"/>
                <w:szCs w:val="16"/>
                <w:b w:val="1"/>
                <w:bCs w:val="1"/>
                <w:color w:val="auto"/>
              </w:rPr>
              <w:t>(in thousands, except per share data)</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granted</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4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per share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41.42</w:t>
            </w:r>
          </w:p>
        </w:tc>
        <w:tc>
          <w:tcPr>
            <w:tcW w:w="13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4"/>
              </w:rPr>
              <w:t>42.83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39.19</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44.50</w:t>
            </w:r>
          </w:p>
        </w:tc>
      </w:tr>
      <w:tr>
        <w:trPr>
          <w:trHeight w:val="33"/>
        </w:trPr>
        <w:tc>
          <w:tcPr>
            <w:tcW w:w="4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Under the terms of the ESPP, employees can deduct up to 10% of their regular cash compensation to purchase our common stock at a discount from the fair market value of the stock at the end of each fiscal quarter, subject to other limitations under the plan. The sale of the stock to the employees occurs at the beginning of the subsequent quarter. Effective October 1, 2013, we changed the terms of the ESPP to reduce the discount from 15% to 5% from the fair market value of the stock at the end of each fiscal quarter. As a result of this change, the ESPP is no longer considered compensatory, and no compensation expense is recognized for future sales of our common stock to employees. Prior to October 1, 2013, the plan was considered compensatory.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three and nine months ended September 30:</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1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33"/>
        </w:trPr>
        <w:tc>
          <w:tcPr>
            <w:tcW w:w="4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ind w:right="1099"/>
              <w:spacing w:after="0"/>
              <w:rPr>
                <w:sz w:val="20"/>
                <w:szCs w:val="20"/>
                <w:color w:val="auto"/>
              </w:rPr>
            </w:pPr>
            <w:r>
              <w:rPr>
                <w:rFonts w:ascii="Arial" w:cs="Arial" w:eastAsia="Arial" w:hAnsi="Arial"/>
                <w:sz w:val="16"/>
                <w:szCs w:val="16"/>
                <w:b w:val="1"/>
                <w:bCs w:val="1"/>
                <w:color w:val="auto"/>
              </w:rPr>
              <w:t>2014</w:t>
            </w: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4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w w:val="95"/>
              </w:rPr>
              <w:t>(in thousands, except per share data)</w:t>
            </w: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of stock sold to employees</w:t>
            </w:r>
            <w:r>
              <w:rPr>
                <w:rFonts w:ascii="Arial" w:cs="Arial" w:eastAsia="Arial" w:hAnsi="Arial"/>
                <w:sz w:val="21"/>
                <w:szCs w:val="21"/>
                <w:color w:val="auto"/>
                <w:vertAlign w:val="superscript"/>
              </w:rPr>
              <w:t>(1)</w:t>
            </w:r>
          </w:p>
        </w:tc>
        <w:tc>
          <w:tcPr>
            <w:tcW w:w="12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6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47</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r>
      <w:tr>
        <w:trPr>
          <w:trHeight w:val="270"/>
        </w:trPr>
        <w:tc>
          <w:tcPr>
            <w:tcW w:w="4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 per ESPP award</w:t>
            </w:r>
            <w:r>
              <w:rPr>
                <w:rFonts w:ascii="Arial" w:cs="Arial" w:eastAsia="Arial" w:hAnsi="Arial"/>
                <w:sz w:val="21"/>
                <w:szCs w:val="21"/>
                <w:color w:val="auto"/>
                <w:vertAlign w:val="superscript"/>
              </w:rPr>
              <w:t>(2)</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   $</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6.61</w:t>
            </w:r>
          </w:p>
        </w:tc>
      </w:tr>
    </w:tbl>
    <w:p>
      <w:pPr>
        <w:spacing w:after="0" w:line="17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74" w:lineRule="exact"/>
        <w:rPr>
          <w:rFonts w:ascii="Arial" w:cs="Arial" w:eastAsia="Arial" w:hAnsi="Arial"/>
          <w:sz w:val="21"/>
          <w:szCs w:val="21"/>
          <w:color w:val="auto"/>
          <w:vertAlign w:val="superscript"/>
        </w:rPr>
      </w:pPr>
    </w:p>
    <w:p>
      <w:pPr>
        <w:ind w:left="340" w:right="20" w:hanging="332"/>
        <w:spacing w:after="0" w:line="211"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Effective October 1, 2013, the ESPP is no longer compensatory, and therefore the weighted average fair value per award is not applicable for the three and nine months ended September 30, 2014.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459,000 shares of common stock available for future issuance under the ESPP at September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tax provisions as a percentage of income (loss) before tax typically differ from the federal statutory rate of 35%, and may vary from period to period, due to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expense for the three and nine months ended September 30, 2014 differed from the federal statutory rate of 35% due to the forecasted mix of earnings in domestic and international jurisdictions, estimated benefits of foreign tax credits, the benefit of certain interest expense deductions, and an election under U.S. Internal Revenue Code Section 338 with respect to a foreign acquisition in 2007.</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tax benefit for the three months ended September 30, 2013 was lower than the federal statutory rate of 35% due to the forecasted mix of earnings in domestic and international jurisdictions, the benefit of certain interest expense deductions, and an election under U.S. Internal Revenue Code Section 338 with respect to a foreign acquisition in 2007. Our tax benefit for the nine months ended September 30, 2013 reflects the favorable discrete tax benefit for the retroactive extension of the 2012 research and experimentation credit in the amount of $4.0 million. The American Taxpayer Relief Act of 2012 was signed into law on January 2, 2013 and extended several business tax provisions including the research and experimentation credit. Our annual estimated effective tax rate for 2013 was favorably impacted due to the forecasted mix of earnings in domestic and international jurisdictions, the benefit of certain interest expense deductions, and an election under U.S. Internal Revenue Code Section 338 with respect to a foreign acquisition in 2007.</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2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3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20"/>
                <w:szCs w:val="20"/>
                <w:color w:val="auto"/>
              </w:rPr>
            </w:pPr>
          </w:p>
        </w:tc>
        <w:tc>
          <w:tcPr>
            <w:tcW w:w="16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2013</w:t>
            </w:r>
          </w:p>
        </w:tc>
      </w:tr>
      <w:tr>
        <w:trPr>
          <w:trHeight w:val="33"/>
        </w:trPr>
        <w:tc>
          <w:tcPr>
            <w:tcW w:w="3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gridSpan w:val="5"/>
          </w:tcPr>
          <w:p>
            <w:pPr>
              <w:jc w:val="right"/>
              <w:ind w:right="140"/>
              <w:spacing w:after="0"/>
              <w:rPr>
                <w:sz w:val="20"/>
                <w:szCs w:val="20"/>
                <w:color w:val="auto"/>
              </w:rPr>
            </w:pPr>
            <w:r>
              <w:rPr>
                <w:rFonts w:ascii="Arial" w:cs="Arial" w:eastAsia="Arial" w:hAnsi="Arial"/>
                <w:sz w:val="16"/>
                <w:szCs w:val="16"/>
                <w:b w:val="1"/>
                <w:bCs w:val="1"/>
                <w:color w:val="auto"/>
                <w:w w:val="94"/>
              </w:rPr>
              <w:t>(in thousands)</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w:t>
            </w:r>
          </w:p>
        </w:tc>
        <w:tc>
          <w:tcPr>
            <w:tcW w:w="128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237</w:t>
            </w:r>
          </w:p>
        </w:tc>
        <w:tc>
          <w:tcPr>
            <w:tcW w:w="14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w w:val="97"/>
              </w:rPr>
              <w:t>453</w:t>
            </w:r>
          </w:p>
        </w:tc>
        <w:tc>
          <w:tcPr>
            <w:tcW w:w="72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w:t>
            </w:r>
          </w:p>
        </w:tc>
      </w:tr>
      <w:tr>
        <w:trPr>
          <w:trHeight w:val="432"/>
        </w:trPr>
        <w:tc>
          <w:tcPr>
            <w:tcW w:w="5060" w:type="dxa"/>
            <w:vAlign w:val="bottom"/>
            <w:gridSpan w:val="2"/>
          </w:tcPr>
          <w:p>
            <w:pPr>
              <w:spacing w:after="0"/>
              <w:rPr>
                <w:sz w:val="20"/>
                <w:szCs w:val="20"/>
                <w:color w:val="auto"/>
              </w:rPr>
            </w:pPr>
            <w:r>
              <w:rPr>
                <w:rFonts w:ascii="Arial" w:cs="Arial" w:eastAsia="Arial" w:hAnsi="Arial"/>
                <w:sz w:val="18"/>
                <w:szCs w:val="18"/>
                <w:color w:val="auto"/>
              </w:rPr>
              <w:t>Accrued interest and penalties recorded were as follows:</w:t>
            </w: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34"/>
        </w:trPr>
        <w:tc>
          <w:tcPr>
            <w:tcW w:w="3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2"/>
              </w:rPr>
              <w:t>September 30, 2014</w:t>
            </w:r>
          </w:p>
        </w:tc>
        <w:tc>
          <w:tcPr>
            <w:tcW w:w="340" w:type="dxa"/>
            <w:vAlign w:val="bottom"/>
          </w:tcPr>
          <w:p>
            <w:pPr>
              <w:spacing w:after="0"/>
              <w:rPr>
                <w:sz w:val="24"/>
                <w:szCs w:val="24"/>
                <w:color w:val="auto"/>
              </w:rPr>
            </w:pPr>
          </w:p>
        </w:tc>
        <w:tc>
          <w:tcPr>
            <w:tcW w:w="1680" w:type="dxa"/>
            <w:vAlign w:val="bottom"/>
          </w:tcPr>
          <w:p>
            <w:pPr>
              <w:jc w:val="right"/>
              <w:ind w:right="279"/>
              <w:spacing w:after="0"/>
              <w:rPr>
                <w:sz w:val="20"/>
                <w:szCs w:val="20"/>
                <w:color w:val="auto"/>
              </w:rPr>
            </w:pPr>
            <w:r>
              <w:rPr>
                <w:rFonts w:ascii="Arial" w:cs="Arial" w:eastAsia="Arial" w:hAnsi="Arial"/>
                <w:sz w:val="16"/>
                <w:szCs w:val="16"/>
                <w:b w:val="1"/>
                <w:bCs w:val="1"/>
                <w:color w:val="auto"/>
                <w:w w:val="90"/>
              </w:rPr>
              <w:t>December 31, 2013</w:t>
            </w:r>
          </w:p>
        </w:tc>
      </w:tr>
      <w:tr>
        <w:trPr>
          <w:trHeight w:val="33"/>
        </w:trPr>
        <w:tc>
          <w:tcPr>
            <w:tcW w:w="3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3"/>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3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2,093</w:t>
            </w:r>
          </w:p>
        </w:tc>
        <w:tc>
          <w:tcPr>
            <w:tcW w:w="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4,168</w:t>
            </w:r>
          </w:p>
        </w:tc>
        <w:tc>
          <w:tcPr>
            <w:tcW w:w="3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3,075</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September 30, 2014</w:t>
            </w:r>
          </w:p>
        </w:tc>
        <w:tc>
          <w:tcPr>
            <w:tcW w:w="3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2013</w:t>
            </w:r>
          </w:p>
        </w:tc>
      </w:tr>
      <w:tr>
        <w:trPr>
          <w:trHeight w:val="33"/>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3"/>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35,643</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28,615</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The amount of unrecognized tax benefits that, if recognized, would affect our effective tax rate</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34,578</w:t>
            </w:r>
          </w:p>
        </w:tc>
        <w:tc>
          <w:tcPr>
            <w:tcW w:w="3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27,694</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2014, we increased our unrecognized tax benefits related to uncertain tax positions by $9.8 million and related penalties due to tax positions relating to various intercompany transactions. We decreased our unrecognized benefits related to uncertain tax positions by $1.3 million due to the expiration of the statute of limitations.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September 30, 2014, we are under examination by certain tax authorities for the 2000 to 2012 tax years. The material jurisdictions where we are subject to examination for the 2000 to 2012 tax years include, among others, the United States, France, Germany, Italy, Brazil, and the United Kingdom. We have received an initial assessment from the French Tax Administration (“FTA”) for calendar years 2010 and 2011 of approximately $9.5 million. We disagree with the initial assessment and intend to contest it vigorously. Accordingly, we have not recorded a liability with regard to this assessment. We have also received a formal assessment from Italy for calendar years 2008 and 2009 of approximately $5 million subsequent to quarter end. We plan to pursue all available administrative remedies related to these assessments, and if we are not able to resolve administratively, we will pursue judicial remedies.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recorded within the next twelve months. However, at this time, an estimate of the range of reasonably possible adjustments to the balance of unrecognized tax benefits cannot be made.</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2014</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2013</w:t>
            </w:r>
          </w:p>
        </w:tc>
      </w:tr>
      <w:tr>
        <w:trPr>
          <w:trHeight w:val="33"/>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4"/>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gridSpan w:val="4"/>
          </w:tcPr>
          <w:p>
            <w:pPr>
              <w:jc w:val="right"/>
              <w:ind w:right="1519"/>
              <w:spacing w:after="0"/>
              <w:rPr>
                <w:sz w:val="20"/>
                <w:szCs w:val="20"/>
                <w:color w:val="auto"/>
              </w:rPr>
            </w:pPr>
            <w:r>
              <w:rPr>
                <w:rFonts w:ascii="Arial" w:cs="Arial" w:eastAsia="Arial" w:hAnsi="Arial"/>
                <w:sz w:val="16"/>
                <w:szCs w:val="16"/>
                <w:b w:val="1"/>
                <w:bCs w:val="1"/>
                <w:color w:val="auto"/>
              </w:rPr>
              <w:t>(in thousands)</w:t>
            </w:r>
          </w:p>
        </w:tc>
      </w:tr>
      <w:tr>
        <w:trPr>
          <w:trHeight w:val="303"/>
        </w:trPr>
        <w:tc>
          <w:tcPr>
            <w:tcW w:w="72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660,000</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(120,000)</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(49,491)</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540,946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490,509</w:t>
            </w:r>
          </w:p>
        </w:tc>
      </w:tr>
      <w:tr>
        <w:trPr>
          <w:trHeight w:val="73"/>
        </w:trPr>
        <w:tc>
          <w:tcPr>
            <w:tcW w:w="72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7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103,617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115,269</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(27,979)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(31,714)</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(4,252)</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68,500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79,303</w:t>
            </w:r>
          </w:p>
        </w:tc>
      </w:tr>
      <w:tr>
        <w:trPr>
          <w:trHeight w:val="73"/>
        </w:trPr>
        <w:tc>
          <w:tcPr>
            <w:tcW w:w="72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7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140,550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186,446</w:t>
            </w:r>
          </w:p>
        </w:tc>
      </w:tr>
    </w:tbl>
    <w:p>
      <w:pPr>
        <w:spacing w:after="0" w:line="19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Refer to Note 6 for details regarding our secured credit facilities.</w:t>
      </w:r>
    </w:p>
    <w:p>
      <w:pPr>
        <w:spacing w:after="0" w:line="74"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2010 and 2011, Transdata Incorporated (Transdata) filed lawsuits against four of our customers, CenterPoint Energy (CenterPoint), TriCounty Electric Cooperative, Inc. (Tri-County), San Diego Gas &amp; Electric Company (San Diego), and Texas-New Mexico Power Company (TNMP), as well as several other utilities, alleging infringement of three patents owned by Transdata related to the use of an antenna in a meter. Pursuant to our contractual obligations with our customers, we agreed, subject to certain exceptions, to indemnify and defend them in these lawsuits. The complaints seek unspecified damages as well as injunctive relief. CenterPoint, Tri-County, San Diego, and TNMP have denied all of the substantive allegations and filed counterclaims seeking a declaratory judgment that the patents are invalid and not infringed. In December 2011, the Judicial Panel on Multi-District Litigation consolidated all of these cases in the Western District of Oklahoma for pretrial proceedings. On April 17, 2011, the Oklahoma court stayed the litigation pending the resolution of re-examination proceedings in the United States Patent and Trademark Office (U.S. PTO). The U.S. PTO has issued re-examination certificates confirming the patentability of the original claims and allowing certain new claims added by Transdata. The parties conducted a claim construction hearing on February 5, 2013 on one claim term -- "electric meter circuitry." After initially adopting the defendants' proposed construction of the term, the Court granted Transdata's motion for reconsideration by order of June 25, 2013 and has adopted Transdata's proposed construction. On October 1, 2013, the Court issued an order construing other claim terms. Fact discovery closed on June 29, 2014. Opening and rebuttal expert reports have been served, and the parties are in the process of scheduling expert depositions. In addition, new requests for re-examination have been filed, and all Transdata claims contained in all three patents currently stand as rejected by the U.S. PTO in the re-examinations. Petitions for inter partes review have also been filed, but there has not yet been a decision on those petitions. Some of the defendants, including those we are defending, have sought a stay in light of the re-examination and inter partes review proceedings. That motion is pending. No trials are scheduled.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and its subsidiaries are parties to various employment-related proceedings in jurisdictions where they do business. None of the proceedings are individually material to Itron, and we believe that we have made adequate provision such that the ultimate disposition of the proceedings will not materially affect Itron's business or financial condition.</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 series of cases, approximately 300 former employees of Itron Sistemas e Technologia Ltda. (Itron Brazil), the majority of whose employment contracts were terminated in 2011, sued Itron Brazil seeking payment of overtime and salary differential and alleging that the assumption of the employment relationship by Itron Brazil constituted illegal outsourcing under Brazilian law. In 2008, Itron Brazil entered into an agreement to provide installation and maintenance services to one of its customers and, to perform such services, hired over 800 employees of the previous provider of such services. In 2011, Itron Brazil determined to terminate the contract with its customer, which led to the termination of approximately 870 employees. Under applicable statutes of limitation, most additional employee claims must have been brought prior to October 31, 2013. Itron Brazil intends to vigorously defend these cases.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31, 2013, we received a claim from one of our customers relating to alleged defects in meters sold to this customer since the year 2000. The customer asserts that it should be compensated for product and other related costs. We have engaged the customer in discussions to determine the factual basis for the claim. We are not yet able to estimate a potential range of loss. Currently, we do not believe that the outcome of this matter will have a material adverse effect on our business or financial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condition, although an unfavorable outcome could have a material adverse effect on our results of operations for the period in which such a loss is recognized.</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 2012, we completed the acquisition of SmartSynch, Inc. (SmartSynch). On or about April 25, 2012, SmartSynch entered into a contract with a third party (the Counterparty) to work with the Counterparty to develop jointly a new product that would be marketed and sold to potential SmartSynch customers. SmartSynch did not disclose to us prior to the closing of our acquisition of SmartSynch that it had entered into a material contract of this nature, which the Counterparty interprets as requiring payments totaling at least $60 million to it for license fees over a five-year term. On July 25, 2012, after receiving an invoice for license fees purportedly owed under the contract, we commenced an action against the Counterparty in the Court of Chancery of the State of Delaware seeking a declaration that the contract was unenforceable or, in the alternative, seeking reformation of the contract. On August 21, 2012, the Counterparty filed an answer to the complaint, along with a counterclaim for breach of contract, among other claims, seeking damages in excess of $60 million. Each party filed additional pleadings and briefing. Discovery has been completed, and a trial has been scheduled for February 2015. We have been asserting our positions and defending against the counterclaim vigorously, and will continue to do so.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53,605</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2,278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4,583</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changes/adjustments to warranties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6,992</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Claims activity</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(8,283)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(18,671)</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40,354</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46,031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40,354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46,031</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warranty</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22,283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22,283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20,102</w:t>
            </w:r>
          </w:p>
        </w:tc>
      </w:tr>
      <w:tr>
        <w:trPr>
          <w:trHeight w:val="244"/>
        </w:trPr>
        <w:tc>
          <w:tcPr>
            <w:tcW w:w="4240" w:type="dxa"/>
            <w:vAlign w:val="bottom"/>
          </w:tcPr>
          <w:p>
            <w:pPr>
              <w:ind w:left="380"/>
              <w:spacing w:after="0"/>
              <w:rPr>
                <w:sz w:val="20"/>
                <w:szCs w:val="20"/>
                <w:color w:val="auto"/>
              </w:rPr>
            </w:pPr>
            <w:r>
              <w:rPr>
                <w:rFonts w:ascii="Arial" w:cs="Arial" w:eastAsia="Arial" w:hAnsi="Arial"/>
                <w:sz w:val="16"/>
                <w:szCs w:val="16"/>
                <w:color w:val="auto"/>
              </w:rPr>
              <w:t>Long-term warranty</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18,071</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25,929</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18,071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25,929</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Total warranty expense is classified within cost of revenues and consists of new product warranties issued, costs related to extended warranty contracts, and other changes and adjustments to warranties. Warranty expense for the three and nine months ended September 30 was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3"/>
          </w:tcPr>
          <w:p>
            <w:pPr>
              <w:ind w:left="840"/>
              <w:spacing w:after="0"/>
              <w:rPr>
                <w:sz w:val="20"/>
                <w:szCs w:val="20"/>
                <w:color w:val="auto"/>
              </w:rPr>
            </w:pPr>
            <w:r>
              <w:rPr>
                <w:rFonts w:ascii="Arial" w:cs="Arial" w:eastAsia="Arial" w:hAnsi="Arial"/>
                <w:sz w:val="16"/>
                <w:szCs w:val="16"/>
                <w:b w:val="1"/>
                <w:bCs w:val="1"/>
                <w:color w:val="auto"/>
                <w:w w:val="94"/>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4,910</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3,115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8,678</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11,575</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Warranty expense increased during the three months ended September 30, 2014 compared with the same period in 2013 primarily due to special warranty provisions for several customers. Warranty expense decreased during the nine months ended September 30, 2014, compared with the same period in 2013 primarily due to a $5.1 million reduction in special warranty during the second quarter based on revised estimates for certain customers, partially offset by special warranty provisions in the third quarter.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Unearned Revenue Related to 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31,960</w:t>
            </w:r>
          </w:p>
        </w:tc>
        <w:tc>
          <w:tcPr>
            <w:tcW w:w="0" w:type="dxa"/>
            <w:vAlign w:val="bottom"/>
          </w:tcPr>
          <w:p>
            <w:pPr>
              <w:spacing w:after="0"/>
              <w:rPr>
                <w:sz w:val="1"/>
                <w:szCs w:val="1"/>
                <w:color w:val="auto"/>
              </w:rPr>
            </w:pPr>
          </w:p>
        </w:tc>
      </w:tr>
      <w:tr>
        <w:trPr>
          <w:trHeight w:val="224"/>
        </w:trPr>
        <w:tc>
          <w:tcPr>
            <w:tcW w:w="424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3,635</w:t>
            </w:r>
          </w:p>
        </w:tc>
        <w:tc>
          <w:tcPr>
            <w:tcW w:w="0" w:type="dxa"/>
            <w:vAlign w:val="bottom"/>
          </w:tcPr>
          <w:p>
            <w:pPr>
              <w:spacing w:after="0"/>
              <w:rPr>
                <w:sz w:val="1"/>
                <w:szCs w:val="1"/>
                <w:color w:val="auto"/>
              </w:rPr>
            </w:pPr>
          </w:p>
        </w:tc>
      </w:tr>
      <w:tr>
        <w:trPr>
          <w:trHeight w:val="47"/>
        </w:trPr>
        <w:tc>
          <w:tcPr>
            <w:tcW w:w="4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0" w:type="dxa"/>
            <w:vAlign w:val="bottom"/>
          </w:tcPr>
          <w:p>
            <w:pPr>
              <w:spacing w:after="0"/>
              <w:rPr>
                <w:sz w:val="1"/>
                <w:szCs w:val="1"/>
                <w:color w:val="auto"/>
              </w:rPr>
            </w:pPr>
          </w:p>
        </w:tc>
      </w:tr>
      <w:tr>
        <w:trPr>
          <w:trHeight w:val="224"/>
        </w:trPr>
        <w:tc>
          <w:tcPr>
            <w:tcW w:w="42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47"/>
        </w:trPr>
        <w:tc>
          <w:tcPr>
            <w:tcW w:w="424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34,191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33,863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34,191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33,863</w:t>
            </w:r>
          </w:p>
        </w:tc>
        <w:tc>
          <w:tcPr>
            <w:tcW w:w="0" w:type="dxa"/>
            <w:vAlign w:val="bottom"/>
          </w:tcPr>
          <w:p>
            <w:pPr>
              <w:spacing w:after="0"/>
              <w:rPr>
                <w:sz w:val="1"/>
                <w:szCs w:val="1"/>
                <w:color w:val="auto"/>
              </w:rPr>
            </w:pPr>
          </w:p>
        </w:tc>
      </w:tr>
      <w:tr>
        <w:trPr>
          <w:trHeight w:val="220"/>
        </w:trPr>
        <w:tc>
          <w:tcPr>
            <w:tcW w:w="424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40" w:type="dxa"/>
            <w:vAlign w:val="bottom"/>
          </w:tcPr>
          <w:p>
            <w:pPr>
              <w:ind w:left="200"/>
              <w:spacing w:after="0"/>
              <w:rPr>
                <w:sz w:val="20"/>
                <w:szCs w:val="20"/>
                <w:color w:val="auto"/>
              </w:rPr>
            </w:pPr>
            <w:r>
              <w:rPr>
                <w:rFonts w:ascii="Arial" w:cs="Arial" w:eastAsia="Arial" w:hAnsi="Arial"/>
                <w:sz w:val="16"/>
                <w:szCs w:val="16"/>
                <w:color w:val="auto"/>
              </w:rPr>
              <w:t>warranty</w:t>
            </w:r>
          </w:p>
        </w:tc>
        <w:tc>
          <w:tcPr>
            <w:tcW w:w="10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2,454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2,454</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Long-term unearned revenue for extended warranty within</w:t>
            </w:r>
          </w:p>
        </w:tc>
        <w:tc>
          <w:tcPr>
            <w:tcW w:w="1080" w:type="dxa"/>
            <w:vAlign w:val="bottom"/>
            <w:vMerge w:val="restart"/>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31,599</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31,409</w:t>
            </w:r>
          </w:p>
        </w:tc>
        <w:tc>
          <w:tcPr>
            <w:tcW w:w="12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31,599</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31,409</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other long-term obligations</w:t>
            </w: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3"/>
          </w:tcPr>
          <w:p>
            <w:pPr>
              <w:ind w:left="840"/>
              <w:spacing w:after="0"/>
              <w:rPr>
                <w:sz w:val="20"/>
                <w:szCs w:val="20"/>
                <w:color w:val="auto"/>
              </w:rPr>
            </w:pPr>
            <w:r>
              <w:rPr>
                <w:rFonts w:ascii="Arial" w:cs="Arial" w:eastAsia="Arial" w:hAnsi="Arial"/>
                <w:sz w:val="16"/>
                <w:szCs w:val="16"/>
                <w:b w:val="1"/>
                <w:bCs w:val="1"/>
                <w:color w:val="auto"/>
                <w:w w:val="94"/>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5,694</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6,141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16,670</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16,641</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399"/>
              <w:spacing w:after="0"/>
              <w:rPr>
                <w:sz w:val="20"/>
                <w:szCs w:val="20"/>
                <w:color w:val="auto"/>
              </w:rPr>
            </w:pPr>
            <w:r>
              <w:rPr>
                <w:rFonts w:ascii="Arial" w:cs="Arial" w:eastAsia="Arial" w:hAnsi="Arial"/>
                <w:sz w:val="16"/>
                <w:szCs w:val="16"/>
                <w:b w:val="1"/>
                <w:bCs w:val="1"/>
                <w:color w:val="auto"/>
              </w:rPr>
              <w:t>September 30, 2014</w:t>
            </w: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1,868</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2,206</w:t>
            </w:r>
          </w:p>
        </w:tc>
      </w:tr>
      <w:tr>
        <w:trPr>
          <w:trHeight w:val="33"/>
        </w:trPr>
        <w:tc>
          <w:tcPr>
            <w:tcW w:w="6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10, 2013, our management approved projects to restructure our operations to improve profitability and increase efficiencies. These restructuring projects reduced headcount and closed or consolidated several manufacturing and office facilities. Overall, we will have reduced our work force by approximately 9% once the projects are complete.</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began implementing these projects in the third quarter of 2013, and we expect to substantially complete project activities by the middle of 2015 and begin recognizing full savings in 2016. While activities are expected to continue through June 2015, we do not anticipate any additional costs related to the 2013 Projects subsequent to September 30, 2014. Certain aspects of the projects are subject to a variety of labor and employment laws, rules, and regulations, which could result in a delay in completing the projects at some locations.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nine months ended September 30, 2014, the total expected costs decreased $2.5 million from our December 31, 2013 expected costs. This decrease was primarily the result of a reassessment of certain restructuring actions during the second quarter of 2014. This was partially offset by additional workforce reductions from the planned consolidation of certain corporate functions.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during the nine months ended September 30, 2014, and the remaining expected restructuring costs as of September 30, 2014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Costs Recognized During</w:t>
            </w:r>
          </w:p>
        </w:tc>
        <w:tc>
          <w:tcPr>
            <w:tcW w:w="120" w:type="dxa"/>
            <w:vAlign w:val="bottom"/>
          </w:tcPr>
          <w:p>
            <w:pPr>
              <w:spacing w:after="0"/>
              <w:rPr>
                <w:sz w:val="17"/>
                <w:szCs w:val="17"/>
                <w:color w:val="auto"/>
              </w:rPr>
            </w:pPr>
          </w:p>
        </w:tc>
        <w:tc>
          <w:tcPr>
            <w:tcW w:w="19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Remaining Costs to be</w:t>
            </w:r>
          </w:p>
        </w:tc>
      </w:t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Total Expected Costs at</w:t>
            </w:r>
          </w:p>
        </w:tc>
        <w:tc>
          <w:tcPr>
            <w:tcW w:w="10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7"/>
                <w:szCs w:val="17"/>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the Nine Months Ended</w:t>
            </w:r>
          </w:p>
        </w:tc>
        <w:tc>
          <w:tcPr>
            <w:tcW w:w="120" w:type="dxa"/>
            <w:vAlign w:val="bottom"/>
          </w:tcPr>
          <w:p>
            <w:pPr>
              <w:spacing w:after="0"/>
              <w:rPr>
                <w:sz w:val="17"/>
                <w:szCs w:val="17"/>
                <w:color w:val="auto"/>
              </w:rPr>
            </w:pPr>
          </w:p>
        </w:tc>
        <w:tc>
          <w:tcPr>
            <w:tcW w:w="19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Recognized at September</w:t>
            </w: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2014</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September 30, 2014</w:t>
            </w:r>
          </w:p>
        </w:tc>
        <w:tc>
          <w:tcPr>
            <w:tcW w:w="120" w:type="dxa"/>
            <w:vAlign w:val="bottom"/>
          </w:tcPr>
          <w:p>
            <w:pPr>
              <w:spacing w:after="0"/>
              <w:rPr>
                <w:sz w:val="18"/>
                <w:szCs w:val="18"/>
                <w:color w:val="auto"/>
              </w:rPr>
            </w:pPr>
          </w:p>
        </w:tc>
        <w:tc>
          <w:tcPr>
            <w:tcW w:w="19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30, 2014</w:t>
            </w:r>
          </w:p>
        </w:tc>
      </w:tr>
      <w:tr>
        <w:trPr>
          <w:trHeight w:val="3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4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r>
      <w:tr>
        <w:trPr>
          <w:trHeight w:val="224"/>
        </w:trPr>
        <w:tc>
          <w:tcPr>
            <w:tcW w:w="296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16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1,232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920" w:type="dxa"/>
            <w:vAlign w:val="bottom"/>
          </w:tcPr>
          <w:p>
            <w:pPr>
              <w:ind w:left="1640"/>
              <w:spacing w:after="0"/>
              <w:rPr>
                <w:sz w:val="20"/>
                <w:szCs w:val="20"/>
                <w:color w:val="auto"/>
              </w:rPr>
            </w:pPr>
            <w:r>
              <w:rPr>
                <w:rFonts w:ascii="Arial" w:cs="Arial" w:eastAsia="Arial" w:hAnsi="Arial"/>
                <w:sz w:val="16"/>
                <w:szCs w:val="16"/>
                <w:color w:val="auto"/>
              </w:rPr>
              <w:t>—</w:t>
            </w:r>
          </w:p>
        </w:tc>
      </w:tr>
      <w:tr>
        <w:trPr>
          <w:trHeight w:val="47"/>
        </w:trPr>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r>
      <w:tr>
        <w:trPr>
          <w:trHeight w:val="284"/>
        </w:trPr>
        <w:tc>
          <w:tcPr>
            <w:tcW w:w="29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28,888</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31,099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auto"/>
            </w:tcBorders>
          </w:tcPr>
          <w:p>
            <w:pPr>
              <w:ind w:left="1640"/>
              <w:spacing w:after="0"/>
              <w:rPr>
                <w:sz w:val="20"/>
                <w:szCs w:val="20"/>
                <w:color w:val="auto"/>
              </w:rPr>
            </w:pPr>
            <w:r>
              <w:rPr>
                <w:rFonts w:ascii="Arial" w:cs="Arial" w:eastAsia="Arial" w:hAnsi="Arial"/>
                <w:sz w:val="16"/>
                <w:szCs w:val="16"/>
                <w:color w:val="auto"/>
              </w:rPr>
              <w:t>—</w:t>
            </w:r>
          </w:p>
        </w:tc>
      </w:tr>
      <w:tr>
        <w:trPr>
          <w:trHeight w:val="257"/>
        </w:trPr>
        <w:tc>
          <w:tcPr>
            <w:tcW w:w="2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4,107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4,369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ind w:left="1640"/>
              <w:spacing w:after="0"/>
              <w:rPr>
                <w:sz w:val="20"/>
                <w:szCs w:val="20"/>
                <w:color w:val="auto"/>
              </w:rPr>
            </w:pPr>
            <w:r>
              <w:rPr>
                <w:rFonts w:ascii="Arial" w:cs="Arial" w:eastAsia="Arial" w:hAnsi="Arial"/>
                <w:sz w:val="16"/>
                <w:szCs w:val="16"/>
                <w:color w:val="auto"/>
              </w:rPr>
              <w:t>—</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6,139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5,422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ind w:left="1640"/>
              <w:spacing w:after="0"/>
              <w:rPr>
                <w:sz w:val="20"/>
                <w:szCs w:val="20"/>
                <w:color w:val="auto"/>
              </w:rPr>
            </w:pPr>
            <w:r>
              <w:rPr>
                <w:rFonts w:ascii="Arial" w:cs="Arial" w:eastAsia="Arial" w:hAnsi="Arial"/>
                <w:sz w:val="16"/>
                <w:szCs w:val="16"/>
                <w:color w:val="auto"/>
              </w:rPr>
              <w:t>—</w:t>
            </w:r>
          </w:p>
        </w:tc>
      </w:tr>
      <w:tr>
        <w:trPr>
          <w:trHeight w:val="33"/>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28,888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31,099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6"/>
                <w:szCs w:val="16"/>
                <w:color w:val="auto"/>
              </w:rPr>
              <w:t>—</w:t>
            </w: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within the restructuring related balance sheet accounts during the nine months ended September 30, 2014:</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2"/>
              </w:rPr>
              <w:t>Asset Impairments &amp;</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Net Loss on Sale or</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Accrued Costs</w:t>
            </w: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ind w:left="11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36,341</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Costs incurred and charged to expense</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(5,495)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3,284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(2,211)</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(13,349)</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Non-cash items</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r>
      <w:tr>
        <w:trPr>
          <w:trHeight w:val="244"/>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 September 30,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14,508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4,635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19,143</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to exit facilities, such as costs to relocate inventory and equipment and contract cancellation costs, once the operations in those facilities have ceased. Costs associated with restructuring activities are generally presented as restructuring expense in the Consolidated Statements of Operations,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portions of the restructuring related liability balances were $13.7 million and $30.3 million as of September 30, 2014 and December 31, 2013, respectively. The current portion of the liability is classified within "Other current liabilities" on the Consolidated Balance Sheets. The long-term portions of the restructuring related liability balances were $5.4 million and $6.0 million as of September 30, 2014 and December 31, 2013, respectively. The long-term portion of the restructuring liability is classified within "Other long-term obligations" on the Consolidated Balance Sheets, and includes facility exit costs and severance accruals.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plan are not material to our operating segments or consolidated results.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Other Comprehensive Income (Loss)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OCI is reflected as a net increase (decrease) to Itron, Inc. shareholders’ equity and is not reflected in our results of operations. The before-tax amount, income tax (provision) benefit, and net-of-tax amount related to each component of other comprehensive income (loss) during the reporting periods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5"/>
          </w:tcPr>
          <w:p>
            <w:pPr>
              <w:ind w:left="60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1,343</w:t>
            </w:r>
          </w:p>
        </w:tc>
      </w:tr>
      <w:tr>
        <w:trPr>
          <w:trHeight w:val="220"/>
        </w:trPr>
        <w:tc>
          <w:tcPr>
            <w:tcW w:w="562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5620" w:type="dxa"/>
            <w:vAlign w:val="bottom"/>
          </w:tcPr>
          <w:p>
            <w:pPr>
              <w:ind w:left="360"/>
              <w:spacing w:after="0"/>
              <w:rPr>
                <w:sz w:val="20"/>
                <w:szCs w:val="20"/>
                <w:color w:val="auto"/>
              </w:rPr>
            </w:pPr>
            <w:r>
              <w:rPr>
                <w:rFonts w:ascii="Arial" w:cs="Arial" w:eastAsia="Arial" w:hAnsi="Arial"/>
                <w:sz w:val="16"/>
                <w:szCs w:val="16"/>
                <w:color w:val="auto"/>
              </w:rPr>
              <w:t>hedges</w:t>
            </w:r>
          </w:p>
        </w:tc>
        <w:tc>
          <w:tcPr>
            <w:tcW w:w="1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223</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loss (gain) reclassified into 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1,823</w:t>
            </w:r>
          </w:p>
        </w:tc>
      </w:tr>
      <w:tr>
        <w:trPr>
          <w:trHeight w:val="189"/>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(3,544)</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hedges</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Net hedging loss (gain) reclassified into net income</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(3,772)</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9"/>
        </w:trPr>
        <w:tc>
          <w:tcPr>
            <w:tcW w:w="5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(2,201)</w:t>
            </w:r>
          </w:p>
        </w:tc>
      </w:tr>
      <w:tr>
        <w:trPr>
          <w:trHeight w:val="220"/>
        </w:trPr>
        <w:tc>
          <w:tcPr>
            <w:tcW w:w="562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5620" w:type="dxa"/>
            <w:vAlign w:val="bottom"/>
          </w:tcPr>
          <w:p>
            <w:pPr>
              <w:ind w:left="360"/>
              <w:spacing w:after="0"/>
              <w:rPr>
                <w:sz w:val="20"/>
                <w:szCs w:val="20"/>
                <w:color w:val="auto"/>
              </w:rPr>
            </w:pPr>
            <w:r>
              <w:rPr>
                <w:rFonts w:ascii="Arial" w:cs="Arial" w:eastAsia="Arial" w:hAnsi="Arial"/>
                <w:sz w:val="16"/>
                <w:szCs w:val="16"/>
                <w:color w:val="auto"/>
              </w:rPr>
              <w:t>hedges</w:t>
            </w:r>
          </w:p>
        </w:tc>
        <w:tc>
          <w:tcPr>
            <w:tcW w:w="1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loss (gain) reclassified into 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accumulated other comprehensive income (loss) (AOCI), net of tax,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Pension Plan</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Benefit Liability</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(34,384)</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(2,107)</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(1,949)</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September 30, 2013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(36,333)</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(21,722)</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(60,477)</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(60,003)</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September 30,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(81,725)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Details about the AOCI components reclassified to the Consolidated Statements of Operations during the reporting periods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ind w:left="200"/>
              <w:spacing w:after="0"/>
              <w:rPr>
                <w:sz w:val="20"/>
                <w:szCs w:val="20"/>
                <w:color w:val="auto"/>
              </w:rPr>
            </w:pPr>
            <w:r>
              <w:rPr>
                <w:rFonts w:ascii="Arial" w:cs="Arial" w:eastAsia="Arial" w:hAnsi="Arial"/>
                <w:sz w:val="16"/>
                <w:szCs w:val="16"/>
                <w:b w:val="1"/>
                <w:bCs w:val="1"/>
                <w:color w:val="auto"/>
              </w:rPr>
              <w:t>Amount Reclassified from AOCI</w:t>
            </w:r>
            <w:r>
              <w:rPr>
                <w:rFonts w:ascii="Arial" w:cs="Arial" w:eastAsia="Arial" w:hAnsi="Arial"/>
                <w:sz w:val="21"/>
                <w:szCs w:val="21"/>
                <w:b w:val="1"/>
                <w:bCs w:val="1"/>
                <w:color w:val="auto"/>
                <w:vertAlign w:val="superscript"/>
              </w:rPr>
              <w:t>(1)</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18"/>
                <w:szCs w:val="18"/>
                <w:color w:val="auto"/>
              </w:rPr>
            </w:pPr>
          </w:p>
        </w:tc>
        <w:tc>
          <w:tcPr>
            <w:tcW w:w="240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Arial" w:cs="Arial" w:eastAsia="Arial" w:hAnsi="Arial"/>
                <w:sz w:val="16"/>
                <w:szCs w:val="16"/>
                <w:b w:val="1"/>
                <w:bCs w:val="1"/>
                <w:color w:val="auto"/>
                <w:w w:val="94"/>
              </w:rPr>
              <w:t>Affected Line Item in the Income</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w w:val="93"/>
              </w:rPr>
              <w:t>September 30,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w w:val="91"/>
              </w:rPr>
              <w:t>September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ind w:left="860"/>
              <w:spacing w:after="0"/>
              <w:rPr>
                <w:sz w:val="20"/>
                <w:szCs w:val="20"/>
                <w:color w:val="auto"/>
              </w:rPr>
            </w:pPr>
            <w:r>
              <w:rPr>
                <w:rFonts w:ascii="Arial" w:cs="Arial" w:eastAsia="Arial" w:hAnsi="Arial"/>
                <w:sz w:val="16"/>
                <w:szCs w:val="16"/>
                <w:b w:val="1"/>
                <w:bCs w:val="1"/>
                <w:color w:val="auto"/>
              </w:rPr>
              <w:t>Statement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w w:val="90"/>
              </w:rPr>
              <w:t>(in thousands)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Amortization of defined benefit pension</w:t>
            </w: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200"/>
              <w:spacing w:after="0"/>
              <w:rPr>
                <w:sz w:val="20"/>
                <w:szCs w:val="20"/>
                <w:color w:val="auto"/>
              </w:rPr>
            </w:pPr>
            <w:r>
              <w:rPr>
                <w:rFonts w:ascii="Arial" w:cs="Arial" w:eastAsia="Arial" w:hAnsi="Arial"/>
                <w:sz w:val="16"/>
                <w:szCs w:val="16"/>
                <w:b w:val="1"/>
                <w:bCs w:val="1"/>
                <w:color w:val="auto"/>
              </w:rPr>
              <w:t>items</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Prior-service costs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4"/>
        </w:trPr>
        <w:tc>
          <w:tcPr>
            <w:tcW w:w="3100" w:type="dxa"/>
            <w:vAlign w:val="bottom"/>
          </w:tcPr>
          <w:p>
            <w:pPr>
              <w:ind w:left="200"/>
              <w:spacing w:after="0"/>
              <w:rPr>
                <w:sz w:val="20"/>
                <w:szCs w:val="20"/>
                <w:color w:val="auto"/>
              </w:rPr>
            </w:pPr>
            <w:r>
              <w:rPr>
                <w:rFonts w:ascii="Arial" w:cs="Arial" w:eastAsia="Arial" w:hAnsi="Arial"/>
                <w:sz w:val="16"/>
                <w:szCs w:val="16"/>
                <w:color w:val="auto"/>
              </w:rPr>
              <w:t>Actuarial losses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(746)</w:t>
            </w:r>
          </w:p>
        </w:tc>
        <w:tc>
          <w:tcPr>
            <w:tcW w:w="2500" w:type="dxa"/>
            <w:vAlign w:val="bottom"/>
            <w:gridSpan w:val="2"/>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10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92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5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03"/>
        </w:trPr>
        <w:tc>
          <w:tcPr>
            <w:tcW w:w="3100" w:type="dxa"/>
            <w:vAlign w:val="bottom"/>
            <w:tcBorders>
              <w:bottom w:val="single" w:sz="8" w:color="CCEEFF"/>
            </w:tcBorders>
            <w:vMerge w:val="continue"/>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gridSpan w:val="2"/>
            <w:vMerge w:val="continue"/>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100" w:type="dxa"/>
            <w:vAlign w:val="bottom"/>
          </w:tcPr>
          <w:p>
            <w:pPr>
              <w:ind w:left="360"/>
              <w:spacing w:after="0"/>
              <w:rPr>
                <w:sz w:val="20"/>
                <w:szCs w:val="20"/>
                <w:color w:val="auto"/>
              </w:rPr>
            </w:pPr>
            <w:r>
              <w:rPr>
                <w:rFonts w:ascii="Arial" w:cs="Arial" w:eastAsia="Arial" w:hAnsi="Arial"/>
                <w:sz w:val="16"/>
                <w:szCs w:val="16"/>
                <w:color w:val="auto"/>
              </w:rPr>
              <w:t>Total, before tax</w:t>
            </w:r>
          </w:p>
        </w:tc>
        <w:tc>
          <w:tcPr>
            <w:tcW w:w="9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Tax benefit (provision)</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0" w:type="dxa"/>
            <w:vAlign w:val="bottom"/>
          </w:tcPr>
          <w:p>
            <w:pPr>
              <w:spacing w:after="0"/>
              <w:rPr>
                <w:sz w:val="1"/>
                <w:szCs w:val="1"/>
                <w:color w:val="auto"/>
              </w:rPr>
            </w:pPr>
          </w:p>
        </w:tc>
      </w:tr>
      <w:tr>
        <w:trPr>
          <w:trHeight w:val="217"/>
        </w:trPr>
        <w:tc>
          <w:tcPr>
            <w:tcW w:w="3100" w:type="dxa"/>
            <w:vAlign w:val="bottom"/>
          </w:tcPr>
          <w:p>
            <w:pPr>
              <w:ind w:left="360"/>
              <w:spacing w:after="0"/>
              <w:rPr>
                <w:sz w:val="20"/>
                <w:szCs w:val="20"/>
                <w:color w:val="auto"/>
              </w:rPr>
            </w:pPr>
            <w:r>
              <w:rPr>
                <w:rFonts w:ascii="Arial" w:cs="Arial" w:eastAsia="Arial" w:hAnsi="Arial"/>
                <w:sz w:val="16"/>
                <w:szCs w:val="16"/>
                <w:color w:val="auto"/>
              </w:rPr>
              <w:t>Total, net of tax</w:t>
            </w:r>
          </w:p>
        </w:tc>
        <w:tc>
          <w:tcPr>
            <w:tcW w:w="9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w w:val="98"/>
              </w:rPr>
              <w:t>Total reclassifications for the period, net</w:t>
            </w:r>
          </w:p>
        </w:tc>
        <w:tc>
          <w:tcPr>
            <w:tcW w:w="920" w:type="dxa"/>
            <w:vAlign w:val="bottom"/>
            <w:vMerge w:val="restart"/>
          </w:tcPr>
          <w:p>
            <w:pPr>
              <w:jc w:val="right"/>
              <w:ind w:right="739"/>
              <w:spacing w:after="0"/>
              <w:rPr>
                <w:sz w:val="20"/>
                <w:szCs w:val="20"/>
                <w:color w:val="auto"/>
              </w:rPr>
            </w:pPr>
            <w:r>
              <w:rPr>
                <w:rFonts w:ascii="Arial" w:cs="Arial" w:eastAsia="Arial" w:hAnsi="Arial"/>
                <w:sz w:val="16"/>
                <w:szCs w:val="16"/>
                <w:color w:val="auto"/>
                <w:w w:val="89"/>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880" w:type="dxa"/>
            <w:vAlign w:val="bottom"/>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880" w:type="dxa"/>
            <w:vAlign w:val="bottom"/>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880" w:type="dxa"/>
            <w:vAlign w:val="bottom"/>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00" w:type="dxa"/>
            <w:vAlign w:val="bottom"/>
          </w:tcPr>
          <w:p>
            <w:pPr>
              <w:ind w:left="200"/>
              <w:spacing w:after="0"/>
              <w:rPr>
                <w:sz w:val="20"/>
                <w:szCs w:val="20"/>
                <w:color w:val="auto"/>
              </w:rPr>
            </w:pPr>
            <w:r>
              <w:rPr>
                <w:rFonts w:ascii="Arial" w:cs="Arial" w:eastAsia="Arial" w:hAnsi="Arial"/>
                <w:sz w:val="16"/>
                <w:szCs w:val="16"/>
                <w:b w:val="1"/>
                <w:bCs w:val="1"/>
                <w:color w:val="auto"/>
              </w:rPr>
              <w:t>of tax</w:t>
            </w:r>
          </w:p>
        </w:tc>
        <w:tc>
          <w:tcPr>
            <w:tcW w:w="92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Amounts in parenthesis indicate debits to the Consolidated Statements of Operations.</w:t>
      </w:r>
    </w:p>
    <w:p>
      <w:pPr>
        <w:spacing w:after="0" w:line="74"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These AOCI components are included in the computation of net periodic pension cost. Refer to Note 8 for additional details.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Refer to Note 7 for additional details related to derivative activities that resulted in reclassification of AOCI to the Consolidated Statements of Operations.</w:t>
      </w:r>
    </w:p>
    <w:p>
      <w:pPr>
        <w:spacing w:after="0" w:line="2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values at September 30, 2014 and December 31, 2013 do not reflect subsequent changes in the economy, interest rates, and other variables that may affect the determination of fair value. The following table presents the fair values of our financial instruments as of the balance sheet dates: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5"/>
          </w:tcPr>
          <w:p>
            <w:pPr>
              <w:ind w:left="700"/>
              <w:spacing w:after="0"/>
              <w:rPr>
                <w:sz w:val="20"/>
                <w:szCs w:val="20"/>
                <w:color w:val="auto"/>
              </w:rPr>
            </w:pPr>
            <w:r>
              <w:rPr>
                <w:rFonts w:ascii="Arial" w:cs="Arial" w:eastAsia="Arial" w:hAnsi="Arial"/>
                <w:sz w:val="16"/>
                <w:szCs w:val="16"/>
                <w:b w:val="1"/>
                <w:bCs w:val="1"/>
                <w:color w:val="auto"/>
              </w:rPr>
              <w:t>September 30, 2014</w:t>
            </w:r>
          </w:p>
        </w:tc>
        <w:tc>
          <w:tcPr>
            <w:tcW w:w="440" w:type="dxa"/>
            <w:vAlign w:val="bottom"/>
          </w:tcPr>
          <w:p>
            <w:pPr>
              <w:spacing w:after="0"/>
              <w:rPr>
                <w:sz w:val="18"/>
                <w:szCs w:val="18"/>
                <w:color w:val="auto"/>
              </w:rPr>
            </w:pPr>
          </w:p>
        </w:tc>
        <w:tc>
          <w:tcPr>
            <w:tcW w:w="28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December 31, 2013</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Fair</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Value</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122,475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124,805</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Credit facility</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239,495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258,011</w:t>
            </w:r>
          </w:p>
        </w:tc>
      </w:tr>
      <w:tr>
        <w:trPr>
          <w:trHeight w:val="237"/>
        </w:trPr>
        <w:tc>
          <w:tcPr>
            <w:tcW w:w="4700" w:type="dxa"/>
            <w:vAlign w:val="bottom"/>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69,836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120,000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119,609</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2,031</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145</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 valued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solutions.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2013, we separated the management of our Energy operating segment into Electricity and Gas to allow each business line to develop its own go-to-market strategy, prioritize its marketing and product development requirements, and focus on its strategic investments. Our sales, marketing, and delivery functions are managed under three business lines - Electricity, Gas, and Water. Our product development and manufacturing operations are now managed on a worldwide basis to promote a global perspective in our operations and processes while maintaining alignment with the business lines. The transition to the new organizational structure, including changes to operations and financial reporting systems, was completed in the fourth quarter of 2013. Our historical segment information for the three and nine months ended September 30, 2013 has been recast to reflect our new operating segments.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measures of segment performance: revenue, gross profit (margin), and operating income (margin). Our operating segments have distinct products, and, therefore, intersegment revenues are minimal. Certain operating expenses are allocated to the operating segments based upon established allocation methodologies. Corporate operating expenses, interest income, interest expense, other income (expense), and income tax provision (benefit)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Electricity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Standard electricity (electromechanical and electronic) meters; advanced electricity meters and communication modules; smart electricity meters; smart electricity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and professional services including implementation, installation, consulting, and analysis.</w:t>
      </w:r>
    </w:p>
    <w:p>
      <w:pPr>
        <w:spacing w:after="0" w:line="200" w:lineRule="exact"/>
        <w:rPr>
          <w:sz w:val="20"/>
          <w:szCs w:val="20"/>
          <w:color w:val="auto"/>
        </w:rPr>
      </w:pPr>
    </w:p>
    <w:p>
      <w:pPr>
        <w:sectPr>
          <w:pgSz w:w="11900" w:h="16838" w:orient="portrait"/>
          <w:cols w:equalWidth="0" w:num="2">
            <w:col w:w="780" w:space="640"/>
            <w:col w:w="10000"/>
          </w:cols>
          <w:pgMar w:left="240" w:top="125"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Gas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Standard gas meters; advanced gas meters and communication modules; smart gas meters; smart gas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and professional services, including implementation, installation,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Water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Standard water and heat meters; advanced and smart water meters and communication modules; smart heat meters; advanced systems including handheld, mobile, and fixed network collection technologies; meter data management software; knowledge application solutions; and professional services including implementation, installation, consulting, analysis, and system management.</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203,441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216,615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567,414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605,990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149,276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143,240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449,707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416,166</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143,737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135,636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443,481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403,046</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496,454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495,491</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1,460,602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1,425,202</w:t>
            </w:r>
          </w:p>
        </w:tc>
      </w:tr>
      <w:tr>
        <w:trPr>
          <w:trHeight w:val="73"/>
        </w:trPr>
        <w:tc>
          <w:tcPr>
            <w:tcW w:w="42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141,675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155,094</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53,492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55,303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168,609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156,073</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47,144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158,054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138,628</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150,762</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150,084</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468,338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449,795</w:t>
            </w:r>
          </w:p>
        </w:tc>
      </w:tr>
      <w:tr>
        <w:trPr>
          <w:trHeight w:val="73"/>
        </w:trPr>
        <w:tc>
          <w:tcPr>
            <w:tcW w:w="42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(56,923)</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23,836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24,472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73,889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62,883</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45,189</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(15,339)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(14,429)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(45,872)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(37,314)</w:t>
            </w:r>
          </w:p>
        </w:tc>
      </w:tr>
      <w:tr>
        <w:trPr>
          <w:trHeight w:val="33"/>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16,458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52,924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13,835</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(2,859)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(8,837)</w:t>
            </w:r>
          </w:p>
        </w:tc>
      </w:tr>
      <w:tr>
        <w:trPr>
          <w:trHeight w:val="33"/>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third quarter, in our Electricity segment, we revised our estimate of the cost to complete an OpenWay project in North America. This resulted in a decrease to gross profit of $11.4 million, which decreased basic and diluted earnings per share by $0.18 for the three and nine months ended September 30, 2014. We previously recorded additional costs on this contract in the third quarter of 2013, which decreased gross profit by $13.6 million and decreased basic and diluted earnings per share by $0.22 for the three months ended September 30, 2013 and $0.21 for the nine months ended September 30, 2013.</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2014 and September 30, 2013, no single customer represented more than 10% of total Company or the Electricity, Gas, or Water operating segment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237,684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227,784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652,390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616,555</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Europe, Middle East, and Africa</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201,673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208,546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641,434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635,691</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57,097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59,161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172,956</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496,454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495,491</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1,460,602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1,425,202</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35,084</w:t>
            </w: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Gas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6,486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6,736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19,590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20,211</w:t>
            </w:r>
          </w:p>
        </w:tc>
      </w:tr>
      <w:tr>
        <w:trPr>
          <w:trHeight w:val="47"/>
        </w:trPr>
        <w:tc>
          <w:tcPr>
            <w:tcW w:w="4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18,379</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73,749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5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054"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Repurchases</w:t>
      </w:r>
    </w:p>
    <w:p>
      <w:pPr>
        <w:spacing w:after="0" w:line="2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Subsequent to September 30, 2014, we repurchased 80,500 shares of our common stock under the stock repurchase program authorized by the Board of Directors on February 7, 2014. The average price paid per share was $38.20.</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4, 2014, we announced projects to restructure our Electricity business and related general and administrative activities to improve operational efficiencies and reduce expenses. We expect to consolidate certain facilities and reduce our global workforce as a result of the restructuring plan. The improved structure will position us to meet our long-term profitability goals by better aligning global operations with markets where we can serve our customers profitably. We expect to substantially complete the plan by the end of 2016, with a significant number of activities to be completed by the end of 2015. We estimate pre-tax restructuring charges of $65 to $75 million with approximately 20% related to closing or consolidating facilities and non-manufacturing operations and approximately 80% associated with severance and other one-time termination benefits. We expect to record the majority of the charges in the fourth quarter of 2014. Of the total estimated charge, approximately 90% will result in cash expenditures. Many of our employees are represented by unions or works councils, which requires consultation, and potential restructuring projects may be subject to regulatory approval, both of which could impact the timing of planned savings in certain jurisdictions.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2013, filed with the Securities and Exchange Commission (SEC) on February 26, 2014.</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222222"/>
        </w:rPr>
        <w:t xml:space="preserve">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and/or litigation, 4) our dependence on customers' acceptance of new products and their performance, 5) competition, 6) changes in domestic and international laws and regulations, 7) changes in foreign currency exchange rates and interest rates, 8) international business risks, 9) our own and our customers' or suppliers' access to and cost of capital, 10) future business combinations, and 11) other factors. You should not solely rely on these forward-looking statements as they are only valid as of the date of this Quarterly Report on Form 10-Q. We do not have any obligation to publicly update or revise any forward-looking statement in this document. </w:t>
      </w:r>
      <w:r>
        <w:rPr>
          <w:rFonts w:ascii="Arial" w:cs="Arial" w:eastAsia="Arial" w:hAnsi="Arial"/>
          <w:sz w:val="17"/>
          <w:szCs w:val="17"/>
          <w:i w:val="1"/>
          <w:iCs w:val="1"/>
          <w:color w:val="000000"/>
        </w:rPr>
        <w:t>For a more complete description of these and other</w:t>
      </w:r>
      <w:r>
        <w:rPr>
          <w:rFonts w:ascii="Arial" w:cs="Arial" w:eastAsia="Arial" w:hAnsi="Arial"/>
          <w:sz w:val="17"/>
          <w:szCs w:val="17"/>
          <w:i w:val="1"/>
          <w:iCs w:val="1"/>
          <w:color w:val="222222"/>
        </w:rPr>
        <w:t xml:space="preserve"> </w:t>
      </w:r>
      <w:r>
        <w:rPr>
          <w:rFonts w:ascii="Arial" w:cs="Arial" w:eastAsia="Arial" w:hAnsi="Arial"/>
          <w:sz w:val="17"/>
          <w:szCs w:val="17"/>
          <w:i w:val="1"/>
          <w:iCs w:val="1"/>
          <w:color w:val="000000"/>
        </w:rPr>
        <w:t>risks, refer to Item 1A: “Risk Factors” included in our Annual Report on Form 10-K for the fiscal year ended December 31, 2013, which was filed with the SEC on February 26,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technology company, offering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install, implement, operate, and maintain their systems.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operate under the Itron brand worldwide and manage and report under three operating segments - Electricity, Gas, and Water.</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2013, we separated the management of our Energy operating segment into Electricity and Gas to allow each business line to develop its own go-to-market strategy, prioritize its marketing and product development requirements, and focus on its strategic investments. Our sales, marketing, and delivery functions are managed under our three business lines - Electricity, Gas, and Water. Our product development and manufacturing operations are now managed on a worldwide basis to promote a global perspective in our operations and processes and still maintain alignment with the business lines. The transition to the new organizational structure, including changes to operations and financial reporting systems, was completed in the fourth quarter of 2013. Our historical segment information for the three and nine months ended September 30, 2013 has been recast to reflect our new operating segments.</w:t>
      </w:r>
    </w:p>
    <w:p>
      <w:pPr>
        <w:spacing w:after="0" w:line="16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three measures of segment performance: revenue, gross profit (margin), and operating income (margin). Our operating segments have distinct products, and therefore intersegment revenues are minimal. Certain operating expenses are allocated to the operating segments based upon established allocation methodologies. Corporate-specific operating expenses, interest income, interest expense, other income (expense), and income tax provision (benefit) are not allocated to the segments and are not included in the measure of segment profit or loss. In addition, we allocate only certain production assets and intangible assets to our operating segments. We do not manage the performance of the segments on a balance sheet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22222"/>
        </w:rPr>
        <w:t xml:space="preserve">Revenues for the </w:t>
      </w:r>
      <w:r>
        <w:rPr>
          <w:rFonts w:ascii="Arial" w:cs="Arial" w:eastAsia="Arial" w:hAnsi="Arial"/>
          <w:sz w:val="18"/>
          <w:szCs w:val="18"/>
          <w:color w:val="000000"/>
        </w:rPr>
        <w:t>three and nine</w:t>
      </w:r>
      <w:r>
        <w:rPr>
          <w:rFonts w:ascii="Arial" w:cs="Arial" w:eastAsia="Arial" w:hAnsi="Arial"/>
          <w:sz w:val="18"/>
          <w:szCs w:val="18"/>
          <w:color w:val="222222"/>
        </w:rPr>
        <w:t xml:space="preserve"> months ended </w:t>
      </w:r>
      <w:r>
        <w:rPr>
          <w:rFonts w:ascii="Arial" w:cs="Arial" w:eastAsia="Arial" w:hAnsi="Arial"/>
          <w:sz w:val="18"/>
          <w:szCs w:val="18"/>
          <w:color w:val="000000"/>
        </w:rPr>
        <w:t>September 30, 2014</w:t>
      </w:r>
      <w:r>
        <w:rPr>
          <w:rFonts w:ascii="Arial" w:cs="Arial" w:eastAsia="Arial" w:hAnsi="Arial"/>
          <w:sz w:val="18"/>
          <w:szCs w:val="18"/>
          <w:color w:val="222222"/>
        </w:rPr>
        <w:t xml:space="preserve"> were </w:t>
      </w:r>
      <w:r>
        <w:rPr>
          <w:rFonts w:ascii="Arial" w:cs="Arial" w:eastAsia="Arial" w:hAnsi="Arial"/>
          <w:sz w:val="18"/>
          <w:szCs w:val="18"/>
          <w:color w:val="000000"/>
        </w:rPr>
        <w:t>$496 million</w:t>
      </w:r>
      <w:r>
        <w:rPr>
          <w:rFonts w:ascii="Arial" w:cs="Arial" w:eastAsia="Arial" w:hAnsi="Arial"/>
          <w:sz w:val="18"/>
          <w:szCs w:val="18"/>
          <w:color w:val="222222"/>
        </w:rPr>
        <w:t xml:space="preserve"> and $1.5 billion, compared with </w:t>
      </w:r>
      <w:r>
        <w:rPr>
          <w:rFonts w:ascii="Arial" w:cs="Arial" w:eastAsia="Arial" w:hAnsi="Arial"/>
          <w:sz w:val="18"/>
          <w:szCs w:val="18"/>
          <w:color w:val="000000"/>
        </w:rPr>
        <w:t>$495 million</w:t>
      </w:r>
      <w:r>
        <w:rPr>
          <w:rFonts w:ascii="Arial" w:cs="Arial" w:eastAsia="Arial" w:hAnsi="Arial"/>
          <w:sz w:val="18"/>
          <w:szCs w:val="18"/>
          <w:color w:val="222222"/>
        </w:rPr>
        <w:t xml:space="preserve"> and $1.4 billion in the same periods last year. The increase in the third quarter was driven by by higher revenues in the Gas and Water segments partially offset by a decline in the Electricity segment. For the nine month period, revenue growth in the Gas and Water segments more than offset the Electricity decline. Gross margins for the </w:t>
      </w:r>
      <w:r>
        <w:rPr>
          <w:rFonts w:ascii="Arial" w:cs="Arial" w:eastAsia="Arial" w:hAnsi="Arial"/>
          <w:sz w:val="18"/>
          <w:szCs w:val="18"/>
          <w:color w:val="000000"/>
        </w:rPr>
        <w:t xml:space="preserve">three and nine </w:t>
      </w:r>
      <w:r>
        <w:rPr>
          <w:rFonts w:ascii="Arial" w:cs="Arial" w:eastAsia="Arial" w:hAnsi="Arial"/>
          <w:sz w:val="18"/>
          <w:szCs w:val="18"/>
          <w:color w:val="222222"/>
        </w:rPr>
        <w:t>months ended</w:t>
      </w:r>
      <w:r>
        <w:rPr>
          <w:rFonts w:ascii="Arial" w:cs="Arial" w:eastAsia="Arial" w:hAnsi="Arial"/>
          <w:sz w:val="18"/>
          <w:szCs w:val="18"/>
          <w:color w:val="000000"/>
        </w:rPr>
        <w:t xml:space="preserve"> September 30, 2014 </w:t>
      </w:r>
      <w:r>
        <w:rPr>
          <w:rFonts w:ascii="Arial" w:cs="Arial" w:eastAsia="Arial" w:hAnsi="Arial"/>
          <w:sz w:val="18"/>
          <w:szCs w:val="18"/>
          <w:color w:val="222222"/>
        </w:rPr>
        <w:t>were</w:t>
      </w:r>
      <w:r>
        <w:rPr>
          <w:rFonts w:ascii="Arial" w:cs="Arial" w:eastAsia="Arial" w:hAnsi="Arial"/>
          <w:sz w:val="18"/>
          <w:szCs w:val="18"/>
          <w:color w:val="000000"/>
        </w:rPr>
        <w:t xml:space="preserve"> 30.4% </w:t>
      </w:r>
      <w:r>
        <w:rPr>
          <w:rFonts w:ascii="Arial" w:cs="Arial" w:eastAsia="Arial" w:hAnsi="Arial"/>
          <w:sz w:val="18"/>
          <w:szCs w:val="18"/>
          <w:color w:val="222222"/>
        </w:rPr>
        <w:t>and 32.1%, compared with gross margins of</w:t>
      </w:r>
      <w:r>
        <w:rPr>
          <w:rFonts w:ascii="Arial" w:cs="Arial" w:eastAsia="Arial" w:hAnsi="Arial"/>
          <w:sz w:val="18"/>
          <w:szCs w:val="18"/>
          <w:color w:val="000000"/>
        </w:rPr>
        <w:t xml:space="preserve"> 30.3% </w:t>
      </w:r>
      <w:r>
        <w:rPr>
          <w:rFonts w:ascii="Arial" w:cs="Arial" w:eastAsia="Arial" w:hAnsi="Arial"/>
          <w:sz w:val="18"/>
          <w:szCs w:val="18"/>
          <w:color w:val="222222"/>
        </w:rPr>
        <w:t>and 31.6% for the same periods in 2013.</w:t>
      </w:r>
      <w:r>
        <w:rPr>
          <w:rFonts w:ascii="Arial" w:cs="Arial" w:eastAsia="Arial" w:hAnsi="Arial"/>
          <w:sz w:val="18"/>
          <w:szCs w:val="18"/>
          <w:color w:val="000000"/>
        </w:rPr>
        <w:t xml:space="preserve"> </w:t>
      </w:r>
      <w:r>
        <w:rPr>
          <w:rFonts w:ascii="Arial" w:cs="Arial" w:eastAsia="Arial" w:hAnsi="Arial"/>
          <w:sz w:val="18"/>
          <w:szCs w:val="18"/>
          <w:color w:val="222222"/>
        </w:rPr>
        <w:t>During the third quarter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 xml:space="preserve">of 2014, gross margin increased as the result of improvements in the Electricity and Water segments, partially offset by a decline in Gas. For the nine month period in 2014, gross margin was driven higher by the Water segment. </w:t>
      </w:r>
      <w:r>
        <w:rPr>
          <w:rFonts w:ascii="Arial" w:cs="Arial" w:eastAsia="Arial" w:hAnsi="Arial"/>
          <w:sz w:val="18"/>
          <w:szCs w:val="18"/>
          <w:color w:val="000000"/>
        </w:rPr>
        <w:t>During the quarter, in our Electricity segment, we revised our estimate of the cost to</w:t>
      </w:r>
      <w:r>
        <w:rPr>
          <w:rFonts w:ascii="Arial" w:cs="Arial" w:eastAsia="Arial" w:hAnsi="Arial"/>
          <w:sz w:val="18"/>
          <w:szCs w:val="18"/>
          <w:color w:val="222222"/>
        </w:rPr>
        <w:t xml:space="preserve"> </w:t>
      </w:r>
      <w:r>
        <w:rPr>
          <w:rFonts w:ascii="Arial" w:cs="Arial" w:eastAsia="Arial" w:hAnsi="Arial"/>
          <w:sz w:val="18"/>
          <w:szCs w:val="18"/>
          <w:color w:val="000000"/>
        </w:rPr>
        <w:t>complete an OpenWay project in North America. This resulted in a decrease to gross profit of $11.4 million, which impacted gross margin by 270 basis points and 90 basis points for the three and nine months ended September 30, 2014. We previously recorded a net charge on this project in the third quarter of 2013, which decreased gross profit by $13.6 million, and impacted gross margin by 260 basis points and 90 basis points for the three and nine months ended September 30, 2013.</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22222"/>
        </w:rPr>
        <w:t xml:space="preserve">Operating expenses for the </w:t>
      </w:r>
      <w:r>
        <w:rPr>
          <w:rFonts w:ascii="Arial" w:cs="Arial" w:eastAsia="Arial" w:hAnsi="Arial"/>
          <w:sz w:val="18"/>
          <w:szCs w:val="18"/>
          <w:color w:val="000000"/>
        </w:rPr>
        <w:t>three and nine</w:t>
      </w:r>
      <w:r>
        <w:rPr>
          <w:rFonts w:ascii="Arial" w:cs="Arial" w:eastAsia="Arial" w:hAnsi="Arial"/>
          <w:sz w:val="18"/>
          <w:szCs w:val="18"/>
          <w:color w:val="222222"/>
        </w:rPr>
        <w:t xml:space="preserve"> months ended September 30, 2014 were lower compared with the same periods in 2013. Lower restructuring expenses in 2014 were partially offset by increased general and administrative expenses.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4, 2014, we announced projects to restructure our Electricity business and related general and administrative activities to improve operational efficiencies and reduce expenses. We expect to consolidate certain facilities and reduce our global workforce as a result of the restructuring plan. The improved structure will position us to meet our long-term profitability goals by better aligning global operations with markets where we can serve our customers profitably. We expect to substantially complete the plan by the end of 2016, with a significant number of activities to be completed by the end of 2015. We estimate pre-tax restructuring charges of $65 to $75 million with approximately 20% related to closing or consolidating facilities and non-manufacturing operations and approximately 80% associated with severance and other one-time termination benefits. We expect to record the majority of the charges in the fourth quarter of 2014. Of the total estimated charge, approximately 90% will result in cash expenditures. Many of our employees are represented by unions or works councils, which requires consultation, and potential restructuring projects may be subject to regulatory approval, both of which could impact the timing of planned savings in certain jurisdictions. We plan to achieve annualized cost savings of approximately $40 million by the end of 2016.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Total backlog was $1.3 billion and twelve-month backlog was $700 million at </w:t>
      </w:r>
      <w:r>
        <w:rPr>
          <w:rFonts w:ascii="Arial" w:cs="Arial" w:eastAsia="Arial" w:hAnsi="Arial"/>
          <w:sz w:val="18"/>
          <w:szCs w:val="18"/>
          <w:color w:val="000000"/>
        </w:rPr>
        <w:t>September 30, 2014</w:t>
      </w:r>
      <w:r>
        <w:rPr>
          <w:rFonts w:ascii="Arial" w:cs="Arial" w:eastAsia="Arial" w:hAnsi="Arial"/>
          <w:sz w:val="18"/>
          <w:szCs w:val="18"/>
          <w:color w:val="222222"/>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60" w:type="dxa"/>
            <w:vAlign w:val="bottom"/>
            <w:gridSpan w:val="5"/>
          </w:tcPr>
          <w:p>
            <w:pPr>
              <w:ind w:left="900"/>
              <w:spacing w:after="0"/>
              <w:rPr>
                <w:sz w:val="20"/>
                <w:szCs w:val="20"/>
                <w:color w:val="auto"/>
              </w:rPr>
            </w:pPr>
            <w:r>
              <w:rPr>
                <w:rFonts w:ascii="Arial" w:cs="Arial" w:eastAsia="Arial" w:hAnsi="Arial"/>
                <w:sz w:val="16"/>
                <w:szCs w:val="16"/>
                <w:b w:val="1"/>
                <w:bCs w:val="1"/>
                <w:color w:val="auto"/>
                <w:w w:val="93"/>
              </w:rPr>
              <w:t>Three Months Ended September 30,</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5"/>
          </w:tcPr>
          <w:p>
            <w:pPr>
              <w:ind w:left="960"/>
              <w:spacing w:after="0"/>
              <w:rPr>
                <w:sz w:val="20"/>
                <w:szCs w:val="20"/>
                <w:color w:val="auto"/>
              </w:rPr>
            </w:pPr>
            <w:r>
              <w:rPr>
                <w:rFonts w:ascii="Arial" w:cs="Arial" w:eastAsia="Arial" w:hAnsi="Arial"/>
                <w:sz w:val="16"/>
                <w:szCs w:val="16"/>
                <w:b w:val="1"/>
                <w:bCs w:val="1"/>
                <w:color w:val="auto"/>
                <w:w w:val="93"/>
              </w:rPr>
              <w:t>Nine Months Ended September 30,</w:t>
            </w:r>
          </w:p>
        </w:tc>
        <w:tc>
          <w:tcPr>
            <w:tcW w:w="124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0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 Change</w:t>
            </w:r>
          </w:p>
        </w:tc>
        <w:tc>
          <w:tcPr>
            <w:tcW w:w="380" w:type="dxa"/>
            <w:vAlign w:val="bottom"/>
          </w:tcPr>
          <w:p>
            <w:pPr>
              <w:spacing w:after="0"/>
              <w:rPr>
                <w:sz w:val="20"/>
                <w:szCs w:val="20"/>
                <w:color w:val="auto"/>
              </w:rPr>
            </w:pPr>
          </w:p>
        </w:tc>
        <w:tc>
          <w:tcPr>
            <w:tcW w:w="13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20"/>
                <w:szCs w:val="20"/>
                <w:color w:val="auto"/>
              </w:rPr>
            </w:pPr>
          </w:p>
        </w:tc>
        <w:tc>
          <w:tcPr>
            <w:tcW w:w="10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center"/>
              <w:ind w:right="259"/>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1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496,454</w:t>
            </w:r>
          </w:p>
        </w:tc>
        <w:tc>
          <w:tcPr>
            <w:tcW w:w="6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495,491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Arial" w:cs="Arial" w:eastAsia="Arial" w:hAnsi="Arial"/>
                <w:sz w:val="16"/>
                <w:szCs w:val="16"/>
                <w:color w:val="auto"/>
                <w:w w:val="99"/>
              </w:rPr>
              <w: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1,460,602</w:t>
            </w:r>
          </w:p>
        </w:tc>
        <w:tc>
          <w:tcPr>
            <w:tcW w:w="6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1,425,202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w w:val="94"/>
              </w:rPr>
              <w:t>2%</w:t>
            </w:r>
          </w:p>
        </w:tc>
      </w:tr>
      <w:tr>
        <w:trPr>
          <w:trHeight w:val="237"/>
        </w:trPr>
        <w:tc>
          <w:tcPr>
            <w:tcW w:w="12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150,762</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150,084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6"/>
                <w:szCs w:val="16"/>
                <w:color w:val="auto"/>
                <w:w w:val="99"/>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468,338</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449,795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center"/>
              <w:ind w:right="259"/>
              <w:spacing w:after="0"/>
              <w:rPr>
                <w:sz w:val="20"/>
                <w:szCs w:val="20"/>
                <w:color w:val="auto"/>
              </w:rPr>
            </w:pPr>
            <w:r>
              <w:rPr>
                <w:rFonts w:ascii="Arial" w:cs="Arial" w:eastAsia="Arial" w:hAnsi="Arial"/>
                <w:sz w:val="16"/>
                <w:szCs w:val="16"/>
                <w:color w:val="auto"/>
                <w:w w:val="94"/>
              </w:rPr>
              <w:t>4%</w:t>
            </w:r>
          </w:p>
        </w:tc>
      </w:tr>
      <w:tr>
        <w:trPr>
          <w:trHeight w:val="33"/>
        </w:trPr>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1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6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33"/>
        </w:trPr>
        <w:tc>
          <w:tcPr>
            <w:tcW w:w="1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1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2013</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6"/>
                <w:szCs w:val="16"/>
                <w:color w:val="auto"/>
              </w:rPr>
              <w:t>Revenues by Region</w:t>
            </w: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47"/>
        </w:trPr>
        <w:tc>
          <w:tcPr>
            <w:tcW w:w="3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 and Canada (North America)</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237,684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227,784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652,390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616,555</w:t>
            </w: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Europe, Middle East, and Africa (EMEA)</w:t>
            </w:r>
          </w:p>
        </w:tc>
        <w:tc>
          <w:tcPr>
            <w:tcW w:w="11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201,673</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208,546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641,434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635,691</w:t>
            </w: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57,097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59,161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166,778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172,956</w:t>
            </w: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14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6"/>
              </w:rPr>
              <w:t>496,454</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495,491</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1,460,602</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1,425,202</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addition, advanced and smart meter communication modules can be sold separately from the meter.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66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35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5360" w:type="dxa"/>
            <w:vAlign w:val="bottom"/>
            <w:gridSpan w:val="2"/>
          </w:tcPr>
          <w:p>
            <w:pPr>
              <w:ind w:left="4940"/>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2013</w:t>
            </w:r>
            <w:r>
              <w:rPr>
                <w:rFonts w:ascii="Arial" w:cs="Arial" w:eastAsia="Arial" w:hAnsi="Arial"/>
                <w:sz w:val="21"/>
                <w:szCs w:val="21"/>
                <w:b w:val="1"/>
                <w:bCs w:val="1"/>
                <w:color w:val="auto"/>
                <w:vertAlign w:val="superscript"/>
              </w:rPr>
              <w:t>(1)</w:t>
            </w:r>
          </w:p>
        </w:tc>
        <w:tc>
          <w:tcPr>
            <w:tcW w:w="100" w:type="dxa"/>
            <w:vAlign w:val="bottom"/>
          </w:tcPr>
          <w:p>
            <w:pPr>
              <w:spacing w:after="0"/>
              <w:rPr>
                <w:sz w:val="22"/>
                <w:szCs w:val="22"/>
                <w:color w:val="auto"/>
              </w:rPr>
            </w:pPr>
          </w:p>
        </w:tc>
        <w:tc>
          <w:tcPr>
            <w:tcW w:w="17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17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r>
              <w:rPr>
                <w:rFonts w:ascii="Arial" w:cs="Arial" w:eastAsia="Arial" w:hAnsi="Arial"/>
                <w:sz w:val="21"/>
                <w:szCs w:val="21"/>
                <w:b w:val="1"/>
                <w:bCs w:val="1"/>
                <w:color w:val="auto"/>
                <w:vertAlign w:val="superscript"/>
              </w:rPr>
              <w:t>(1)</w:t>
            </w:r>
          </w:p>
        </w:tc>
      </w:tr>
      <w:tr>
        <w:trPr>
          <w:trHeight w:val="217"/>
        </w:trPr>
        <w:tc>
          <w:tcPr>
            <w:tcW w:w="4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gridSpan w:val="4"/>
          </w:tcPr>
          <w:p>
            <w:pPr>
              <w:ind w:left="1080"/>
              <w:spacing w:after="0"/>
              <w:rPr>
                <w:sz w:val="20"/>
                <w:szCs w:val="20"/>
                <w:color w:val="auto"/>
              </w:rPr>
            </w:pPr>
            <w:r>
              <w:rPr>
                <w:rFonts w:ascii="Arial" w:cs="Arial" w:eastAsia="Arial" w:hAnsi="Arial"/>
                <w:sz w:val="16"/>
                <w:szCs w:val="16"/>
                <w:b w:val="1"/>
                <w:bCs w:val="1"/>
                <w:color w:val="auto"/>
              </w:rPr>
              <w:t>(units in thousands)</w:t>
            </w:r>
          </w:p>
        </w:tc>
        <w:tc>
          <w:tcPr>
            <w:tcW w:w="1700" w:type="dxa"/>
            <w:vAlign w:val="bottom"/>
            <w:tcBorders>
              <w:top w:val="single" w:sz="8" w:color="auto"/>
            </w:tcBorders>
          </w:tcPr>
          <w:p>
            <w:pPr>
              <w:spacing w:after="0"/>
              <w:rPr>
                <w:sz w:val="18"/>
                <w:szCs w:val="18"/>
                <w:color w:val="auto"/>
              </w:rPr>
            </w:pPr>
          </w:p>
        </w:tc>
      </w:tr>
      <w:tr>
        <w:trPr>
          <w:trHeight w:val="270"/>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14,130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13,700</w:t>
            </w:r>
          </w:p>
        </w:tc>
      </w:tr>
      <w:tr>
        <w:trPr>
          <w:trHeight w:val="237"/>
        </w:trPr>
        <w:tc>
          <w:tcPr>
            <w:tcW w:w="5360" w:type="dxa"/>
            <w:vAlign w:val="bottom"/>
            <w:gridSpan w:val="2"/>
          </w:tcPr>
          <w:p>
            <w:pPr>
              <w:ind w:left="380"/>
              <w:spacing w:after="0"/>
              <w:rPr>
                <w:sz w:val="20"/>
                <w:szCs w:val="20"/>
                <w:color w:val="auto"/>
              </w:rPr>
            </w:pPr>
            <w:r>
              <w:rPr>
                <w:rFonts w:ascii="Arial" w:cs="Arial" w:eastAsia="Arial" w:hAnsi="Arial"/>
                <w:sz w:val="16"/>
                <w:szCs w:val="16"/>
                <w:color w:val="auto"/>
              </w:rPr>
              <w:t>Advanced and 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1,400</w:t>
            </w:r>
          </w:p>
        </w:tc>
        <w:tc>
          <w:tcPr>
            <w:tcW w:w="1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4,180</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3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6,200</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5,740</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18,410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17,880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50"/>
        </w:trPr>
        <w:tc>
          <w:tcPr>
            <w:tcW w:w="5360" w:type="dxa"/>
            <w:vAlign w:val="bottom"/>
            <w:gridSpan w:val="2"/>
          </w:tcPr>
          <w:p>
            <w:pPr>
              <w:ind w:left="720"/>
              <w:spacing w:after="0"/>
              <w:rPr>
                <w:sz w:val="20"/>
                <w:szCs w:val="20"/>
                <w:color w:val="auto"/>
              </w:rPr>
            </w:pPr>
            <w:r>
              <w:rPr>
                <w:rFonts w:ascii="Arial" w:cs="Arial" w:eastAsia="Arial" w:hAnsi="Arial"/>
                <w:sz w:val="16"/>
                <w:szCs w:val="16"/>
                <w:color w:val="auto"/>
              </w:rPr>
              <w:t>Advanced and 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21"/>
                <w:szCs w:val="21"/>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1,470</w:t>
            </w:r>
          </w:p>
        </w:tc>
        <w:tc>
          <w:tcPr>
            <w:tcW w:w="10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4,410</w:t>
            </w:r>
          </w:p>
        </w:tc>
        <w:tc>
          <w:tcPr>
            <w:tcW w:w="10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4,160</w:t>
            </w:r>
          </w:p>
        </w:tc>
      </w:tr>
      <w:tr>
        <w:trPr>
          <w:trHeight w:val="20"/>
        </w:trPr>
        <w:tc>
          <w:tcPr>
            <w:tcW w:w="4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340" w:right="20" w:hanging="332"/>
        <w:spacing w:after="0" w:line="225"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Unit shipments for the three and nine months ended September 30, 2013 include 1.16 million meters (1.05 million Standard and 110,000 Advanced and Smart) and 50,000 stand-alone communication modules that should have been included in these periods in our previously filed Quarterly Report on Form 10-Q for the quarterly period ended September 30, 2013, filed on November 5, 2013.</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222222"/>
        </w:rPr>
        <w:t xml:space="preserve">Revenues increased </w:t>
      </w:r>
      <w:r>
        <w:rPr>
          <w:rFonts w:ascii="Arial" w:cs="Arial" w:eastAsia="Arial" w:hAnsi="Arial"/>
          <w:sz w:val="16"/>
          <w:szCs w:val="16"/>
          <w:color w:val="000000"/>
        </w:rPr>
        <w:t>$1.0 million</w:t>
      </w:r>
      <w:r>
        <w:rPr>
          <w:rFonts w:ascii="Arial" w:cs="Arial" w:eastAsia="Arial" w:hAnsi="Arial"/>
          <w:sz w:val="16"/>
          <w:szCs w:val="16"/>
          <w:color w:val="222222"/>
        </w:rPr>
        <w:t xml:space="preserve"> and </w:t>
      </w:r>
      <w:r>
        <w:rPr>
          <w:rFonts w:ascii="Arial" w:cs="Arial" w:eastAsia="Arial" w:hAnsi="Arial"/>
          <w:sz w:val="16"/>
          <w:szCs w:val="16"/>
          <w:color w:val="000000"/>
        </w:rPr>
        <w:t>$35.4 million</w:t>
      </w:r>
      <w:r>
        <w:rPr>
          <w:rFonts w:ascii="Arial" w:cs="Arial" w:eastAsia="Arial" w:hAnsi="Arial"/>
          <w:sz w:val="16"/>
          <w:szCs w:val="16"/>
          <w:color w:val="222222"/>
        </w:rPr>
        <w:t xml:space="preserve">, or less than 1% and 2%, for the </w:t>
      </w:r>
      <w:r>
        <w:rPr>
          <w:rFonts w:ascii="Arial" w:cs="Arial" w:eastAsia="Arial" w:hAnsi="Arial"/>
          <w:sz w:val="16"/>
          <w:szCs w:val="16"/>
          <w:color w:val="000000"/>
        </w:rPr>
        <w:t>three and nine</w:t>
      </w:r>
      <w:r>
        <w:rPr>
          <w:rFonts w:ascii="Arial" w:cs="Arial" w:eastAsia="Arial" w:hAnsi="Arial"/>
          <w:sz w:val="16"/>
          <w:szCs w:val="16"/>
          <w:color w:val="222222"/>
        </w:rPr>
        <w:t xml:space="preserve"> months ended </w:t>
      </w:r>
      <w:r>
        <w:rPr>
          <w:rFonts w:ascii="Arial" w:cs="Arial" w:eastAsia="Arial" w:hAnsi="Arial"/>
          <w:sz w:val="16"/>
          <w:szCs w:val="16"/>
          <w:color w:val="000000"/>
        </w:rPr>
        <w:t>September 30, 2014</w:t>
      </w:r>
      <w:r>
        <w:rPr>
          <w:rFonts w:ascii="Arial" w:cs="Arial" w:eastAsia="Arial" w:hAnsi="Arial"/>
          <w:sz w:val="16"/>
          <w:szCs w:val="16"/>
          <w:color w:val="222222"/>
        </w:rPr>
        <w:t xml:space="preserve">, compared with the same periods in 2013. The increase for the three months ended </w:t>
      </w:r>
      <w:r>
        <w:rPr>
          <w:rFonts w:ascii="Arial" w:cs="Arial" w:eastAsia="Arial" w:hAnsi="Arial"/>
          <w:sz w:val="16"/>
          <w:szCs w:val="16"/>
          <w:color w:val="000000"/>
        </w:rPr>
        <w:t>September 30, 2014</w:t>
      </w:r>
      <w:r>
        <w:rPr>
          <w:rFonts w:ascii="Arial" w:cs="Arial" w:eastAsia="Arial" w:hAnsi="Arial"/>
          <w:sz w:val="16"/>
          <w:szCs w:val="16"/>
          <w:color w:val="222222"/>
        </w:rPr>
        <w:t xml:space="preserve"> was driven by increased revenues in the Gas and Water segments, which was partially offset by lower revenues in the Electricity segment. In addition, the third quarter results include an unfavorable foreign exchange impact of $3.1 million. The increase for the nine months ended </w:t>
      </w:r>
      <w:r>
        <w:rPr>
          <w:rFonts w:ascii="Arial" w:cs="Arial" w:eastAsia="Arial" w:hAnsi="Arial"/>
          <w:sz w:val="16"/>
          <w:szCs w:val="16"/>
          <w:color w:val="000000"/>
        </w:rPr>
        <w:t>September 30, 2014</w:t>
      </w:r>
      <w:r>
        <w:rPr>
          <w:rFonts w:ascii="Arial" w:cs="Arial" w:eastAsia="Arial" w:hAnsi="Arial"/>
          <w:sz w:val="16"/>
          <w:szCs w:val="16"/>
          <w:color w:val="222222"/>
        </w:rPr>
        <w:t xml:space="preserve"> was driven by higher revenues in the Gas and Water segments, with the largest increase, both in dollars and percentage points, occurring in the Water segment. This was partially offset by a decline in Electricity revenue in the same period.</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22222"/>
        </w:rPr>
        <w:t>For the three months ended September 30, 2014, revenue was higher due to increases in all categories of meters and communication modules, partially offset by changes in product mix and impacts of changes in foreign exchange rates. For the nine months ended September 30, 2014, the increase in revenues was associated with the increases in all categories of meters and communication modules.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A more detailed analysis of revenue fluctuations is provided in </w:t>
      </w:r>
      <w:r>
        <w:rPr>
          <w:rFonts w:ascii="Arial" w:cs="Arial" w:eastAsia="Arial" w:hAnsi="Arial"/>
          <w:sz w:val="18"/>
          <w:szCs w:val="18"/>
          <w:i w:val="1"/>
          <w:iCs w:val="1"/>
          <w:color w:val="222222"/>
        </w:rPr>
        <w:t>Operating Segment Results</w:t>
      </w:r>
      <w:r>
        <w:rPr>
          <w:rFonts w:ascii="Arial" w:cs="Arial" w:eastAsia="Arial" w:hAnsi="Arial"/>
          <w:sz w:val="18"/>
          <w:szCs w:val="18"/>
          <w:color w:val="222222"/>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No single customer accounted for more than 10% of total Company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nine </w:t>
      </w:r>
      <w:r>
        <w:rPr>
          <w:rFonts w:ascii="Arial" w:cs="Arial" w:eastAsia="Arial" w:hAnsi="Arial"/>
          <w:sz w:val="18"/>
          <w:szCs w:val="18"/>
          <w:color w:val="222222"/>
        </w:rPr>
        <w:t>months ended</w:t>
      </w:r>
      <w:r>
        <w:rPr>
          <w:rFonts w:ascii="Arial" w:cs="Arial" w:eastAsia="Arial" w:hAnsi="Arial"/>
          <w:sz w:val="18"/>
          <w:szCs w:val="18"/>
          <w:color w:val="auto"/>
        </w:rPr>
        <w:t xml:space="preserve"> September 30, 2014 and September 30, 2013. Our 10 largest customers accounted for 19% and 18%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nine </w:t>
      </w:r>
      <w:r>
        <w:rPr>
          <w:rFonts w:ascii="Arial" w:cs="Arial" w:eastAsia="Arial" w:hAnsi="Arial"/>
          <w:sz w:val="18"/>
          <w:szCs w:val="18"/>
          <w:color w:val="222222"/>
        </w:rPr>
        <w:t>months ended</w:t>
      </w:r>
      <w:r>
        <w:rPr>
          <w:rFonts w:ascii="Arial" w:cs="Arial" w:eastAsia="Arial" w:hAnsi="Arial"/>
          <w:sz w:val="18"/>
          <w:szCs w:val="18"/>
          <w:color w:val="auto"/>
        </w:rPr>
        <w:t xml:space="preserve"> September 30, 2014 and 24% and 22%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nine </w:t>
      </w:r>
      <w:r>
        <w:rPr>
          <w:rFonts w:ascii="Arial" w:cs="Arial" w:eastAsia="Arial" w:hAnsi="Arial"/>
          <w:sz w:val="18"/>
          <w:szCs w:val="18"/>
          <w:color w:val="222222"/>
        </w:rPr>
        <w:t>months ended</w:t>
      </w:r>
      <w:r>
        <w:rPr>
          <w:rFonts w:ascii="Arial" w:cs="Arial" w:eastAsia="Arial" w:hAnsi="Arial"/>
          <w:sz w:val="18"/>
          <w:szCs w:val="18"/>
          <w:color w:val="auto"/>
        </w:rPr>
        <w:t xml:space="preserve"> September 30, 2013.</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22222"/>
        </w:rPr>
        <w:t xml:space="preserve">Gross margin for the </w:t>
      </w:r>
      <w:r>
        <w:rPr>
          <w:rFonts w:ascii="Arial" w:cs="Arial" w:eastAsia="Arial" w:hAnsi="Arial"/>
          <w:sz w:val="18"/>
          <w:szCs w:val="18"/>
          <w:color w:val="000000"/>
        </w:rPr>
        <w:t>third</w:t>
      </w:r>
      <w:r>
        <w:rPr>
          <w:rFonts w:ascii="Arial" w:cs="Arial" w:eastAsia="Arial" w:hAnsi="Arial"/>
          <w:sz w:val="18"/>
          <w:szCs w:val="18"/>
          <w:color w:val="222222"/>
        </w:rPr>
        <w:t xml:space="preserve"> quarter of 2014 was 30.4%, compared with 30.3% for the same period in 2013. For the nine months ended September 30, 2014, gross margin was 32.1%, compared with 31.6% in the same period in 2013. The improvement in gross margin in the </w:t>
      </w:r>
      <w:r>
        <w:rPr>
          <w:rFonts w:ascii="Arial" w:cs="Arial" w:eastAsia="Arial" w:hAnsi="Arial"/>
          <w:sz w:val="18"/>
          <w:szCs w:val="18"/>
          <w:color w:val="000000"/>
        </w:rPr>
        <w:t>third</w:t>
      </w:r>
      <w:r>
        <w:rPr>
          <w:rFonts w:ascii="Arial" w:cs="Arial" w:eastAsia="Arial" w:hAnsi="Arial"/>
          <w:sz w:val="18"/>
          <w:szCs w:val="18"/>
          <w:color w:val="222222"/>
        </w:rPr>
        <w:t xml:space="preserve"> quarter of 2014 was driven by improvement in Water. For the first nine months of 2014, gross margin improved due to the increased relative contribution of the Gas and Water segments. </w:t>
      </w:r>
      <w:r>
        <w:rPr>
          <w:rFonts w:ascii="Arial" w:cs="Arial" w:eastAsia="Arial" w:hAnsi="Arial"/>
          <w:sz w:val="18"/>
          <w:szCs w:val="18"/>
          <w:color w:val="000000"/>
        </w:rPr>
        <w:t xml:space="preserve">During the quarter, in our Electricity segment, we revised our estimate of the cost to complete an OpenWay project in North America. This resulted in a decrease to gross profit of $11.4 million, which impacted gross margin by 270 basis points and 90 basis points for the three and nine months ended September 30, 2014. We previously recorded a net charge on this project in the third quarter of 2013, which decreased gross profit by $13.6 million, and impacted gross margin by 260 basis points and 90 basis points for the three and nine months ended September 30, 2013. </w:t>
      </w:r>
      <w:r>
        <w:rPr>
          <w:rFonts w:ascii="Arial" w:cs="Arial" w:eastAsia="Arial" w:hAnsi="Arial"/>
          <w:sz w:val="18"/>
          <w:szCs w:val="18"/>
          <w:color w:val="222222"/>
        </w:rPr>
        <w:t>A more detailed analysis of these fluctuations is</w:t>
      </w:r>
      <w:r>
        <w:rPr>
          <w:rFonts w:ascii="Arial" w:cs="Arial" w:eastAsia="Arial" w:hAnsi="Arial"/>
          <w:sz w:val="18"/>
          <w:szCs w:val="18"/>
          <w:color w:val="000000"/>
        </w:rPr>
        <w:t xml:space="preserve"> </w:t>
      </w:r>
      <w:r>
        <w:rPr>
          <w:rFonts w:ascii="Arial" w:cs="Arial" w:eastAsia="Arial" w:hAnsi="Arial"/>
          <w:sz w:val="18"/>
          <w:szCs w:val="18"/>
          <w:color w:val="222222"/>
        </w:rPr>
        <w:t xml:space="preserve">provided in </w:t>
      </w:r>
      <w:r>
        <w:rPr>
          <w:rFonts w:ascii="Arial" w:cs="Arial" w:eastAsia="Arial" w:hAnsi="Arial"/>
          <w:sz w:val="18"/>
          <w:szCs w:val="18"/>
          <w:i w:val="1"/>
          <w:iCs w:val="1"/>
          <w:color w:val="222222"/>
        </w:rPr>
        <w:t>Operating Segment Results</w:t>
      </w:r>
      <w:r>
        <w:rPr>
          <w:rFonts w:ascii="Arial" w:cs="Arial" w:eastAsia="Arial" w:hAnsi="Arial"/>
          <w:sz w:val="18"/>
          <w:szCs w:val="18"/>
          <w:color w:val="222222"/>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15: Segment Information”.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8"/>
          </w:tcPr>
          <w:p>
            <w:pPr>
              <w:jc w:val="center"/>
              <w:ind w:right="57"/>
              <w:spacing w:after="0"/>
              <w:rPr>
                <w:sz w:val="20"/>
                <w:szCs w:val="20"/>
                <w:color w:val="auto"/>
              </w:rPr>
            </w:pPr>
            <w:r>
              <w:rPr>
                <w:rFonts w:ascii="Arial" w:cs="Arial" w:eastAsia="Arial" w:hAnsi="Arial"/>
                <w:sz w:val="13"/>
                <w:szCs w:val="13"/>
                <w:b w:val="1"/>
                <w:bCs w:val="1"/>
                <w:color w:val="auto"/>
                <w:w w:val="87"/>
              </w:rPr>
              <w:t>Three Months Ended September 30,</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8"/>
          </w:tcPr>
          <w:p>
            <w:pPr>
              <w:jc w:val="center"/>
              <w:ind w:right="17"/>
              <w:spacing w:after="0"/>
              <w:rPr>
                <w:sz w:val="20"/>
                <w:szCs w:val="20"/>
                <w:color w:val="auto"/>
              </w:rPr>
            </w:pPr>
            <w:r>
              <w:rPr>
                <w:rFonts w:ascii="Arial" w:cs="Arial" w:eastAsia="Arial" w:hAnsi="Arial"/>
                <w:sz w:val="13"/>
                <w:szCs w:val="13"/>
                <w:b w:val="1"/>
                <w:bCs w:val="1"/>
                <w:color w:val="auto"/>
                <w:w w:val="87"/>
              </w:rPr>
              <w:t>Nine Months Ended September 30,</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2014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2013</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 Change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2013</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 Change</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Segment Revenues</w:t>
            </w:r>
          </w:p>
        </w:tc>
        <w:tc>
          <w:tcPr>
            <w:tcW w:w="140" w:type="dxa"/>
            <w:vAlign w:val="bottom"/>
          </w:tcPr>
          <w:p>
            <w:pPr>
              <w:spacing w:after="0"/>
              <w:rPr>
                <w:sz w:val="22"/>
                <w:szCs w:val="22"/>
                <w:color w:val="auto"/>
              </w:rPr>
            </w:pPr>
          </w:p>
        </w:tc>
        <w:tc>
          <w:tcPr>
            <w:tcW w:w="2420" w:type="dxa"/>
            <w:vAlign w:val="bottom"/>
            <w:gridSpan w:val="6"/>
          </w:tcPr>
          <w:p>
            <w:pPr>
              <w:ind w:left="70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20" w:type="dxa"/>
            <w:vAlign w:val="bottom"/>
            <w:gridSpan w:val="6"/>
          </w:tcPr>
          <w:p>
            <w:pPr>
              <w:ind w:left="68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203,441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216,615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7"/>
              </w:rPr>
              <w:t>(6)%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567,414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605,990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4"/>
              </w:rPr>
              <w:t>(6)%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960" w:type="dxa"/>
            <w:vAlign w:val="bottom"/>
          </w:tcPr>
          <w:p>
            <w:pPr>
              <w:ind w:left="380"/>
              <w:spacing w:after="0"/>
              <w:rPr>
                <w:sz w:val="20"/>
                <w:szCs w:val="20"/>
                <w:color w:val="auto"/>
              </w:rPr>
            </w:pPr>
            <w:r>
              <w:rPr>
                <w:rFonts w:ascii="Arial" w:cs="Arial" w:eastAsia="Arial" w:hAnsi="Arial"/>
                <w:sz w:val="13"/>
                <w:szCs w:val="13"/>
                <w:color w:val="auto"/>
              </w:rPr>
              <w:t>Gas</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149,276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143,240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449,707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416,166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5"/>
              </w:rPr>
              <w:t>8%</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143,737</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135,636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4"/>
              </w:rPr>
              <w:t>6%</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443,481</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403,046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4"/>
              </w:rPr>
              <w:t>10%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880"/>
              <w:spacing w:after="0"/>
              <w:rPr>
                <w:sz w:val="20"/>
                <w:szCs w:val="20"/>
                <w:color w:val="auto"/>
              </w:rPr>
            </w:pPr>
            <w:r>
              <w:rPr>
                <w:rFonts w:ascii="Arial" w:cs="Arial" w:eastAsia="Arial" w:hAnsi="Arial"/>
                <w:sz w:val="13"/>
                <w:szCs w:val="13"/>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496,454</w:t>
            </w: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495,491</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97"/>
              </w:rPr>
              <w:t>—%</w:t>
            </w: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1,460,602</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1,425,202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5"/>
              </w:rPr>
              <w:t>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5"/>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3"/>
                <w:szCs w:val="13"/>
                <w:b w:val="1"/>
                <w:bCs w:val="1"/>
                <w:color w:val="auto"/>
                <w:w w:val="87"/>
              </w:rPr>
              <w:t>Three Months Ended September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3"/>
                <w:szCs w:val="13"/>
                <w:b w:val="1"/>
                <w:bCs w:val="1"/>
                <w:color w:val="auto"/>
                <w:w w:val="87"/>
              </w:rPr>
              <w:t>Nine Months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w w:val="89"/>
              </w:rPr>
              <w:t>2014</w:t>
            </w:r>
          </w:p>
        </w:tc>
        <w:tc>
          <w:tcPr>
            <w:tcW w:w="1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2013</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2"/>
              </w:rPr>
              <w:t>2014</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2013</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7"/>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i w:val="1"/>
                <w:iCs w:val="1"/>
                <w:color w:val="auto"/>
                <w:w w:val="85"/>
              </w:rPr>
              <w:t>Gross</w:t>
            </w:r>
          </w:p>
        </w:tc>
        <w:tc>
          <w:tcPr>
            <w:tcW w:w="102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4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90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i w:val="1"/>
                <w:iCs w:val="1"/>
                <w:color w:val="auto"/>
                <w:w w:val="88"/>
              </w:rPr>
              <w:t>Profit</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93"/>
              </w:rPr>
              <w:t>Margin</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94"/>
              </w:rPr>
              <w:t>Profit</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Margin</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8"/>
              </w:rPr>
              <w:t>Profit</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93"/>
              </w:rPr>
              <w:t>Margin</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88"/>
              </w:rPr>
              <w:t>Profit</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0" w:type="dxa"/>
            <w:vAlign w:val="bottom"/>
          </w:tcPr>
          <w:p>
            <w:pPr>
              <w:spacing w:after="0"/>
              <w:rPr>
                <w:sz w:val="1"/>
                <w:szCs w:val="1"/>
                <w:color w:val="auto"/>
              </w:rPr>
            </w:pP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b w:val="1"/>
                <w:bCs w:val="1"/>
                <w:i w:val="1"/>
                <w:iCs w:val="1"/>
                <w:color w:val="auto"/>
                <w:w w:val="91"/>
              </w:rPr>
              <w:t>Segment Gross Profit and Margin</w:t>
            </w:r>
          </w:p>
        </w:tc>
        <w:tc>
          <w:tcPr>
            <w:tcW w:w="1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45,959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6"/>
              </w:rPr>
              <w:t>22.6%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47,637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141,675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6"/>
              </w:rPr>
              <w:t>25.0%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155,094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25.6%</w:t>
            </w:r>
          </w:p>
        </w:tc>
        <w:tc>
          <w:tcPr>
            <w:tcW w:w="0" w:type="dxa"/>
            <w:vAlign w:val="bottom"/>
          </w:tcPr>
          <w:p>
            <w:pPr>
              <w:spacing w:after="0"/>
              <w:rPr>
                <w:sz w:val="1"/>
                <w:szCs w:val="1"/>
                <w:color w:val="auto"/>
              </w:rPr>
            </w:pPr>
          </w:p>
        </w:tc>
      </w:tr>
      <w:tr>
        <w:trPr>
          <w:trHeight w:val="262"/>
        </w:trPr>
        <w:tc>
          <w:tcPr>
            <w:tcW w:w="1960" w:type="dxa"/>
            <w:vAlign w:val="bottom"/>
          </w:tcPr>
          <w:p>
            <w:pPr>
              <w:ind w:left="380"/>
              <w:spacing w:after="0"/>
              <w:rPr>
                <w:sz w:val="20"/>
                <w:szCs w:val="20"/>
                <w:color w:val="auto"/>
              </w:rPr>
            </w:pPr>
            <w:r>
              <w:rPr>
                <w:rFonts w:ascii="Arial" w:cs="Arial" w:eastAsia="Arial" w:hAnsi="Arial"/>
                <w:sz w:val="13"/>
                <w:szCs w:val="13"/>
                <w:color w:val="auto"/>
              </w:rPr>
              <w:t>Gas</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53,492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57"/>
              <w:spacing w:after="0"/>
              <w:rPr>
                <w:sz w:val="20"/>
                <w:szCs w:val="20"/>
                <w:color w:val="auto"/>
              </w:rPr>
            </w:pPr>
            <w:r>
              <w:rPr>
                <w:rFonts w:ascii="Arial" w:cs="Arial" w:eastAsia="Arial" w:hAnsi="Arial"/>
                <w:sz w:val="13"/>
                <w:szCs w:val="13"/>
                <w:color w:val="auto"/>
                <w:w w:val="86"/>
              </w:rPr>
              <w:t>35.8%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55,303</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6"/>
              </w:rPr>
              <w:t>38.6%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168,609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color w:val="auto"/>
                <w:w w:val="86"/>
              </w:rPr>
              <w:t>37.5%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156,073</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37.5%</w:t>
            </w:r>
          </w:p>
        </w:tc>
        <w:tc>
          <w:tcPr>
            <w:tcW w:w="0" w:type="dxa"/>
            <w:vAlign w:val="bottom"/>
          </w:tcPr>
          <w:p>
            <w:pPr>
              <w:spacing w:after="0"/>
              <w:rPr>
                <w:sz w:val="1"/>
                <w:szCs w:val="1"/>
                <w:color w:val="auto"/>
              </w:rPr>
            </w:pPr>
          </w:p>
        </w:tc>
      </w:tr>
      <w:tr>
        <w:trPr>
          <w:trHeight w:val="278"/>
        </w:trPr>
        <w:tc>
          <w:tcPr>
            <w:tcW w:w="1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51,311</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6"/>
              </w:rPr>
              <w:t>35.7%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47,144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34.8%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158,054</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6"/>
              </w:rPr>
              <w:t>35.6%</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138,628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34.4%</w:t>
            </w:r>
          </w:p>
        </w:tc>
        <w:tc>
          <w:tcPr>
            <w:tcW w:w="0" w:type="dxa"/>
            <w:vAlign w:val="bottom"/>
          </w:tcPr>
          <w:p>
            <w:pPr>
              <w:spacing w:after="0"/>
              <w:rPr>
                <w:sz w:val="1"/>
                <w:szCs w:val="1"/>
                <w:color w:val="auto"/>
              </w:rPr>
            </w:pPr>
          </w:p>
        </w:tc>
      </w:tr>
      <w:tr>
        <w:trPr>
          <w:trHeight w:val="128"/>
        </w:trPr>
        <w:tc>
          <w:tcPr>
            <w:tcW w:w="1960" w:type="dxa"/>
            <w:vAlign w:val="bottom"/>
          </w:tcPr>
          <w:p>
            <w:pPr>
              <w:ind w:left="880"/>
              <w:spacing w:after="0" w:line="128" w:lineRule="exact"/>
              <w:rPr>
                <w:sz w:val="20"/>
                <w:szCs w:val="20"/>
                <w:color w:val="auto"/>
              </w:rPr>
            </w:pPr>
            <w:r>
              <w:rPr>
                <w:rFonts w:ascii="Arial" w:cs="Arial" w:eastAsia="Arial" w:hAnsi="Arial"/>
                <w:sz w:val="13"/>
                <w:szCs w:val="13"/>
                <w:color w:val="auto"/>
              </w:rPr>
              <w:t>Total gross profit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150,762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150,084</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468,338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449,795</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880"/>
              <w:spacing w:after="0"/>
              <w:rPr>
                <w:sz w:val="20"/>
                <w:szCs w:val="20"/>
                <w:color w:val="auto"/>
              </w:rPr>
            </w:pPr>
            <w:r>
              <w:rPr>
                <w:rFonts w:ascii="Arial" w:cs="Arial" w:eastAsia="Arial" w:hAnsi="Arial"/>
                <w:sz w:val="13"/>
                <w:szCs w:val="13"/>
                <w:color w:val="auto"/>
              </w:rPr>
              <w:t>and margin</w:t>
            </w:r>
          </w:p>
        </w:tc>
        <w:tc>
          <w:tcPr>
            <w:tcW w:w="14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86"/>
              </w:rPr>
              <w:t>30.4%</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30.3%</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color w:val="auto"/>
                <w:w w:val="86"/>
              </w:rPr>
              <w:t>32.1%</w:t>
            </w: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31.6%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5"/>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3"/>
                <w:szCs w:val="13"/>
                <w:b w:val="1"/>
                <w:bCs w:val="1"/>
                <w:color w:val="auto"/>
                <w:w w:val="87"/>
              </w:rPr>
              <w:t>Three Months Ended September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3"/>
                <w:szCs w:val="13"/>
                <w:b w:val="1"/>
                <w:bCs w:val="1"/>
                <w:color w:val="auto"/>
                <w:w w:val="87"/>
              </w:rPr>
              <w:t>Nine Months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w w:val="89"/>
              </w:rPr>
              <w:t>2014</w:t>
            </w:r>
          </w:p>
        </w:tc>
        <w:tc>
          <w:tcPr>
            <w:tcW w:w="1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2013</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2"/>
              </w:rPr>
              <w:t>2014</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2013</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102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14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87"/>
              </w:rPr>
              <w:t>Operating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90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87"/>
              </w:rPr>
              <w:t>Operating</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i w:val="1"/>
                <w:iCs w:val="1"/>
                <w:color w:val="auto"/>
                <w:w w:val="83"/>
              </w:rPr>
              <w:t>Income (Loss)</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93"/>
              </w:rPr>
              <w:t>Margin</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86"/>
              </w:rPr>
              <w:t>Income (Loss)</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Margin</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3"/>
              </w:rPr>
              <w:t>Income (Loss)</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93"/>
              </w:rPr>
              <w:t>Margin</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83"/>
              </w:rPr>
              <w:t>Income (Loss)</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0" w:type="dxa"/>
            <w:vAlign w:val="bottom"/>
          </w:tcPr>
          <w:p>
            <w:pPr>
              <w:spacing w:after="0"/>
              <w:rPr>
                <w:sz w:val="1"/>
                <w:szCs w:val="1"/>
                <w:color w:val="auto"/>
              </w:rPr>
            </w:pPr>
          </w:p>
        </w:tc>
      </w:tr>
      <w:tr>
        <w:trPr>
          <w:trHeight w:val="134"/>
        </w:trPr>
        <w:tc>
          <w:tcPr>
            <w:tcW w:w="1960" w:type="dxa"/>
            <w:vAlign w:val="bottom"/>
          </w:tcPr>
          <w:p>
            <w:pPr>
              <w:ind w:left="40"/>
              <w:spacing w:after="0" w:line="134" w:lineRule="exact"/>
              <w:rPr>
                <w:sz w:val="20"/>
                <w:szCs w:val="20"/>
                <w:color w:val="auto"/>
              </w:rPr>
            </w:pPr>
            <w:r>
              <w:rPr>
                <w:rFonts w:ascii="Arial" w:cs="Arial" w:eastAsia="Arial" w:hAnsi="Arial"/>
                <w:sz w:val="13"/>
                <w:szCs w:val="13"/>
                <w:b w:val="1"/>
                <w:bCs w:val="1"/>
                <w:i w:val="1"/>
                <w:iCs w:val="1"/>
                <w:color w:val="auto"/>
                <w:w w:val="89"/>
              </w:rPr>
              <w:t>Segment Operating Income (Loss)</w:t>
            </w:r>
          </w:p>
        </w:tc>
        <w:tc>
          <w:tcPr>
            <w:tcW w:w="14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960" w:type="dxa"/>
            <w:vAlign w:val="bottom"/>
            <w:vMerge w:val="restart"/>
          </w:tcPr>
          <w:p>
            <w:pPr>
              <w:ind w:left="40"/>
              <w:spacing w:after="0"/>
              <w:rPr>
                <w:sz w:val="20"/>
                <w:szCs w:val="20"/>
                <w:color w:val="auto"/>
              </w:rPr>
            </w:pPr>
            <w:r>
              <w:rPr>
                <w:rFonts w:ascii="Arial" w:cs="Arial" w:eastAsia="Arial" w:hAnsi="Arial"/>
                <w:sz w:val="13"/>
                <w:szCs w:val="13"/>
                <w:b w:val="1"/>
                <w:bCs w:val="1"/>
                <w:i w:val="1"/>
                <w:iCs w:val="1"/>
                <w:color w:val="auto"/>
              </w:rPr>
              <w:t>and Operating Margin</w:t>
            </w:r>
          </w:p>
        </w:tc>
        <w:tc>
          <w:tcPr>
            <w:tcW w:w="1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9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7"/>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(33,756)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(35,412)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7"/>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(56,923)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(9)%</w:t>
            </w:r>
          </w:p>
        </w:tc>
        <w:tc>
          <w:tcPr>
            <w:tcW w:w="0" w:type="dxa"/>
            <w:vAlign w:val="bottom"/>
          </w:tcPr>
          <w:p>
            <w:pPr>
              <w:spacing w:after="0"/>
              <w:rPr>
                <w:sz w:val="1"/>
                <w:szCs w:val="1"/>
                <w:color w:val="auto"/>
              </w:rPr>
            </w:pPr>
          </w:p>
        </w:tc>
      </w:tr>
      <w:tr>
        <w:trPr>
          <w:trHeight w:val="262"/>
        </w:trPr>
        <w:tc>
          <w:tcPr>
            <w:tcW w:w="1960" w:type="dxa"/>
            <w:vAlign w:val="bottom"/>
          </w:tcPr>
          <w:p>
            <w:pPr>
              <w:ind w:left="380"/>
              <w:spacing w:after="0"/>
              <w:rPr>
                <w:sz w:val="20"/>
                <w:szCs w:val="20"/>
                <w:color w:val="auto"/>
              </w:rPr>
            </w:pPr>
            <w:r>
              <w:rPr>
                <w:rFonts w:ascii="Arial" w:cs="Arial" w:eastAsia="Arial" w:hAnsi="Arial"/>
                <w:sz w:val="13"/>
                <w:szCs w:val="13"/>
                <w:color w:val="auto"/>
              </w:rPr>
              <w:t>Gas</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23,836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57"/>
              <w:spacing w:after="0"/>
              <w:rPr>
                <w:sz w:val="20"/>
                <w:szCs w:val="20"/>
                <w:color w:val="auto"/>
              </w:rPr>
            </w:pPr>
            <w:r>
              <w:rPr>
                <w:rFonts w:ascii="Arial" w:cs="Arial" w:eastAsia="Arial" w:hAnsi="Arial"/>
                <w:sz w:val="13"/>
                <w:szCs w:val="13"/>
                <w:color w:val="auto"/>
                <w:w w:val="92"/>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24,472</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73,889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color w:val="auto"/>
                <w:w w:val="92"/>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62,883</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15%</w:t>
            </w:r>
          </w:p>
        </w:tc>
        <w:tc>
          <w:tcPr>
            <w:tcW w:w="0" w:type="dxa"/>
            <w:vAlign w:val="bottom"/>
          </w:tcPr>
          <w:p>
            <w:pPr>
              <w:spacing w:after="0"/>
              <w:rPr>
                <w:sz w:val="1"/>
                <w:szCs w:val="1"/>
                <w:color w:val="auto"/>
              </w:rPr>
            </w:pPr>
          </w:p>
        </w:tc>
      </w:tr>
      <w:tr>
        <w:trPr>
          <w:trHeight w:val="278"/>
        </w:trPr>
        <w:tc>
          <w:tcPr>
            <w:tcW w:w="1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19,157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2"/>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17,225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60,319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2"/>
              </w:rPr>
              <w:t>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45,189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11%</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Corporate unallocated</w:t>
            </w: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(15,339)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(14,429)</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(45,872)</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(37,314)</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3"/>
                <w:szCs w:val="13"/>
                <w:color w:val="auto"/>
              </w:rPr>
              <w:t>Total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16,458</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57"/>
              <w:spacing w:after="0"/>
              <w:rPr>
                <w:sz w:val="20"/>
                <w:szCs w:val="20"/>
                <w:color w:val="auto"/>
              </w:rPr>
            </w:pPr>
            <w:r>
              <w:rPr>
                <w:rFonts w:ascii="Arial" w:cs="Arial" w:eastAsia="Arial" w:hAnsi="Arial"/>
                <w:sz w:val="13"/>
                <w:szCs w:val="13"/>
                <w:color w:val="auto"/>
                <w:w w:val="84"/>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(6,488)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52,924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57"/>
              <w:spacing w:after="0"/>
              <w:rPr>
                <w:sz w:val="20"/>
                <w:szCs w:val="20"/>
                <w:color w:val="auto"/>
              </w:rPr>
            </w:pPr>
            <w:r>
              <w:rPr>
                <w:rFonts w:ascii="Arial" w:cs="Arial" w:eastAsia="Arial" w:hAnsi="Arial"/>
                <w:sz w:val="13"/>
                <w:szCs w:val="13"/>
                <w:color w:val="auto"/>
                <w:w w:val="84"/>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13,835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2014 vs. Three months ended September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Electricity revenues decreased $13.2 million, or 6%, for the three months ended September 30, 2014, compared with the same period in 2013. Revenues in 2014 were lower primarily due to decreased product shipments in all regions totaling $19.5 million. This decrease was partially offset by higher professional services in North America of $9.0 million.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2014 vs. Nine months ended September 30, 2013</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Electricity revenues decreased $38.6 million, or 6%, for the nine months ended September 30, 2014, compared with the same period in 2013. Revenues in 2014 were lower primarily due to decreased product shipments and decreased professional services in EMEA of $29.9 million and $5.4 million and decreased product shipments of $8.4 million in Latin America and of $3.7 million in Asia/Pacific. These decreases were partially offset by increased professional services revenue of $15.7 million in North America. The net translation effect of our operations denominated in foreign currencies into U.S. dollars negatively impacted Electricity revenues by $6.2 million in 2014.</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single customer accounted for more than 10% of the Electricity operating segment revenues during the three and nine months ended September 30, 2014 and 2013</w:t>
      </w:r>
      <w:r>
        <w:rPr>
          <w:rFonts w:ascii="Arial" w:cs="Arial" w:eastAsia="Arial" w:hAnsi="Arial"/>
          <w:sz w:val="18"/>
          <w:szCs w:val="18"/>
          <w:i w:val="1"/>
          <w:iCs w:val="1"/>
          <w:color w:val="auto"/>
        </w:rPr>
        <w: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2014 vs. Three months ended September 30, 2013</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Electricity gross margin was 22.6% for the three months ended September 30, 2014, compared with 22.0% for the three months ended September 30, 2013. In 2014, gross margin increased 60 basis points over the prior year, primarily as the result of more favorable product mix, partially offset by increased inventory and warranty costs in EMEA. During the quarter, we revised our estimate of the cost to complete an OpenWay project in North America. This resulted in a decrease to gross profit of $11.4 million,</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impacted gross margin by 640 basis points . We previously recorded a net charge on this project in the third quarter of 2013, which decreased gross profit by $13.6 million and impacted gross margin by 260 basis points.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2014 vs. Nine months ended September 30, 2013</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Electricity gross margin was 25.0% for the nine months ended September 30, 2014, compared with 25.6% for the first nine months in 2013. During 2014, gross margin decreased 60 basis points over the prior year, driven by higher service costs and offset by lower manufacturing and warranty costs. During the third quarter, we recognized a net charge of $11.4 million for increased costs on an OpenWay project in North America, which impacted gross margin by 230 basis points. A similar charge was recorded on this project in the third quarter of 2013, impacting gross margin by $13.6 million, or 210 basis points.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2014 vs. Three months ended September 30, 2013</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Electricity operating expenses decreased $24.2 million, or 30%, for the three months ended September 30, 2014, compared with the same period in 2013, primarily due to a decrease of $21.9 million in restructuring expense as a result of an accrual for our restructuring projects in 2013, as well as reduced spending of $2.3 million and $2.0 million in general and administrative and product development expenses. These decreases were offset partially by a scheduled increase of $1.5 million in amortization expense. Sales and marketing, product development, general and administrative, and amortization of intangible asset expenses as a percentage of revenues were 28% in 2014 and 27% in 2013.</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2014 vs. Nine months ended September 30, 2013</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Electricity operating expenses decreased $34.9 million, or 16%, for the nine months ended September 30, 2014, compared with the same period in 2013, primarily due to a decrease of $31.9 million in restructuring expense as a result of an accrual for our restructuring projects in 2013, as well as an additional credit to restructuring in 2014 resulting from our reassessment of our restructuring projects. Electricity also benefited from reduced spending of $5.9 million and $2.7 million in product development and sales and marketing expenses. These decreases were partially offset by a scheduled increase of $4.4 million in amortization of intangible assets, and $1.0 million in goodwill impairment. Sales and marketing, product development, general and administrative, and amortization of intangible asset expenses as a percentage of revenues were 33% in 2014 and 31% in 2013.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2014 vs. Three months ended September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Gas revenues increased $6.0 million, or 4%, for the three months ended September 30, 2014, compared with the third quarter of 2013. This increase was primarily driven by increased product shipments and professional services of $6.4 million and $1.6 million in North America, partially offset by decreased product shipments of $2.4 million in EMEA.</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2014 vs. Nine months ended September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Gas revenues increased $33.5 million, or 8%, for the nine months ended September 30, 2014, compared with the first half of 2013, primarily as a result of increased product revenues in all regions, including increases of $28.1 million and $6.7 million in North America and EMEA, respectively. These increases were partially offset by a decrease of $1.8 million in professional services in North America.</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accounted for more than 10% of the Gas operating segment revenues during the three and nine months ended September 30, 2014 and September 30, 2013.</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2014 vs. Three months ended September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Gas gross margin was 35.8% for the three months ended September 30, 2014, compared with 38.6% for the same period in 2013. This decrease of 280 basis points was driven by lower volumes and less favorable product mix in EMEA, partially offset by increased volumes of higher margin products in North America.</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2014 vs. Nine months ended September 30, 2013</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Gas gross margin was 37.5% for the nine months ended September 30, 2014 and 2013. Improved gross margin in North America resulting from increased volumes of higher margin products was offset by unfavorable product mix in EMEA.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2014 vs. Three months ended September 30, 2013</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Gas operating expenses decreased $1.2 million, or 4%, for the three months ended September 30, 2014, compared with the same period in 2013. This was due primarily to lower restructuring expense, partially offset by higher product development costs during the quarter. Sales and marketing, product development, general and administrative, and amortization of intangible asset expenses as a percentage of revenues were 20% in 2014 and 2013.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2014 vs. Nine months ended September 30, 2013</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Gas operating expenses increased $1.5 million, or 2%, for the nine months ended September 30, 2014, compared with the same period in 2013. This was due primarily to higher product development costs of $6.2 million in 2014, partially offset by lower general and administrative and restructuring expenses of $2.2 million and $1.3 million, as well as a scheduled decrease in amortization expense of $1.2 million. Sales and marketing, product development, general and administrative, and amortization of intangible asset expenses as a percentage of revenues were 21% in 2014 and 22% in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2014 vs. Three months ended September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$8.1 million, or 6%, for the three months ended September 30, 2014, compared with the first quarter of 2013. All regions had higher volumes in 2014, including $11.3 million in higher product revenue, including heat products, in EMEA and $2.5 million in increased shipments in Asia/Pacific. While North America had higher volumes, total product revenue declined $4.5 million.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2014 vs. Nine months ended September 30, 2013</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Revenues increased $40.4 million, or 10%, for the nine months ended September 30, 2014, compared with the same period last year. This increase was primarily due to $35.1 million in higher product revenue, including heat products, in EMEA, as well as $6.7 million higher product revenue in Asia/Pacific, and $3.1 million higher product revenues in Latin America, partially offset by a decrease in services revenue of $4.0 million in North America.</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the Water operating segment revenues during the three and nine months ended September 30, 2014 and 2013.</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2014 vs. Three months ended September 30,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Water gross margin increased to 35.7% for the three months ended September 30, 2014, compared with 34.8% for the same period last year, primarily as the result of lower manufacturing costs in Asia/Pacific, EMEA, and North America, a decrease in professional services, which have a lower gross margin, in North America, and lower special warranty costs, partially offset by a less favorable product mix in EMEA.</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2014 vs. Nine months ended September 30, 2013</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Water gross margin increased to 35.6% for the nine months ended September 30, 2014, compared with 34.4% for the same period last year, primarily as the result of a decrease in manufacturing costs and professional services, which have a lower gross margin, in North America, along with increased product volumes and lower manufacturing costs in EMEA.</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2014 vs. Three months ended September 30, 2013</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for the three months ended September 30, 2014 increased by $2.2 million, or 7%, over the third quarter of 2013, primarily as the result of increased variable compensation expense, litigation charges, and increased allocations of corporate expenses. The increases were partially offset by a $2.2 million reduction in restructuring expense. Sales and marketing, product development, general and administrative, and amortization of intangible asset expenses as a percentage of revenues were 22% in 2014 and 20% in 2013.</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2014 vs. Nine months ended September 30, 2013</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for the nine months ended September 30, 2014 increased by $4.3 million, or 5%, compared with the same period last year, primarily as the result of increased general and administrative expenses and sales and marketing expenses, associated with variable compensation and higher revenue, partially offset by a scheduled decrease of $1.5 million in amortization of intangible assets and a decrease in restructuring expense of $2.3 million. Sales and marketing, product development, general and administrative, and amortization of intangible asset expenses as a percentage of revenues were 22% in 2014 and 2013.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expenses not directly associated with an operating segment are classified as “Corporate unallocated.” These expenses increased by $0.9 million for the three months ended September 30, 2014 due primarily to increased variable compensation, partially offset by a reduction in restructuring expense. Corporate unallocated expenses increased by $8.6 million for the nine months ended September 30, 2014, due to the costs of our newly established Global Business Services (GBS) center, higher variable compensation, and higher professional services costs as compared with the same period in 2013.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Bookings for a reported period represent customer contracts and purchase orders received during the period that have met certain conditions, such as regulatory and/or contractual approval. Total backlog represents committed but undelivered products and services for contracts and purchase orders at period 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2014</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514</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2014</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478</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1,330</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675</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2014</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745</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1,333</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2013</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527</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1,068</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549</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2013</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457</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1,055</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582</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2280" w:type="dxa"/>
            <w:vAlign w:val="bottom"/>
            <w:gridSpan w:val="5"/>
          </w:tcPr>
          <w:p>
            <w:pPr>
              <w:ind w:left="480"/>
              <w:spacing w:after="0"/>
              <w:rPr>
                <w:sz w:val="20"/>
                <w:szCs w:val="20"/>
                <w:color w:val="auto"/>
              </w:rPr>
            </w:pPr>
            <w:r>
              <w:rPr>
                <w:rFonts w:ascii="Arial" w:cs="Arial" w:eastAsia="Arial" w:hAnsi="Arial"/>
                <w:sz w:val="16"/>
                <w:szCs w:val="16"/>
                <w:b w:val="1"/>
                <w:bCs w:val="1"/>
                <w:color w:val="auto"/>
              </w:rPr>
              <w:t>Total Bookings</w:t>
            </w:r>
          </w:p>
        </w:tc>
        <w:tc>
          <w:tcPr>
            <w:tcW w:w="160" w:type="dxa"/>
            <w:vAlign w:val="bottom"/>
          </w:tcPr>
          <w:p>
            <w:pPr>
              <w:spacing w:after="0"/>
              <w:rPr>
                <w:sz w:val="18"/>
                <w:szCs w:val="18"/>
                <w:color w:val="auto"/>
              </w:rPr>
            </w:pPr>
          </w:p>
        </w:tc>
        <w:tc>
          <w:tcPr>
            <w:tcW w:w="1360" w:type="dxa"/>
            <w:vAlign w:val="bottom"/>
            <w:gridSpan w:val="3"/>
          </w:tcPr>
          <w:p>
            <w:pPr>
              <w:ind w:left="620"/>
              <w:spacing w:after="0"/>
              <w:rPr>
                <w:sz w:val="20"/>
                <w:szCs w:val="20"/>
                <w:color w:val="auto"/>
              </w:rPr>
            </w:pPr>
            <w:r>
              <w:rPr>
                <w:rFonts w:ascii="Arial" w:cs="Arial" w:eastAsia="Arial" w:hAnsi="Arial"/>
                <w:sz w:val="16"/>
                <w:szCs w:val="16"/>
                <w:b w:val="1"/>
                <w:bCs w:val="1"/>
                <w:color w:val="auto"/>
                <w:w w:val="94"/>
              </w:rPr>
              <w:t>Electricity</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Gas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b w:val="1"/>
                <w:bCs w:val="1"/>
                <w:color w:val="auto"/>
                <w:w w:val="98"/>
              </w:rPr>
              <w:t>Water</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4"/>
          </w:tcPr>
          <w:p>
            <w:pPr>
              <w:jc w:val="right"/>
              <w:ind w:right="847"/>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2014</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June 30, 2014</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gridSpan w:val="3"/>
          </w:tcPr>
          <w:p>
            <w:pPr>
              <w:jc w:val="right"/>
              <w:ind w:right="48"/>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2014</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December 31, 2013</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gridSpan w:val="3"/>
          </w:tcPr>
          <w:p>
            <w:pPr>
              <w:jc w:val="right"/>
              <w:ind w:right="48"/>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64"/>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2013</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347"/>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120" w:type="dxa"/>
            <w:vAlign w:val="bottom"/>
            <w:vMerge w:val="restart"/>
          </w:tcPr>
          <w:p>
            <w:pPr>
              <w:jc w:val="right"/>
              <w:ind w:right="42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1100" w:type="dxa"/>
            <w:vAlign w:val="bottom"/>
            <w:vMerge w:val="restart"/>
          </w:tcPr>
          <w:p>
            <w:pPr>
              <w:jc w:val="right"/>
              <w:ind w:right="40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00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1100" w:type="dxa"/>
            <w:vAlign w:val="bottom"/>
            <w:vMerge w:val="restart"/>
          </w:tcPr>
          <w:p>
            <w:pPr>
              <w:jc w:val="right"/>
              <w:ind w:right="40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900" w:type="dxa"/>
            <w:vAlign w:val="bottom"/>
          </w:tcPr>
          <w:p>
            <w:pPr>
              <w:jc w:val="right"/>
              <w:ind w:right="22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0"/>
              </w:rPr>
              <w:t>Revenues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07"/>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44,484</w:t>
            </w:r>
          </w:p>
        </w:tc>
        <w:tc>
          <w:tcPr>
            <w:tcW w:w="1120" w:type="dxa"/>
            <w:vAlign w:val="bottom"/>
            <w:gridSpan w:val="3"/>
            <w:vMerge w:val="restart"/>
            <w:shd w:val="clear" w:color="auto" w:fill="CCEEFF"/>
          </w:tcPr>
          <w:p>
            <w:pPr>
              <w:jc w:val="center"/>
              <w:ind w:left="124"/>
              <w:spacing w:after="0"/>
              <w:rPr>
                <w:sz w:val="20"/>
                <w:szCs w:val="20"/>
                <w:color w:val="auto"/>
              </w:rPr>
            </w:pPr>
            <w:r>
              <w:rPr>
                <w:rFonts w:ascii="Arial" w:cs="Arial" w:eastAsia="Arial" w:hAnsi="Arial"/>
                <w:sz w:val="14"/>
                <w:szCs w:val="14"/>
                <w:color w:val="auto"/>
                <w:w w:val="98"/>
              </w:rPr>
              <w:t>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44,050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center"/>
              <w:ind w:right="64"/>
              <w:spacing w:after="0"/>
              <w:rPr>
                <w:sz w:val="20"/>
                <w:szCs w:val="20"/>
                <w:color w:val="auto"/>
              </w:rPr>
            </w:pPr>
            <w:r>
              <w:rPr>
                <w:rFonts w:ascii="Arial" w:cs="Arial" w:eastAsia="Arial" w:hAnsi="Arial"/>
                <w:sz w:val="14"/>
                <w:szCs w:val="14"/>
                <w:color w:val="auto"/>
                <w:w w:val="98"/>
              </w:rPr>
              <w:t>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138,212</w:t>
            </w:r>
          </w:p>
        </w:tc>
        <w:tc>
          <w:tcPr>
            <w:tcW w:w="1020" w:type="dxa"/>
            <w:vAlign w:val="bottom"/>
            <w:gridSpan w:val="2"/>
            <w:vMerge w:val="restart"/>
            <w:shd w:val="clear" w:color="auto" w:fill="CCEEFF"/>
          </w:tcPr>
          <w:p>
            <w:pPr>
              <w:jc w:val="center"/>
              <w:ind w:left="24"/>
              <w:spacing w:after="0"/>
              <w:rPr>
                <w:sz w:val="20"/>
                <w:szCs w:val="20"/>
                <w:color w:val="auto"/>
              </w:rPr>
            </w:pPr>
            <w:r>
              <w:rPr>
                <w:rFonts w:ascii="Arial" w:cs="Arial" w:eastAsia="Arial" w:hAnsi="Arial"/>
                <w:sz w:val="14"/>
                <w:szCs w:val="14"/>
                <w:color w:val="auto"/>
                <w:w w:val="98"/>
              </w:rPr>
              <w:t>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138,448</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1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Product development</w:t>
            </w:r>
          </w:p>
        </w:tc>
        <w:tc>
          <w:tcPr>
            <w:tcW w:w="1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42,303</w:t>
            </w:r>
          </w:p>
        </w:tc>
        <w:tc>
          <w:tcPr>
            <w:tcW w:w="1120" w:type="dxa"/>
            <w:vAlign w:val="bottom"/>
            <w:gridSpan w:val="3"/>
            <w:vMerge w:val="restart"/>
          </w:tcPr>
          <w:p>
            <w:pPr>
              <w:jc w:val="center"/>
              <w:ind w:left="124"/>
              <w:spacing w:after="0"/>
              <w:rPr>
                <w:sz w:val="20"/>
                <w:szCs w:val="20"/>
                <w:color w:val="auto"/>
              </w:rPr>
            </w:pPr>
            <w:r>
              <w:rPr>
                <w:rFonts w:ascii="Arial" w:cs="Arial" w:eastAsia="Arial" w:hAnsi="Arial"/>
                <w:sz w:val="14"/>
                <w:szCs w:val="14"/>
                <w:color w:val="auto"/>
                <w:w w:val="98"/>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restart"/>
          </w:tcPr>
          <w:p>
            <w:pPr>
              <w:jc w:val="right"/>
              <w:ind w:right="47"/>
              <w:spacing w:after="0"/>
              <w:rPr>
                <w:sz w:val="20"/>
                <w:szCs w:val="20"/>
                <w:color w:val="auto"/>
              </w:rPr>
            </w:pPr>
            <w:r>
              <w:rPr>
                <w:rFonts w:ascii="Arial" w:cs="Arial" w:eastAsia="Arial" w:hAnsi="Arial"/>
                <w:sz w:val="14"/>
                <w:szCs w:val="14"/>
                <w:color w:val="auto"/>
              </w:rPr>
              <w:t>41,495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center"/>
              <w:ind w:right="64"/>
              <w:spacing w:after="0"/>
              <w:rPr>
                <w:sz w:val="20"/>
                <w:szCs w:val="20"/>
                <w:color w:val="auto"/>
              </w:rPr>
            </w:pPr>
            <w:r>
              <w:rPr>
                <w:rFonts w:ascii="Arial" w:cs="Arial" w:eastAsia="Arial" w:hAnsi="Arial"/>
                <w:sz w:val="14"/>
                <w:szCs w:val="14"/>
                <w:color w:val="auto"/>
                <w:w w:val="98"/>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7"/>
              <w:spacing w:after="0"/>
              <w:rPr>
                <w:sz w:val="20"/>
                <w:szCs w:val="20"/>
                <w:color w:val="auto"/>
              </w:rPr>
            </w:pPr>
            <w:r>
              <w:rPr>
                <w:rFonts w:ascii="Arial" w:cs="Arial" w:eastAsia="Arial" w:hAnsi="Arial"/>
                <w:sz w:val="14"/>
                <w:szCs w:val="14"/>
                <w:color w:val="auto"/>
              </w:rPr>
              <w:t>130,711</w:t>
            </w:r>
          </w:p>
        </w:tc>
        <w:tc>
          <w:tcPr>
            <w:tcW w:w="1020" w:type="dxa"/>
            <w:vAlign w:val="bottom"/>
            <w:gridSpan w:val="2"/>
            <w:vMerge w:val="restart"/>
          </w:tcPr>
          <w:p>
            <w:pPr>
              <w:jc w:val="center"/>
              <w:ind w:left="24"/>
              <w:spacing w:after="0"/>
              <w:rPr>
                <w:sz w:val="20"/>
                <w:szCs w:val="20"/>
                <w:color w:val="auto"/>
              </w:rPr>
            </w:pPr>
            <w:r>
              <w:rPr>
                <w:rFonts w:ascii="Arial" w:cs="Arial" w:eastAsia="Arial" w:hAnsi="Arial"/>
                <w:sz w:val="14"/>
                <w:szCs w:val="14"/>
                <w:color w:val="auto"/>
                <w:w w:val="98"/>
              </w:rPr>
              <w:t>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7"/>
              <w:spacing w:after="0"/>
              <w:rPr>
                <w:sz w:val="20"/>
                <w:szCs w:val="20"/>
                <w:color w:val="auto"/>
              </w:rPr>
            </w:pPr>
            <w:r>
              <w:rPr>
                <w:rFonts w:ascii="Arial" w:cs="Arial" w:eastAsia="Arial" w:hAnsi="Arial"/>
                <w:sz w:val="14"/>
                <w:szCs w:val="14"/>
                <w:color w:val="auto"/>
              </w:rPr>
              <w:t>129,184</w:t>
            </w:r>
          </w:p>
        </w:tc>
        <w:tc>
          <w:tcPr>
            <w:tcW w:w="12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1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36,542</w:t>
            </w:r>
          </w:p>
        </w:tc>
        <w:tc>
          <w:tcPr>
            <w:tcW w:w="1120" w:type="dxa"/>
            <w:vAlign w:val="bottom"/>
            <w:gridSpan w:val="3"/>
            <w:vMerge w:val="restart"/>
            <w:shd w:val="clear" w:color="auto" w:fill="CCEEFF"/>
          </w:tcPr>
          <w:p>
            <w:pPr>
              <w:jc w:val="center"/>
              <w:ind w:left="124"/>
              <w:spacing w:after="0"/>
              <w:rPr>
                <w:sz w:val="20"/>
                <w:szCs w:val="20"/>
                <w:color w:val="auto"/>
              </w:rPr>
            </w:pPr>
            <w:r>
              <w:rPr>
                <w:rFonts w:ascii="Arial" w:cs="Arial" w:eastAsia="Arial" w:hAnsi="Arial"/>
                <w:sz w:val="14"/>
                <w:szCs w:val="14"/>
                <w:color w:val="auto"/>
                <w:w w:val="98"/>
              </w:rPr>
              <w:t>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32,260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center"/>
              <w:ind w:right="64"/>
              <w:spacing w:after="0"/>
              <w:rPr>
                <w:sz w:val="20"/>
                <w:szCs w:val="20"/>
                <w:color w:val="auto"/>
              </w:rPr>
            </w:pPr>
            <w:r>
              <w:rPr>
                <w:rFonts w:ascii="Arial" w:cs="Arial" w:eastAsia="Arial" w:hAnsi="Arial"/>
                <w:sz w:val="14"/>
                <w:szCs w:val="14"/>
                <w:color w:val="auto"/>
                <w:w w:val="98"/>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114,629</w:t>
            </w:r>
          </w:p>
        </w:tc>
        <w:tc>
          <w:tcPr>
            <w:tcW w:w="1020" w:type="dxa"/>
            <w:vAlign w:val="bottom"/>
            <w:gridSpan w:val="2"/>
            <w:vMerge w:val="restart"/>
            <w:shd w:val="clear" w:color="auto" w:fill="CCEEFF"/>
          </w:tcPr>
          <w:p>
            <w:pPr>
              <w:jc w:val="center"/>
              <w:ind w:left="24"/>
              <w:spacing w:after="0"/>
              <w:rPr>
                <w:sz w:val="20"/>
                <w:szCs w:val="20"/>
                <w:color w:val="auto"/>
              </w:rPr>
            </w:pPr>
            <w:r>
              <w:rPr>
                <w:rFonts w:ascii="Arial" w:cs="Arial" w:eastAsia="Arial" w:hAnsi="Arial"/>
                <w:sz w:val="14"/>
                <w:szCs w:val="14"/>
                <w:color w:val="auto"/>
                <w:w w:val="98"/>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104,172</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1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Amortization of intangible</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gridSpan w:val="2"/>
          </w:tcPr>
          <w:p>
            <w:pPr>
              <w:ind w:left="200"/>
              <w:spacing w:after="0"/>
              <w:rPr>
                <w:sz w:val="20"/>
                <w:szCs w:val="20"/>
                <w:color w:val="auto"/>
              </w:rPr>
            </w:pPr>
            <w:r>
              <w:rPr>
                <w:rFonts w:ascii="Arial" w:cs="Arial" w:eastAsia="Arial" w:hAnsi="Arial"/>
                <w:sz w:val="14"/>
                <w:szCs w:val="14"/>
                <w:color w:val="auto"/>
              </w:rPr>
              <w:t>assets</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10,917</w:t>
            </w:r>
          </w:p>
        </w:tc>
        <w:tc>
          <w:tcPr>
            <w:tcW w:w="1120" w:type="dxa"/>
            <w:vAlign w:val="bottom"/>
            <w:gridSpan w:val="3"/>
          </w:tcPr>
          <w:p>
            <w:pPr>
              <w:jc w:val="center"/>
              <w:ind w:left="124"/>
              <w:spacing w:after="0"/>
              <w:rPr>
                <w:sz w:val="20"/>
                <w:szCs w:val="20"/>
                <w:color w:val="auto"/>
              </w:rPr>
            </w:pPr>
            <w:r>
              <w:rPr>
                <w:rFonts w:ascii="Arial" w:cs="Arial" w:eastAsia="Arial" w:hAnsi="Arial"/>
                <w:sz w:val="14"/>
                <w:szCs w:val="14"/>
                <w:color w:val="auto"/>
                <w:w w:val="98"/>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4"/>
                <w:szCs w:val="14"/>
                <w:color w:val="auto"/>
              </w:rPr>
              <w:t>10,388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64"/>
              <w:spacing w:after="0"/>
              <w:rPr>
                <w:sz w:val="20"/>
                <w:szCs w:val="20"/>
                <w:color w:val="auto"/>
              </w:rPr>
            </w:pPr>
            <w:r>
              <w:rPr>
                <w:rFonts w:ascii="Arial" w:cs="Arial" w:eastAsia="Arial" w:hAnsi="Arial"/>
                <w:sz w:val="14"/>
                <w:szCs w:val="14"/>
                <w:color w:val="auto"/>
                <w:w w:val="98"/>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7"/>
              <w:spacing w:after="0"/>
              <w:rPr>
                <w:sz w:val="20"/>
                <w:szCs w:val="20"/>
                <w:color w:val="auto"/>
              </w:rPr>
            </w:pPr>
            <w:r>
              <w:rPr>
                <w:rFonts w:ascii="Arial" w:cs="Arial" w:eastAsia="Arial" w:hAnsi="Arial"/>
                <w:sz w:val="14"/>
                <w:szCs w:val="14"/>
                <w:color w:val="auto"/>
              </w:rPr>
              <w:t>33,096</w:t>
            </w:r>
          </w:p>
        </w:tc>
        <w:tc>
          <w:tcPr>
            <w:tcW w:w="1020" w:type="dxa"/>
            <w:vAlign w:val="bottom"/>
            <w:gridSpan w:val="2"/>
          </w:tcPr>
          <w:p>
            <w:pPr>
              <w:jc w:val="center"/>
              <w:ind w:left="24"/>
              <w:spacing w:after="0"/>
              <w:rPr>
                <w:sz w:val="20"/>
                <w:szCs w:val="20"/>
                <w:color w:val="auto"/>
              </w:rPr>
            </w:pPr>
            <w:r>
              <w:rPr>
                <w:rFonts w:ascii="Arial" w:cs="Arial" w:eastAsia="Arial" w:hAnsi="Arial"/>
                <w:sz w:val="14"/>
                <w:szCs w:val="14"/>
                <w:color w:val="auto"/>
                <w:w w:val="98"/>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7"/>
              <w:spacing w:after="0"/>
              <w:rPr>
                <w:sz w:val="20"/>
                <w:szCs w:val="20"/>
                <w:color w:val="auto"/>
              </w:rPr>
            </w:pPr>
            <w:r>
              <w:rPr>
                <w:rFonts w:ascii="Arial" w:cs="Arial" w:eastAsia="Arial" w:hAnsi="Arial"/>
                <w:sz w:val="14"/>
                <w:szCs w:val="14"/>
                <w:color w:val="auto"/>
              </w:rPr>
              <w:t>31,379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2%</w:t>
            </w:r>
          </w:p>
        </w:tc>
        <w:tc>
          <w:tcPr>
            <w:tcW w:w="0" w:type="dxa"/>
            <w:vAlign w:val="bottom"/>
          </w:tcPr>
          <w:p>
            <w:pPr>
              <w:spacing w:after="0"/>
              <w:rPr>
                <w:sz w:val="1"/>
                <w:szCs w:val="1"/>
                <w:color w:val="auto"/>
              </w:rPr>
            </w:pPr>
          </w:p>
        </w:tc>
      </w:tr>
      <w:tr>
        <w:trPr>
          <w:trHeight w:val="19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Restructuring</w:t>
            </w:r>
          </w:p>
        </w:tc>
        <w:tc>
          <w:tcPr>
            <w:tcW w:w="1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8"/>
              </w:rPr>
              <w:t>—%</w:t>
            </w: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28,379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center"/>
              <w:ind w:right="64"/>
              <w:spacing w:after="0"/>
              <w:rPr>
                <w:sz w:val="20"/>
                <w:szCs w:val="20"/>
                <w:color w:val="auto"/>
              </w:rPr>
            </w:pPr>
            <w:r>
              <w:rPr>
                <w:rFonts w:ascii="Arial" w:cs="Arial" w:eastAsia="Arial" w:hAnsi="Arial"/>
                <w:sz w:val="14"/>
                <w:szCs w:val="14"/>
                <w:color w:val="auto"/>
                <w:w w:val="98"/>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(2,211)</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32,777</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2%</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Goodwill impairment</w:t>
            </w:r>
          </w:p>
        </w:tc>
        <w:tc>
          <w:tcPr>
            <w:tcW w:w="1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780" w:type="dxa"/>
            <w:vAlign w:val="bottom"/>
            <w:vMerge w:val="restart"/>
          </w:tcPr>
          <w:p>
            <w:pPr>
              <w:jc w:val="center"/>
              <w:ind w:right="64"/>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7"/>
              <w:spacing w:after="0"/>
              <w:rPr>
                <w:sz w:val="20"/>
                <w:szCs w:val="20"/>
                <w:color w:val="auto"/>
              </w:rPr>
            </w:pPr>
            <w:r>
              <w:rPr>
                <w:rFonts w:ascii="Arial" w:cs="Arial" w:eastAsia="Arial" w:hAnsi="Arial"/>
                <w:sz w:val="14"/>
                <w:szCs w:val="14"/>
                <w:color w:val="auto"/>
              </w:rPr>
              <w:t>977</w:t>
            </w:r>
          </w:p>
        </w:tc>
        <w:tc>
          <w:tcPr>
            <w:tcW w:w="12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74"/>
        </w:trPr>
        <w:tc>
          <w:tcPr>
            <w:tcW w:w="18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9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99"/>
              </w:rPr>
              <w:t>Total operating expenses</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134,304</w:t>
            </w:r>
          </w:p>
        </w:tc>
        <w:tc>
          <w:tcPr>
            <w:tcW w:w="1120" w:type="dxa"/>
            <w:vAlign w:val="bottom"/>
            <w:gridSpan w:val="3"/>
            <w:vMerge w:val="restart"/>
            <w:shd w:val="clear" w:color="auto" w:fill="CCEEFF"/>
          </w:tcPr>
          <w:p>
            <w:pPr>
              <w:jc w:val="center"/>
              <w:ind w:left="104"/>
              <w:spacing w:after="0"/>
              <w:rPr>
                <w:sz w:val="20"/>
                <w:szCs w:val="20"/>
                <w:color w:val="auto"/>
              </w:rPr>
            </w:pPr>
            <w:r>
              <w:rPr>
                <w:rFonts w:ascii="Arial" w:cs="Arial" w:eastAsia="Arial" w:hAnsi="Arial"/>
                <w:sz w:val="14"/>
                <w:szCs w:val="14"/>
                <w:color w:val="auto"/>
                <w:w w:val="92"/>
              </w:rPr>
              <w:t>27%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156,572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center"/>
              <w:ind w:right="64"/>
              <w:spacing w:after="0"/>
              <w:rPr>
                <w:sz w:val="20"/>
                <w:szCs w:val="20"/>
                <w:color w:val="auto"/>
              </w:rPr>
            </w:pPr>
            <w:r>
              <w:rPr>
                <w:rFonts w:ascii="Arial" w:cs="Arial" w:eastAsia="Arial" w:hAnsi="Arial"/>
                <w:sz w:val="14"/>
                <w:szCs w:val="14"/>
                <w:color w:val="auto"/>
                <w:w w:val="99"/>
              </w:rPr>
              <w:t>32%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415,414</w:t>
            </w:r>
          </w:p>
        </w:tc>
        <w:tc>
          <w:tcPr>
            <w:tcW w:w="1020" w:type="dxa"/>
            <w:vAlign w:val="bottom"/>
            <w:gridSpan w:val="2"/>
            <w:vMerge w:val="restart"/>
            <w:shd w:val="clear" w:color="auto" w:fill="CCEEFF"/>
          </w:tcPr>
          <w:p>
            <w:pPr>
              <w:jc w:val="center"/>
              <w:ind w:left="44"/>
              <w:spacing w:after="0"/>
              <w:rPr>
                <w:sz w:val="20"/>
                <w:szCs w:val="20"/>
                <w:color w:val="auto"/>
              </w:rPr>
            </w:pPr>
            <w:r>
              <w:rPr>
                <w:rFonts w:ascii="Arial" w:cs="Arial" w:eastAsia="Arial" w:hAnsi="Arial"/>
                <w:sz w:val="14"/>
                <w:szCs w:val="14"/>
                <w:color w:val="auto"/>
                <w:w w:val="92"/>
              </w:rPr>
              <w:t>28%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435,960</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0" w:type="dxa"/>
            <w:vAlign w:val="bottom"/>
          </w:tcPr>
          <w:p>
            <w:pPr>
              <w:spacing w:after="0"/>
              <w:rPr>
                <w:sz w:val="1"/>
                <w:szCs w:val="1"/>
                <w:color w:val="auto"/>
              </w:rPr>
            </w:pPr>
          </w:p>
        </w:tc>
      </w:tr>
      <w:tr>
        <w:trPr>
          <w:trHeight w:val="60"/>
        </w:trPr>
        <w:tc>
          <w:tcPr>
            <w:tcW w:w="1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12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expenses decreased $22.3 million for the three months ended September 30, 2014. This decrease was primarily the result of a decrease in restructuring expense offset partially by an increase in general and administrative expenses due to higher variable compensation expense and professional fees. Operating expenses decreased $20.5 million for the nine months ended September 30, 2014, primarily due to lower restructuring costs, offset partially by an increase in professional services and variable compensation expenses, which are included primarily within general and administrative expense. In addition, there was approximately $1.0 million of goodwill impairment during the nine months ended September 30, 2014.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1,401</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(2,432)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(6,277)</w:t>
            </w:r>
          </w:p>
        </w:tc>
      </w:tr>
      <w:tr>
        <w:trPr>
          <w:trHeight w:val="33"/>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(1,244)</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(2,717)</w:t>
            </w:r>
          </w:p>
        </w:tc>
      </w:tr>
      <w:tr>
        <w:trPr>
          <w:trHeight w:val="33"/>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is generated from our cash and cash equivalents balances and certain deposits on hand with third parties. 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remained consistent for the three months ended September 30, 2014 as compared with the same period in 2013. Interest income declined during the nine months ended September 30, 2014 as interest rates remained low, and we recognized interest on deposits with government entities related to tax contingencies in 2013.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and nine months ended September 30, 2014 increased due to the impact of interest rate swaps, which became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during the third quarter of 2013, and a higher interest rate margin on the credit facility, offset partially by lower debt outstanding. Average total debt outstanding was $327.3 million and $423.1 million for the quarters ended September 30, 2014 and 2013, respectively, and $348.2 million and $414.7 million for the nine month periods ended September 30, 2014 and 2013,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Amortization of prepaid debt fees</w:t>
      </w:r>
      <w:r>
        <w:rPr>
          <w:rFonts w:ascii="Arial" w:cs="Arial" w:eastAsia="Arial" w:hAnsi="Arial"/>
          <w:sz w:val="16"/>
          <w:szCs w:val="16"/>
          <w:color w:val="auto"/>
        </w:rPr>
        <w:t>: Amortization of prepaid debt fees for the three and nine months ended September 30, 2014 remained consistent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same periods in 2013. Refer to Item 1: “Financial Statements Note 6: Debt” for additional details related to our long-term borrowings.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Other expenses, net, consist primarily of unrealized and realized foreign currency gains and losses from balances 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 currencies other than the reporting entity's functional currency and other non-operating income (expenses). As a result of currency movements in certain markets in which we do business, foreign currency gains (losses), net of hedging, were $(1.0) million and $(3.9) million for the three and nine months ended September 30, 2014, compared with $236,000 and $(1.9) million in the same periods in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0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Nine Months Ended September 30,</w:t>
            </w:r>
          </w:p>
        </w:tc>
        <w:tc>
          <w:tcPr>
            <w:tcW w:w="7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2013</w:t>
            </w:r>
          </w:p>
        </w:tc>
        <w:tc>
          <w:tcPr>
            <w:tcW w:w="7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116,538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65,877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(32,253)</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(41,703)</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(79,355)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(36,084)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(7,260)</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(2,454)</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 cash and cash equivalents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was $122.5 million at September 30, 2014, compared with $124.8 million at December 31, 2013.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provided by operating activities during the nine months ended September 30, 2014 was $50.7 million higher than during the same period in 2013. This increase was primarily due to: (1) invoice timing, resulting in $34.8 million of decreased payments in accounts payable during the first nine months of 2014 compared with the same period in 2013, (2) an $18.3 million increase in net income, (3) a $14.6 million increase in wages and benefits payable due to increased variable compensation accrued based on improved performance, (4) an $8.4 million increase in unearned revenue and (5) a $7.7 million decrease in deferred taxes. These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increases in cash provided by operating activities were partially offset by a $24.6 million decrease in the current restructuring accrual and a $23.5 million decrease in accounts receivable collections.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used in investing activities during the nine months ended September 30, 2014 was $9.5 million lower compared with the same period in 2013, primarily due to a decline in the acquisition of property, plant, and equipment of $12.5 million.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financing activities during the nine months ended September 30, 2014 was $43.3 million higher, compared with the same period in 2013, primarily as a result of increased repayments of debt, net of proceeds from borrowings, of $50.6 million partially offset by $8.2 million less in repurchases of our common stock. Refer to Part II, Item 2: "Unregistered Sale of Equity Securities and Use of Proceeds" for additional details related to our share repurchase program.</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nine months ended September 30, 2014 was a decrease of $7.3 million, compared with a decrease of $2.5 million for the same period in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September 30, 2014 and December 31, 2013 that we believe are reasonably likely to have a current or future effect on our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$319.9 million at September 30, 2014, compared with $344.4 million at December 31, 2013.</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credit facility consists of a $300 million U.S. dollar term loan and a multicurrency revolving line of credit (the revolver) with a principal amount of up to $660 million. At September 30, 2014, $70.0 million was outstanding under the revolver, and $49.1 million was utilized by outstanding standby letters of credit, resulting in $540.9 million available for additional borrowings.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the term loan and the revolver under our credit facility, refer to Item 1: “Financial Statements, Note 6: Debt.”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Note 11: Commitments and Contingencies.”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Repurchase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8, 2013, the Board authorized a twelve-month repurchase program of up to $50 million in shares of our common stock. The March 8, 2013 authorization expired on March 7, 2014. From January 1, 2014 through March 7, 2014, we repurchased 75,203 shares of our common stock, totaling $2.9 million.</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7, 2014, the Board authorized a twelve-month repurchase program of up to $50 million in shares of our common stock, to begin on March 8, 2014, upon the expiration of the previous stock repurchase program. From March 8, 2014 through September 30, 2014, we repurchased 311,177 shares of our common stock, totaling $12.4 million, with $37.6 million remaining under our repurchase program.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Repurchases are made in the open market or in privately negotiated transactions and in accordance with applicable securities laws. Refer to Part II, Item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"Unregistered Sales of Equity Securities and Use of Proceeds" for additional information related to our share repurchase program.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third quarter of 2013, we announced the approval of projects to restructure our operations to improve profitability and increase efficiencies. These restructuring projects will reduce headcount and close or consolidate several manufacturing and office facilities.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began implementing these projects in the third quarter of 2013, and we expect to substantially complete project activities by the middle of 2015 and begin recognizing full savings in 2016. While activities are expected to continue through June 2015, we do not anticipate any additional costs related to the 2013 Projects subsequent to September 30, 2014. Certain aspects of the projects are subject to a variety of labor and employment laws, rules, and regulations, which could result in a delay in completing the projects at some locations.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2014, the total expected costs decreased $2.5 million from our December 31, 2013 expected costs. This decrease was primarily the result of a reassessment of certain restructuring actions during the second quarter of 2014. This was partially offset by additional workforce reductions from the planned consolidation of certain corporate functions. At September 30, 2014, the current and long-term portions of the restructuring related liability balances were $13.7 million and $5.4 million, respectively. For further details regarding our restructuring activities, refer to Item 1: “Financial Statements, Note 12: Restructuring.”</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4, 2014, we announced projects to restructure our Electricity business and related general and administrative activities to improve operational efficiencies and reduce expenses. We expect to consolidate certain facilities and reduce our global workforce as a result of the restructuring plan. The improved structure will position us to meet our long-term profitability goals by better aligning global operations with markets where we can serve our customers profitably. We expect to substantially complete the plan by the end of 2016, with a significant number of activities to be completed by the end of 2015. We estimate pre-tax restructuring charges of $65 to $75 million with approximately 20% related to closing or consolidating facilities and non-manufacturing operations and approximately 80% associated with severance and other one-time termination benefits. We expect to record the majority of the charges in the fourth quarter of 2014. Of the total estimated charge, approximately 90% will result in cash expenditures. Many of our employees are represented by unions or works councils, which requires consultation, and potential restructuring projects may be subject to regulatory approval, both of which could impact the timing of planned savings in certain jurisdictions.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$400,000 in state taxes, $3.3 million in U.S federal taxes, and $13.2 million in local and foreign taxes in 2014. For a discussion of our tax provision and unrecognized tax benefits, see Item 1: “Financial Statements, Note 10: Income Taxes.”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September 30, 2014, we are under examination by certain tax authorities for the 2000 to 2012 tax years. The material jurisdictions where we are subject to examination for the 2000 to 2012 tax years include, among others, the U.S., France, Germany, Italy, Brazil, and the United Kingdom. We have received an initial assessment from the French Tax Administration (“FTA”) for calendar years 2010 and 2011 of approximately $9.5 million. We disagree with the initial assessment and intend to contest it vigorously. Accordingly, we have not recorded a liability with regard to this assessment. We have also received a formal assessment from Italy for calendar years 2008 and 2009 of approximately $5 million subsequent to quarter end. We plan to pursue all available administrative remedies related to these assessments, and if we are not able to resolve this matter administratively, we will pursue judicial remedies.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U.S. deferred taxes related to the cash in certain foreign subsidiaries because our investment is considered permanent in duration. As of September 30, 2014, there was $59.3 million of cash and short-term investments held by certain foreign subsidiaries in which we are permanently reinvested for tax purposes. If this cash were repatriated to fund U.S. operations, additional tax costs may be required.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or because we exercise control over the operations. The noncontrolling interest balance in our Consolidated Balance Sheets represents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proportional share of the equity of the joint venture entities, which is attributable to the minority shareholders. Approximately $32.5 million of our consolidated cash balance at September 30, 2014 resides in our joint venture entities. As a result, the minority shareholders of these entities control their proportional share of this cash balance, and there may be limitations on our ability to repatriate cash to the United States from these entities.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funded and unfunded non-U.S. defined benefit pension plans and our expected 2014 contributions, refer to Item 1: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Statements, Note 8: Defined Benefit Pension Plans.”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description of our bonus and profit sharing plans, including the amounts accrued at September 30, 2014 and the expected timing of payment, refer to </w:t>
      </w:r>
      <w:r>
        <w:rPr>
          <w:rFonts w:ascii="Arial" w:cs="Arial" w:eastAsia="Arial" w:hAnsi="Arial"/>
          <w:sz w:val="18"/>
          <w:szCs w:val="18"/>
          <w:i w:val="1"/>
          <w:iCs w:val="1"/>
          <w:color w:val="auto"/>
        </w:rPr>
        <w:t xml:space="preserve">Bonus and Profit Sharing </w:t>
      </w:r>
      <w:r>
        <w:rPr>
          <w:rFonts w:ascii="Arial" w:cs="Arial" w:eastAsia="Arial" w:hAnsi="Arial"/>
          <w:sz w:val="18"/>
          <w:szCs w:val="18"/>
          <w:color w:val="auto"/>
        </w:rPr>
        <w:t>within Critical Accounting Estimates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2013, which was filed with the SEC on February 26, 2014, as well as “Quantitative and Qualitative Disclosures About Market Risk” within Item 3 of Part I included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A majority of our revenue is recognized when products are shipped to or received by a customer or when services are provided.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implementation services are essential to a software arrangement, revenue is recognized using either the percentage-of-completion methodology of contract accounting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it is estimated.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The objective of ESP is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recorded within restructuring expense in the Consolidated Statements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recorded.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calculation of our annual estimated effective tax rate requires significant judgment and is subject to several factors, including fluctuations in the forecast mix of earnings in domestic and international jurisdictions, new or revised tax legislation and accounting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pronouncements, tax credits, state income taxes, adjustments to valuation allowances, and uncertain tax positions, among other items.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The most sensitive and critical factors are the projection, source,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The reporting units are aligned with our reporting segments, effective in the fourth quarter of 2013.</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qualitative analysis as of October 1, 2013, we determined that it was more likely than not that the fair value of the Gas and Water reporting units exceeded their respective carrying values. As a result, it was not necessary to complete the two-step impairment test for those reporting units. However, during the fourth quarter of 2013 in conjunction with our annual goodwill impairment test, we recognized a goodwill impairment of $173.2 million in our Electricity reporting unit as the result of delays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global smart grid projects and lower volumes and pricing pressures in certain regions in Europe and Asia/Pacific. The revised forecast for the Electricity business drove a decrease in the fair value of the reporting unit. Upon finalizing our 2013 goodwill analysis late in the year-end reporting process, we determined $977,000 of additional goodwill impairment expense should have been recognized. See Item 1: “Financial Statements, Note 5: Goodwill” for further information regarding this adjustment.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goodwill balance in the Electricity reporting unit before and after the goodwill impairment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gridSpan w:val="2"/>
          </w:tcPr>
          <w:p>
            <w:pPr>
              <w:ind w:left="40"/>
              <w:spacing w:after="0"/>
              <w:rPr>
                <w:sz w:val="20"/>
                <w:szCs w:val="20"/>
                <w:color w:val="auto"/>
              </w:rPr>
            </w:pPr>
            <w:r>
              <w:rPr>
                <w:rFonts w:ascii="Arial" w:cs="Arial" w:eastAsia="Arial" w:hAnsi="Arial"/>
                <w:sz w:val="16"/>
                <w:szCs w:val="16"/>
                <w:b w:val="1"/>
                <w:bCs w:val="1"/>
                <w:color w:val="auto"/>
              </w:rPr>
              <w:t>Reporting Unit</w:t>
            </w:r>
          </w:p>
        </w:tc>
        <w:tc>
          <w:tcPr>
            <w:tcW w:w="18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Before Impairment</w:t>
            </w:r>
          </w:p>
        </w:tc>
        <w:tc>
          <w:tcPr>
            <w:tcW w:w="340" w:type="dxa"/>
            <w:vAlign w:val="bottom"/>
          </w:tcPr>
          <w:p>
            <w:pPr>
              <w:spacing w:after="0"/>
              <w:rPr>
                <w:sz w:val="18"/>
                <w:szCs w:val="18"/>
                <w:color w:val="auto"/>
              </w:rPr>
            </w:pPr>
          </w:p>
        </w:tc>
        <w:tc>
          <w:tcPr>
            <w:tcW w:w="1600" w:type="dxa"/>
            <w:vAlign w:val="bottom"/>
          </w:tcPr>
          <w:p>
            <w:pPr>
              <w:jc w:val="center"/>
              <w:ind w:right="199"/>
              <w:spacing w:after="0"/>
              <w:rPr>
                <w:sz w:val="20"/>
                <w:szCs w:val="20"/>
                <w:color w:val="auto"/>
              </w:rPr>
            </w:pPr>
            <w:r>
              <w:rPr>
                <w:rFonts w:ascii="Arial" w:cs="Arial" w:eastAsia="Arial" w:hAnsi="Arial"/>
                <w:sz w:val="16"/>
                <w:szCs w:val="16"/>
                <w:b w:val="1"/>
                <w:bCs w:val="1"/>
                <w:color w:val="auto"/>
                <w:w w:val="97"/>
              </w:rPr>
              <w:t>Impairment</w:t>
            </w:r>
          </w:p>
        </w:tc>
        <w:tc>
          <w:tcPr>
            <w:tcW w:w="300" w:type="dxa"/>
            <w:vAlign w:val="bottom"/>
          </w:tcPr>
          <w:p>
            <w:pPr>
              <w:spacing w:after="0"/>
              <w:rPr>
                <w:sz w:val="18"/>
                <w:szCs w:val="18"/>
                <w:color w:val="auto"/>
              </w:rPr>
            </w:pP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After Impairment</w:t>
            </w:r>
          </w:p>
        </w:tc>
      </w:tr>
      <w:tr>
        <w:trPr>
          <w:trHeight w:val="33"/>
        </w:trPr>
        <w:tc>
          <w:tcPr>
            <w:tcW w:w="3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(in thousands)</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231,894</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174,226</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57,668</w:t>
            </w:r>
          </w:p>
        </w:tc>
      </w:tr>
      <w:tr>
        <w:trPr>
          <w:trHeight w:val="33"/>
        </w:trPr>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Changes in market demand, fluctuations in the economies in which we operate, the volatility and decline in the worldwide equity markets, and a further decline in our market capitalization could negatively impact the remaining carrying value of our goodwill, which could have a significant effect on our current and future results of operations and financial condition. Our stock price has declined from $43.04 at October 1, 2013 to $38.75 at October 1, 2014, resulting in a decrease in our market capitalization. However, there were no indicators of impairment that would require an interim goodwill impairment test prior to our annual goodwill impairment test, which we will complete during the fourth quarter of 2014.</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95% of our benefit obligation, we use three discount rates, with consideration of the duration of the plans, using a hypothetical yield curve developed from euro-denominated AA-rated corporate bond issues, partially weighted for market value, with minimum amounts outstanding of €250 million for bonds with less than 10 years to maturity and €50 million for bonds with 10 or more years to maturity, and excluding the highest and lowest yielding 10% of bonds within each maturity group. The discount rates used, depending on the duration of the plans, were 2.75%, 3.25% and 3.50%, respectively. The weighted average discount rate used to measure the projected benefit obligation for all of the plans at December 31, 2013 was 3.76%. A change of 25 basis points in the discount rate would change our pension benefit obligation by approximately $3.5 million. The financial and actuarial assumptions used at December 31, 2013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general funding policy for these qualified pension plans is to contribute amounts at least sufficient to satisfy funding standards of the respective countries for each plan. Refer to Item 1: “Financial Statements, Note 8: Defined Benefit Pension Plans” for our expected contributions for 2014.</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monitor and accrue expenses quarterly based on our estimated progress toward the achievement of the annual targets, the actual results at the end of the year may require awards that are significantly greater or less than the estimates made in earlier quarters. For the three and nine months ended September 30, 2014, we accrued $11.4 million and $25.6 million for such awards, compared with $3.4 million and $11.4 million for the same periods in 2013. Awards are typically distributed in the first quarter of the following year.</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The fair value of restricted stock units with a market condition is estimated at the date of award using a Monte Carlo simulation model, which includes assumptions for the dividend yield, expected volatility, risk-free interest rate and the expected term. In valuing our stock options and restricted stock units with a market condition, significant judgment is required in determining the expected volatility of our common stock and the expected life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without a market condition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October 1, 2013, we changed the terms of the ESPP to reduce the discount to 5% from the fair market value of the stock at the end of each fiscal quarter. As a result of this change, the ESPP is no longer considered compensatory, and no compensation expense is recognized for sales of our common stock to employees.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exposed to interest rate risk through our variable rate debt instruments. 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are effective from July 31, 2013 to August 8, 2016.</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September 30, 2014. Weighted average variable rates in the table are based on implied forward rates in the Reuters U.S. dollar yield curve as of September 30, 2014 and our estimated leverage ratio, which determines our additional interest rate margin at September 30, 2014.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920" w:type="dxa"/>
            <w:vAlign w:val="bottom"/>
          </w:tcPr>
          <w:p>
            <w:pPr>
              <w:spacing w:after="0"/>
              <w:rPr>
                <w:sz w:val="20"/>
                <w:szCs w:val="20"/>
                <w:color w:val="auto"/>
              </w:rPr>
            </w:pPr>
            <w:r>
              <w:rPr>
                <w:rFonts w:ascii="Arial" w:cs="Arial" w:eastAsia="Arial" w:hAnsi="Arial"/>
                <w:sz w:val="14"/>
                <w:szCs w:val="14"/>
                <w:i w:val="1"/>
                <w:iCs w:val="1"/>
                <w:color w:val="auto"/>
              </w:rPr>
              <w:t>Variable Rate Debt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580"/>
              <w:spacing w:after="0"/>
              <w:rPr>
                <w:sz w:val="20"/>
                <w:szCs w:val="20"/>
                <w:color w:val="auto"/>
              </w:rPr>
            </w:pPr>
            <w:r>
              <w:rPr>
                <w:rFonts w:ascii="Arial" w:cs="Arial" w:eastAsia="Arial" w:hAnsi="Arial"/>
                <w:sz w:val="14"/>
                <w:szCs w:val="14"/>
                <w:color w:val="auto"/>
              </w:rPr>
              <w:t>Principal: U.S. dollar term loan</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9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580"/>
              <w:spacing w:after="0"/>
              <w:rPr>
                <w:sz w:val="20"/>
                <w:szCs w:val="20"/>
                <w:color w:val="auto"/>
              </w:rPr>
            </w:pPr>
            <w:r>
              <w:rPr>
                <w:rFonts w:ascii="Arial" w:cs="Arial" w:eastAsia="Arial" w:hAnsi="Arial"/>
                <w:sz w:val="14"/>
                <w:szCs w:val="14"/>
                <w:color w:val="auto"/>
              </w:rPr>
              <w:t>Average interest rate</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20"/>
        <w:spacing w:after="0" w:line="310" w:lineRule="auto"/>
        <w:rPr>
          <w:sz w:val="20"/>
          <w:szCs w:val="20"/>
          <w:color w:val="auto"/>
        </w:rPr>
      </w:pPr>
      <w:r>
        <w:rPr>
          <w:rFonts w:ascii="Arial" w:cs="Arial" w:eastAsia="Arial" w:hAnsi="Arial"/>
          <w:sz w:val="14"/>
          <w:szCs w:val="14"/>
          <w:color w:val="auto"/>
        </w:rPr>
        <w:t xml:space="preserve">Principal: Multicurrency revolving line of credit </w:t>
      </w:r>
      <w:r>
        <w:rPr>
          <w:rFonts w:ascii="Arial" w:cs="Arial" w:eastAsia="Arial" w:hAnsi="Arial"/>
          <w:sz w:val="28"/>
          <w:szCs w:val="28"/>
          <w:color w:val="auto"/>
          <w:vertAlign w:val="subscript"/>
        </w:rPr>
        <w:t>$</w:t>
      </w:r>
      <w:r>
        <w:rPr>
          <w:rFonts w:ascii="Arial" w:cs="Arial" w:eastAsia="Arial" w:hAnsi="Arial"/>
          <w:sz w:val="14"/>
          <w:szCs w:val="14"/>
          <w:color w:val="auto"/>
        </w:rPr>
        <w:t xml:space="preserve"> Average interest rate</w:t>
      </w:r>
    </w:p>
    <w:p>
      <w:pPr>
        <w:spacing w:after="0" w:line="311" w:lineRule="exact"/>
        <w:rPr>
          <w:sz w:val="20"/>
          <w:szCs w:val="20"/>
          <w:color w:val="auto"/>
        </w:rPr>
      </w:pPr>
    </w:p>
    <w:p>
      <w:pPr>
        <w:ind w:left="380" w:right="580" w:firstLine="243"/>
        <w:spacing w:after="0" w:line="434" w:lineRule="auto"/>
        <w:rPr>
          <w:sz w:val="20"/>
          <w:szCs w:val="20"/>
          <w:color w:val="auto"/>
        </w:rPr>
      </w:pPr>
      <w:r>
        <w:rPr>
          <w:rFonts w:ascii="Arial" w:cs="Arial" w:eastAsia="Arial" w:hAnsi="Arial"/>
          <w:sz w:val="14"/>
          <w:szCs w:val="14"/>
          <w:color w:val="auto"/>
        </w:rPr>
        <w:t>Interest rate swap on LIBOR-based debt Average interest rate (Pay) Average interest rate (Receive) Net/Spread</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jc w:val="right"/>
              <w:ind w:right="448"/>
              <w:spacing w:after="0"/>
              <w:rPr>
                <w:sz w:val="20"/>
                <w:szCs w:val="20"/>
                <w:color w:val="auto"/>
              </w:rPr>
            </w:pPr>
            <w:r>
              <w:rPr>
                <w:rFonts w:ascii="Arial" w:cs="Arial" w:eastAsia="Arial" w:hAnsi="Arial"/>
                <w:sz w:val="14"/>
                <w:szCs w:val="14"/>
                <w:b w:val="1"/>
                <w:bCs w:val="1"/>
                <w:color w:val="auto"/>
                <w:w w:val="83"/>
              </w:rPr>
              <w:t>2014</w:t>
            </w: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6"/>
                <w:szCs w:val="16"/>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Fair Value</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540"/>
        </w:trPr>
        <w:tc>
          <w:tcPr>
            <w:tcW w:w="800" w:type="dxa"/>
            <w:vAlign w:val="bottom"/>
          </w:tcPr>
          <w:p>
            <w:pPr>
              <w:jc w:val="right"/>
              <w:ind w:right="248"/>
              <w:spacing w:after="0"/>
              <w:rPr>
                <w:sz w:val="20"/>
                <w:szCs w:val="20"/>
                <w:color w:val="auto"/>
              </w:rPr>
            </w:pPr>
            <w:r>
              <w:rPr>
                <w:rFonts w:ascii="Arial" w:cs="Arial" w:eastAsia="Arial" w:hAnsi="Arial"/>
                <w:sz w:val="14"/>
                <w:szCs w:val="14"/>
                <w:color w:val="auto"/>
              </w:rPr>
              <w:t>7,500</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202,500</w:t>
            </w:r>
          </w:p>
        </w:tc>
        <w:tc>
          <w:tcPr>
            <w:tcW w:w="1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ind w:left="5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240,000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239,495</w:t>
            </w:r>
          </w:p>
        </w:tc>
      </w:tr>
      <w:tr>
        <w:trPr>
          <w:trHeight w:val="270"/>
        </w:trPr>
        <w:tc>
          <w:tcPr>
            <w:tcW w:w="800" w:type="dxa"/>
            <w:vAlign w:val="bottom"/>
          </w:tcPr>
          <w:p>
            <w:pPr>
              <w:jc w:val="right"/>
              <w:ind w:right="88"/>
              <w:spacing w:after="0"/>
              <w:rPr>
                <w:sz w:val="20"/>
                <w:szCs w:val="20"/>
                <w:color w:val="auto"/>
              </w:rPr>
            </w:pPr>
            <w:r>
              <w:rPr>
                <w:rFonts w:ascii="Arial" w:cs="Arial" w:eastAsia="Arial" w:hAnsi="Arial"/>
                <w:sz w:val="14"/>
                <w:szCs w:val="14"/>
                <w:color w:val="auto"/>
              </w:rPr>
              <w:t>1.66 %</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tcPr>
          <w:p>
            <w:pPr>
              <w:jc w:val="center"/>
              <w:ind w:left="341"/>
              <w:spacing w:after="0"/>
              <w:rPr>
                <w:sz w:val="20"/>
                <w:szCs w:val="20"/>
                <w:color w:val="auto"/>
              </w:rPr>
            </w:pPr>
            <w:r>
              <w:rPr>
                <w:rFonts w:ascii="Arial" w:cs="Arial" w:eastAsia="Arial" w:hAnsi="Arial"/>
                <w:sz w:val="14"/>
                <w:szCs w:val="14"/>
                <w:color w:val="auto"/>
                <w:w w:val="98"/>
              </w:rPr>
              <w:t>—%</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540"/>
        </w:trPr>
        <w:tc>
          <w:tcPr>
            <w:tcW w:w="8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70,000</w:t>
            </w:r>
          </w:p>
        </w:tc>
        <w:tc>
          <w:tcPr>
            <w:tcW w:w="1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ind w:left="5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69,836</w:t>
            </w:r>
          </w:p>
        </w:tc>
      </w:tr>
      <w:tr>
        <w:trPr>
          <w:trHeight w:val="270"/>
        </w:trPr>
        <w:tc>
          <w:tcPr>
            <w:tcW w:w="800" w:type="dxa"/>
            <w:vAlign w:val="bottom"/>
          </w:tcPr>
          <w:p>
            <w:pPr>
              <w:jc w:val="right"/>
              <w:ind w:right="88"/>
              <w:spacing w:after="0"/>
              <w:rPr>
                <w:sz w:val="20"/>
                <w:szCs w:val="20"/>
                <w:color w:val="auto"/>
              </w:rPr>
            </w:pPr>
            <w:r>
              <w:rPr>
                <w:rFonts w:ascii="Arial" w:cs="Arial" w:eastAsia="Arial" w:hAnsi="Arial"/>
                <w:sz w:val="14"/>
                <w:szCs w:val="14"/>
                <w:color w:val="auto"/>
              </w:rPr>
              <w:t>1.66 %</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tcPr>
          <w:p>
            <w:pPr>
              <w:jc w:val="center"/>
              <w:ind w:left="341"/>
              <w:spacing w:after="0"/>
              <w:rPr>
                <w:sz w:val="20"/>
                <w:szCs w:val="20"/>
                <w:color w:val="auto"/>
              </w:rPr>
            </w:pPr>
            <w:r>
              <w:rPr>
                <w:rFonts w:ascii="Arial" w:cs="Arial" w:eastAsia="Arial" w:hAnsi="Arial"/>
                <w:sz w:val="14"/>
                <w:szCs w:val="14"/>
                <w:color w:val="auto"/>
                <w:w w:val="98"/>
              </w:rPr>
              <w:t>—%</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810"/>
        </w:trPr>
        <w:tc>
          <w:tcPr>
            <w:tcW w:w="800" w:type="dxa"/>
            <w:vAlign w:val="bottom"/>
          </w:tcPr>
          <w:p>
            <w:pPr>
              <w:jc w:val="right"/>
              <w:ind w:right="88"/>
              <w:spacing w:after="0"/>
              <w:rPr>
                <w:sz w:val="20"/>
                <w:szCs w:val="20"/>
                <w:color w:val="auto"/>
              </w:rPr>
            </w:pPr>
            <w:r>
              <w:rPr>
                <w:rFonts w:ascii="Arial" w:cs="Arial" w:eastAsia="Arial" w:hAnsi="Arial"/>
                <w:sz w:val="14"/>
                <w:szCs w:val="14"/>
                <w:color w:val="auto"/>
              </w:rPr>
              <w:t>1.00 %</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tcPr>
          <w:p>
            <w:pPr>
              <w:jc w:val="center"/>
              <w:ind w:left="341"/>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6"/>
        </w:trPr>
        <w:tc>
          <w:tcPr>
            <w:tcW w:w="800" w:type="dxa"/>
            <w:vAlign w:val="bottom"/>
          </w:tcPr>
          <w:p>
            <w:pPr>
              <w:jc w:val="right"/>
              <w:ind w:right="88"/>
              <w:spacing w:after="0"/>
              <w:rPr>
                <w:sz w:val="20"/>
                <w:szCs w:val="20"/>
                <w:color w:val="auto"/>
              </w:rPr>
            </w:pPr>
            <w:r>
              <w:rPr>
                <w:rFonts w:ascii="Arial" w:cs="Arial" w:eastAsia="Arial" w:hAnsi="Arial"/>
                <w:sz w:val="14"/>
                <w:szCs w:val="14"/>
                <w:color w:val="auto"/>
              </w:rPr>
              <w:t>0.16 %</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left="341"/>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8"/>
        </w:trPr>
        <w:tc>
          <w:tcPr>
            <w:tcW w:w="800" w:type="dxa"/>
            <w:vAlign w:val="bottom"/>
          </w:tcPr>
          <w:p>
            <w:pPr>
              <w:jc w:val="right"/>
              <w:ind w:right="68"/>
              <w:spacing w:after="0"/>
              <w:rPr>
                <w:sz w:val="20"/>
                <w:szCs w:val="20"/>
                <w:color w:val="auto"/>
              </w:rPr>
            </w:pPr>
            <w:r>
              <w:rPr>
                <w:rFonts w:ascii="Arial" w:cs="Arial" w:eastAsia="Arial" w:hAnsi="Arial"/>
                <w:sz w:val="14"/>
                <w:szCs w:val="14"/>
                <w:color w:val="auto"/>
              </w:rPr>
              <w:t>(0.84)%</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center"/>
              <w:ind w:left="341"/>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-1715770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-1372235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-1029335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-686435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-343535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-2024380</wp:posOffset>
            </wp:positionV>
            <wp:extent cx="50685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300"/>
            <w:col w:w="7580"/>
          </w:cols>
          <w:pgMar w:left="240" w:top="125" w:right="239" w:bottom="1440" w:gutter="0" w:footer="0" w:header="0"/>
          <w:type w:val="continuous"/>
        </w:sectPr>
      </w:pPr>
    </w:p>
    <w:p>
      <w:pPr>
        <w:spacing w:after="0" w:line="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September 30, 2014, we estimate that, if market interest rates average one percentage point higher in 2014 than in the table above, our financial results in 2014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55% and 58% of total revenues for the three and nine months ended September 30, 2014, respectively, compared with 56% and 60% for the same respective period in 2013.</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390 contracts were entered into during the nine months ended September 30, 2014) not designated for hedge accounting, with the intent to reduce earnings volatility associated with certain of these balances. The notional amounts of the contracts ranged from $86,000 to $19.3 million, offsetting our exposures from the euro, South African rand, Saudi riyal, Canadian dollar, Australian dollar, Chinese yuan renminbi, and various other currencies.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left="660" w:hanging="328"/>
        <w:spacing w:after="0" w:line="27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At September 30, 2014, an evaluation was performed under the supervision and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 of our management, including the Chief Executive Officer and Chief Financial Officer, of the effectiveness of the design and operation of our disclosure controls and procedures (as such term is defined in Rules 13a-15(e) and 15d-15(e)) under the Securities Exchange Act of 1934, as amended. Based on that evaluation, our management, including the Chief Executive Officer and Chief Financial Officer, concluded that as of September 30, 2014, our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7"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over financial reporting. </w:t>
      </w:r>
      <w:r>
        <w:rPr>
          <w:rFonts w:ascii="Arial" w:cs="Arial" w:eastAsia="Arial" w:hAnsi="Arial"/>
          <w:sz w:val="17"/>
          <w:szCs w:val="17"/>
          <w:color w:val="auto"/>
        </w:rPr>
        <w:t>In the ordinary course of business, we review our system of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78"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Additionally, we have established a shared services center in Europe, and we are currently transitioning certain finance and accounting activities within our EMEA locations to the shared services center in a staged approach. The implementation of our shared services is ongoing, and we believe the related changes to processes and internal controls will allow us to be more efficient and further enhance our internal control over financial reporting.</w:t>
      </w:r>
    </w:p>
    <w:p>
      <w:pPr>
        <w:spacing w:after="0" w:line="186" w:lineRule="exact"/>
        <w:rPr>
          <w:rFonts w:ascii="Arial" w:cs="Arial" w:eastAsia="Arial" w:hAnsi="Arial"/>
          <w:sz w:val="17"/>
          <w:szCs w:val="17"/>
          <w:color w:val="auto"/>
        </w:rPr>
      </w:pPr>
    </w:p>
    <w:p>
      <w:pPr>
        <w:ind w:left="660" w:right="20"/>
        <w:spacing w:after="0" w:line="277" w:lineRule="auto"/>
        <w:rPr>
          <w:rFonts w:ascii="Arial" w:cs="Arial" w:eastAsia="Arial" w:hAnsi="Arial"/>
          <w:sz w:val="17"/>
          <w:szCs w:val="17"/>
          <w:color w:val="auto"/>
        </w:rPr>
      </w:pPr>
      <w:r>
        <w:rPr>
          <w:rFonts w:ascii="Arial" w:cs="Arial" w:eastAsia="Arial" w:hAnsi="Arial"/>
          <w:sz w:val="18"/>
          <w:szCs w:val="18"/>
          <w:color w:val="auto"/>
        </w:rPr>
        <w:t>There have been no other changes in our internal control over financial reporting during the three months ended September 30, 2014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to risk factors during the third quarter of 2014 from those previously disclosed in Item 1A: "Risk Factors" of Part I of our Annual Report on Form 10-K for the fiscal year ended December 31, 2013, which was filed with the SEC on February 26, 2014.</w:t>
      </w:r>
    </w:p>
    <w:p>
      <w:pPr>
        <w:spacing w:after="0" w:line="329"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information about our purchases of its shares of common stock, based on settlement date, during the quarterly period ended September 30, 2014.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Maximum Dollar Value of</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Total Number of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 Price Paid per</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Purchased Under the</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(2)</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Plans or Programs</w:t>
            </w:r>
          </w:p>
        </w:tc>
      </w:tr>
      <w:tr>
        <w:trPr>
          <w:trHeight w:val="231"/>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July 1 through July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69,000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43,032</w:t>
            </w: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August 1 through August 31</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70,000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39.17</w:t>
            </w:r>
          </w:p>
        </w:tc>
        <w:tc>
          <w:tcPr>
            <w:tcW w:w="100" w:type="dxa"/>
            <w:vAlign w:val="bottom"/>
          </w:tcPr>
          <w:p>
            <w:pPr>
              <w:spacing w:after="0"/>
              <w:rPr>
                <w:sz w:val="19"/>
                <w:szCs w:val="19"/>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40,290</w:t>
            </w:r>
          </w:p>
        </w:tc>
      </w:tr>
      <w:tr>
        <w:trPr>
          <w:trHeight w:val="47"/>
        </w:trPr>
        <w:tc>
          <w:tcPr>
            <w:tcW w:w="3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1 through September 30</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64,700</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37,624</w:t>
            </w:r>
          </w:p>
        </w:tc>
      </w:tr>
      <w:tr>
        <w:trPr>
          <w:trHeight w:val="244"/>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203,700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40.06</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203,700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340" w:right="20" w:hanging="332"/>
        <w:spacing w:after="0" w:line="225"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On February 7, 2014, the Board authorized a new repurchase program of up to $50 million of our common stock over a 12-month period beginning March 8, 2014. Repurchases are made in the open market or in privately negotiated transactions, and in accordance with applicable securities laws. No shares were purchased outside of this plan.</w:t>
      </w:r>
    </w:p>
    <w:p>
      <w:pPr>
        <w:spacing w:after="0" w:line="19"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Includes commissions.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to September 30, 2014, we repurchased 80,500 shares of our common stock under the stock repurchase program authorized by the Board of Directors on February 7, 2014. The average price paid per share was $38.20</w:t>
      </w:r>
      <w:r>
        <w:rPr>
          <w:rFonts w:ascii="Arial" w:cs="Arial" w:eastAsia="Arial" w:hAnsi="Arial"/>
          <w:sz w:val="16"/>
          <w:szCs w:val="16"/>
          <w:color w:val="auto"/>
        </w:rPr>
        <w:t>.</w:t>
      </w:r>
    </w:p>
    <w:p>
      <w:pPr>
        <w:spacing w:after="0" w:line="16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third quarter of 2014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580" w:type="dxa"/>
            <w:vAlign w:val="bottom"/>
          </w:tcPr>
          <w:p>
            <w:pPr>
              <w:spacing w:after="0"/>
              <w:rPr>
                <w:sz w:val="18"/>
                <w:szCs w:val="18"/>
                <w:color w:val="auto"/>
              </w:rPr>
            </w:pPr>
          </w:p>
        </w:tc>
      </w:tr>
      <w:tr>
        <w:trPr>
          <w:trHeight w:val="234"/>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561"/>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958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r>
        <w:trPr>
          <w:trHeight w:val="891"/>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ind w:left="378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94"/>
        </w:trPr>
        <w:tc>
          <w:tcPr>
            <w:tcW w:w="3660" w:type="dxa"/>
            <w:vAlign w:val="bottom"/>
          </w:tcPr>
          <w:p>
            <w:pPr>
              <w:jc w:val="center"/>
              <w:spacing w:after="0"/>
              <w:rPr>
                <w:sz w:val="20"/>
                <w:szCs w:val="20"/>
                <w:color w:val="auto"/>
              </w:rPr>
            </w:pPr>
            <w:r>
              <w:rPr>
                <w:rFonts w:ascii="Arial" w:cs="Arial" w:eastAsia="Arial" w:hAnsi="Arial"/>
                <w:sz w:val="18"/>
                <w:szCs w:val="18"/>
                <w:color w:val="auto"/>
                <w:w w:val="91"/>
              </w:rPr>
              <w:t>November 4, 2014</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6"/>
              </w:rPr>
              <w:t>/s/ W. MARK SCHMITZ</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5"/>
              </w:rPr>
              <w:t>W. Mark Schmitz</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1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9"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 Mark Schmitz, certify that:</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September 30, 2014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W. Mark Schmitz,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November 4, 2014</w:t>
      </w:r>
    </w:p>
    <w:p>
      <w:pPr>
        <w:spacing w:after="0" w:line="31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November 4, 2014</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2019-12-05T21:43:34Z</dcterms:created>
  <dcterms:modified xsi:type="dcterms:W3CDTF">2019-12-05T21:43:34Z</dcterms:modified>
</cp:coreProperties>
</file>