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8-K/A</w:t>
      </w:r>
    </w:p>
    <w:p>
      <w:pPr>
        <w:spacing w:after="0" w:line="4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113665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3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1" w:lineRule="exact"/>
        <w:rPr>
          <w:sz w:val="24"/>
          <w:szCs w:val="24"/>
          <w:color w:val="auto"/>
        </w:rPr>
      </w:pPr>
    </w:p>
    <w:p>
      <w:pPr>
        <w:ind w:left="5120"/>
        <w:spacing w:after="0"/>
        <w:rPr>
          <w:sz w:val="20"/>
          <w:szCs w:val="20"/>
          <w:color w:val="auto"/>
        </w:rPr>
      </w:pPr>
      <w:r>
        <w:rPr>
          <w:rFonts w:ascii="Arial" w:cs="Arial" w:eastAsia="Arial" w:hAnsi="Arial"/>
          <w:sz w:val="18"/>
          <w:szCs w:val="18"/>
          <w:color w:val="auto"/>
        </w:rPr>
        <w:t>February 7, 2005</w:t>
      </w:r>
    </w:p>
    <w:p>
      <w:pPr>
        <w:spacing w:after="0" w:line="15" w:lineRule="exact"/>
        <w:rPr>
          <w:sz w:val="24"/>
          <w:szCs w:val="24"/>
          <w:color w:val="auto"/>
        </w:rPr>
      </w:pPr>
    </w:p>
    <w:p>
      <w:pPr>
        <w:ind w:left="5140"/>
        <w:spacing w:after="0"/>
        <w:rPr>
          <w:sz w:val="20"/>
          <w:szCs w:val="20"/>
          <w:color w:val="auto"/>
        </w:rPr>
      </w:pPr>
      <w:r>
        <w:rPr>
          <w:rFonts w:ascii="Arial" w:cs="Arial" w:eastAsia="Arial" w:hAnsi="Arial"/>
          <w:sz w:val="18"/>
          <w:szCs w:val="18"/>
          <w:color w:val="auto"/>
        </w:rPr>
        <w:t>(Date of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103505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503" w:right="639" w:bottom="1440" w:gutter="0" w:footer="0" w:header="0"/>
        </w:sectPr>
      </w:pPr>
    </w:p>
    <w:p>
      <w:pPr>
        <w:spacing w:after="0" w:line="337" w:lineRule="exact"/>
        <w:rPr>
          <w:sz w:val="24"/>
          <w:szCs w:val="24"/>
          <w:color w:val="auto"/>
        </w:rPr>
      </w:pPr>
    </w:p>
    <w:p>
      <w:pPr>
        <w:ind w:left="1500"/>
        <w:spacing w:after="0"/>
        <w:rPr>
          <w:sz w:val="20"/>
          <w:szCs w:val="20"/>
          <w:color w:val="auto"/>
        </w:rPr>
      </w:pPr>
      <w:r>
        <w:rPr>
          <w:rFonts w:ascii="Arial" w:cs="Arial" w:eastAsia="Arial" w:hAnsi="Arial"/>
          <w:sz w:val="15"/>
          <w:szCs w:val="15"/>
          <w:b w:val="1"/>
          <w:bCs w:val="1"/>
          <w:color w:val="auto"/>
        </w:rPr>
        <w:t>Washington</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000-22418</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91-1011792</w:t>
      </w:r>
    </w:p>
    <w:p>
      <w:pPr>
        <w:spacing w:after="0" w:line="47" w:lineRule="exact"/>
        <w:rPr>
          <w:sz w:val="24"/>
          <w:szCs w:val="24"/>
          <w:color w:val="auto"/>
        </w:rPr>
      </w:pPr>
    </w:p>
    <w:p>
      <w:pPr>
        <w:sectPr>
          <w:pgSz w:w="11900" w:h="16838" w:orient="portrait"/>
          <w:cols w:equalWidth="0" w:num="3">
            <w:col w:w="4740" w:space="720"/>
            <w:col w:w="3000" w:space="720"/>
            <w:col w:w="1840"/>
          </w:cols>
          <w:pgMar w:left="240" w:top="503" w:right="639" w:bottom="1440" w:gutter="0" w:footer="0" w:header="0"/>
          <w:type w:val="continuous"/>
        </w:sectPr>
      </w:pPr>
    </w:p>
    <w:p>
      <w:pPr>
        <w:spacing w:after="0" w:line="9" w:lineRule="exact"/>
        <w:rPr>
          <w:sz w:val="24"/>
          <w:szCs w:val="24"/>
          <w:color w:val="auto"/>
        </w:rPr>
      </w:pPr>
    </w:p>
    <w:p>
      <w:pPr>
        <w:jc w:val="center"/>
        <w:ind w:right="56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5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Arial" w:cs="Arial" w:eastAsia="Arial" w:hAnsi="Arial"/>
          <w:sz w:val="12"/>
          <w:szCs w:val="12"/>
          <w:b w:val="1"/>
          <w:bCs w:val="1"/>
          <w:color w:val="auto"/>
        </w:rPr>
        <w:t>(Commission 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480" w:space="720"/>
            <w:col w:w="3140" w:space="720"/>
            <w:col w:w="1960"/>
          </w:cols>
          <w:pgMar w:left="240" w:top="503"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2818 N. Sullivan Road, Spokane, WA 99216</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4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(509) 924-9900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119380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503" w:right="639" w:bottom="1440" w:gutter="0" w:footer="0" w:header="0"/>
          <w:type w:val="continuous"/>
        </w:sectPr>
      </w:pPr>
    </w:p>
    <w:p>
      <w:pPr>
        <w:spacing w:after="0" w:line="36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503"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registrant hereby amends its Current Report on Form 8-K/A dated September 2, 2004 as follows:</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Pro forma financial information.</w:t>
      </w:r>
    </w:p>
    <w:p>
      <w:pPr>
        <w:spacing w:after="0" w:line="15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pro forma financial information required to be filed pursuant to Item 9.01(b) of Form 8-K is included as Exhibit 99.3 of this Amendment Number 2 to the Current Report on Form 8-K/A, which removes the reference to the independent appraisal in connection with the valuation of the tangible and intangible assets acquired in the Acquisition.</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other items and disclosures included in this Amendment Number 2 to the Current Report on Form 8-K/A have not been updated for any events subsequent to the previously filed Amendment Number 1 to the Current Report on Form 8-K/A, as filed on September 2, 2004.</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520" w:type="dxa"/>
            <w:vAlign w:val="bottom"/>
          </w:tcPr>
          <w:p>
            <w:pPr>
              <w:spacing w:after="0"/>
              <w:rPr>
                <w:sz w:val="14"/>
                <w:szCs w:val="14"/>
                <w:color w:val="auto"/>
              </w:rPr>
            </w:pPr>
          </w:p>
        </w:tc>
      </w:tr>
      <w:tr>
        <w:trPr>
          <w:trHeight w:val="174"/>
        </w:trPr>
        <w:tc>
          <w:tcPr>
            <w:tcW w:w="540" w:type="dxa"/>
            <w:vAlign w:val="bottom"/>
          </w:tcPr>
          <w:p>
            <w:pPr>
              <w:spacing w:after="0"/>
              <w:rPr>
                <w:sz w:val="20"/>
                <w:szCs w:val="20"/>
                <w:color w:val="auto"/>
              </w:rPr>
            </w:pPr>
            <w:r>
              <w:rPr>
                <w:rFonts w:ascii="Arial" w:cs="Arial" w:eastAsia="Arial" w:hAnsi="Arial"/>
                <w:sz w:val="14"/>
                <w:szCs w:val="14"/>
                <w:b w:val="1"/>
                <w:bCs w:val="1"/>
                <w:color w:val="auto"/>
                <w:w w:val="98"/>
              </w:rPr>
              <w:t>Number</w:t>
            </w:r>
          </w:p>
        </w:tc>
        <w:tc>
          <w:tcPr>
            <w:tcW w:w="1082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9520" w:type="dxa"/>
            <w:vAlign w:val="bottom"/>
          </w:tcPr>
          <w:p>
            <w:pPr>
              <w:spacing w:after="0"/>
              <w:rPr>
                <w:sz w:val="8"/>
                <w:szCs w:val="8"/>
                <w:color w:val="auto"/>
              </w:rPr>
            </w:pPr>
          </w:p>
        </w:tc>
      </w:tr>
      <w:tr>
        <w:trPr>
          <w:trHeight w:val="309"/>
        </w:trPr>
        <w:tc>
          <w:tcPr>
            <w:tcW w:w="540" w:type="dxa"/>
            <w:vAlign w:val="bottom"/>
          </w:tcPr>
          <w:p>
            <w:pPr>
              <w:spacing w:after="0"/>
              <w:rPr>
                <w:sz w:val="20"/>
                <w:szCs w:val="20"/>
                <w:color w:val="auto"/>
              </w:rPr>
            </w:pPr>
            <w:r>
              <w:rPr>
                <w:rFonts w:ascii="Arial" w:cs="Arial" w:eastAsia="Arial" w:hAnsi="Arial"/>
                <w:sz w:val="18"/>
                <w:szCs w:val="18"/>
                <w:color w:val="auto"/>
              </w:rPr>
              <w:t>99.3</w:t>
            </w: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90"/>
              </w:rPr>
              <w:t>Unaudited pro forma condensed combined balance sheet of Itron, Inc. and the Electricity Products Business of Schlumberger Ltd. (SEM) as of</w:t>
            </w:r>
          </w:p>
        </w:tc>
      </w:tr>
      <w:tr>
        <w:trPr>
          <w:trHeight w:val="216"/>
        </w:trPr>
        <w:tc>
          <w:tcPr>
            <w:tcW w:w="540" w:type="dxa"/>
            <w:vAlign w:val="bottom"/>
          </w:tcPr>
          <w:p>
            <w:pPr>
              <w:spacing w:after="0"/>
              <w:rPr>
                <w:sz w:val="18"/>
                <w:szCs w:val="18"/>
                <w:color w:val="auto"/>
              </w:rPr>
            </w:pP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w w:val="87"/>
              </w:rPr>
              <w:t>June 30, 2004 and the unaudited pro forma condensed combined statements of operations of Itron, Inc. and SEM for the year ended December 31,</w:t>
            </w:r>
          </w:p>
        </w:tc>
      </w:tr>
      <w:tr>
        <w:trPr>
          <w:trHeight w:val="222"/>
        </w:trPr>
        <w:tc>
          <w:tcPr>
            <w:tcW w:w="540" w:type="dxa"/>
            <w:vAlign w:val="bottom"/>
          </w:tcPr>
          <w:p>
            <w:pPr>
              <w:spacing w:after="0"/>
              <w:rPr>
                <w:sz w:val="19"/>
                <w:szCs w:val="19"/>
                <w:color w:val="auto"/>
              </w:rPr>
            </w:pPr>
          </w:p>
        </w:tc>
        <w:tc>
          <w:tcPr>
            <w:tcW w:w="10820" w:type="dxa"/>
            <w:vAlign w:val="bottom"/>
            <w:gridSpan w:val="3"/>
          </w:tcPr>
          <w:p>
            <w:pPr>
              <w:ind w:left="540"/>
              <w:spacing w:after="0"/>
              <w:rPr>
                <w:sz w:val="20"/>
                <w:szCs w:val="20"/>
                <w:color w:val="auto"/>
              </w:rPr>
            </w:pPr>
            <w:r>
              <w:rPr>
                <w:rFonts w:ascii="Arial" w:cs="Arial" w:eastAsia="Arial" w:hAnsi="Arial"/>
                <w:sz w:val="18"/>
                <w:szCs w:val="18"/>
                <w:color w:val="auto"/>
              </w:rPr>
              <w:t>2003 and the six months ended June 30, 2004.</w:t>
            </w:r>
          </w:p>
        </w:tc>
      </w:tr>
    </w:tbl>
    <w:p>
      <w:pPr>
        <w:sectPr>
          <w:pgSz w:w="11900" w:h="16838" w:orient="portrait"/>
          <w:cols w:equalWidth="0" w:num="1">
            <w:col w:w="11360"/>
          </w:cols>
          <w:pgMar w:left="240" w:top="280"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60" w:type="dxa"/>
            <w:vAlign w:val="bottom"/>
          </w:tcPr>
          <w:p>
            <w:pPr>
              <w:spacing w:after="0"/>
              <w:rPr>
                <w:sz w:val="19"/>
                <w:szCs w:val="19"/>
                <w:color w:val="auto"/>
              </w:rPr>
            </w:pPr>
          </w:p>
        </w:tc>
        <w:tc>
          <w:tcPr>
            <w:tcW w:w="7460" w:type="dxa"/>
            <w:vAlign w:val="bottom"/>
            <w:gridSpan w:val="2"/>
          </w:tcPr>
          <w:p>
            <w:pPr>
              <w:ind w:left="2180"/>
              <w:spacing w:after="0"/>
              <w:rPr>
                <w:sz w:val="20"/>
                <w:szCs w:val="20"/>
                <w:color w:val="auto"/>
              </w:rPr>
            </w:pPr>
            <w:r>
              <w:rPr>
                <w:rFonts w:ascii="Arial" w:cs="Arial" w:eastAsia="Arial" w:hAnsi="Arial"/>
                <w:sz w:val="18"/>
                <w:szCs w:val="18"/>
                <w:color w:val="auto"/>
              </w:rPr>
              <w:t>ITRON, INC.</w:t>
            </w:r>
          </w:p>
        </w:tc>
      </w:tr>
      <w:tr>
        <w:trPr>
          <w:trHeight w:val="433"/>
        </w:trPr>
        <w:tc>
          <w:tcPr>
            <w:tcW w:w="3960" w:type="dxa"/>
            <w:vAlign w:val="bottom"/>
          </w:tcPr>
          <w:p>
            <w:pPr>
              <w:spacing w:after="0"/>
              <w:rPr>
                <w:sz w:val="20"/>
                <w:szCs w:val="20"/>
                <w:color w:val="auto"/>
              </w:rPr>
            </w:pPr>
            <w:r>
              <w:rPr>
                <w:rFonts w:ascii="Arial" w:cs="Arial" w:eastAsia="Arial" w:hAnsi="Arial"/>
                <w:sz w:val="18"/>
                <w:szCs w:val="18"/>
                <w:color w:val="auto"/>
              </w:rPr>
              <w:t>Dated: February 7, 2005</w:t>
            </w:r>
          </w:p>
        </w:tc>
        <w:tc>
          <w:tcPr>
            <w:tcW w:w="7460" w:type="dxa"/>
            <w:vAlign w:val="bottom"/>
            <w:gridSpan w:val="2"/>
          </w:tcPr>
          <w:p>
            <w:pPr>
              <w:ind w:left="2180"/>
              <w:spacing w:after="0"/>
              <w:rPr>
                <w:sz w:val="20"/>
                <w:szCs w:val="20"/>
                <w:color w:val="auto"/>
              </w:rPr>
            </w:pPr>
            <w:r>
              <w:rPr>
                <w:rFonts w:ascii="Arial" w:cs="Arial" w:eastAsia="Arial" w:hAnsi="Arial"/>
                <w:sz w:val="18"/>
                <w:szCs w:val="18"/>
                <w:color w:val="auto"/>
              </w:rPr>
              <w:t>By: /s/ Steven M. Helmbrecht</w:t>
            </w:r>
          </w:p>
        </w:tc>
      </w:tr>
      <w:tr>
        <w:trPr>
          <w:trHeight w:val="202"/>
        </w:trPr>
        <w:tc>
          <w:tcPr>
            <w:tcW w:w="39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0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Steven M. Helmbrecht</w:t>
            </w:r>
          </w:p>
        </w:tc>
      </w:tr>
      <w:tr>
        <w:trPr>
          <w:trHeight w:val="222"/>
        </w:trPr>
        <w:tc>
          <w:tcPr>
            <w:tcW w:w="39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Sr. Vice President and Chief Financial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120" w:type="dxa"/>
            <w:vAlign w:val="bottom"/>
          </w:tcPr>
          <w:p>
            <w:pPr>
              <w:ind w:left="2960"/>
              <w:spacing w:after="0"/>
              <w:rPr>
                <w:sz w:val="20"/>
                <w:szCs w:val="20"/>
                <w:color w:val="auto"/>
              </w:rPr>
            </w:pPr>
            <w:r>
              <w:rPr>
                <w:rFonts w:ascii="Arial" w:cs="Arial" w:eastAsia="Arial" w:hAnsi="Arial"/>
                <w:sz w:val="18"/>
                <w:szCs w:val="18"/>
                <w:b w:val="1"/>
                <w:bCs w:val="1"/>
                <w:color w:val="auto"/>
              </w:rPr>
              <w:t>EXHIBIT INDEX</w:t>
            </w:r>
          </w:p>
        </w:tc>
      </w:tr>
      <w:tr>
        <w:trPr>
          <w:trHeight w:val="286"/>
        </w:trPr>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120" w:type="dxa"/>
            <w:vAlign w:val="bottom"/>
          </w:tcPr>
          <w:p>
            <w:pPr>
              <w:spacing w:after="0"/>
              <w:rPr>
                <w:sz w:val="24"/>
                <w:szCs w:val="24"/>
                <w:color w:val="auto"/>
              </w:rPr>
            </w:pPr>
          </w:p>
        </w:tc>
      </w:tr>
      <w:tr>
        <w:trPr>
          <w:trHeight w:val="174"/>
        </w:trPr>
        <w:tc>
          <w:tcPr>
            <w:tcW w:w="6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5"/>
                <w:szCs w:val="15"/>
                <w:color w:val="auto"/>
              </w:rPr>
            </w:pPr>
          </w:p>
        </w:tc>
        <w:tc>
          <w:tcPr>
            <w:tcW w:w="100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9120" w:type="dxa"/>
            <w:vAlign w:val="bottom"/>
          </w:tcPr>
          <w:p>
            <w:pPr>
              <w:spacing w:after="0"/>
              <w:rPr>
                <w:sz w:val="8"/>
                <w:szCs w:val="8"/>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99.3</w:t>
            </w:r>
          </w:p>
        </w:tc>
        <w:tc>
          <w:tcPr>
            <w:tcW w:w="54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88"/>
              </w:rPr>
              <w:t>Unaudited pro forma condensed combined balance sheet of Itron, Inc. and the Electricity Products Business of Schlumberger Ltd. (SEM) as of</w:t>
            </w:r>
          </w:p>
        </w:tc>
      </w:tr>
      <w:tr>
        <w:trPr>
          <w:trHeight w:val="216"/>
        </w:trPr>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87"/>
              </w:rPr>
              <w:t>June 30, 2004 and the unaudited pro forma condensed combined statements of operations of Itron, Inc. and SEM for the year ended December</w:t>
            </w:r>
          </w:p>
        </w:tc>
      </w:tr>
      <w:tr>
        <w:trPr>
          <w:trHeight w:val="222"/>
        </w:trPr>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31, 2003 and the six months ended June 30, 2004.</w:t>
            </w:r>
          </w:p>
        </w:tc>
      </w:tr>
    </w:tbl>
    <w:p>
      <w:pPr>
        <w:sectPr>
          <w:pgSz w:w="11900" w:h="16838" w:orient="portrait"/>
          <w:cols w:equalWidth="0" w:num="1">
            <w:col w:w="11200"/>
          </w:cols>
          <w:pgMar w:left="240" w:top="274"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6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The following unaudited pro forma condensed combined balance sheet and statements of operations give effect to the acquisition of Schlumberger’s Electricity Products Business (SEM), which was completed on July 1, 2004. The acquisition has been accounted for under the purchase method of accounting in accordance with Statement of Financial Accounting Standards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Under the purchase method of accounting, the purchase price is allocated to the assets acquired and liabilities assumed based on their estimated fair values. The estimated fair values contained herein are preliminary in nature and are likely to change as management completes its assessment and valuation of intangible assets. Such preliminary estimates of fair values of the assets and liabilities of SEM have been combined with the recorded values of the assets and liabilities of Itron, Inc. and subsidiaries (Itron) in the unaudited pro forma condensed combined financial information.</w:t>
      </w:r>
    </w:p>
    <w:p>
      <w:pPr>
        <w:spacing w:after="0" w:line="10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The unaudited pro forma condensed combined balance sheet has been prepared to reflect the acquisition of SEM as if it had occurred on June 30, 2004. The two unaudited pro forma condensed statements of operations reflect the condensed combined results of operations of Itron and SEM for the year ended December 31, 2003 and the six months ended June 30, 2004, in both cases as if the acquisition had occurred on January 1, 2003.</w:t>
      </w:r>
    </w:p>
    <w:p>
      <w:pPr>
        <w:spacing w:after="0" w:line="9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unaudited pro forma condensed combined balance sheet and unaudited pro forma condensed combined statements of operations are presented for illustrative purposes only and are not necessarily indicative of the financial position or results of operations in future periods or the results that actually would have been realized had Itron and SEM been a combined company during the specified periods. Certain of SEM’s historical financial information has been reclassified to conform with Itron’s financial statement presentation. The unaudited pro forma condensed combined balance sheet and unaudited pro forma condensed combined statements of operations should be read in conjunction with the historical financial statements and notes thereto of Itron and SEM.</w:t>
      </w:r>
    </w:p>
    <w:p>
      <w:pPr>
        <w:spacing w:after="0" w:line="102"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On March 4, 2003, we purchased Silicon Energy Corp. (Silicon), for approximately $71.1 million in cash. We financed a portion of the purchase price of Silicon with our existing $50.0 million, three-year senior secured loan. The unaudited pro forma condensed combined financial data also gives effect to the acquisition of Silicon as if it occurred on January 1, 2003 with respect to the statement of operations for the year ended December 31, 2003.</w:t>
      </w:r>
    </w:p>
    <w:p>
      <w:pPr>
        <w:sectPr>
          <w:pgSz w:w="11900" w:h="16838" w:orient="portrait"/>
          <w:cols w:equalWidth="0" w:num="1">
            <w:col w:w="11420"/>
          </w:cols>
          <w:pgMar w:left="240" w:top="125" w:right="239" w:bottom="1440" w:gutter="0" w:footer="0" w:header="0"/>
        </w:sectPr>
      </w:pPr>
    </w:p>
    <w:bookmarkStart w:id="5" w:name="page6"/>
    <w:bookmarkEnd w:id="5"/>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15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3"/>
              </w:rPr>
              <w:t>Historical</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11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3"/>
              </w:rPr>
              <w:t>Historical</w:t>
            </w:r>
          </w:p>
        </w:tc>
        <w:tc>
          <w:tcPr>
            <w:tcW w:w="20" w:type="dxa"/>
            <w:vAlign w:val="bottom"/>
          </w:tcPr>
          <w:p>
            <w:pPr>
              <w:spacing w:after="0"/>
              <w:rPr>
                <w:sz w:val="14"/>
                <w:szCs w:val="14"/>
                <w:color w:val="auto"/>
              </w:rPr>
            </w:pPr>
          </w:p>
        </w:tc>
        <w:tc>
          <w:tcPr>
            <w:tcW w:w="14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4"/>
              </w:rPr>
              <w:t>Pro Forma</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Itron</w:t>
            </w:r>
          </w:p>
        </w:tc>
        <w:tc>
          <w:tcPr>
            <w:tcW w:w="80" w:type="dxa"/>
            <w:vAlign w:val="bottom"/>
          </w:tcPr>
          <w:p>
            <w:pPr>
              <w:spacing w:after="0"/>
              <w:rPr>
                <w:sz w:val="15"/>
                <w:szCs w:val="15"/>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2"/>
              </w:rPr>
              <w:t>Silicon</w:t>
            </w:r>
          </w:p>
        </w:tc>
        <w:tc>
          <w:tcPr>
            <w:tcW w:w="100" w:type="dxa"/>
            <w:vAlign w:val="bottom"/>
          </w:tcPr>
          <w:p>
            <w:pPr>
              <w:spacing w:after="0"/>
              <w:rPr>
                <w:sz w:val="15"/>
                <w:szCs w:val="15"/>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SEM</w:t>
            </w:r>
          </w:p>
        </w:tc>
        <w:tc>
          <w:tcPr>
            <w:tcW w:w="2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Itron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316,965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294,165</w:t>
            </w:r>
          </w:p>
        </w:tc>
        <w:tc>
          <w:tcPr>
            <w:tcW w:w="4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(6,335)(1)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606,517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173,411</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201,003</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(12,100)(2)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364,396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143,554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93,162</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(777)(3)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43,017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(1,190)(4)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(563)(5)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9,618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19,548 (6)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accrual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121,860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209,987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(6,261)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(11,253)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2,638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16,893 (7)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(6,503)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(28,154)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(7,421)</w:t>
            </w:r>
          </w:p>
        </w:tc>
        <w:tc>
          <w:tcPr>
            <w:tcW w:w="8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(11,571)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14,315 (9)</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(6,503)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16,323</w:t>
            </w:r>
          </w:p>
        </w:tc>
        <w:tc>
          <w:tcPr>
            <w:tcW w:w="4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(13,839)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6"/>
        </w:trPr>
        <w:tc>
          <w:tcPr>
            <w:tcW w:w="5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6"/>
        </w:trPr>
        <w:tc>
          <w:tcPr>
            <w:tcW w:w="5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21,740</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-1523365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-1523365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-1523365</wp:posOffset>
            </wp:positionV>
            <wp:extent cx="3873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-1523365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-1523365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-1523365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-1523365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-1523365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-1523365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-1523365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-1523365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-1523365</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-1523365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-1523365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-1523365</wp:posOffset>
            </wp:positionV>
            <wp:extent cx="3873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-948690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-948690</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-948690</wp:posOffset>
            </wp:positionV>
            <wp:extent cx="3873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-948690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-948690</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-948690</wp:posOffset>
            </wp:positionV>
            <wp:extent cx="3873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-648335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-648335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-648335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-648335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-648335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-648335</wp:posOffset>
            </wp:positionV>
            <wp:extent cx="3873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ectPr>
          <w:pgSz w:w="11900" w:h="16838" w:orient="portrait"/>
          <w:cols w:equalWidth="0" w:num="1">
            <w:col w:w="11420"/>
          </w:cols>
          <w:pgMar w:left="240" w:top="274" w:right="239" w:bottom="1440" w:gutter="0" w:footer="0" w:header="0"/>
        </w:sectPr>
      </w:pPr>
    </w:p>
    <w:bookmarkStart w:id="6" w:name="page7"/>
    <w:bookmarkEnd w:id="6"/>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15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3"/>
              </w:rPr>
              <w:t>Historical</w:t>
            </w:r>
          </w:p>
        </w:tc>
        <w:tc>
          <w:tcPr>
            <w:tcW w:w="114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0"/>
              </w:rPr>
              <w:t>Historical</w:t>
            </w:r>
          </w:p>
        </w:tc>
        <w:tc>
          <w:tcPr>
            <w:tcW w:w="14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4"/>
              </w:rPr>
              <w:t>Pro Forma</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Itron</w:t>
            </w:r>
          </w:p>
        </w:tc>
        <w:tc>
          <w:tcPr>
            <w:tcW w:w="100" w:type="dxa"/>
            <w:vAlign w:val="bottom"/>
          </w:tcPr>
          <w:p>
            <w:pPr>
              <w:spacing w:after="0"/>
              <w:rPr>
                <w:sz w:val="15"/>
                <w:szCs w:val="15"/>
                <w:color w:val="auto"/>
              </w:rPr>
            </w:pPr>
          </w:p>
        </w:tc>
        <w:tc>
          <w:tcPr>
            <w:tcW w:w="10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8"/>
              </w:rPr>
              <w:t>SEM</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Itron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145,244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154,519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(2,588)(10)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79,114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99,898</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(5,549)(11)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173,463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66,130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(277)(12)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20,776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(393)(13)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(229)(14)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8,216 (15)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7,317</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8,208 (16)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(12,564)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(14,968)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5,009 (17)</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92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6"/>
        </w:trPr>
        <w:tc>
          <w:tcPr>
            <w:tcW w:w="692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92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6"/>
        </w:trPr>
        <w:tc>
          <w:tcPr>
            <w:tcW w:w="6920" w:type="dxa"/>
            <w:vAlign w:val="bottom"/>
            <w:gridSpan w:val="2"/>
          </w:tcPr>
          <w:p>
            <w:pPr>
              <w:spacing w:after="0"/>
              <w:rPr>
                <w:sz w:val="20"/>
                <w:szCs w:val="20"/>
                <w:color w:val="auto"/>
              </w:rPr>
            </w:pPr>
            <w:r>
              <w:rPr>
                <w:rFonts w:ascii="Arial" w:cs="Arial" w:eastAsia="Arial" w:hAnsi="Arial"/>
                <w:sz w:val="18"/>
                <w:szCs w:val="18"/>
                <w:color w:val="auto"/>
              </w:rPr>
              <w:t>Weighted average number of shares outstanding</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21,987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-1523365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-1523365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-1523365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-1523365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-1523365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-1523365</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-1523365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-1523365</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-1523365</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-1523365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-1523365</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-1523365</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-948690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-948690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-948690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-948690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-948690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-948690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-648335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-648335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-648335</wp:posOffset>
            </wp:positionV>
            <wp:extent cx="3873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-648335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-648335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-648335</wp:posOffset>
            </wp:positionV>
            <wp:extent cx="387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ectPr>
          <w:pgSz w:w="11900" w:h="16838" w:orient="portrait"/>
          <w:cols w:equalWidth="0" w:num="1">
            <w:col w:w="11420"/>
          </w:cols>
          <w:pgMar w:left="240" w:top="274" w:right="239" w:bottom="1440" w:gutter="0" w:footer="0" w:header="0"/>
        </w:sectPr>
      </w:pPr>
    </w:p>
    <w:bookmarkStart w:id="7" w:name="page8"/>
    <w:bookmarkEnd w:id="7"/>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15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June 30,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Historical</w:t>
            </w:r>
          </w:p>
        </w:tc>
        <w:tc>
          <w:tcPr>
            <w:tcW w:w="4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Historical</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Pro Forma</w:t>
            </w:r>
          </w:p>
        </w:tc>
        <w:tc>
          <w:tcPr>
            <w:tcW w:w="76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4"/>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Itron</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SEM</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Itron</w:t>
            </w:r>
          </w:p>
        </w:tc>
        <w:tc>
          <w:tcPr>
            <w:tcW w:w="0" w:type="dxa"/>
            <w:vAlign w:val="bottom"/>
          </w:tcPr>
          <w:p>
            <w:pPr>
              <w:spacing w:after="0"/>
              <w:rPr>
                <w:sz w:val="1"/>
                <w:szCs w:val="1"/>
                <w:color w:val="auto"/>
              </w:rPr>
            </w:pPr>
          </w:p>
        </w:tc>
      </w:tr>
      <w:tr>
        <w:trPr>
          <w:trHeight w:val="95"/>
        </w:trPr>
        <w:tc>
          <w:tcPr>
            <w:tcW w:w="7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8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84"/>
              </w:rPr>
              <w:t>(in thousands)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298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520" w:type="dxa"/>
            <w:vAlign w:val="bottom"/>
            <w:gridSpan w:val="3"/>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196 (18)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33,240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13,006</w:t>
            </w:r>
          </w:p>
        </w:tc>
        <w:tc>
          <w:tcPr>
            <w:tcW w:w="760" w:type="dxa"/>
            <w:vAlign w:val="bottom"/>
          </w:tcPr>
          <w:p>
            <w:pPr>
              <w:jc w:val="right"/>
              <w:ind w:right="332"/>
              <w:spacing w:after="0"/>
              <w:rPr>
                <w:sz w:val="20"/>
                <w:szCs w:val="20"/>
                <w:color w:val="auto"/>
              </w:rPr>
            </w:pPr>
            <w:r>
              <w:rPr>
                <w:rFonts w:ascii="Arial" w:cs="Arial" w:eastAsia="Arial" w:hAnsi="Arial"/>
                <w:sz w:val="18"/>
                <w:szCs w:val="18"/>
                <w:color w:val="auto"/>
                <w:w w:val="99"/>
              </w:rPr>
              <w:t>(19)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7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(20)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9,120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332"/>
              <w:spacing w:after="0"/>
              <w:rPr>
                <w:sz w:val="20"/>
                <w:szCs w:val="20"/>
                <w:color w:val="auto"/>
              </w:rPr>
            </w:pPr>
            <w:r>
              <w:rPr>
                <w:rFonts w:ascii="Arial" w:cs="Arial" w:eastAsia="Arial" w:hAnsi="Arial"/>
                <w:sz w:val="18"/>
                <w:szCs w:val="18"/>
                <w:color w:val="auto"/>
              </w:rPr>
              <w:t>(8,410)(21)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160,877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44,427</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14,838</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2,410</w:t>
            </w:r>
          </w:p>
        </w:tc>
        <w:tc>
          <w:tcPr>
            <w:tcW w:w="760" w:type="dxa"/>
            <w:vAlign w:val="bottom"/>
          </w:tcPr>
          <w:p>
            <w:pPr>
              <w:jc w:val="right"/>
              <w:ind w:right="332"/>
              <w:spacing w:after="0"/>
              <w:rPr>
                <w:sz w:val="20"/>
                <w:szCs w:val="20"/>
                <w:color w:val="auto"/>
              </w:rPr>
            </w:pPr>
            <w:r>
              <w:rPr>
                <w:rFonts w:ascii="Arial" w:cs="Arial" w:eastAsia="Arial" w:hAnsi="Arial"/>
                <w:sz w:val="18"/>
                <w:szCs w:val="18"/>
                <w:color w:val="auto"/>
                <w:w w:val="99"/>
              </w:rPr>
              <w:t>(22)</w:t>
            </w: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61,675</w:t>
            </w:r>
          </w:p>
        </w:tc>
        <w:tc>
          <w:tcPr>
            <w:tcW w:w="0" w:type="dxa"/>
            <w:vAlign w:val="bottom"/>
          </w:tcPr>
          <w:p>
            <w:pPr>
              <w:spacing w:after="0"/>
              <w:rPr>
                <w:sz w:val="1"/>
                <w:szCs w:val="1"/>
                <w:color w:val="auto"/>
              </w:rPr>
            </w:pPr>
          </w:p>
        </w:tc>
      </w:tr>
      <w:tr>
        <w:trPr>
          <w:trHeight w:val="218"/>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7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90,440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105,209</w:t>
            </w:r>
          </w:p>
        </w:tc>
        <w:tc>
          <w:tcPr>
            <w:tcW w:w="760" w:type="dxa"/>
            <w:vAlign w:val="bottom"/>
          </w:tcPr>
          <w:p>
            <w:pPr>
              <w:jc w:val="right"/>
              <w:ind w:right="332"/>
              <w:spacing w:after="0"/>
              <w:rPr>
                <w:sz w:val="20"/>
                <w:szCs w:val="20"/>
                <w:color w:val="auto"/>
              </w:rPr>
            </w:pPr>
            <w:r>
              <w:rPr>
                <w:rFonts w:ascii="Arial" w:cs="Arial" w:eastAsia="Arial" w:hAnsi="Arial"/>
                <w:sz w:val="18"/>
                <w:szCs w:val="18"/>
                <w:color w:val="auto"/>
                <w:w w:val="99"/>
              </w:rPr>
              <w:t>(24)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195,649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128,310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9"/>
              </w:rPr>
              <w:t>(128,310)(25)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49,333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34,957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332"/>
              <w:spacing w:after="0"/>
              <w:rPr>
                <w:sz w:val="20"/>
                <w:szCs w:val="20"/>
                <w:color w:val="auto"/>
              </w:rPr>
            </w:pPr>
            <w:r>
              <w:rPr>
                <w:rFonts w:ascii="Arial" w:cs="Arial" w:eastAsia="Arial" w:hAnsi="Arial"/>
                <w:sz w:val="18"/>
                <w:szCs w:val="18"/>
                <w:color w:val="auto"/>
                <w:w w:val="98"/>
              </w:rPr>
              <w:t>(22,431)(26)</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424,855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110,877</w:t>
            </w:r>
          </w:p>
        </w:tc>
        <w:tc>
          <w:tcPr>
            <w:tcW w:w="520" w:type="dxa"/>
            <w:vAlign w:val="bottom"/>
            <w:gridSpan w:val="3"/>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596,037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7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1400"/>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20,939</w:t>
            </w:r>
          </w:p>
        </w:tc>
        <w:tc>
          <w:tcPr>
            <w:tcW w:w="520" w:type="dxa"/>
            <w:vAlign w:val="bottom"/>
            <w:gridSpan w:val="3"/>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(1,956)(27)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Wages and benefits payable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8,033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332"/>
              <w:spacing w:after="0"/>
              <w:rPr>
                <w:sz w:val="20"/>
                <w:szCs w:val="20"/>
                <w:color w:val="auto"/>
              </w:rPr>
            </w:pPr>
            <w:r>
              <w:rPr>
                <w:rFonts w:ascii="Arial" w:cs="Arial" w:eastAsia="Arial" w:hAnsi="Arial"/>
                <w:sz w:val="18"/>
                <w:szCs w:val="18"/>
                <w:color w:val="auto"/>
              </w:rPr>
              <w:t>(1,287)(28)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98"/>
              </w:rPr>
              <w:t>(21,000)(29)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Current portion of debt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17,435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332"/>
              <w:spacing w:after="0"/>
              <w:rPr>
                <w:sz w:val="20"/>
                <w:szCs w:val="20"/>
                <w:color w:val="auto"/>
              </w:rPr>
            </w:pPr>
            <w:r>
              <w:rPr>
                <w:rFonts w:ascii="Arial" w:cs="Arial" w:eastAsia="Arial" w:hAnsi="Arial"/>
                <w:sz w:val="18"/>
                <w:szCs w:val="18"/>
                <w:color w:val="auto"/>
                <w:w w:val="98"/>
              </w:rPr>
              <w:t>(14,817)(29)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Current portion of warranty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11,240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10,817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332"/>
              <w:spacing w:after="0"/>
              <w:rPr>
                <w:sz w:val="20"/>
                <w:szCs w:val="20"/>
                <w:color w:val="auto"/>
              </w:rPr>
            </w:pPr>
            <w:r>
              <w:rPr>
                <w:rFonts w:ascii="Arial" w:cs="Arial" w:eastAsia="Arial" w:hAnsi="Arial"/>
                <w:sz w:val="18"/>
                <w:szCs w:val="18"/>
                <w:color w:val="auto"/>
              </w:rPr>
              <w:t>(350)(30)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(39,410)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140,225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170,650</w:t>
            </w:r>
          </w:p>
        </w:tc>
        <w:tc>
          <w:tcPr>
            <w:tcW w:w="760" w:type="dxa"/>
            <w:vAlign w:val="bottom"/>
          </w:tcPr>
          <w:p>
            <w:pPr>
              <w:jc w:val="right"/>
              <w:ind w:right="332"/>
              <w:spacing w:after="0"/>
              <w:rPr>
                <w:sz w:val="20"/>
                <w:szCs w:val="20"/>
                <w:color w:val="auto"/>
              </w:rPr>
            </w:pPr>
            <w:r>
              <w:rPr>
                <w:rFonts w:ascii="Arial" w:cs="Arial" w:eastAsia="Arial" w:hAnsi="Arial"/>
                <w:sz w:val="18"/>
                <w:szCs w:val="18"/>
                <w:color w:val="auto"/>
                <w:w w:val="99"/>
              </w:rPr>
              <w:t>(29)</w:t>
            </w: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310,875</w:t>
            </w:r>
          </w:p>
        </w:tc>
        <w:tc>
          <w:tcPr>
            <w:tcW w:w="0" w:type="dxa"/>
            <w:vAlign w:val="bottom"/>
          </w:tcPr>
          <w:p>
            <w:pPr>
              <w:spacing w:after="0"/>
              <w:rPr>
                <w:sz w:val="1"/>
                <w:szCs w:val="1"/>
                <w:color w:val="auto"/>
              </w:rPr>
            </w:pPr>
          </w:p>
        </w:tc>
      </w:tr>
      <w:tr>
        <w:trPr>
          <w:trHeight w:val="218"/>
        </w:trPr>
        <w:tc>
          <w:tcPr>
            <w:tcW w:w="70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Warranty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40" w:type="dxa"/>
            <w:vAlign w:val="bottom"/>
            <w:gridSpan w:val="2"/>
          </w:tcPr>
          <w:p>
            <w:pPr>
              <w:ind w:left="440"/>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7,259</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69,368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gridSpan w:val="2"/>
          </w:tcPr>
          <w:p>
            <w:pPr>
              <w:jc w:val="right"/>
              <w:ind w:right="332"/>
              <w:spacing w:after="0"/>
              <w:rPr>
                <w:sz w:val="20"/>
                <w:szCs w:val="20"/>
                <w:color w:val="auto"/>
              </w:rPr>
            </w:pPr>
            <w:r>
              <w:rPr>
                <w:rFonts w:ascii="Arial" w:cs="Arial" w:eastAsia="Arial" w:hAnsi="Arial"/>
                <w:sz w:val="18"/>
                <w:szCs w:val="18"/>
                <w:color w:val="auto"/>
                <w:w w:val="98"/>
              </w:rPr>
              <w:t>(69,368)(31)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7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7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242,666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109,157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413,695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182,189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(1,567)(32)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182,189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0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424,855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110,877</w:t>
            </w:r>
          </w:p>
        </w:tc>
        <w:tc>
          <w:tcPr>
            <w:tcW w:w="520" w:type="dxa"/>
            <w:vAlign w:val="bottom"/>
            <w:gridSpan w:val="3"/>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596,037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0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-2893695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-2893695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-2893695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-2893695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-2893695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-2893695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-2893695</wp:posOffset>
            </wp:positionV>
            <wp:extent cx="50165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-2893695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-2893695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-2893695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4330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21" w:lineRule="exact"/>
        <w:rPr>
          <w:sz w:val="20"/>
          <w:szCs w:val="20"/>
          <w:color w:val="auto"/>
        </w:rPr>
      </w:pPr>
    </w:p>
    <w:p>
      <w:pPr>
        <w:ind w:right="5640"/>
        <w:spacing w:after="0" w:line="261" w:lineRule="auto"/>
        <w:rPr>
          <w:sz w:val="20"/>
          <w:szCs w:val="20"/>
          <w:color w:val="auto"/>
        </w:rPr>
      </w:pPr>
      <w:r>
        <w:rPr>
          <w:rFonts w:ascii="Arial" w:cs="Arial" w:eastAsia="Arial" w:hAnsi="Arial"/>
          <w:sz w:val="18"/>
          <w:szCs w:val="18"/>
          <w:b w:val="1"/>
          <w:bCs w:val="1"/>
          <w:color w:val="auto"/>
        </w:rPr>
        <w:t xml:space="preserve">Notes to Unaudited Pro Forma Condensed Combined Financial Information </w:t>
      </w:r>
      <w:r>
        <w:rPr>
          <w:rFonts w:ascii="Arial" w:cs="Arial" w:eastAsia="Arial" w:hAnsi="Arial"/>
          <w:sz w:val="18"/>
          <w:szCs w:val="18"/>
          <w:color w:val="auto"/>
        </w:rPr>
        <w:t>(in thousands)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Purchase Price</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July 1, 2004, Itron, Inc. (Itron) completed the acquisition of Schlumberger’s Electricity Products Business (SEM). The purchase price was $248 million, not including direct transaction costs, and is subject to post closing working capital adjustments. Itron used proceeds from a new $240 million senior secured credit facility and $125 million in Senior Subordinated Notes to finance the acquisition, pay related fees and expenses, and repay approximately $50.2 million of outstanding Itron debt under an existing credit facility.</w:t>
      </w:r>
    </w:p>
    <w:p>
      <w:pPr>
        <w:spacing w:after="0" w:line="13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unaudited pro forma condensed combined financial information reflects a preliminary allocation of the purchase price and represents Itron’s expectations of the significant tangible and intangible assets and liabilities that will be recognized in connection with the acquisition. The estimated fair values of the assets and liabilities are preliminary and are subject to future adjustments. The significant items which could change are intangible assets and goodwill. The valuations of certain tangible and intangible assets are dependent on the finalization of appraisals.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40" w:type="dxa"/>
            <w:vAlign w:val="bottom"/>
            <w:gridSpan w:val="2"/>
          </w:tcPr>
          <w:p>
            <w:pPr>
              <w:spacing w:after="0"/>
              <w:rPr>
                <w:sz w:val="20"/>
                <w:szCs w:val="20"/>
                <w:color w:val="auto"/>
              </w:rPr>
            </w:pPr>
            <w:r>
              <w:rPr>
                <w:rFonts w:ascii="Arial" w:cs="Arial" w:eastAsia="Arial" w:hAnsi="Arial"/>
                <w:sz w:val="18"/>
                <w:szCs w:val="18"/>
                <w:color w:val="auto"/>
                <w:w w:val="89"/>
              </w:rPr>
              <w:t>The preliminary purchase price, which includes estimated direct transaction costs and other consideration, is summarized as follows: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60" w:type="dxa"/>
            <w:vAlign w:val="bottom"/>
            <w:vMerge w:val="restart"/>
          </w:tcPr>
          <w:p>
            <w:pPr>
              <w:spacing w:after="0"/>
              <w:rPr>
                <w:sz w:val="13"/>
                <w:szCs w:val="13"/>
                <w:color w:val="auto"/>
              </w:rPr>
            </w:pPr>
          </w:p>
        </w:tc>
        <w:tc>
          <w:tcPr>
            <w:tcW w:w="8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248,077</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Estimated direct transaction costs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8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acquisition costs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253,481</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8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pro forma purposes only, assuming the transaction was consummated on June 30, 2004 and not on the actual closing date of July 1, 2004, the preliminary allocation of the purchase price would be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current assets and liabilities</w:t>
            </w:r>
          </w:p>
        </w:tc>
        <w:tc>
          <w:tcPr>
            <w:tcW w:w="3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Goodwill</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net assets acquired</w:t>
            </w:r>
          </w:p>
        </w:tc>
        <w:tc>
          <w:tcPr>
            <w:tcW w:w="44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$253,481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360" w:type="dxa"/>
            <w:vAlign w:val="bottom"/>
            <w:gridSpan w:val="3"/>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640" w:type="dxa"/>
            <w:vAlign w:val="bottom"/>
            <w:gridSpan w:val="7"/>
          </w:tcPr>
          <w:p>
            <w:pPr>
              <w:spacing w:after="0"/>
              <w:rPr>
                <w:sz w:val="20"/>
                <w:szCs w:val="20"/>
                <w:color w:val="auto"/>
              </w:rPr>
            </w:pPr>
            <w:r>
              <w:rPr>
                <w:rFonts w:ascii="Arial" w:cs="Arial" w:eastAsia="Arial" w:hAnsi="Arial"/>
                <w:sz w:val="18"/>
                <w:szCs w:val="18"/>
                <w:color w:val="auto"/>
              </w:rPr>
              <w:t>The excess of the purchase price over the fair value of net assets acquired has been classified as goodwill.</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820" w:type="dxa"/>
            <w:vAlign w:val="bottom"/>
            <w:gridSpan w:val="2"/>
          </w:tcPr>
          <w:p>
            <w:pPr>
              <w:spacing w:after="0"/>
              <w:rPr>
                <w:sz w:val="20"/>
                <w:szCs w:val="20"/>
                <w:color w:val="auto"/>
              </w:rPr>
            </w:pPr>
            <w:r>
              <w:rPr>
                <w:rFonts w:ascii="Arial" w:cs="Arial" w:eastAsia="Arial" w:hAnsi="Arial"/>
                <w:sz w:val="18"/>
                <w:szCs w:val="18"/>
                <w:color w:val="auto"/>
              </w:rPr>
              <w:t>Preliminary intangible assets are comprised of the following:</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6"/>
              </w:rPr>
              <w:t>Weighted Average</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40" w:type="dxa"/>
            <w:vAlign w:val="bottom"/>
            <w:gridSpan w:val="5"/>
          </w:tcPr>
          <w:p>
            <w:pPr>
              <w:jc w:val="right"/>
              <w:spacing w:after="0"/>
              <w:rPr>
                <w:sz w:val="20"/>
                <w:szCs w:val="20"/>
                <w:color w:val="auto"/>
              </w:rPr>
            </w:pPr>
            <w:r>
              <w:rPr>
                <w:rFonts w:ascii="Arial" w:cs="Arial" w:eastAsia="Arial" w:hAnsi="Arial"/>
                <w:sz w:val="14"/>
                <w:szCs w:val="14"/>
                <w:b w:val="1"/>
                <w:bCs w:val="1"/>
                <w:color w:val="auto"/>
              </w:rPr>
              <w:t>Useful Life (in months)</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Core development technology</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Contract backlog</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23,000</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Trademarks and tradenames</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intangible assets</w:t>
            </w:r>
          </w:p>
        </w:tc>
        <w:tc>
          <w:tcPr>
            <w:tcW w:w="2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$97,052</w:t>
            </w:r>
          </w:p>
        </w:tc>
        <w:tc>
          <w:tcPr>
            <w:tcW w:w="1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-2033905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-2033905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-2033905</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preliminary values assigned to the identifiable intangible assets were determined using the income approach. Under the income approach, the fair value reflects the present value of the projected cash flows that are expected to be generated by the products. The intangible assets will be amortized over the estimated useful lives of the estimated discounted cash flows assumed in the valuation models.</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 forma condensed combined financial information is intended for information purposes only, and does not purport to represent what the combined companies’ results of operations or financial position would actually have been had the transaction in fact occurred at an earlier date, or project the results for any future date or period.</w:t>
      </w:r>
    </w:p>
    <w:p>
      <w:pPr>
        <w:sectPr>
          <w:pgSz w:w="11900" w:h="16838" w:orient="portrait"/>
          <w:cols w:equalWidth="0" w:num="1">
            <w:col w:w="11360"/>
          </w:cols>
          <w:pgMar w:left="240" w:top="274"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Pro Forma Condensed Combined Financial Information -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 Forma Adjustments</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adjustments are reflected in the unaudited pro forma condensed combined balance sheet and unaudited pro forma condensed combined statements of operations to reflect the estimated impact of the merger on the historical combined results of Itron and SEM.</w:t>
      </w:r>
    </w:p>
    <w:p>
      <w:pPr>
        <w:spacing w:after="0" w:line="11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eliminate intercompany sales activity, which consists primarily of royalty sales.</w:t>
      </w:r>
    </w:p>
    <w:p>
      <w:pPr>
        <w:spacing w:after="0" w:line="76" w:lineRule="exact"/>
        <w:rPr>
          <w:rFonts w:ascii="Arial" w:cs="Arial" w:eastAsia="Arial" w:hAnsi="Arial"/>
          <w:sz w:val="18"/>
          <w:szCs w:val="18"/>
          <w:color w:val="auto"/>
        </w:rPr>
      </w:pPr>
    </w:p>
    <w:p>
      <w:pPr>
        <w:ind w:left="460" w:right="80" w:hanging="452"/>
        <w:spacing w:after="0" w:line="25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adjustment to remove $(4,585) in pension and post retirement costs related to SEM retirement plans that Itron will not be assuming, to remove intercompany royalty cost of sales of $(6,024), to reflect a decrease in depreciation expense of $(1,621) based on estimated fair values of Silicon and SEM’s property, plant and equipment depreciated in accordance with Itron’s policy over the estimated useful lives and to remove the SEM LIFO inventory reserve impact of $130 to conform with Itron’s FIFO inventory accounting policy.</w:t>
      </w:r>
    </w:p>
    <w:p>
      <w:pPr>
        <w:spacing w:after="0" w:line="48" w:lineRule="exact"/>
        <w:rPr>
          <w:rFonts w:ascii="Arial" w:cs="Arial" w:eastAsia="Arial" w:hAnsi="Arial"/>
          <w:sz w:val="18"/>
          <w:szCs w:val="18"/>
          <w:color w:val="auto"/>
        </w:rPr>
      </w:pPr>
    </w:p>
    <w:p>
      <w:pPr>
        <w:ind w:left="460" w:right="440" w:hanging="452"/>
        <w:spacing w:after="0" w:line="325"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adjustment consists of a decrease of $(12) in depreciation expense calculated in accordance with Itron’s policy over the estimated useful lives and $(765) to remove pension and post retirement costs related to SEM retirement plans that Itron will not be assuming.</w:t>
      </w:r>
    </w:p>
    <w:p>
      <w:pPr>
        <w:spacing w:after="0" w:line="1" w:lineRule="exact"/>
        <w:rPr>
          <w:rFonts w:ascii="Arial" w:cs="Arial" w:eastAsia="Arial" w:hAnsi="Arial"/>
          <w:sz w:val="16"/>
          <w:szCs w:val="16"/>
          <w:color w:val="auto"/>
        </w:rPr>
      </w:pPr>
    </w:p>
    <w:p>
      <w:pPr>
        <w:ind w:left="460" w:right="520" w:hanging="452"/>
        <w:spacing w:after="0" w:line="325"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adjustment consists of a decrease of $(9) in depreciation expense calculated in accordance with Itron’s policy over the estimated useful lives and $(1,181) to remove pension and post retirement costs related to SEM retirement plans that Itron will not be assuming.</w:t>
      </w:r>
    </w:p>
    <w:p>
      <w:pPr>
        <w:spacing w:after="0" w:line="1" w:lineRule="exact"/>
        <w:rPr>
          <w:rFonts w:ascii="Arial" w:cs="Arial" w:eastAsia="Arial" w:hAnsi="Arial"/>
          <w:sz w:val="16"/>
          <w:szCs w:val="16"/>
          <w:color w:val="auto"/>
        </w:rPr>
      </w:pPr>
    </w:p>
    <w:p>
      <w:pPr>
        <w:ind w:left="460" w:right="340" w:hanging="452"/>
        <w:spacing w:after="0" w:line="325"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adjustment consists of a decrease of $(147) in depreciation expense calculated in accordance with Itron’s policy over the estimated useful lives and $(416) to remove pension and post retirement costs related to SEM retirement plans that Itron will not be assuming.</w:t>
      </w:r>
    </w:p>
    <w:p>
      <w:pPr>
        <w:spacing w:after="0" w:line="1" w:lineRule="exact"/>
        <w:rPr>
          <w:rFonts w:ascii="Arial" w:cs="Arial" w:eastAsia="Arial" w:hAnsi="Arial"/>
          <w:sz w:val="16"/>
          <w:szCs w:val="16"/>
          <w:color w:val="auto"/>
        </w:rPr>
      </w:pPr>
    </w:p>
    <w:p>
      <w:pPr>
        <w:ind w:left="460" w:right="4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adjustment to eliminate historical amortization expense of $(85) for Silicon and to increase amortization expense by $19,633 for intangible assets associated with Silicon and SEM.</w:t>
      </w:r>
    </w:p>
    <w:p>
      <w:pPr>
        <w:spacing w:after="0" w:line="37" w:lineRule="exact"/>
        <w:rPr>
          <w:rFonts w:ascii="Arial" w:cs="Arial" w:eastAsia="Arial" w:hAnsi="Arial"/>
          <w:sz w:val="18"/>
          <w:szCs w:val="18"/>
          <w:color w:val="auto"/>
        </w:rPr>
      </w:pPr>
    </w:p>
    <w:p>
      <w:pPr>
        <w:ind w:left="460" w:right="120" w:hanging="452"/>
        <w:spacing w:after="0" w:line="23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Net adjustment consists of an increase in interest expense for new debt issued in connection with the acquisition along with amortization of deferred financing costs of $19,349 and a decrease in interest expense of $(2,456) for debt repaid upon the acquisition closing. A change in the interest rate of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would result in a change in interest expense of $234.</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remove Silicon interest income related to note receivables from Silicon officers that were not assumed by Itron.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revise income tax provision utilizing Itron’s statutory rate of 42.0%.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eliminate intercompany sales activity, which consists primarily of royalty sales.</w:t>
      </w:r>
    </w:p>
    <w:p>
      <w:pPr>
        <w:spacing w:after="0" w:line="76" w:lineRule="exact"/>
        <w:rPr>
          <w:rFonts w:ascii="Arial" w:cs="Arial" w:eastAsia="Arial" w:hAnsi="Arial"/>
          <w:sz w:val="18"/>
          <w:szCs w:val="18"/>
          <w:color w:val="auto"/>
        </w:rPr>
      </w:pPr>
    </w:p>
    <w:p>
      <w:pPr>
        <w:ind w:left="460" w:right="240" w:hanging="452"/>
        <w:spacing w:after="0" w:line="256"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adjustment to remove $(2,504) in pension and post retirement costs related to SEM retirement plans that Itron will not be assuming, to remove intercompany royalty cost of sales of $(2,614), to reflect a decrease in depreciation expense of $(431) based on estimated fair values of SEM’s property, plant and equipment depreciated in accordance with Itron’s policy over the estimated useful lives. There was no SEM LIFO inventory reserve impact for the six months ended June 30, 2004.</w:t>
      </w:r>
    </w:p>
    <w:p>
      <w:pPr>
        <w:spacing w:after="0" w:line="48" w:lineRule="exact"/>
        <w:rPr>
          <w:rFonts w:ascii="Arial" w:cs="Arial" w:eastAsia="Arial" w:hAnsi="Arial"/>
          <w:sz w:val="18"/>
          <w:szCs w:val="18"/>
          <w:color w:val="auto"/>
        </w:rPr>
      </w:pPr>
    </w:p>
    <w:p>
      <w:pPr>
        <w:ind w:left="460" w:right="440" w:hanging="452"/>
        <w:spacing w:after="0" w:line="325"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adjustment consists of a decrease of $(10) in depreciation expense calculated in accordance with Itron’s policy over the estimated useful lives and $(267) to remove pension and post retirement costs related to SEM retirement plans that Itron will not be assuming.</w:t>
      </w:r>
    </w:p>
    <w:p>
      <w:pPr>
        <w:spacing w:after="0" w:line="1" w:lineRule="exact"/>
        <w:rPr>
          <w:rFonts w:ascii="Arial" w:cs="Arial" w:eastAsia="Arial" w:hAnsi="Arial"/>
          <w:sz w:val="16"/>
          <w:szCs w:val="16"/>
          <w:color w:val="auto"/>
        </w:rPr>
      </w:pPr>
    </w:p>
    <w:p>
      <w:pPr>
        <w:ind w:left="460" w:right="440" w:hanging="452"/>
        <w:spacing w:after="0" w:line="325"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adjustment consists of a decrease of $(25) in depreciation expense calculated in accordance with Itron’s policy over the estimated useful lives and $(368) to remove pension and post retirement costs related to SEM retirement plans that Itron will not be assuming.</w:t>
      </w:r>
    </w:p>
    <w:p>
      <w:pPr>
        <w:spacing w:after="0" w:line="1" w:lineRule="exact"/>
        <w:rPr>
          <w:rFonts w:ascii="Arial" w:cs="Arial" w:eastAsia="Arial" w:hAnsi="Arial"/>
          <w:sz w:val="16"/>
          <w:szCs w:val="16"/>
          <w:color w:val="auto"/>
        </w:rPr>
      </w:pPr>
    </w:p>
    <w:p>
      <w:pPr>
        <w:ind w:left="460" w:right="440" w:hanging="452"/>
        <w:spacing w:after="0" w:line="325"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adjustment consists of a decrease of $(29) in depreciation expense calculated in accordance with Itron’s policy over the estimated useful lives and $(200) to remove pension and post retirement costs related to SEM retirement plans that Itron will not be assuming.</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increase amortization expense for intangible assets associated with the acquisition.</w:t>
      </w:r>
    </w:p>
    <w:p>
      <w:pPr>
        <w:spacing w:after="0" w:line="76" w:lineRule="exact"/>
        <w:rPr>
          <w:rFonts w:ascii="Arial" w:cs="Arial" w:eastAsia="Arial" w:hAnsi="Arial"/>
          <w:sz w:val="18"/>
          <w:szCs w:val="18"/>
          <w:color w:val="auto"/>
        </w:rPr>
      </w:pPr>
    </w:p>
    <w:p>
      <w:pPr>
        <w:ind w:left="460" w:right="200" w:hanging="452"/>
        <w:spacing w:after="0" w:line="23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Net adjustment consists of an increase in interest expense for new debt issued in connection with the acquisition along with amortization of deferred financing costs of $9,660 and a decrease in interest expense of $(1,452) for debt repaid upon the acquisition closing. A change in the interest rate of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would result in a change in interest expense of $119.</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revise income tax provision utilizing Itron’s statutory rate of 39.0%.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Adjustments represent $(960) in payments for professional services related to the acquisition and $1,156 in cash remaining from debt financing.</w:t>
      </w:r>
    </w:p>
    <w:p>
      <w:pPr>
        <w:spacing w:after="0" w:line="99"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adjustment to eliminate $(981) in intercompany accounts receivable and to add $13,987 for tax liabilities that are reflected on the opening balance sheet that will be reimbursed by Schlumberger, Ltd.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remove SEM’s LIFO inventory reserve in order to conform with Itron’s FIFO inventory accounting policy.</w:t>
      </w:r>
    </w:p>
    <w:p>
      <w:pPr>
        <w:spacing w:after="0" w:line="76" w:lineRule="exact"/>
        <w:rPr>
          <w:rFonts w:ascii="Arial" w:cs="Arial" w:eastAsia="Arial" w:hAnsi="Arial"/>
          <w:sz w:val="18"/>
          <w:szCs w:val="18"/>
          <w:color w:val="auto"/>
        </w:rPr>
      </w:pPr>
    </w:p>
    <w:p>
      <w:pPr>
        <w:jc w:val="both"/>
        <w:ind w:left="460" w:right="280" w:hanging="452"/>
        <w:spacing w:after="0" w:line="306"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adjustment to remove the current portion of deferred income taxes of $(4,556) as the acquisition will involve a 338(h)10 tax election (deemed asset purchase for which certain deferred tax assets will not be acquired), $1,550 to capitalize the current portion of debt issuance costs that will be amortized over the related financing and $(5,404) to eliminate prepaid professional services related to the acquisition.</w:t>
      </w:r>
    </w:p>
    <w:p>
      <w:pPr>
        <w:spacing w:after="0" w:line="12" w:lineRule="exact"/>
        <w:rPr>
          <w:rFonts w:ascii="Arial" w:cs="Arial" w:eastAsia="Arial" w:hAnsi="Arial"/>
          <w:sz w:val="16"/>
          <w:szCs w:val="16"/>
          <w:color w:val="auto"/>
        </w:rPr>
      </w:pPr>
    </w:p>
    <w:p>
      <w:pPr>
        <w:ind w:left="460" w:right="40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reflect a net increase in property, plant and equipment based on estimated fair values. These fair value estimates are preliminary and are subject to future adjustment based on finalization of a valuation conducted by a third party.</w:t>
      </w:r>
    </w:p>
    <w:p>
      <w:pPr>
        <w:spacing w:after="0" w:line="37" w:lineRule="exact"/>
        <w:rPr>
          <w:rFonts w:ascii="Arial" w:cs="Arial" w:eastAsia="Arial" w:hAnsi="Arial"/>
          <w:sz w:val="18"/>
          <w:szCs w:val="18"/>
          <w:color w:val="auto"/>
        </w:rPr>
      </w:pPr>
    </w:p>
    <w:p>
      <w:pPr>
        <w:ind w:left="460" w:right="58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 to reflect intangible assets identified and the fair values assigned, which are preliminary and subject to future adjustment based upon an evaluation by a third party.</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Pro Forma Condensed Combined Financial Information -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51"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Adjustment reflects goodwill from the acquisition after allocating the purchase price to the fair value of net assets acquired.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Adjustment to reflect the use of restricted cash for the purchase of the acquisition.</w:t>
      </w:r>
    </w:p>
    <w:p>
      <w:pPr>
        <w:spacing w:after="0" w:line="76"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adjustment to remove $(25,557) in long-term deferred income taxes as the acquisition will involve a 338(h)10 tax election (deemed asset purchase for which certain deferred tax assets will not be acquired), to eliminate a $(9,234) prepaid pension asset Itron is not assuming, plus $12,360 to capitalize the long-term portion of debt issuance costs that will be amortized over the related financing.</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adjustment to remove SEM’s accrued royalties payable to Itron of $(996) and $(960) of accrued professional services related to the acquisition.</w:t>
      </w:r>
    </w:p>
    <w:p>
      <w:pPr>
        <w:spacing w:after="0" w:line="99"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adjustment to remove the liabilities that Itron will not be assuming which include $(85) for vacation in excess of defined hours, $(652) related to a pension plan and $(550) for 401(k) contributions.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adjustment to short-term borrowings and current and long-term debt is as follows:</w:t>
      </w:r>
    </w:p>
    <w:p>
      <w:pPr>
        <w:spacing w:after="0" w:line="14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Short-term</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Current</w:t>
            </w:r>
          </w:p>
        </w:tc>
        <w:tc>
          <w:tcPr>
            <w:tcW w:w="20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Long-term</w:t>
            </w:r>
          </w:p>
        </w:tc>
      </w:tr>
      <w:tr>
        <w:trPr>
          <w:trHeight w:val="174"/>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820" w:type="dxa"/>
            <w:vAlign w:val="bottom"/>
            <w:gridSpan w:val="4"/>
          </w:tcPr>
          <w:p>
            <w:pPr>
              <w:ind w:left="1920"/>
              <w:spacing w:after="0"/>
              <w:rPr>
                <w:sz w:val="20"/>
                <w:szCs w:val="20"/>
                <w:color w:val="auto"/>
              </w:rPr>
            </w:pPr>
            <w:r>
              <w:rPr>
                <w:rFonts w:ascii="Arial" w:cs="Arial" w:eastAsia="Arial" w:hAnsi="Arial"/>
                <w:sz w:val="14"/>
                <w:szCs w:val="14"/>
                <w:b w:val="1"/>
                <w:bCs w:val="1"/>
                <w:color w:val="auto"/>
              </w:rPr>
              <w:t>borrowings</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debt</w:t>
            </w:r>
          </w:p>
        </w:tc>
        <w:tc>
          <w:tcPr>
            <w:tcW w:w="200" w:type="dxa"/>
            <w:vAlign w:val="bottom"/>
          </w:tcPr>
          <w:p>
            <w:pPr>
              <w:spacing w:after="0"/>
              <w:rPr>
                <w:sz w:val="15"/>
                <w:szCs w:val="15"/>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debt</w:t>
            </w: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4"/>
              </w:rPr>
              <w:t>(in thousands)</w:t>
            </w: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New term debt</w:t>
            </w:r>
          </w:p>
        </w:tc>
        <w:tc>
          <w:tcPr>
            <w:tcW w:w="20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$183,150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Existing revolving line of credit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(21,000)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Existing term loan</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(16,667)</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(12,500)</w:t>
            </w: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(14,817)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$170,650</w:t>
            </w:r>
          </w:p>
        </w:tc>
        <w:tc>
          <w:tcPr>
            <w:tcW w:w="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48"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remove the current portion of an environmental accrual that Itron will not be assuming.</w:t>
      </w:r>
    </w:p>
    <w:p>
      <w:pPr>
        <w:spacing w:after="0" w:line="76"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adjustment to remove a post retirement liability of $(65,418) and the long-term portion of an environmental accrual of $(3,950) that Itron will not be assuming.</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adjustment to eliminate SEM’s equity.</w:t>
      </w:r>
    </w:p>
    <w:sectPr>
      <w:pgSz w:w="11900" w:h="16838" w:orient="portrait"/>
      <w:cols w:equalWidth="0" w:num="1">
        <w:col w:w="11280"/>
      </w:cols>
      <w:pgMar w:left="24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4"/>
    </w:lvl>
  </w:abstractNum>
  <w:abstractNum w:abstractNumId="3">
    <w:nsid w:val="625558EC"/>
    <w:multiLevelType w:val="hybridMultilevel"/>
    <w:lvl w:ilvl="0">
      <w:lvlJc w:val="left"/>
      <w:lvlText w:val="(%1)"/>
      <w:numFmt w:val="decimal"/>
      <w:start w:val="3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2019-12-13T15:40:05Z</dcterms:created>
  <dcterms:modified xsi:type="dcterms:W3CDTF">2019-12-13T15:40:05Z</dcterms:modified>
</cp:coreProperties>
</file>