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911860</wp:posOffset>
            </wp:positionV>
            <wp:extent cx="69265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46990</wp:posOffset>
            </wp:positionV>
            <wp:extent cx="1028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24"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2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1440" w:right="339" w:bottom="1440" w:gutter="0" w:footer="0" w:header="0"/>
        </w:sectPr>
      </w:pPr>
    </w:p>
    <w:p>
      <w:pPr>
        <w:spacing w:after="0" w:line="129" w:lineRule="exact"/>
        <w:rPr>
          <w:sz w:val="24"/>
          <w:szCs w:val="24"/>
          <w:color w:val="auto"/>
        </w:rPr>
      </w:pPr>
    </w:p>
    <w:p>
      <w:pPr>
        <w:jc w:val="center"/>
        <w:ind w:left="66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63" w:lineRule="exact"/>
        <w:rPr>
          <w:sz w:val="24"/>
          <w:szCs w:val="24"/>
          <w:color w:val="auto"/>
        </w:rPr>
      </w:pPr>
    </w:p>
    <w:p>
      <w:pPr>
        <w:sectPr>
          <w:pgSz w:w="11900" w:h="16838" w:orient="portrait"/>
          <w:cols w:equalWidth="0" w:num="2">
            <w:col w:w="2980" w:space="580"/>
            <w:col w:w="7680"/>
          </w:cols>
          <w:pgMar w:left="320" w:top="144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000-22418</w:t>
      </w:r>
    </w:p>
    <w:p>
      <w:pPr>
        <w:sectPr>
          <w:pgSz w:w="11900" w:h="16838" w:orient="portrait"/>
          <w:cols w:equalWidth="0" w:num="1">
            <w:col w:w="11240"/>
          </w:cols>
          <w:pgMar w:left="320" w:top="1440" w:right="339" w:bottom="1440" w:gutter="0" w:footer="0" w:header="0"/>
          <w:type w:val="continuous"/>
        </w:sectPr>
      </w:pP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ITRON, INC.</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1240"/>
          </w:cols>
          <w:pgMar w:left="320" w:top="1440" w:right="339" w:bottom="1440" w:gutter="0" w:footer="0" w:header="0"/>
          <w:type w:val="continuous"/>
        </w:sectPr>
      </w:pPr>
    </w:p>
    <w:p>
      <w:pPr>
        <w:spacing w:after="0" w:line="26"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Washington</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91-1011792</w:t>
      </w:r>
    </w:p>
    <w:p>
      <w:pPr>
        <w:spacing w:after="0" w:line="31"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174" w:lineRule="exact"/>
        <w:rPr>
          <w:sz w:val="24"/>
          <w:szCs w:val="24"/>
          <w:color w:val="auto"/>
        </w:rPr>
      </w:pPr>
    </w:p>
    <w:p>
      <w:pPr>
        <w:sectPr>
          <w:pgSz w:w="11900" w:h="16838" w:orient="portrait"/>
          <w:cols w:equalWidth="0" w:num="2">
            <w:col w:w="6160" w:space="720"/>
            <w:col w:w="4360"/>
          </w:cols>
          <w:pgMar w:left="320" w:top="144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2111 N Molter Road, Liberty Lake, Washington 99019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(509) 924-9900</w:t>
      </w:r>
    </w:p>
    <w:p>
      <w:pPr>
        <w:spacing w:after="0" w:line="1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(Address and telephone number of registrant's principal executive offices)</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100" w:type="dxa"/>
            <w:vAlign w:val="bottom"/>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ITRI</w:t>
            </w:r>
          </w:p>
        </w:tc>
        <w:tc>
          <w:tcPr>
            <w:tcW w:w="120" w:type="dxa"/>
            <w:vAlign w:val="bottom"/>
          </w:tcPr>
          <w:p>
            <w:pPr>
              <w:spacing w:after="0"/>
              <w:rPr>
                <w:sz w:val="19"/>
                <w:szCs w:val="19"/>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27" w:lineRule="exact"/>
        <w:rPr>
          <w:sz w:val="24"/>
          <w:szCs w:val="24"/>
          <w:color w:val="auto"/>
        </w:rPr>
      </w:pPr>
    </w:p>
    <w:p>
      <w:pPr>
        <w:ind w:right="300"/>
        <w:spacing w:after="0" w:line="22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 w:lineRule="exact"/>
        <w:rPr>
          <w:sz w:val="24"/>
          <w:szCs w:val="24"/>
          <w:color w:val="auto"/>
        </w:rPr>
      </w:pPr>
    </w:p>
    <w:tbl>
      <w:tblPr>
        <w:tblLayout w:type="fixed"/>
        <w:tblInd w:w="400" w:type="dxa"/>
        <w:tblCellMar>
          <w:top w:w="0" w:type="dxa"/>
          <w:left w:w="0" w:type="dxa"/>
          <w:bottom w:w="0" w:type="dxa"/>
          <w:right w:w="0" w:type="dxa"/>
        </w:tblCellMar>
      </w:tblPr>
      <w:tr>
        <w:trPr>
          <w:trHeight w:val="283"/>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5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3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580" w:type="dxa"/>
            <w:vAlign w:val="bottom"/>
          </w:tcPr>
          <w:p>
            <w:pPr>
              <w:ind w:left="3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9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0"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October 30, 2020, there were outstanding 40,396,909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739775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28575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-5080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20" w:type="dxa"/>
            <w:vAlign w:val="bottom"/>
            <w:gridSpan w:val="2"/>
          </w:tcPr>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color w:val="0000FF"/>
                </w:rPr>
                <w:t>Table of Contents</w:t>
              </w:r>
            </w:hyperlink>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1280" w:type="dxa"/>
            <w:vAlign w:val="bottom"/>
            <w:tcBorders>
              <w:top w:val="single" w:sz="8" w:color="0000FF"/>
            </w:tcBorders>
          </w:tcPr>
          <w:p>
            <w:pPr>
              <w:spacing w:after="0"/>
              <w:rPr>
                <w:sz w:val="24"/>
                <w:szCs w:val="24"/>
                <w:color w:val="auto"/>
              </w:rPr>
            </w:pPr>
          </w:p>
        </w:tc>
        <w:tc>
          <w:tcPr>
            <w:tcW w:w="89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Itron, Inc.</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80" w:type="dxa"/>
            <w:vAlign w:val="bottom"/>
          </w:tcPr>
          <w:p>
            <w:pPr>
              <w:spacing w:after="0"/>
              <w:rPr>
                <w:sz w:val="24"/>
                <w:szCs w:val="24"/>
                <w:color w:val="auto"/>
              </w:rPr>
            </w:pPr>
          </w:p>
        </w:tc>
        <w:tc>
          <w:tcPr>
            <w:tcW w:w="89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1"/>
        </w:trPr>
        <w:tc>
          <w:tcPr>
            <w:tcW w:w="10220" w:type="dxa"/>
            <w:vAlign w:val="bottom"/>
            <w:gridSpan w:val="2"/>
            <w:vMerge w:val="restart"/>
          </w:tcPr>
          <w:p>
            <w:pPr>
              <w:ind w:left="2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PART I: FINANCIAL INFORMATION</w:t>
              </w:r>
            </w:hyperlink>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0"/>
        </w:trPr>
        <w:tc>
          <w:tcPr>
            <w:tcW w:w="1022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10220" w:type="dxa"/>
            <w:vAlign w:val="bottom"/>
            <w:gridSpan w:val="2"/>
          </w:tcPr>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1: </w:t>
            </w:r>
            <w:hyperlink w:anchor="page3">
              <w:r>
                <w:rPr>
                  <w:rFonts w:ascii="Times New Roman" w:cs="Times New Roman" w:eastAsia="Times New Roman" w:hAnsi="Times New Roman"/>
                  <w:sz w:val="18"/>
                  <w:szCs w:val="18"/>
                  <w:u w:val="single" w:color="auto"/>
                  <w:color w:val="0000FF"/>
                </w:rPr>
                <w:t>Financial Statements (Unaudited)</w:t>
              </w:r>
            </w:hyperlink>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4"/>
        </w:trPr>
        <w:tc>
          <w:tcPr>
            <w:tcW w:w="10220" w:type="dxa"/>
            <w:vAlign w:val="bottom"/>
            <w:gridSpan w:val="2"/>
          </w:tcPr>
          <w:p>
            <w:pPr>
              <w:ind w:left="100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Consolidated Statements of Operations</w:t>
              </w:r>
            </w:hyperlink>
          </w:p>
        </w:tc>
        <w:tc>
          <w:tcPr>
            <w:tcW w:w="740" w:type="dxa"/>
            <w:vAlign w:val="bottom"/>
          </w:tcPr>
          <w:p>
            <w:pPr>
              <w:jc w:val="right"/>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1</w:t>
              </w:r>
            </w:hyperlink>
          </w:p>
        </w:tc>
        <w:tc>
          <w:tcPr>
            <w:tcW w:w="0" w:type="dxa"/>
            <w:vAlign w:val="bottom"/>
          </w:tcPr>
          <w:p>
            <w:pPr>
              <w:spacing w:after="0"/>
              <w:rPr>
                <w:sz w:val="1"/>
                <w:szCs w:val="1"/>
                <w:color w:val="auto"/>
              </w:rPr>
            </w:pPr>
          </w:p>
        </w:tc>
      </w:tr>
      <w:tr>
        <w:trPr>
          <w:trHeight w:val="486"/>
        </w:trPr>
        <w:tc>
          <w:tcPr>
            <w:tcW w:w="10220" w:type="dxa"/>
            <w:vAlign w:val="bottom"/>
            <w:gridSpan w:val="2"/>
          </w:tcPr>
          <w:p>
            <w:pPr>
              <w:ind w:left="100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Consolidated Statements of Comprehensive Income (Loss)</w:t>
              </w:r>
            </w:hyperlink>
          </w:p>
        </w:tc>
        <w:tc>
          <w:tcPr>
            <w:tcW w:w="740" w:type="dxa"/>
            <w:vAlign w:val="bottom"/>
          </w:tcPr>
          <w:p>
            <w:pPr>
              <w:jc w:val="right"/>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2</w:t>
              </w:r>
            </w:hyperlink>
          </w:p>
        </w:tc>
        <w:tc>
          <w:tcPr>
            <w:tcW w:w="0" w:type="dxa"/>
            <w:vAlign w:val="bottom"/>
          </w:tcPr>
          <w:p>
            <w:pPr>
              <w:spacing w:after="0"/>
              <w:rPr>
                <w:sz w:val="1"/>
                <w:szCs w:val="1"/>
                <w:color w:val="auto"/>
              </w:rPr>
            </w:pPr>
          </w:p>
        </w:tc>
      </w:tr>
      <w:tr>
        <w:trPr>
          <w:trHeight w:val="486"/>
        </w:trPr>
        <w:tc>
          <w:tcPr>
            <w:tcW w:w="10220" w:type="dxa"/>
            <w:vAlign w:val="bottom"/>
            <w:gridSpan w:val="2"/>
          </w:tcPr>
          <w:p>
            <w:pPr>
              <w:ind w:left="100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Consolidated Balance Sheets</w:t>
              </w:r>
            </w:hyperlink>
          </w:p>
        </w:tc>
        <w:tc>
          <w:tcPr>
            <w:tcW w:w="740" w:type="dxa"/>
            <w:vAlign w:val="bottom"/>
          </w:tcPr>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3</w:t>
              </w:r>
            </w:hyperlink>
          </w:p>
        </w:tc>
        <w:tc>
          <w:tcPr>
            <w:tcW w:w="0" w:type="dxa"/>
            <w:vAlign w:val="bottom"/>
          </w:tcPr>
          <w:p>
            <w:pPr>
              <w:spacing w:after="0"/>
              <w:rPr>
                <w:sz w:val="1"/>
                <w:szCs w:val="1"/>
                <w:color w:val="auto"/>
              </w:rPr>
            </w:pPr>
          </w:p>
        </w:tc>
      </w:tr>
      <w:tr>
        <w:trPr>
          <w:trHeight w:val="486"/>
        </w:trPr>
        <w:tc>
          <w:tcPr>
            <w:tcW w:w="10220" w:type="dxa"/>
            <w:vAlign w:val="bottom"/>
            <w:gridSpan w:val="2"/>
          </w:tcPr>
          <w:p>
            <w:pPr>
              <w:ind w:left="100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Consolidated Statements of Equity</w:t>
              </w:r>
            </w:hyperlink>
          </w:p>
        </w:tc>
        <w:tc>
          <w:tcPr>
            <w:tcW w:w="740" w:type="dxa"/>
            <w:vAlign w:val="bottom"/>
          </w:tcPr>
          <w:p>
            <w:pPr>
              <w:jc w:val="right"/>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4</w:t>
              </w:r>
            </w:hyperlink>
          </w:p>
        </w:tc>
        <w:tc>
          <w:tcPr>
            <w:tcW w:w="0" w:type="dxa"/>
            <w:vAlign w:val="bottom"/>
          </w:tcPr>
          <w:p>
            <w:pPr>
              <w:spacing w:after="0"/>
              <w:rPr>
                <w:sz w:val="1"/>
                <w:szCs w:val="1"/>
                <w:color w:val="auto"/>
              </w:rPr>
            </w:pPr>
          </w:p>
        </w:tc>
      </w:tr>
      <w:tr>
        <w:trPr>
          <w:trHeight w:val="486"/>
        </w:trPr>
        <w:tc>
          <w:tcPr>
            <w:tcW w:w="10220" w:type="dxa"/>
            <w:vAlign w:val="bottom"/>
            <w:gridSpan w:val="2"/>
          </w:tcPr>
          <w:p>
            <w:pPr>
              <w:ind w:left="1000"/>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Consolidated Statements of Cash Flows</w:t>
              </w:r>
            </w:hyperlink>
          </w:p>
        </w:tc>
        <w:tc>
          <w:tcPr>
            <w:tcW w:w="740" w:type="dxa"/>
            <w:vAlign w:val="bottom"/>
          </w:tcPr>
          <w:p>
            <w:pPr>
              <w:jc w:val="right"/>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5</w:t>
              </w:r>
            </w:hyperlink>
          </w:p>
        </w:tc>
        <w:tc>
          <w:tcPr>
            <w:tcW w:w="0" w:type="dxa"/>
            <w:vAlign w:val="bottom"/>
          </w:tcPr>
          <w:p>
            <w:pPr>
              <w:spacing w:after="0"/>
              <w:rPr>
                <w:sz w:val="1"/>
                <w:szCs w:val="1"/>
                <w:color w:val="auto"/>
              </w:rPr>
            </w:pPr>
          </w:p>
        </w:tc>
      </w:tr>
      <w:tr>
        <w:trPr>
          <w:trHeight w:val="486"/>
        </w:trPr>
        <w:tc>
          <w:tcPr>
            <w:tcW w:w="10220" w:type="dxa"/>
            <w:vAlign w:val="bottom"/>
            <w:gridSpan w:val="2"/>
          </w:tcPr>
          <w:p>
            <w:pPr>
              <w:ind w:left="1000"/>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Notes to Consolidated Financial Statements</w:t>
              </w:r>
            </w:hyperlink>
          </w:p>
        </w:tc>
        <w:tc>
          <w:tcPr>
            <w:tcW w:w="740" w:type="dxa"/>
            <w:vAlign w:val="bottom"/>
          </w:tcPr>
          <w:p>
            <w:pPr>
              <w:jc w:val="right"/>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6</w:t>
              </w:r>
            </w:hyperlink>
          </w:p>
        </w:tc>
        <w:tc>
          <w:tcPr>
            <w:tcW w:w="0" w:type="dxa"/>
            <w:vAlign w:val="bottom"/>
          </w:tcPr>
          <w:p>
            <w:pPr>
              <w:spacing w:after="0"/>
              <w:rPr>
                <w:sz w:val="1"/>
                <w:szCs w:val="1"/>
                <w:color w:val="auto"/>
              </w:rPr>
            </w:pPr>
          </w:p>
        </w:tc>
      </w:tr>
    </w:tbl>
    <w:p>
      <w:pPr>
        <w:spacing w:after="0" w:line="348" w:lineRule="exact"/>
        <w:rPr>
          <w:sz w:val="20"/>
          <w:szCs w:val="20"/>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2: </w:t>
      </w:r>
      <w:hyperlink w:anchor="page29">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p>
      <w:pPr>
        <w:ind w:left="10780"/>
        <w:spacing w:after="0"/>
        <w:rPr>
          <w:rFonts w:ascii="Times New Roman" w:cs="Times New Roman" w:eastAsia="Times New Roman" w:hAnsi="Times New Roman"/>
          <w:sz w:val="17"/>
          <w:szCs w:val="17"/>
          <w:u w:val="single" w:color="auto"/>
          <w:color w:val="0000FF"/>
        </w:rPr>
      </w:pPr>
      <w:hyperlink w:anchor="page29">
        <w:r>
          <w:rPr>
            <w:rFonts w:ascii="Times New Roman" w:cs="Times New Roman" w:eastAsia="Times New Roman" w:hAnsi="Times New Roman"/>
            <w:sz w:val="17"/>
            <w:szCs w:val="17"/>
            <w:u w:val="single" w:color="auto"/>
            <w:color w:val="0000FF"/>
          </w:rPr>
          <w:t>27</w:t>
        </w:r>
      </w:hyperlink>
    </w:p>
    <w:p>
      <w:pPr>
        <w:spacing w:after="0" w:line="367" w:lineRule="exact"/>
        <w:rPr>
          <w:sz w:val="20"/>
          <w:szCs w:val="20"/>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3: </w:t>
      </w:r>
      <w:hyperlink w:anchor="page48">
        <w:r>
          <w:rPr>
            <w:rFonts w:ascii="Times New Roman" w:cs="Times New Roman" w:eastAsia="Times New Roman" w:hAnsi="Times New Roman"/>
            <w:sz w:val="18"/>
            <w:szCs w:val="18"/>
            <w:u w:val="single" w:color="auto"/>
            <w:color w:val="0000FF"/>
          </w:rPr>
          <w:t>Quantitative and Qualitative Disclosures About Market Risk</w:t>
        </w:r>
      </w:hyperlink>
    </w:p>
    <w:p>
      <w:pPr>
        <w:ind w:left="10780"/>
        <w:spacing w:after="0"/>
        <w:rPr>
          <w:rFonts w:ascii="Times New Roman" w:cs="Times New Roman" w:eastAsia="Times New Roman" w:hAnsi="Times New Roman"/>
          <w:sz w:val="17"/>
          <w:szCs w:val="17"/>
          <w:u w:val="single" w:color="auto"/>
          <w:color w:val="0000FF"/>
        </w:rPr>
      </w:pPr>
      <w:hyperlink w:anchor="page48">
        <w:r>
          <w:rPr>
            <w:rFonts w:ascii="Times New Roman" w:cs="Times New Roman" w:eastAsia="Times New Roman" w:hAnsi="Times New Roman"/>
            <w:sz w:val="17"/>
            <w:szCs w:val="17"/>
            <w:u w:val="single" w:color="auto"/>
            <w:color w:val="0000FF"/>
          </w:rPr>
          <w:t>47</w:t>
        </w:r>
      </w:hyperlink>
    </w:p>
    <w:p>
      <w:pPr>
        <w:spacing w:after="0" w:line="367" w:lineRule="exact"/>
        <w:rPr>
          <w:sz w:val="20"/>
          <w:szCs w:val="20"/>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4: </w:t>
      </w:r>
      <w:hyperlink w:anchor="page50">
        <w:r>
          <w:rPr>
            <w:rFonts w:ascii="Times New Roman" w:cs="Times New Roman" w:eastAsia="Times New Roman" w:hAnsi="Times New Roman"/>
            <w:sz w:val="18"/>
            <w:szCs w:val="18"/>
            <w:u w:val="single" w:color="auto"/>
            <w:color w:val="0000FF"/>
          </w:rPr>
          <w:t>Controls and Procedures</w:t>
        </w:r>
      </w:hyperlink>
    </w:p>
    <w:p>
      <w:pPr>
        <w:ind w:left="10780"/>
        <w:spacing w:after="0"/>
        <w:rPr>
          <w:rFonts w:ascii="Times New Roman" w:cs="Times New Roman" w:eastAsia="Times New Roman" w:hAnsi="Times New Roman"/>
          <w:sz w:val="17"/>
          <w:szCs w:val="17"/>
          <w:u w:val="single" w:color="auto"/>
          <w:color w:val="0000FF"/>
        </w:rPr>
      </w:pPr>
      <w:hyperlink w:anchor="page50">
        <w:r>
          <w:rPr>
            <w:rFonts w:ascii="Times New Roman" w:cs="Times New Roman" w:eastAsia="Times New Roman" w:hAnsi="Times New Roman"/>
            <w:sz w:val="17"/>
            <w:szCs w:val="17"/>
            <w:u w:val="single" w:color="auto"/>
            <w:color w:val="0000FF"/>
          </w:rPr>
          <w:t>48</w:t>
        </w:r>
      </w:hyperlink>
    </w:p>
    <w:p>
      <w:pPr>
        <w:spacing w:after="0" w:line="200" w:lineRule="exact"/>
        <w:rPr>
          <w:sz w:val="20"/>
          <w:szCs w:val="20"/>
          <w:color w:val="auto"/>
        </w:rPr>
      </w:pPr>
    </w:p>
    <w:p>
      <w:pPr>
        <w:spacing w:after="0" w:line="323" w:lineRule="exact"/>
        <w:rPr>
          <w:sz w:val="20"/>
          <w:szCs w:val="20"/>
          <w:color w:val="auto"/>
        </w:rPr>
      </w:pPr>
    </w:p>
    <w:p>
      <w:pPr>
        <w:ind w:left="20"/>
        <w:spacing w:after="0"/>
        <w:rPr>
          <w:rFonts w:ascii="Times New Roman" w:cs="Times New Roman" w:eastAsia="Times New Roman" w:hAnsi="Times New Roman"/>
          <w:sz w:val="18"/>
          <w:szCs w:val="18"/>
          <w:b w:val="1"/>
          <w:bCs w:val="1"/>
          <w:u w:val="single" w:color="auto"/>
          <w:color w:val="0000FF"/>
        </w:rPr>
      </w:pPr>
      <w:hyperlink w:anchor="page50">
        <w:r>
          <w:rPr>
            <w:rFonts w:ascii="Times New Roman" w:cs="Times New Roman" w:eastAsia="Times New Roman" w:hAnsi="Times New Roman"/>
            <w:sz w:val="18"/>
            <w:szCs w:val="18"/>
            <w:b w:val="1"/>
            <w:bCs w:val="1"/>
            <w:u w:val="single" w:color="auto"/>
            <w:color w:val="0000FF"/>
          </w:rPr>
          <w:t>PART II: OTHER INFORMATION</w:t>
        </w:r>
      </w:hyperlink>
    </w:p>
    <w:p>
      <w:pPr>
        <w:spacing w:after="0" w:line="380" w:lineRule="exact"/>
        <w:rPr>
          <w:sz w:val="20"/>
          <w:szCs w:val="20"/>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1: </w:t>
      </w:r>
      <w:hyperlink w:anchor="page51">
        <w:r>
          <w:rPr>
            <w:rFonts w:ascii="Times New Roman" w:cs="Times New Roman" w:eastAsia="Times New Roman" w:hAnsi="Times New Roman"/>
            <w:sz w:val="18"/>
            <w:szCs w:val="18"/>
            <w:u w:val="single" w:color="auto"/>
            <w:color w:val="0000FF"/>
          </w:rPr>
          <w:t>Legal Proceedings</w:t>
        </w:r>
      </w:hyperlink>
    </w:p>
    <w:p>
      <w:pPr>
        <w:ind w:left="10780"/>
        <w:spacing w:after="0"/>
        <w:rPr>
          <w:rFonts w:ascii="Times New Roman" w:cs="Times New Roman" w:eastAsia="Times New Roman" w:hAnsi="Times New Roman"/>
          <w:sz w:val="17"/>
          <w:szCs w:val="17"/>
          <w:u w:val="single" w:color="auto"/>
          <w:color w:val="0000FF"/>
        </w:rPr>
      </w:pPr>
      <w:hyperlink w:anchor="page51">
        <w:r>
          <w:rPr>
            <w:rFonts w:ascii="Times New Roman" w:cs="Times New Roman" w:eastAsia="Times New Roman" w:hAnsi="Times New Roman"/>
            <w:sz w:val="17"/>
            <w:szCs w:val="17"/>
            <w:u w:val="single" w:color="auto"/>
            <w:color w:val="0000FF"/>
          </w:rPr>
          <w:t>49</w:t>
        </w:r>
      </w:hyperlink>
    </w:p>
    <w:p>
      <w:pPr>
        <w:spacing w:after="0" w:line="367" w:lineRule="exact"/>
        <w:rPr>
          <w:sz w:val="20"/>
          <w:szCs w:val="20"/>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1A: </w:t>
      </w:r>
      <w:hyperlink w:anchor="page51">
        <w:r>
          <w:rPr>
            <w:rFonts w:ascii="Times New Roman" w:cs="Times New Roman" w:eastAsia="Times New Roman" w:hAnsi="Times New Roman"/>
            <w:sz w:val="18"/>
            <w:szCs w:val="18"/>
            <w:u w:val="single" w:color="auto"/>
            <w:color w:val="0000FF"/>
          </w:rPr>
          <w:t>Risk Factors</w:t>
        </w:r>
      </w:hyperlink>
    </w:p>
    <w:p>
      <w:pPr>
        <w:ind w:left="10780"/>
        <w:spacing w:after="0"/>
        <w:rPr>
          <w:rFonts w:ascii="Times New Roman" w:cs="Times New Roman" w:eastAsia="Times New Roman" w:hAnsi="Times New Roman"/>
          <w:sz w:val="17"/>
          <w:szCs w:val="17"/>
          <w:u w:val="single" w:color="auto"/>
          <w:color w:val="0000FF"/>
        </w:rPr>
      </w:pPr>
      <w:hyperlink w:anchor="page51">
        <w:r>
          <w:rPr>
            <w:rFonts w:ascii="Times New Roman" w:cs="Times New Roman" w:eastAsia="Times New Roman" w:hAnsi="Times New Roman"/>
            <w:sz w:val="17"/>
            <w:szCs w:val="17"/>
            <w:u w:val="single" w:color="auto"/>
            <w:color w:val="0000FF"/>
          </w:rPr>
          <w:t>49</w:t>
        </w:r>
      </w:hyperlink>
    </w:p>
    <w:p>
      <w:pPr>
        <w:spacing w:after="0" w:line="367" w:lineRule="exact"/>
        <w:rPr>
          <w:sz w:val="20"/>
          <w:szCs w:val="20"/>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2: </w:t>
      </w:r>
      <w:hyperlink w:anchor="page51">
        <w:r>
          <w:rPr>
            <w:rFonts w:ascii="Times New Roman" w:cs="Times New Roman" w:eastAsia="Times New Roman" w:hAnsi="Times New Roman"/>
            <w:sz w:val="18"/>
            <w:szCs w:val="18"/>
            <w:u w:val="single" w:color="auto"/>
            <w:color w:val="0000FF"/>
          </w:rPr>
          <w:t>Unregistered Sales of Equity Securities and Use of Proceeds</w:t>
        </w:r>
      </w:hyperlink>
    </w:p>
    <w:p>
      <w:pPr>
        <w:ind w:left="10780"/>
        <w:spacing w:after="0"/>
        <w:rPr>
          <w:rFonts w:ascii="Times New Roman" w:cs="Times New Roman" w:eastAsia="Times New Roman" w:hAnsi="Times New Roman"/>
          <w:sz w:val="17"/>
          <w:szCs w:val="17"/>
          <w:u w:val="single" w:color="auto"/>
          <w:color w:val="0000FF"/>
        </w:rPr>
      </w:pPr>
      <w:hyperlink w:anchor="page51">
        <w:r>
          <w:rPr>
            <w:rFonts w:ascii="Times New Roman" w:cs="Times New Roman" w:eastAsia="Times New Roman" w:hAnsi="Times New Roman"/>
            <w:sz w:val="17"/>
            <w:szCs w:val="17"/>
            <w:u w:val="single" w:color="auto"/>
            <w:color w:val="0000FF"/>
          </w:rPr>
          <w:t>50</w:t>
        </w:r>
      </w:hyperlink>
    </w:p>
    <w:p>
      <w:pPr>
        <w:spacing w:after="0" w:line="367" w:lineRule="exact"/>
        <w:rPr>
          <w:sz w:val="20"/>
          <w:szCs w:val="20"/>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5: </w:t>
      </w:r>
      <w:hyperlink w:anchor="page52">
        <w:r>
          <w:rPr>
            <w:rFonts w:ascii="Times New Roman" w:cs="Times New Roman" w:eastAsia="Times New Roman" w:hAnsi="Times New Roman"/>
            <w:sz w:val="18"/>
            <w:szCs w:val="18"/>
            <w:u w:val="single" w:color="auto"/>
            <w:color w:val="0000FF"/>
          </w:rPr>
          <w:t>Other Information</w:t>
        </w:r>
      </w:hyperlink>
    </w:p>
    <w:p>
      <w:pPr>
        <w:ind w:left="10780"/>
        <w:spacing w:after="0"/>
        <w:rPr>
          <w:rFonts w:ascii="Times New Roman" w:cs="Times New Roman" w:eastAsia="Times New Roman" w:hAnsi="Times New Roman"/>
          <w:sz w:val="17"/>
          <w:szCs w:val="17"/>
          <w:u w:val="single" w:color="auto"/>
          <w:color w:val="0000FF"/>
        </w:rPr>
      </w:pPr>
      <w:hyperlink w:anchor="page52">
        <w:r>
          <w:rPr>
            <w:rFonts w:ascii="Times New Roman" w:cs="Times New Roman" w:eastAsia="Times New Roman" w:hAnsi="Times New Roman"/>
            <w:sz w:val="17"/>
            <w:szCs w:val="17"/>
            <w:u w:val="single" w:color="auto"/>
            <w:color w:val="0000FF"/>
          </w:rPr>
          <w:t>50</w:t>
        </w:r>
      </w:hyperlink>
    </w:p>
    <w:p>
      <w:pPr>
        <w:spacing w:after="0" w:line="367" w:lineRule="exact"/>
        <w:rPr>
          <w:sz w:val="20"/>
          <w:szCs w:val="20"/>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6: </w:t>
      </w:r>
      <w:hyperlink w:anchor="page52">
        <w:r>
          <w:rPr>
            <w:rFonts w:ascii="Times New Roman" w:cs="Times New Roman" w:eastAsia="Times New Roman" w:hAnsi="Times New Roman"/>
            <w:sz w:val="18"/>
            <w:szCs w:val="18"/>
            <w:u w:val="single" w:color="auto"/>
            <w:color w:val="0000FF"/>
          </w:rPr>
          <w:t>Exhibits</w:t>
        </w:r>
      </w:hyperlink>
    </w:p>
    <w:p>
      <w:pPr>
        <w:ind w:left="10780"/>
        <w:spacing w:after="0"/>
        <w:rPr>
          <w:rFonts w:ascii="Times New Roman" w:cs="Times New Roman" w:eastAsia="Times New Roman" w:hAnsi="Times New Roman"/>
          <w:sz w:val="17"/>
          <w:szCs w:val="17"/>
          <w:u w:val="single" w:color="auto"/>
          <w:color w:val="0000FF"/>
        </w:rPr>
      </w:pPr>
      <w:hyperlink w:anchor="page52">
        <w:r>
          <w:rPr>
            <w:rFonts w:ascii="Times New Roman" w:cs="Times New Roman" w:eastAsia="Times New Roman" w:hAnsi="Times New Roman"/>
            <w:sz w:val="17"/>
            <w:szCs w:val="17"/>
            <w:u w:val="single" w:color="auto"/>
            <w:color w:val="0000FF"/>
          </w:rPr>
          <w:t>51</w:t>
        </w:r>
      </w:hyperlink>
    </w:p>
    <w:p>
      <w:pPr>
        <w:sectPr>
          <w:pgSz w:w="11900" w:h="16838" w:orient="portrait"/>
          <w:cols w:equalWidth="0" w:num="1">
            <w:col w:w="10960"/>
          </w:cols>
          <w:pgMar w:left="320" w:top="108" w:right="61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ind w:left="20"/>
        <w:spacing w:after="0"/>
        <w:tabs>
          <w:tab w:leader="none" w:pos="107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b w:val="1"/>
          <w:bCs w:val="1"/>
          <w:u w:val="single" w:color="auto"/>
          <w:color w:val="0000FF"/>
        </w:rPr>
        <w:t>SIGNATURE</w:t>
      </w:r>
      <w:r>
        <w:rPr>
          <w:sz w:val="20"/>
          <w:szCs w:val="20"/>
          <w:color w:val="auto"/>
        </w:rPr>
        <w:tab/>
      </w:r>
      <w:hyperlink w:anchor="page53">
        <w:r>
          <w:rPr>
            <w:rFonts w:ascii="Times New Roman" w:cs="Times New Roman" w:eastAsia="Times New Roman" w:hAnsi="Times New Roman"/>
            <w:sz w:val="17"/>
            <w:szCs w:val="17"/>
            <w:u w:val="single" w:color="auto"/>
            <w:color w:val="0000FF"/>
          </w:rPr>
          <w:t>52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807085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08" w:right="619" w:bottom="1440" w:gutter="0" w:footer="0" w:header="0"/>
          <w:type w:val="continuous"/>
        </w:sectPr>
      </w:pPr>
    </w:p>
    <w:bookmarkStart w:id="2" w:name="page3"/>
    <w:bookmarkEnd w:id="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7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1:</w:t>
        <w:tab/>
        <w:t>Financial Statements (Unaudited)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280" w:type="dxa"/>
            <w:vAlign w:val="bottom"/>
          </w:tcPr>
          <w:p>
            <w:pPr>
              <w:spacing w:after="0"/>
              <w:rPr>
                <w:sz w:val="18"/>
                <w:szCs w:val="18"/>
                <w:color w:val="auto"/>
              </w:rPr>
            </w:pPr>
          </w:p>
        </w:tc>
        <w:tc>
          <w:tcPr>
            <w:tcW w:w="32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3100" w:type="dxa"/>
            <w:vAlign w:val="bottom"/>
            <w:gridSpan w:val="4"/>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2"/>
        </w:trPr>
        <w:tc>
          <w:tcPr>
            <w:tcW w:w="4360" w:type="dxa"/>
            <w:vAlign w:val="bottom"/>
            <w:tcBorders>
              <w:bottom w:val="single" w:sz="8" w:color="auto"/>
            </w:tcBorders>
            <w:vMerge w:val="continue"/>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 revenues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1,437,780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1,663,794</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Service revenues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69,526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71,577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210,413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210,293</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1,648,193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1,874,087</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 cost of revenues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1,072,271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1,176,913</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Service cost of revenues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38,636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38,292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122,588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122,293</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cost of revenues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396,933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428,070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1,194,859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1,299,206</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453,334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574,881</w:t>
            </w:r>
          </w:p>
        </w:tc>
        <w:tc>
          <w:tcPr>
            <w:tcW w:w="0" w:type="dxa"/>
            <w:vAlign w:val="bottom"/>
          </w:tcPr>
          <w:p>
            <w:pPr>
              <w:spacing w:after="0"/>
              <w:rPr>
                <w:sz w:val="1"/>
                <w:szCs w:val="1"/>
                <w:color w:val="auto"/>
              </w:rPr>
            </w:pPr>
          </w:p>
        </w:tc>
      </w:tr>
      <w:tr>
        <w:trPr>
          <w:trHeight w:val="256"/>
        </w:trPr>
        <w:tc>
          <w:tcPr>
            <w:tcW w:w="43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215,018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264,640</w:t>
            </w:r>
          </w:p>
        </w:tc>
        <w:tc>
          <w:tcPr>
            <w:tcW w:w="0" w:type="dxa"/>
            <w:vAlign w:val="bottom"/>
          </w:tcPr>
          <w:p>
            <w:pPr>
              <w:spacing w:after="0"/>
              <w:rPr>
                <w:sz w:val="1"/>
                <w:szCs w:val="1"/>
                <w:color w:val="auto"/>
              </w:rPr>
            </w:pPr>
          </w:p>
        </w:tc>
      </w:tr>
      <w:tr>
        <w:trPr>
          <w:trHeight w:val="229"/>
        </w:trPr>
        <w:tc>
          <w:tcPr>
            <w:tcW w:w="4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148,999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150,551</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48,185</w:t>
            </w:r>
          </w:p>
        </w:tc>
        <w:tc>
          <w:tcPr>
            <w:tcW w:w="0" w:type="dxa"/>
            <w:vAlign w:val="bottom"/>
          </w:tcPr>
          <w:p>
            <w:pPr>
              <w:spacing w:after="0"/>
              <w:rPr>
                <w:sz w:val="1"/>
                <w:szCs w:val="1"/>
                <w:color w:val="auto"/>
              </w:rPr>
            </w:pPr>
          </w:p>
        </w:tc>
      </w:tr>
      <w:tr>
        <w:trPr>
          <w:trHeight w:val="229"/>
        </w:trPr>
        <w:tc>
          <w:tcPr>
            <w:tcW w:w="4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7,685</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sale of business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57,295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167,231</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156,965</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496,331</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471,061</w:t>
            </w:r>
          </w:p>
        </w:tc>
        <w:tc>
          <w:tcPr>
            <w:tcW w:w="0" w:type="dxa"/>
            <w:vAlign w:val="bottom"/>
          </w:tcPr>
          <w:p>
            <w:pPr>
              <w:spacing w:after="0"/>
              <w:rPr>
                <w:sz w:val="1"/>
                <w:szCs w:val="1"/>
                <w:color w:val="auto"/>
              </w:rPr>
            </w:pPr>
          </w:p>
        </w:tc>
      </w:tr>
      <w:tr>
        <w:trPr>
          <w:trHeight w:val="237"/>
        </w:trPr>
        <w:tc>
          <w:tcPr>
            <w:tcW w:w="4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103,820</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(39,899)</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(6,463)</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(44,983)</w:t>
            </w:r>
          </w:p>
        </w:tc>
        <w:tc>
          <w:tcPr>
            <w:tcW w:w="0" w:type="dxa"/>
            <w:vAlign w:val="bottom"/>
          </w:tcPr>
          <w:p>
            <w:pPr>
              <w:spacing w:after="0"/>
              <w:rPr>
                <w:sz w:val="1"/>
                <w:szCs w:val="1"/>
                <w:color w:val="auto"/>
              </w:rPr>
            </w:pPr>
          </w:p>
        </w:tc>
      </w:tr>
      <w:tr>
        <w:trPr>
          <w:trHeight w:val="236"/>
        </w:trPr>
        <w:tc>
          <w:tcPr>
            <w:tcW w:w="4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58,837</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(20,692)</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(78,383)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38,145</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Itron,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34,386</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 - 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 - 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6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(0.63)</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0.42</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0.86</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39,508</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39,884</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18"/>
                <w:szCs w:val="18"/>
                <w:color w:val="auto"/>
              </w:rPr>
            </w:pPr>
          </w:p>
        </w:tc>
        <w:tc>
          <w:tcPr>
            <w:tcW w:w="320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2"/>
        </w:trPr>
        <w:tc>
          <w:tcPr>
            <w:tcW w:w="4380" w:type="dxa"/>
            <w:vAlign w:val="bottom"/>
            <w:tcBorders>
              <w:bottom w:val="single" w:sz="8" w:color="auto"/>
            </w:tcBorders>
            <w:vMerge w:val="continue"/>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38,145</w:t>
            </w:r>
          </w:p>
        </w:tc>
        <w:tc>
          <w:tcPr>
            <w:tcW w:w="0" w:type="dxa"/>
            <w:vAlign w:val="bottom"/>
          </w:tcPr>
          <w:p>
            <w:pPr>
              <w:spacing w:after="0"/>
              <w:rPr>
                <w:sz w:val="1"/>
                <w:szCs w:val="1"/>
                <w:color w:val="auto"/>
              </w:rPr>
            </w:pPr>
          </w:p>
        </w:tc>
      </w:tr>
      <w:tr>
        <w:trPr>
          <w:trHeight w:val="257"/>
        </w:trPr>
        <w:tc>
          <w:tcPr>
            <w:tcW w:w="4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(13,544)</w:t>
            </w:r>
          </w:p>
        </w:tc>
        <w:tc>
          <w:tcPr>
            <w:tcW w:w="0" w:type="dxa"/>
            <w:vAlign w:val="bottom"/>
          </w:tcPr>
          <w:p>
            <w:pPr>
              <w:spacing w:after="0"/>
              <w:rPr>
                <w:sz w:val="1"/>
                <w:szCs w:val="1"/>
                <w:color w:val="auto"/>
              </w:rPr>
            </w:pPr>
          </w:p>
        </w:tc>
      </w:tr>
      <w:tr>
        <w:trPr>
          <w:trHeight w:val="176"/>
        </w:trPr>
        <w:tc>
          <w:tcPr>
            <w:tcW w:w="43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Foreign currency translation adjustment reclassified to</w:t>
            </w:r>
          </w:p>
        </w:tc>
        <w:tc>
          <w:tcPr>
            <w:tcW w:w="28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on sale of business</w:t>
            </w:r>
          </w:p>
        </w:tc>
        <w:tc>
          <w:tcPr>
            <w:tcW w:w="28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3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Net unrealized gain (loss) on derivative instruments,</w:t>
            </w:r>
          </w:p>
        </w:tc>
        <w:tc>
          <w:tcPr>
            <w:tcW w:w="2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29"/>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designated as cash flow hedges</w:t>
            </w:r>
          </w:p>
        </w:tc>
        <w:tc>
          <w:tcPr>
            <w:tcW w:w="28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Pension benefit obligation adjustment</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50,659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(10,749)</w:t>
            </w:r>
          </w:p>
        </w:tc>
        <w:tc>
          <w:tcPr>
            <w:tcW w:w="0" w:type="dxa"/>
            <w:vAlign w:val="bottom"/>
          </w:tcPr>
          <w:p>
            <w:pPr>
              <w:spacing w:after="0"/>
              <w:rPr>
                <w:sz w:val="1"/>
                <w:szCs w:val="1"/>
                <w:color w:val="auto"/>
              </w:rPr>
            </w:pPr>
          </w:p>
        </w:tc>
      </w:tr>
      <w:tr>
        <w:trPr>
          <w:trHeight w:val="237"/>
        </w:trPr>
        <w:tc>
          <w:tcPr>
            <w:tcW w:w="4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 net of tax</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27,396</w:t>
            </w:r>
          </w:p>
        </w:tc>
        <w:tc>
          <w:tcPr>
            <w:tcW w:w="0" w:type="dxa"/>
            <w:vAlign w:val="bottom"/>
          </w:tcPr>
          <w:p>
            <w:pPr>
              <w:spacing w:after="0"/>
              <w:rPr>
                <w:sz w:val="1"/>
                <w:szCs w:val="1"/>
                <w:color w:val="auto"/>
              </w:rPr>
            </w:pPr>
          </w:p>
        </w:tc>
      </w:tr>
      <w:tr>
        <w:trPr>
          <w:trHeight w:val="237"/>
        </w:trPr>
        <w:tc>
          <w:tcPr>
            <w:tcW w:w="4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3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Comprehensive income attributable to noncontrolling</w:t>
            </w:r>
          </w:p>
        </w:tc>
        <w:tc>
          <w:tcPr>
            <w:tcW w:w="2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interests, net of tax</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Itron,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23,637</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760" w:type="dxa"/>
            <w:vAlign w:val="bottom"/>
            <w:gridSpan w:val="2"/>
          </w:tcPr>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color w:val="0000FF"/>
                </w:rPr>
                <w:t>Table of Contents</w:t>
              </w:r>
            </w:hyperlink>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8"/>
        </w:trPr>
        <w:tc>
          <w:tcPr>
            <w:tcW w:w="1280" w:type="dxa"/>
            <w:vAlign w:val="bottom"/>
            <w:tcBorders>
              <w:top w:val="single" w:sz="8" w:color="0000FF"/>
            </w:tcBorders>
          </w:tcPr>
          <w:p>
            <w:pPr>
              <w:spacing w:after="0"/>
              <w:rPr>
                <w:sz w:val="24"/>
                <w:szCs w:val="24"/>
                <w:color w:val="auto"/>
              </w:rPr>
            </w:pPr>
          </w:p>
        </w:tc>
        <w:tc>
          <w:tcPr>
            <w:tcW w:w="5480" w:type="dxa"/>
            <w:vAlign w:val="bottom"/>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rPr>
              <w:t>ITRON, INC.</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780" w:type="dxa"/>
            <w:vAlign w:val="bottom"/>
            <w:gridSpan w:val="4"/>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5480" w:type="dxa"/>
            <w:vAlign w:val="bottom"/>
          </w:tcPr>
          <w:p>
            <w:pPr>
              <w:jc w:val="center"/>
              <w:ind w:left="31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22"/>
                <w:szCs w:val="22"/>
                <w:color w:val="auto"/>
              </w:rPr>
            </w:pPr>
          </w:p>
        </w:tc>
        <w:tc>
          <w:tcPr>
            <w:tcW w:w="2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240" w:type="dxa"/>
            <w:vAlign w:val="bottom"/>
          </w:tcPr>
          <w:p>
            <w:pPr>
              <w:spacing w:after="0"/>
              <w:rPr>
                <w:sz w:val="22"/>
                <w:szCs w:val="22"/>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0" w:type="dxa"/>
            <w:vAlign w:val="bottom"/>
          </w:tcPr>
          <w:p>
            <w:pPr>
              <w:spacing w:after="0"/>
              <w:rPr>
                <w:sz w:val="1"/>
                <w:szCs w:val="1"/>
                <w:color w:val="auto"/>
              </w:rPr>
            </w:pPr>
          </w:p>
        </w:tc>
      </w:tr>
      <w:tr>
        <w:trPr>
          <w:trHeight w:val="218"/>
        </w:trPr>
        <w:tc>
          <w:tcPr>
            <w:tcW w:w="1280" w:type="dxa"/>
            <w:vAlign w:val="bottom"/>
            <w:tcBorders>
              <w:top w:val="single" w:sz="8" w:color="auto"/>
            </w:tcBorders>
          </w:tcPr>
          <w:p>
            <w:pPr>
              <w:spacing w:after="0"/>
              <w:rPr>
                <w:sz w:val="18"/>
                <w:szCs w:val="18"/>
                <w:color w:val="auto"/>
              </w:rPr>
            </w:pPr>
          </w:p>
        </w:tc>
        <w:tc>
          <w:tcPr>
            <w:tcW w:w="5480" w:type="dxa"/>
            <w:vAlign w:val="bottom"/>
            <w:tcBorders>
              <w:top w:val="single" w:sz="8" w:color="auto"/>
            </w:tcBorders>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149,904</w:t>
            </w:r>
          </w:p>
        </w:tc>
        <w:tc>
          <w:tcPr>
            <w:tcW w:w="0" w:type="dxa"/>
            <w:vAlign w:val="bottom"/>
          </w:tcPr>
          <w:p>
            <w:pPr>
              <w:spacing w:after="0"/>
              <w:rPr>
                <w:sz w:val="1"/>
                <w:szCs w:val="1"/>
                <w:color w:val="auto"/>
              </w:rPr>
            </w:pPr>
          </w:p>
        </w:tc>
      </w:tr>
      <w:tr>
        <w:trPr>
          <w:trHeight w:val="230"/>
        </w:trPr>
        <w:tc>
          <w:tcPr>
            <w:tcW w:w="6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472,925</w:t>
            </w: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227,896</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173,906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146,526</w:t>
            </w:r>
          </w:p>
        </w:tc>
        <w:tc>
          <w:tcPr>
            <w:tcW w:w="0" w:type="dxa"/>
            <w:vAlign w:val="bottom"/>
          </w:tcPr>
          <w:p>
            <w:pPr>
              <w:spacing w:after="0"/>
              <w:rPr>
                <w:sz w:val="1"/>
                <w:szCs w:val="1"/>
                <w:color w:val="auto"/>
              </w:rPr>
            </w:pPr>
          </w:p>
        </w:tc>
      </w:tr>
      <w:tr>
        <w:trPr>
          <w:trHeight w:val="223"/>
        </w:trPr>
        <w:tc>
          <w:tcPr>
            <w:tcW w:w="67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1,352,171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997,251</w:t>
            </w:r>
          </w:p>
        </w:tc>
        <w:tc>
          <w:tcPr>
            <w:tcW w:w="0" w:type="dxa"/>
            <w:vAlign w:val="bottom"/>
          </w:tcPr>
          <w:p>
            <w:pPr>
              <w:spacing w:after="0"/>
              <w:rPr>
                <w:sz w:val="1"/>
                <w:szCs w:val="1"/>
                <w:color w:val="auto"/>
              </w:rPr>
            </w:pPr>
          </w:p>
        </w:tc>
      </w:tr>
      <w:tr>
        <w:trPr>
          <w:trHeight w:val="162"/>
        </w:trPr>
        <w:tc>
          <w:tcPr>
            <w:tcW w:w="676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233,228</w:t>
            </w:r>
          </w:p>
        </w:tc>
        <w:tc>
          <w:tcPr>
            <w:tcW w:w="0" w:type="dxa"/>
            <w:vAlign w:val="bottom"/>
          </w:tcPr>
          <w:p>
            <w:pPr>
              <w:spacing w:after="0"/>
              <w:rPr>
                <w:sz w:val="1"/>
                <w:szCs w:val="1"/>
                <w:color w:val="auto"/>
              </w:rPr>
            </w:pP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63,899</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44,686</w:t>
            </w:r>
          </w:p>
        </w:tc>
        <w:tc>
          <w:tcPr>
            <w:tcW w:w="0" w:type="dxa"/>
            <w:vAlign w:val="bottom"/>
          </w:tcPr>
          <w:p>
            <w:pPr>
              <w:spacing w:after="0"/>
              <w:rPr>
                <w:sz w:val="1"/>
                <w:szCs w:val="1"/>
                <w:color w:val="auto"/>
              </w:rPr>
            </w:pP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79,773</w:t>
            </w: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185,097</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1,114,511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1,103,907</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3,015,924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2,707,841</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28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19"/>
                <w:szCs w:val="19"/>
                <w:color w:val="auto"/>
              </w:rPr>
            </w:pPr>
          </w:p>
        </w:tc>
        <w:tc>
          <w:tcPr>
            <w:tcW w:w="5480" w:type="dxa"/>
            <w:vAlign w:val="bottom"/>
            <w:shd w:val="clear" w:color="auto" w:fill="CCEEFF"/>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w w:val="99"/>
              </w:rPr>
              <w:t>LIABILITIES AND EQUITY</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328,128</w:t>
            </w:r>
          </w:p>
        </w:tc>
        <w:tc>
          <w:tcPr>
            <w:tcW w:w="0" w:type="dxa"/>
            <w:vAlign w:val="bottom"/>
          </w:tcPr>
          <w:p>
            <w:pPr>
              <w:spacing w:after="0"/>
              <w:rPr>
                <w:sz w:val="1"/>
                <w:szCs w:val="1"/>
                <w:color w:val="auto"/>
              </w:rPr>
            </w:pPr>
          </w:p>
        </w:tc>
      </w:tr>
      <w:tr>
        <w:trPr>
          <w:trHeight w:val="230"/>
        </w:trPr>
        <w:tc>
          <w:tcPr>
            <w:tcW w:w="6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63,785</w:t>
            </w: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Wages and benefits payable</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119,220</w:t>
            </w:r>
          </w:p>
        </w:tc>
        <w:tc>
          <w:tcPr>
            <w:tcW w:w="0" w:type="dxa"/>
            <w:vAlign w:val="bottom"/>
          </w:tcPr>
          <w:p>
            <w:pPr>
              <w:spacing w:after="0"/>
              <w:rPr>
                <w:sz w:val="1"/>
                <w:szCs w:val="1"/>
                <w:color w:val="auto"/>
              </w:rPr>
            </w:pPr>
          </w:p>
        </w:tc>
      </w:tr>
      <w:tr>
        <w:trPr>
          <w:trHeight w:val="230"/>
        </w:trPr>
        <w:tc>
          <w:tcPr>
            <w:tcW w:w="6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Taxes payable</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22,193</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debt</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Current portion of warranty</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38,509</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Unearned revenue</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117,729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99,556</w:t>
            </w:r>
          </w:p>
        </w:tc>
        <w:tc>
          <w:tcPr>
            <w:tcW w:w="0" w:type="dxa"/>
            <w:vAlign w:val="bottom"/>
          </w:tcPr>
          <w:p>
            <w:pPr>
              <w:spacing w:after="0"/>
              <w:rPr>
                <w:sz w:val="1"/>
                <w:szCs w:val="1"/>
                <w:color w:val="auto"/>
              </w:rPr>
            </w:pPr>
          </w:p>
        </w:tc>
      </w:tr>
      <w:tr>
        <w:trPr>
          <w:trHeight w:val="223"/>
        </w:trPr>
        <w:tc>
          <w:tcPr>
            <w:tcW w:w="67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586,705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671,391</w:t>
            </w:r>
          </w:p>
        </w:tc>
        <w:tc>
          <w:tcPr>
            <w:tcW w:w="0" w:type="dxa"/>
            <w:vAlign w:val="bottom"/>
          </w:tcPr>
          <w:p>
            <w:pPr>
              <w:spacing w:after="0"/>
              <w:rPr>
                <w:sz w:val="1"/>
                <w:szCs w:val="1"/>
                <w:color w:val="auto"/>
              </w:rPr>
            </w:pPr>
          </w:p>
        </w:tc>
      </w:tr>
      <w:tr>
        <w:trPr>
          <w:trHeight w:val="162"/>
        </w:trPr>
        <w:tc>
          <w:tcPr>
            <w:tcW w:w="6760" w:type="dxa"/>
            <w:vAlign w:val="bottom"/>
            <w:gridSpan w:val="2"/>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1,313,459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932,482</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warranty</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14,732</w:t>
            </w:r>
          </w:p>
        </w:tc>
        <w:tc>
          <w:tcPr>
            <w:tcW w:w="0" w:type="dxa"/>
            <w:vAlign w:val="bottom"/>
          </w:tcPr>
          <w:p>
            <w:pPr>
              <w:spacing w:after="0"/>
              <w:rPr>
                <w:sz w:val="1"/>
                <w:szCs w:val="1"/>
                <w:color w:val="auto"/>
              </w:rPr>
            </w:pP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Pension benefit obligation</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98,712</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0" w:type="dxa"/>
            <w:vAlign w:val="bottom"/>
          </w:tcPr>
          <w:p>
            <w:pPr>
              <w:spacing w:after="0"/>
              <w:rPr>
                <w:sz w:val="1"/>
                <w:szCs w:val="1"/>
                <w:color w:val="auto"/>
              </w:rPr>
            </w:pPr>
          </w:p>
        </w:tc>
      </w:tr>
      <w:tr>
        <w:trPr>
          <w:trHeight w:val="23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68,919</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133,552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118,981</w:t>
            </w:r>
          </w:p>
        </w:tc>
        <w:tc>
          <w:tcPr>
            <w:tcW w:w="0" w:type="dxa"/>
            <w:vAlign w:val="bottom"/>
          </w:tcPr>
          <w:p>
            <w:pPr>
              <w:spacing w:after="0"/>
              <w:rPr>
                <w:sz w:val="1"/>
                <w:szCs w:val="1"/>
                <w:color w:val="auto"/>
              </w:rPr>
            </w:pPr>
          </w:p>
        </w:tc>
      </w:tr>
      <w:tr>
        <w:trPr>
          <w:trHeight w:val="223"/>
        </w:trPr>
        <w:tc>
          <w:tcPr>
            <w:tcW w:w="67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2,218,659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1,907,026</w:t>
            </w:r>
          </w:p>
        </w:tc>
        <w:tc>
          <w:tcPr>
            <w:tcW w:w="0" w:type="dxa"/>
            <w:vAlign w:val="bottom"/>
          </w:tcPr>
          <w:p>
            <w:pPr>
              <w:spacing w:after="0"/>
              <w:rPr>
                <w:sz w:val="1"/>
                <w:szCs w:val="1"/>
                <w:color w:val="auto"/>
              </w:rPr>
            </w:pPr>
          </w:p>
        </w:tc>
      </w:tr>
      <w:tr>
        <w:trPr>
          <w:trHeight w:val="162"/>
        </w:trPr>
        <w:tc>
          <w:tcPr>
            <w:tcW w:w="6760" w:type="dxa"/>
            <w:vAlign w:val="bottom"/>
            <w:gridSpan w:val="2"/>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no par value, 10,000 shares authorized, no shares issued or outstanding</w:t>
            </w:r>
          </w:p>
        </w:tc>
        <w:tc>
          <w:tcPr>
            <w:tcW w:w="2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676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no par value, 75,000 shares authorized, 40,356 and 39,941 shares issued</w:t>
            </w:r>
          </w:p>
        </w:tc>
        <w:tc>
          <w:tcPr>
            <w:tcW w:w="220" w:type="dxa"/>
            <w:vAlign w:val="bottom"/>
          </w:tcPr>
          <w:p>
            <w:pPr>
              <w:spacing w:after="0"/>
              <w:rPr>
                <w:sz w:val="15"/>
                <w:szCs w:val="15"/>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1,381,774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1,357,600</w:t>
            </w:r>
          </w:p>
        </w:tc>
        <w:tc>
          <w:tcPr>
            <w:tcW w:w="0" w:type="dxa"/>
            <w:vAlign w:val="bottom"/>
          </w:tcPr>
          <w:p>
            <w:pPr>
              <w:spacing w:after="0"/>
              <w:rPr>
                <w:sz w:val="1"/>
                <w:szCs w:val="1"/>
                <w:color w:val="auto"/>
              </w:rPr>
            </w:pPr>
          </w:p>
        </w:tc>
      </w:tr>
      <w:tr>
        <w:trPr>
          <w:trHeight w:val="230"/>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and outstanding</w:t>
            </w:r>
          </w:p>
        </w:tc>
        <w:tc>
          <w:tcPr>
            <w:tcW w:w="220" w:type="dxa"/>
            <w:vAlign w:val="bottom"/>
          </w:tcPr>
          <w:p>
            <w:pPr>
              <w:spacing w:after="0"/>
              <w:rPr>
                <w:sz w:val="19"/>
                <w:szCs w:val="19"/>
                <w:color w:val="auto"/>
              </w:rPr>
            </w:pPr>
          </w:p>
        </w:tc>
        <w:tc>
          <w:tcPr>
            <w:tcW w:w="1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(204,672)</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(455,865)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(376,390)</w:t>
            </w:r>
          </w:p>
        </w:tc>
        <w:tc>
          <w:tcPr>
            <w:tcW w:w="0" w:type="dxa"/>
            <w:vAlign w:val="bottom"/>
          </w:tcPr>
          <w:p>
            <w:pPr>
              <w:spacing w:after="0"/>
              <w:rPr>
                <w:sz w:val="1"/>
                <w:szCs w:val="1"/>
                <w:color w:val="auto"/>
              </w:rPr>
            </w:pPr>
          </w:p>
        </w:tc>
      </w:tr>
      <w:tr>
        <w:trPr>
          <w:trHeight w:val="223"/>
        </w:trPr>
        <w:tc>
          <w:tcPr>
            <w:tcW w:w="67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Itron, Inc. shareholders' equity</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776,538</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24,277</w:t>
            </w:r>
          </w:p>
        </w:tc>
        <w:tc>
          <w:tcPr>
            <w:tcW w:w="0" w:type="dxa"/>
            <w:vAlign w:val="bottom"/>
          </w:tcPr>
          <w:p>
            <w:pPr>
              <w:spacing w:after="0"/>
              <w:rPr>
                <w:sz w:val="1"/>
                <w:szCs w:val="1"/>
                <w:color w:val="auto"/>
              </w:rPr>
            </w:pPr>
          </w:p>
        </w:tc>
      </w:tr>
      <w:tr>
        <w:trPr>
          <w:trHeight w:val="223"/>
        </w:trPr>
        <w:tc>
          <w:tcPr>
            <w:tcW w:w="67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797,265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800,815</w:t>
            </w:r>
          </w:p>
        </w:tc>
        <w:tc>
          <w:tcPr>
            <w:tcW w:w="0" w:type="dxa"/>
            <w:vAlign w:val="bottom"/>
          </w:tcPr>
          <w:p>
            <w:pPr>
              <w:spacing w:after="0"/>
              <w:rPr>
                <w:sz w:val="1"/>
                <w:szCs w:val="1"/>
                <w:color w:val="auto"/>
              </w:rPr>
            </w:pPr>
          </w:p>
        </w:tc>
      </w:tr>
      <w:tr>
        <w:trPr>
          <w:trHeight w:val="223"/>
        </w:trPr>
        <w:tc>
          <w:tcPr>
            <w:tcW w:w="67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3,015,924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2,707,841</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20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Total Itron, Inc.</w:t>
            </w: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3"/>
            <w:vMerge w:val="restart"/>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4"/>
                <w:szCs w:val="4"/>
                <w:color w:val="auto"/>
              </w:rPr>
            </w:pPr>
          </w:p>
        </w:tc>
        <w:tc>
          <w:tcPr>
            <w:tcW w:w="11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4"/>
                <w:szCs w:val="4"/>
                <w:color w:val="auto"/>
              </w:rPr>
            </w:pPr>
          </w:p>
        </w:tc>
        <w:tc>
          <w:tcPr>
            <w:tcW w:w="120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40" w:type="dxa"/>
            <w:vAlign w:val="bottom"/>
          </w:tcPr>
          <w:p>
            <w:pPr>
              <w:spacing w:after="0"/>
              <w:rPr>
                <w:sz w:val="4"/>
                <w:szCs w:val="4"/>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4"/>
                <w:szCs w:val="4"/>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89"/>
        </w:trPr>
        <w:tc>
          <w:tcPr>
            <w:tcW w:w="282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January 1,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39,941</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1,357,600</w:t>
            </w: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(204,672)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(376,390)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776,538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24,277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800,815</w:t>
            </w: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9,162</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(25,211)</w:t>
            </w: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stock issues and repurchases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2,247</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8,482</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8,482</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March 31, 2020</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40,176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1,368,329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(229,883)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(367,706)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770,740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24,755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795,495</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(62,802)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(62,802)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(62,487)</w:t>
            </w: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62,056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62,056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62,056</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stock issues and repurchases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0" w:type="dxa"/>
            <w:vAlign w:val="bottom"/>
          </w:tcPr>
          <w:p>
            <w:pPr>
              <w:spacing w:after="0"/>
              <w:rPr>
                <w:sz w:val="1"/>
                <w:szCs w:val="1"/>
                <w:color w:val="auto"/>
              </w:rPr>
            </w:pPr>
          </w:p>
        </w:tc>
      </w:tr>
      <w:tr>
        <w:trPr>
          <w:trHeight w:val="189"/>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7,099</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7,099</w:t>
            </w: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June 30, 2020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40,234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1,376,134</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(167,827)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(430,508)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777,799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25,070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802,869</w:t>
            </w: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(25,357)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(25,058)</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13,814</w:t>
            </w: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stock issues and repurchases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5,057</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5,057</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September 30, 2020</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40,356</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1,381,774</w:t>
            </w:r>
          </w:p>
        </w:tc>
        <w:tc>
          <w:tcPr>
            <w:tcW w:w="100" w:type="dxa"/>
            <w:vAlign w:val="bottom"/>
          </w:tcPr>
          <w:p>
            <w:pPr>
              <w:spacing w:after="0"/>
              <w:rPr>
                <w:sz w:val="15"/>
                <w:szCs w:val="15"/>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(154,013)</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(455,865)</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771,896</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25,369</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797,265</w:t>
            </w: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20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Itron, Inc.</w:t>
            </w: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3"/>
            <w:vMerge w:val="restart"/>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4"/>
                <w:szCs w:val="4"/>
                <w:color w:val="auto"/>
              </w:rPr>
            </w:pPr>
          </w:p>
        </w:tc>
        <w:tc>
          <w:tcPr>
            <w:tcW w:w="11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4"/>
                <w:szCs w:val="4"/>
                <w:color w:val="auto"/>
              </w:rPr>
            </w:pPr>
          </w:p>
        </w:tc>
        <w:tc>
          <w:tcPr>
            <w:tcW w:w="120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4"/>
                <w:szCs w:val="4"/>
                <w:color w:val="auto"/>
              </w:rPr>
            </w:pPr>
          </w:p>
        </w:tc>
        <w:tc>
          <w:tcPr>
            <w:tcW w:w="126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4"/>
                <w:szCs w:val="4"/>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7"/>
              </w:rPr>
              <w:t>Total Equity</w:t>
            </w:r>
          </w:p>
        </w:tc>
        <w:tc>
          <w:tcPr>
            <w:tcW w:w="0" w:type="dxa"/>
            <w:vAlign w:val="bottom"/>
          </w:tcPr>
          <w:p>
            <w:pPr>
              <w:spacing w:after="0"/>
              <w:rPr>
                <w:sz w:val="1"/>
                <w:szCs w:val="1"/>
                <w:color w:val="auto"/>
              </w:rPr>
            </w:pPr>
          </w:p>
        </w:tc>
      </w:tr>
      <w:tr>
        <w:trPr>
          <w:trHeight w:val="189"/>
        </w:trPr>
        <w:tc>
          <w:tcPr>
            <w:tcW w:w="282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January 1, 2019</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39,498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1,334,364</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(196,305)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(425,396)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712,663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21,385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734,048</w:t>
            </w: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1,758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w:t>
            </w: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stock issues and repurchases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1,195</w:t>
            </w: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7,048</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repurchased</w:t>
            </w:r>
          </w:p>
        </w:tc>
        <w:tc>
          <w:tcPr>
            <w:tcW w:w="8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(7,814)</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(7,814)</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March 31, 2019</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39,693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1,334,793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(198,085)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(427,303)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709,405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22,626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732,031</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19,446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20,117</w:t>
            </w: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3,736</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stock issues and repurchases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1,481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1,481</w:t>
            </w: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6,420</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repurchased</w:t>
            </w:r>
          </w:p>
        </w:tc>
        <w:tc>
          <w:tcPr>
            <w:tcW w:w="8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(364)</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(17,186)</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(17,186)</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(17,186)</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June 30, 2019</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39,395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1,325,508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(194,349)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(407,857)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723,302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23,297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746,599</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16,847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16,847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1,330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18,177</w:t>
            </w: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(12,705)</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stock issues and repurchases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2,722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2,722</w:t>
            </w:r>
          </w:p>
        </w:tc>
        <w:tc>
          <w:tcPr>
            <w:tcW w:w="0" w:type="dxa"/>
            <w:vAlign w:val="bottom"/>
          </w:tcPr>
          <w:p>
            <w:pPr>
              <w:spacing w:after="0"/>
              <w:rPr>
                <w:sz w:val="1"/>
                <w:szCs w:val="1"/>
                <w:color w:val="auto"/>
              </w:rPr>
            </w:pPr>
          </w:p>
        </w:tc>
      </w:tr>
      <w:tr>
        <w:trPr>
          <w:trHeight w:val="189"/>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7,123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7,123</w:t>
            </w:r>
          </w:p>
        </w:tc>
        <w:tc>
          <w:tcPr>
            <w:tcW w:w="0" w:type="dxa"/>
            <w:vAlign w:val="bottom"/>
          </w:tcPr>
          <w:p>
            <w:pPr>
              <w:spacing w:after="0"/>
              <w:rPr>
                <w:sz w:val="1"/>
                <w:szCs w:val="1"/>
                <w:color w:val="auto"/>
              </w:rPr>
            </w:pPr>
          </w:p>
        </w:tc>
      </w:tr>
      <w:tr>
        <w:trPr>
          <w:trHeight w:val="208"/>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September 30, 2019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39,533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1,335,353</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(207,054)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(391,010)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737,289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24,627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761,916</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77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9"/>
        </w:trPr>
        <w:tc>
          <w:tcPr>
            <w:tcW w:w="7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2"/>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Operating activities</w:t>
            </w: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9"/>
        </w:trPr>
        <w:tc>
          <w:tcPr>
            <w:tcW w:w="7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Net income (loss)</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(78,383)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38,145</w:t>
            </w:r>
          </w:p>
        </w:tc>
      </w:tr>
      <w:tr>
        <w:trPr>
          <w:trHeight w:val="189"/>
        </w:trPr>
        <w:tc>
          <w:tcPr>
            <w:tcW w:w="7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7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72,306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85,691</w:t>
            </w:r>
          </w:p>
        </w:tc>
      </w:tr>
      <w:tr>
        <w:trPr>
          <w:trHeight w:val="189"/>
        </w:trPr>
        <w:tc>
          <w:tcPr>
            <w:tcW w:w="778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15,252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13,847</w:t>
            </w:r>
          </w:p>
        </w:tc>
      </w:tr>
      <w:tr>
        <w:trPr>
          <w:trHeight w:val="189"/>
        </w:trPr>
        <w:tc>
          <w:tcPr>
            <w:tcW w:w="7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Stock-based compensation</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20,638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21,064</w:t>
            </w:r>
          </w:p>
        </w:tc>
      </w:tr>
      <w:tr>
        <w:trPr>
          <w:trHeight w:val="189"/>
        </w:trPr>
        <w:tc>
          <w:tcPr>
            <w:tcW w:w="778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Amortization of prepaid debt fees</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3,029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3,686</w:t>
            </w:r>
          </w:p>
        </w:tc>
      </w:tr>
      <w:tr>
        <w:trPr>
          <w:trHeight w:val="189"/>
        </w:trPr>
        <w:tc>
          <w:tcPr>
            <w:tcW w:w="7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Deferred taxes, net</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4,990</w:t>
            </w:r>
          </w:p>
        </w:tc>
      </w:tr>
      <w:tr>
        <w:trPr>
          <w:trHeight w:val="189"/>
        </w:trPr>
        <w:tc>
          <w:tcPr>
            <w:tcW w:w="778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Loss on sale of business</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57,295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7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Restructuring, non-cash</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6,518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(2,147)</w:t>
            </w:r>
          </w:p>
        </w:tc>
      </w:tr>
      <w:tr>
        <w:trPr>
          <w:trHeight w:val="189"/>
        </w:trPr>
        <w:tc>
          <w:tcPr>
            <w:tcW w:w="778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Other adjustments, net</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3,856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(6,121)</w:t>
            </w:r>
          </w:p>
        </w:tc>
      </w:tr>
      <w:tr>
        <w:trPr>
          <w:trHeight w:val="18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9"/>
        </w:trPr>
        <w:tc>
          <w:tcPr>
            <w:tcW w:w="7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Accounts receivable</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82,087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(39,385)</w:t>
            </w:r>
          </w:p>
        </w:tc>
      </w:tr>
      <w:tr>
        <w:trPr>
          <w:trHeight w:val="189"/>
        </w:trPr>
        <w:tc>
          <w:tcPr>
            <w:tcW w:w="7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Inventories</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8,978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(15,762)</w:t>
            </w:r>
          </w:p>
        </w:tc>
      </w:tr>
      <w:tr>
        <w:trPr>
          <w:trHeight w:val="189"/>
        </w:trPr>
        <w:tc>
          <w:tcPr>
            <w:tcW w:w="7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Other current assets</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(10,494)</w:t>
            </w:r>
          </w:p>
        </w:tc>
      </w:tr>
      <w:tr>
        <w:trPr>
          <w:trHeight w:val="189"/>
        </w:trPr>
        <w:tc>
          <w:tcPr>
            <w:tcW w:w="7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Other long-term assets</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(2,547)</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7,945</w:t>
            </w:r>
          </w:p>
        </w:tc>
      </w:tr>
      <w:tr>
        <w:trPr>
          <w:trHeight w:val="189"/>
        </w:trPr>
        <w:tc>
          <w:tcPr>
            <w:tcW w:w="7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Accounts payable, other current liabilities, and taxes payable</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(82,775)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(4,063)</w:t>
            </w:r>
          </w:p>
        </w:tc>
      </w:tr>
      <w:tr>
        <w:trPr>
          <w:trHeight w:val="189"/>
        </w:trPr>
        <w:tc>
          <w:tcPr>
            <w:tcW w:w="7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Wages and benefits payable</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(28,446)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30,220</w:t>
            </w:r>
          </w:p>
        </w:tc>
      </w:tr>
      <w:tr>
        <w:trPr>
          <w:trHeight w:val="189"/>
        </w:trPr>
        <w:tc>
          <w:tcPr>
            <w:tcW w:w="7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Unearned revenue</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15,098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6,746</w:t>
            </w:r>
          </w:p>
        </w:tc>
      </w:tr>
      <w:tr>
        <w:trPr>
          <w:trHeight w:val="189"/>
        </w:trPr>
        <w:tc>
          <w:tcPr>
            <w:tcW w:w="7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Warranty</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(5,506)</w:t>
            </w:r>
          </w:p>
        </w:tc>
      </w:tr>
      <w:tr>
        <w:trPr>
          <w:trHeight w:val="189"/>
        </w:trPr>
        <w:tc>
          <w:tcPr>
            <w:tcW w:w="77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Other operating, net</w:t>
            </w: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10,860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w:t>
            </w:r>
          </w:p>
        </w:tc>
      </w:tr>
      <w:tr>
        <w:trPr>
          <w:trHeight w:val="183"/>
        </w:trPr>
        <w:tc>
          <w:tcPr>
            <w:tcW w:w="7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70,571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128,100</w:t>
            </w:r>
          </w:p>
        </w:tc>
      </w:tr>
      <w:tr>
        <w:trPr>
          <w:trHeight w:val="216"/>
        </w:trPr>
        <w:tc>
          <w:tcPr>
            <w:tcW w:w="7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8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Investing activities</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9"/>
        </w:trPr>
        <w:tc>
          <w:tcPr>
            <w:tcW w:w="7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Net payments related to the sale of business</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7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Acquisitions of property, plant, and equipment</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(36,297)</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(44,570)</w:t>
            </w:r>
          </w:p>
        </w:tc>
      </w:tr>
      <w:tr>
        <w:trPr>
          <w:trHeight w:val="189"/>
        </w:trPr>
        <w:tc>
          <w:tcPr>
            <w:tcW w:w="77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Other investing, net</w:t>
            </w: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3,573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9,977</w:t>
            </w:r>
          </w:p>
        </w:tc>
      </w:tr>
      <w:tr>
        <w:trPr>
          <w:trHeight w:val="183"/>
        </w:trPr>
        <w:tc>
          <w:tcPr>
            <w:tcW w:w="7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(33,472)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(34,593)</w:t>
            </w:r>
          </w:p>
        </w:tc>
      </w:tr>
      <w:tr>
        <w:trPr>
          <w:trHeight w:val="216"/>
        </w:trPr>
        <w:tc>
          <w:tcPr>
            <w:tcW w:w="7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8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Financing activities</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9"/>
        </w:trPr>
        <w:tc>
          <w:tcPr>
            <w:tcW w:w="7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Proceeds from borrowings</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400,000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r>
      <w:tr>
        <w:trPr>
          <w:trHeight w:val="189"/>
        </w:trPr>
        <w:tc>
          <w:tcPr>
            <w:tcW w:w="7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Payments on debt</w:t>
            </w:r>
          </w:p>
        </w:tc>
        <w:tc>
          <w:tcPr>
            <w:tcW w:w="3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(100,313)</w:t>
            </w:r>
          </w:p>
        </w:tc>
      </w:tr>
      <w:tr>
        <w:trPr>
          <w:trHeight w:val="189"/>
        </w:trPr>
        <w:tc>
          <w:tcPr>
            <w:tcW w:w="7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5,059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7,117</w:t>
            </w:r>
          </w:p>
        </w:tc>
      </w:tr>
      <w:tr>
        <w:trPr>
          <w:trHeight w:val="189"/>
        </w:trPr>
        <w:tc>
          <w:tcPr>
            <w:tcW w:w="7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3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r>
      <w:tr>
        <w:trPr>
          <w:trHeight w:val="189"/>
        </w:trPr>
        <w:tc>
          <w:tcPr>
            <w:tcW w:w="7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Prepaid debt fees</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r>
      <w:tr>
        <w:trPr>
          <w:trHeight w:val="189"/>
        </w:trPr>
        <w:tc>
          <w:tcPr>
            <w:tcW w:w="7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Other financing, net</w:t>
            </w:r>
          </w:p>
        </w:tc>
        <w:tc>
          <w:tcPr>
            <w:tcW w:w="3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(2,285)</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(5,221)</w:t>
            </w:r>
          </w:p>
        </w:tc>
      </w:tr>
      <w:tr>
        <w:trPr>
          <w:trHeight w:val="182"/>
        </w:trPr>
        <w:tc>
          <w:tcPr>
            <w:tcW w:w="778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60" w:type="dxa"/>
            <w:vAlign w:val="bottom"/>
          </w:tcPr>
          <w:p>
            <w:pPr>
              <w:spacing w:after="0"/>
              <w:rPr>
                <w:sz w:val="15"/>
                <w:szCs w:val="15"/>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402,590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(73,592)</w:t>
            </w:r>
          </w:p>
        </w:tc>
      </w:tr>
      <w:tr>
        <w:trPr>
          <w:trHeight w:val="216"/>
        </w:trPr>
        <w:tc>
          <w:tcPr>
            <w:tcW w:w="7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89"/>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Effect of foreign exchange rate changes on cash, cash equivalents, and restricted cash</w:t>
            </w: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w:t>
            </w:r>
          </w:p>
        </w:tc>
      </w:tr>
      <w:tr>
        <w:trPr>
          <w:trHeight w:val="18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 cash, cash equivalents, and restricted cash</w:t>
            </w: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436,263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19,372</w:t>
            </w:r>
          </w:p>
        </w:tc>
      </w:tr>
      <w:tr>
        <w:trPr>
          <w:trHeight w:val="189"/>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149,904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122,328</w:t>
            </w:r>
          </w:p>
        </w:tc>
      </w:tr>
      <w:tr>
        <w:trPr>
          <w:trHeight w:val="208"/>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586,167</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141,700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Supplemental disclosure of cash flow information:</w:t>
            </w:r>
          </w:p>
        </w:tc>
        <w:tc>
          <w:tcPr>
            <w:tcW w:w="3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9"/>
        </w:trPr>
        <w:tc>
          <w:tcPr>
            <w:tcW w:w="7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Cash paid (received) during the period for:</w:t>
            </w: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7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Income taxes, net</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8,842</w:t>
            </w:r>
          </w:p>
        </w:tc>
      </w:tr>
      <w:tr>
        <w:trPr>
          <w:trHeight w:val="188"/>
        </w:trPr>
        <w:tc>
          <w:tcPr>
            <w:tcW w:w="778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Interest</w:t>
            </w:r>
          </w:p>
        </w:tc>
        <w:tc>
          <w:tcPr>
            <w:tcW w:w="3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34,327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39,523</w:t>
            </w:r>
          </w:p>
        </w:tc>
      </w:tr>
    </w:tbl>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Quarterly Report on Form 10-Q, the terms "we," "us," "our," "Itron," and the "Company" refer to Itron, Inc. and its subsidiaries.</w:t>
      </w:r>
    </w:p>
    <w:p>
      <w:pPr>
        <w:spacing w:after="0" w:line="24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Financial Statement Preparation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consolidated financial statements presented in this Quarterly Report on Form 10-Q are unaudited and reflect entries necessary for the fair presentation of the Consolidated Statements of Operations and the Consolidated Statements of Comprehensive Income (Loss) for the three and nine months ended September 30, 2020 and 2019, Consolidated Statements of Equity for the three months ended September 30, 2020 and 2019, June 30, 2020 and 2019, and March 31, 2020 and 2019, the Consolidated Statements of Cash Flows for the nine months ended September 30, 2020 and 2019, and the Consolidated Balance Sheets as of September 30, 2020 and December 31, 2019, of Itron, Inc. and its subsidiaries. All entries required for the fair presentation of the financial statements are of a normal recurring nature, except as disclosed. The results of operations for the three and nine months ended September 30, 2020 are not necessarily indicative of the results expected for the full year or for any other period.</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information and notes normally included in financial statements prepared in accordance with U.S. generally accepted accounting principles (GAAP) have been partially or completely omitted pursuant to the rules and regulations of the U.S. Securities and Exchange Commission (SEC) regarding interim results. These consolidated financial statements should be read in conjunction with the consolidated financial statements and the notes thereto for the fiscal year ended December 31, 2019 filed with the SEC in our Annual Report on Form 10-K on February 27, 2020 (2019 Annual Report). There have been no significant changes in financial statement preparation or significant accounting policies since December 31, 2019.</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Risks and Uncertainties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COVID-19 pandemic has had global economic impacts including disrupting global supply chains and creating market volatility. The extent of the recent pandemic and its ongoing impact on our operations is volatile, but is being monitored closely by our management. We expect that certain of our customers’ projects and deployments may shift to 2021. At this time, we have not identified any significant decrease in long-term customer demand for our products and services. Nonetheless, a prolonged pandemic could adversely impact the efficiency and effectiveness of our organization, further impact our global supply chain network, result in delays or decreases in customer collections, reduce demand for our products and services, and inhibit our sales efforts, any of which could further materially impact our revenues, results of operations, cash flows and financial condition.</w:t>
      </w:r>
    </w:p>
    <w:p>
      <w:pPr>
        <w:spacing w:after="0" w:line="2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Restricted Cash and Cash Equivalents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that are contractually restricted from operating use are classified as restricted cash and cash equivalents.</w:t>
      </w:r>
    </w:p>
    <w:p>
      <w:pPr>
        <w:spacing w:after="0" w:line="23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260" w:type="dxa"/>
            <w:vAlign w:val="bottom"/>
          </w:tcPr>
          <w:p>
            <w:pPr>
              <w:spacing w:after="0"/>
              <w:rPr>
                <w:sz w:val="18"/>
                <w:szCs w:val="18"/>
                <w:color w:val="auto"/>
              </w:rPr>
            </w:pPr>
          </w:p>
        </w:tc>
        <w:tc>
          <w:tcPr>
            <w:tcW w:w="20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260" w:type="dxa"/>
            <w:vAlign w:val="bottom"/>
          </w:tcPr>
          <w:p>
            <w:pPr>
              <w:spacing w:after="0"/>
              <w:rPr>
                <w:sz w:val="18"/>
                <w:szCs w:val="18"/>
                <w:color w:val="auto"/>
              </w:rPr>
            </w:pPr>
          </w:p>
        </w:tc>
        <w:tc>
          <w:tcPr>
            <w:tcW w:w="19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September 30, 2019</w:t>
            </w:r>
          </w:p>
        </w:tc>
      </w:tr>
      <w:tr>
        <w:trPr>
          <w:trHeight w:val="213"/>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586,167</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149,904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140,938</w:t>
            </w: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restricted cash included in other current assets</w:t>
            </w:r>
          </w:p>
        </w:tc>
        <w:tc>
          <w:tcPr>
            <w:tcW w:w="260" w:type="dxa"/>
            <w:vAlign w:val="bottom"/>
          </w:tcPr>
          <w:p>
            <w:pPr>
              <w:spacing w:after="0"/>
              <w:rPr>
                <w:sz w:val="18"/>
                <w:szCs w:val="18"/>
                <w:color w:val="auto"/>
              </w:rPr>
            </w:pP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restricted cash</w:t>
            </w:r>
          </w:p>
        </w:tc>
        <w:tc>
          <w:tcPr>
            <w:tcW w:w="2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w:t>
            </w:r>
          </w:p>
        </w:tc>
      </w:tr>
      <w:tr>
        <w:trPr>
          <w:trHeight w:val="212"/>
        </w:trPr>
        <w:tc>
          <w:tcPr>
            <w:tcW w:w="4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586,167</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149,904</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141,700</w:t>
            </w:r>
          </w:p>
        </w:tc>
      </w:tr>
      <w:tr>
        <w:trPr>
          <w:trHeight w:val="20"/>
        </w:trPr>
        <w:tc>
          <w:tcPr>
            <w:tcW w:w="4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Accounts receivable are recognized for invoices issued to customers in accordance with our contractual arrangements. Interest and late payment fees are minimal. Unbilled receivables are recognized when revenues are recognized upon product shipment or service delivery and invoicing occurs at a later date. We recognize an allowance for doubtful accounts representing our estimate of the expected losses in accounts receivable at the date of the balance sheet based on our historical experience of bad debts, our specific review of outstanding receivables, and our review of current and expected economic conditions. Accounts receivable are written-off against the allowance when we believe an account, or a portion thereof, is no longer collectible.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Accounting Standards Update (ASU) 2016-13, </w:t>
      </w:r>
      <w:r>
        <w:rPr>
          <w:rFonts w:ascii="Times New Roman" w:cs="Times New Roman" w:eastAsia="Times New Roman" w:hAnsi="Times New Roman"/>
          <w:sz w:val="18"/>
          <w:szCs w:val="18"/>
          <w:i w:val="1"/>
          <w:iCs w:val="1"/>
          <w:color w:val="auto"/>
        </w:rPr>
        <w:t>Financial Instruments—Credit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Losses (Topic 326): Measurement of Credit Losses on Financial Instruments. </w:t>
      </w:r>
      <w:r>
        <w:rPr>
          <w:rFonts w:ascii="Times New Roman" w:cs="Times New Roman" w:eastAsia="Times New Roman" w:hAnsi="Times New Roman"/>
          <w:sz w:val="18"/>
          <w:szCs w:val="18"/>
          <w:color w:val="auto"/>
        </w:rPr>
        <w:t>Subsequent to 2016-13 the FASB also issued codification improvements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transition relief in ASU 2019-04, ASU 2019-05, ASU 2019-11, ASU 2020-02, and ASU 2020-03, hereafter collectively referred to as Accounting Standards Codification (ASC) 326. ASC 326 replaces the incurred loss impairment methodology in previous GAAP with a methodology based on expected credit losses, which results in losses being recognized earlier. The estimate of expected credit losses uses a broader range of reasonable and supportable information. We adopted ASC 326 on January 1, 2020, and the impacts on our consolidated financial position, results of operations, and cash flows were immaterial.</w:t>
      </w:r>
    </w:p>
    <w:p>
      <w:pPr>
        <w:spacing w:after="0" w:line="21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Fair Value Measurement (Topic 820): Disclosure Framework—Changes to the Disclosure Requirements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Fair Value Measurement</w:t>
      </w:r>
      <w:r>
        <w:rPr>
          <w:rFonts w:ascii="Times New Roman" w:cs="Times New Roman" w:eastAsia="Times New Roman" w:hAnsi="Times New Roman"/>
          <w:sz w:val="18"/>
          <w:szCs w:val="18"/>
          <w:color w:val="auto"/>
        </w:rPr>
        <w:t>, which amended the disclosure requirements under ASC 820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update clarifies and unifies the disclosure of Level 3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instruments. We adopted this standard on January 1, 2020, and it did not materially impact our consolidated financial statements.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August 2018, the FASB issued ASU 2018-14, </w:t>
      </w:r>
      <w:r>
        <w:rPr>
          <w:rFonts w:ascii="Times New Roman" w:cs="Times New Roman" w:eastAsia="Times New Roman" w:hAnsi="Times New Roman"/>
          <w:sz w:val="18"/>
          <w:szCs w:val="18"/>
          <w:i w:val="1"/>
          <w:iCs w:val="1"/>
          <w:color w:val="auto"/>
        </w:rPr>
        <w:t>Compensation—Retirement Benefits—Defined Benefit Plans—General (Subtopic 715-20):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Framework—Changes to the Disclosure Requirements for Defined Benefit Plans, </w:t>
      </w:r>
      <w:r>
        <w:rPr>
          <w:rFonts w:ascii="Times New Roman" w:cs="Times New Roman" w:eastAsia="Times New Roman" w:hAnsi="Times New Roman"/>
          <w:sz w:val="18"/>
          <w:szCs w:val="18"/>
          <w:color w:val="auto"/>
        </w:rPr>
        <w:t>which amends the disclosure requirements under ASC 715-20.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update clarifies annual disclosures for Defined Benefit Plans. We adopted this standard on January 1, 2020, and it did not materially impact our consolidated financial statements.</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Recent Accounting Standards Not Yet Adopted</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which modifies certain provisions of ASC 740, in an effort to reduce the complexity of accounting for income taxes. ASU 2019-12 is effective for us beginning with our interim financial reports for the first quarter of 2021. We are currently evaluating the effects and do not believe this standard will have a material impact on our consolidated financial position, results of operations, or cash flows.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 (Topic 848): 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w:t>
      </w:r>
      <w:r>
        <w:rPr>
          <w:rFonts w:ascii="Times New Roman" w:cs="Times New Roman" w:eastAsia="Times New Roman" w:hAnsi="Times New Roman"/>
          <w:sz w:val="18"/>
          <w:szCs w:val="18"/>
          <w:color w:val="auto"/>
        </w:rPr>
        <w:t>which provides optional expedients and exceptions for applying GAAP to contracts, hedging relationships, and other transactions affected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rate reform. ASU 2020-04 applies to contracts that reference LIBOR or another reference rate expected to be terminated because of reference rate reform. An entity may elect certain optional expedients for hedging relationships that exist as of December 31, 2022, and maintain those optional expedients through the end of the hedging relationship. ASU 2020-04 can be adopted as of March 12, 2020. We do not currently have any contracts that have been changed to a new reference rate, but we will continue to evaluate our contracts and the effects of this standard on our consolidated financial position, results of operations, and cash flows prior to adoption.</w:t>
      </w:r>
    </w:p>
    <w:p>
      <w:pPr>
        <w:spacing w:after="0" w:line="20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(loss) per share (EPS):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available to common shareholders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(79,475)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34,386</w:t>
            </w:r>
          </w:p>
        </w:tc>
      </w:tr>
      <w:tr>
        <w:trPr>
          <w:trHeight w:val="257"/>
        </w:trPr>
        <w:tc>
          <w:tcPr>
            <w:tcW w:w="4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40,199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39,508</w:t>
            </w:r>
          </w:p>
        </w:tc>
      </w:tr>
      <w:tr>
        <w:trPr>
          <w:trHeight w:val="213"/>
        </w:trPr>
        <w:tc>
          <w:tcPr>
            <w:tcW w:w="4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Dilutive effect of stock-based awards</w:t>
            </w:r>
          </w:p>
        </w:tc>
        <w:tc>
          <w:tcPr>
            <w:tcW w:w="2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r>
      <w:tr>
        <w:trPr>
          <w:trHeight w:val="210"/>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40,337</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39,903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40,199</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39,884</w:t>
            </w:r>
          </w:p>
        </w:tc>
      </w:tr>
      <w:tr>
        <w:trPr>
          <w:trHeight w:val="212"/>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 - Basic</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0.87</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5"/>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 - Diluted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0.86</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Stock-based Awards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our common stock at the average market price during the period. Related proceeds include the amount the employee must pay upon exercise and the future compensation cost associated with the stock award. Approximately 0.8 million stock-based awards were excluded from the calculation of diluted EPS for the three and nine months ended September 30, 2020 because they were anti-dilutive. Approximately 0.2 million and 0.4 million stock-based awards were excluded from the calculation of diluted EPS for the three and nine months ended September 30, 2019 because they were anti-dilutive. These stock-based awards could be dilutive in future periods.</w:t>
      </w:r>
    </w:p>
    <w:p>
      <w:pPr>
        <w:spacing w:after="0" w:line="21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Certain Balance Sheet Components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accounts receivable from contracts with customers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Accounts receivable, net</w:t>
            </w: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9"/>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9"/>
                <w:szCs w:val="19"/>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260" w:type="dxa"/>
            <w:vAlign w:val="bottom"/>
          </w:tcPr>
          <w:p>
            <w:pPr>
              <w:spacing w:after="0"/>
              <w:rPr>
                <w:sz w:val="19"/>
                <w:szCs w:val="19"/>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2019</w:t>
            </w:r>
          </w:p>
        </w:tc>
      </w:tr>
      <w:tr>
        <w:trPr>
          <w:trHeight w:val="213"/>
        </w:trPr>
        <w:tc>
          <w:tcPr>
            <w:tcW w:w="6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receivables (net of allowance of $1,846 and $3,064)</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314,183</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415,887</w:t>
            </w:r>
          </w:p>
        </w:tc>
      </w:tr>
      <w:tr>
        <w:trPr>
          <w:trHeight w:val="21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Unbilled receivables</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72,737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57,038</w:t>
            </w:r>
          </w:p>
        </w:tc>
      </w:tr>
      <w:tr>
        <w:trPr>
          <w:trHeight w:val="237"/>
        </w:trPr>
        <w:tc>
          <w:tcPr>
            <w:tcW w:w="6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accounts receivable,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386,920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472,925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Allowance for doubtful accounts activity</w:t>
            </w:r>
          </w:p>
        </w:tc>
        <w:tc>
          <w:tcPr>
            <w:tcW w:w="260" w:type="dxa"/>
            <w:vAlign w:val="bottom"/>
          </w:tcPr>
          <w:p>
            <w:pPr>
              <w:spacing w:after="0"/>
              <w:rPr>
                <w:sz w:val="18"/>
                <w:szCs w:val="18"/>
                <w:color w:val="auto"/>
              </w:rPr>
            </w:pPr>
          </w:p>
        </w:tc>
        <w:tc>
          <w:tcPr>
            <w:tcW w:w="32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3120" w:type="dxa"/>
            <w:vAlign w:val="bottom"/>
            <w:gridSpan w:val="7"/>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3,064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6,331</w:t>
            </w:r>
          </w:p>
        </w:tc>
        <w:tc>
          <w:tcPr>
            <w:tcW w:w="0" w:type="dxa"/>
            <w:vAlign w:val="bottom"/>
          </w:tcPr>
          <w:p>
            <w:pPr>
              <w:spacing w:after="0"/>
              <w:rPr>
                <w:sz w:val="1"/>
                <w:szCs w:val="1"/>
                <w:color w:val="auto"/>
              </w:rPr>
            </w:pPr>
          </w:p>
        </w:tc>
      </w:tr>
      <w:tr>
        <w:trPr>
          <w:trHeight w:val="213"/>
        </w:trPr>
        <w:tc>
          <w:tcPr>
            <w:tcW w:w="4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Provision for (release of) doubtful accounts, net</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written-off</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37"/>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1,846</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3,786</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6"/>
                <w:szCs w:val="16"/>
                <w:i w:val="1"/>
                <w:iCs w:val="1"/>
                <w:color w:val="auto"/>
              </w:rPr>
              <w:t>Inventories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4"/>
        </w:trPr>
        <w:tc>
          <w:tcPr>
            <w:tcW w:w="43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124,662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120,861</w:t>
            </w: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11,105</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71,500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95,930</w:t>
            </w:r>
          </w:p>
        </w:tc>
        <w:tc>
          <w:tcPr>
            <w:tcW w:w="0" w:type="dxa"/>
            <w:vAlign w:val="bottom"/>
          </w:tcPr>
          <w:p>
            <w:pPr>
              <w:spacing w:after="0"/>
              <w:rPr>
                <w:sz w:val="1"/>
                <w:szCs w:val="1"/>
                <w:color w:val="auto"/>
              </w:rPr>
            </w:pPr>
          </w:p>
        </w:tc>
      </w:tr>
      <w:tr>
        <w:trPr>
          <w:trHeight w:val="210"/>
        </w:trPr>
        <w:tc>
          <w:tcPr>
            <w:tcW w:w="4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inventories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205,178</w:t>
            </w:r>
          </w:p>
        </w:tc>
        <w:tc>
          <w:tcPr>
            <w:tcW w:w="12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227,896</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i w:val="1"/>
                <w:iCs w:val="1"/>
                <w:color w:val="auto"/>
              </w:rPr>
              <w:t>Property, plant, and equipment, net</w:t>
            </w: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3"/>
        </w:trPr>
        <w:tc>
          <w:tcPr>
            <w:tcW w:w="43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306,367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323,003</w:t>
            </w: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Computers and software</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113,639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109,924</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Buildings, furniture, and improvements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151,795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149,471</w:t>
            </w: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14,988</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 progress, including purchased equipment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33,661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54,490</w:t>
            </w:r>
          </w:p>
        </w:tc>
        <w:tc>
          <w:tcPr>
            <w:tcW w:w="0" w:type="dxa"/>
            <w:vAlign w:val="bottom"/>
          </w:tcPr>
          <w:p>
            <w:pPr>
              <w:spacing w:after="0"/>
              <w:rPr>
                <w:sz w:val="1"/>
                <w:szCs w:val="1"/>
                <w:color w:val="auto"/>
              </w:rPr>
            </w:pPr>
          </w:p>
        </w:tc>
      </w:tr>
      <w:tr>
        <w:trPr>
          <w:trHeight w:val="207"/>
        </w:trPr>
        <w:tc>
          <w:tcPr>
            <w:tcW w:w="4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cost</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619,233</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651,876</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depreciation</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(413,303)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(418,648)</w:t>
            </w:r>
          </w:p>
        </w:tc>
        <w:tc>
          <w:tcPr>
            <w:tcW w:w="0" w:type="dxa"/>
            <w:vAlign w:val="bottom"/>
          </w:tcPr>
          <w:p>
            <w:pPr>
              <w:spacing w:after="0"/>
              <w:rPr>
                <w:sz w:val="1"/>
                <w:szCs w:val="1"/>
                <w:color w:val="auto"/>
              </w:rPr>
            </w:pPr>
          </w:p>
        </w:tc>
      </w:tr>
      <w:tr>
        <w:trPr>
          <w:trHeight w:val="209"/>
        </w:trPr>
        <w:tc>
          <w:tcPr>
            <w:tcW w:w="43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205,930</w:t>
            </w:r>
          </w:p>
        </w:tc>
        <w:tc>
          <w:tcPr>
            <w:tcW w:w="12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233,228</w:t>
            </w: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Borders>
              <w:bottom w:val="single" w:sz="8" w:color="auto"/>
            </w:tcBorders>
            <w:gridSpan w:val="5"/>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1"/>
        </w:trPr>
        <w:tc>
          <w:tcPr>
            <w:tcW w:w="438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Depreciation expense</w:t>
            </w:r>
          </w:p>
        </w:tc>
        <w:tc>
          <w:tcPr>
            <w:tcW w:w="260" w:type="dxa"/>
            <w:vAlign w:val="bottom"/>
          </w:tcPr>
          <w:p>
            <w:pPr>
              <w:spacing w:after="0"/>
              <w:rPr>
                <w:sz w:val="24"/>
                <w:szCs w:val="24"/>
                <w:color w:val="auto"/>
              </w:rPr>
            </w:pPr>
          </w:p>
        </w:tc>
        <w:tc>
          <w:tcPr>
            <w:tcW w:w="32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24"/>
                <w:szCs w:val="24"/>
                <w:color w:val="auto"/>
              </w:rPr>
            </w:pPr>
          </w:p>
        </w:tc>
        <w:tc>
          <w:tcPr>
            <w:tcW w:w="3120" w:type="dxa"/>
            <w:vAlign w:val="bottom"/>
            <w:gridSpan w:val="7"/>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expense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Intangible Assets and Liabilities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and accumulated amortization (accretion) of our intangible assets and liabilities, other than goodwill,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4"/>
                <w:szCs w:val="14"/>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(Amortization)</w:t>
            </w:r>
          </w:p>
        </w:tc>
        <w:tc>
          <w:tcPr>
            <w:tcW w:w="280" w:type="dxa"/>
            <w:vAlign w:val="bottom"/>
          </w:tcPr>
          <w:p>
            <w:pPr>
              <w:spacing w:after="0"/>
              <w:rPr>
                <w:sz w:val="14"/>
                <w:szCs w:val="14"/>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Net</w:t>
            </w:r>
          </w:p>
        </w:tc>
        <w:tc>
          <w:tcPr>
            <w:tcW w:w="26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60" w:type="dxa"/>
            <w:vAlign w:val="bottom"/>
          </w:tcPr>
          <w:p>
            <w:pPr>
              <w:spacing w:after="0"/>
              <w:rPr>
                <w:sz w:val="14"/>
                <w:szCs w:val="14"/>
                <w:color w:val="auto"/>
              </w:rPr>
            </w:pPr>
          </w:p>
        </w:tc>
        <w:tc>
          <w:tcPr>
            <w:tcW w:w="13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300" w:type="dxa"/>
            <w:vAlign w:val="bottom"/>
          </w:tcPr>
          <w:p>
            <w:pPr>
              <w:spacing w:after="0"/>
              <w:rPr>
                <w:sz w:val="14"/>
                <w:szCs w:val="14"/>
                <w:color w:val="auto"/>
              </w:rPr>
            </w:pPr>
          </w:p>
        </w:tc>
        <w:tc>
          <w:tcPr>
            <w:tcW w:w="90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30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Accretion</w:t>
            </w:r>
          </w:p>
        </w:tc>
        <w:tc>
          <w:tcPr>
            <w:tcW w:w="2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Accretion</w:t>
            </w:r>
          </w:p>
        </w:tc>
        <w:tc>
          <w:tcPr>
            <w:tcW w:w="3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Assets</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Core-developed technology</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509,222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(476,689)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507,669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(458,109)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49,560</w:t>
            </w:r>
          </w:p>
        </w:tc>
        <w:tc>
          <w:tcPr>
            <w:tcW w:w="0" w:type="dxa"/>
            <w:vAlign w:val="bottom"/>
          </w:tcPr>
          <w:p>
            <w:pPr>
              <w:spacing w:after="0"/>
              <w:rPr>
                <w:sz w:val="1"/>
                <w:szCs w:val="1"/>
                <w:color w:val="auto"/>
              </w:rPr>
            </w:pPr>
          </w:p>
        </w:tc>
      </w:tr>
      <w:tr>
        <w:trPr>
          <w:trHeight w:val="213"/>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contracts and relationships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372,539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(264,075)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381,288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(251,509)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129,779</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5,105</w:t>
            </w:r>
          </w:p>
        </w:tc>
        <w:tc>
          <w:tcPr>
            <w:tcW w:w="0" w:type="dxa"/>
            <w:vAlign w:val="bottom"/>
          </w:tcPr>
          <w:p>
            <w:pPr>
              <w:spacing w:after="0"/>
              <w:rPr>
                <w:sz w:val="1"/>
                <w:szCs w:val="1"/>
                <w:color w:val="auto"/>
              </w:rPr>
            </w:pPr>
          </w:p>
        </w:tc>
      </w:tr>
      <w:tr>
        <w:trPr>
          <w:trHeight w:val="213"/>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12,023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(11,511)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12,020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(11,367)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0" w:type="dxa"/>
            <w:vAlign w:val="bottom"/>
          </w:tcPr>
          <w:p>
            <w:pPr>
              <w:spacing w:after="0"/>
              <w:rPr>
                <w:sz w:val="1"/>
                <w:szCs w:val="1"/>
                <w:color w:val="auto"/>
              </w:rPr>
            </w:pPr>
          </w:p>
        </w:tc>
      </w:tr>
      <w:tr>
        <w:trPr>
          <w:trHeight w:val="237"/>
        </w:trPr>
        <w:tc>
          <w:tcPr>
            <w:tcW w:w="3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intangible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971,648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(826,760)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144,888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979,814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(794,717)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185,097</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Liabilities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contracts and relationships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19,472</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13,450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(10,450)</w:t>
            </w: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intangible assets and liabilities activity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7"/>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gross beginning balance</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979,814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981,160</w:t>
            </w:r>
          </w:p>
        </w:tc>
      </w:tr>
      <w:tr>
        <w:trPr>
          <w:trHeight w:val="229"/>
        </w:trPr>
        <w:tc>
          <w:tcPr>
            <w:tcW w:w="6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Intangibles disposed in sale of business</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(15,574)</w:t>
            </w:r>
          </w:p>
        </w:tc>
      </w:tr>
      <w:tr>
        <w:trPr>
          <w:trHeight w:val="207"/>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gross ending balance</w:t>
            </w: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971,648</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965,586</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6"/>
        </w:trPr>
        <w:tc>
          <w:tcPr>
            <w:tcW w:w="67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Liabilities, gross beginning balance</w:t>
            </w: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(23,900)</w:t>
            </w:r>
          </w:p>
        </w:tc>
      </w:tr>
      <w:tr>
        <w:trPr>
          <w:trHeight w:val="219"/>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5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Liabilities, gross ending balance</w:t>
            </w: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2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(23,900)</w:t>
            </w:r>
          </w:p>
        </w:tc>
      </w:tr>
      <w:tr>
        <w:trPr>
          <w:trHeight w:val="23"/>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5, 2018, we completed our acquisition of Silver Spring Networks, Inc. (SSNI) and acquired intangible assets including in-process research and development (IPR&amp;D), which were completed during 2019 and are now included within core-developed technology. Assumed intangible liabilities reflect the present value of the projected cash outflows for an existing contract where remaining costs are expected to exceed projected revenues.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disposal of intangible assets was related to the sale of our Latin America business. The net book value of these assets was $0.8 million at the disposal date. Refer to "Note 17: Sale of Business" for additional information on the transaction.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annual amortization (accretion)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40" w:type="dxa"/>
            <w:vAlign w:val="bottom"/>
          </w:tcPr>
          <w:p>
            <w:pPr>
              <w:spacing w:after="0"/>
              <w:rPr>
                <w:sz w:val="16"/>
                <w:szCs w:val="16"/>
                <w:color w:val="auto"/>
              </w:rPr>
            </w:pPr>
          </w:p>
        </w:tc>
        <w:tc>
          <w:tcPr>
            <w:tcW w:w="15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00" w:type="dxa"/>
            <w:vAlign w:val="bottom"/>
          </w:tcPr>
          <w:p>
            <w:pPr>
              <w:spacing w:after="0"/>
              <w:rPr>
                <w:sz w:val="16"/>
                <w:szCs w:val="16"/>
                <w:color w:val="auto"/>
              </w:rPr>
            </w:pPr>
          </w:p>
        </w:tc>
        <w:tc>
          <w:tcPr>
            <w:tcW w:w="14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Accretion</w:t>
            </w:r>
          </w:p>
        </w:tc>
        <w:tc>
          <w:tcPr>
            <w:tcW w:w="140" w:type="dxa"/>
            <w:vAlign w:val="bottom"/>
          </w:tcPr>
          <w:p>
            <w:pPr>
              <w:spacing w:after="0"/>
              <w:rPr>
                <w:sz w:val="16"/>
                <w:szCs w:val="16"/>
                <w:color w:val="auto"/>
              </w:rPr>
            </w:pP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Estimated Annual</w:t>
            </w:r>
          </w:p>
        </w:tc>
        <w:tc>
          <w:tcPr>
            <w:tcW w:w="0" w:type="dxa"/>
            <w:vAlign w:val="bottom"/>
          </w:tcPr>
          <w:p>
            <w:pPr>
              <w:spacing w:after="0"/>
              <w:rPr>
                <w:sz w:val="1"/>
                <w:szCs w:val="1"/>
                <w:color w:val="auto"/>
              </w:rPr>
            </w:pPr>
          </w:p>
        </w:tc>
      </w:tr>
      <w:tr>
        <w:trPr>
          <w:trHeight w:val="214"/>
        </w:trPr>
        <w:tc>
          <w:tcPr>
            <w:tcW w:w="60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Amortization, net</w:t>
            </w:r>
          </w:p>
        </w:tc>
        <w:tc>
          <w:tcPr>
            <w:tcW w:w="0" w:type="dxa"/>
            <w:vAlign w:val="bottom"/>
          </w:tcPr>
          <w:p>
            <w:pPr>
              <w:spacing w:after="0"/>
              <w:rPr>
                <w:sz w:val="1"/>
                <w:szCs w:val="1"/>
                <w:color w:val="auto"/>
              </w:rPr>
            </w:pPr>
          </w:p>
        </w:tc>
      </w:tr>
      <w:tr>
        <w:trPr>
          <w:trHeight w:val="209"/>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2020 (amount remaining at September 30, 2020)</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11,246</w:t>
            </w:r>
          </w:p>
        </w:tc>
        <w:tc>
          <w:tcPr>
            <w:tcW w:w="0" w:type="dxa"/>
            <w:vAlign w:val="bottom"/>
          </w:tcPr>
          <w:p>
            <w:pPr>
              <w:spacing w:after="0"/>
              <w:rPr>
                <w:sz w:val="1"/>
                <w:szCs w:val="1"/>
                <w:color w:val="auto"/>
              </w:rPr>
            </w:pP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35,794</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26,909</w:t>
            </w:r>
          </w:p>
        </w:tc>
        <w:tc>
          <w:tcPr>
            <w:tcW w:w="0" w:type="dxa"/>
            <w:vAlign w:val="bottom"/>
          </w:tcPr>
          <w:p>
            <w:pPr>
              <w:spacing w:after="0"/>
              <w:rPr>
                <w:sz w:val="1"/>
                <w:szCs w:val="1"/>
                <w:color w:val="auto"/>
              </w:rPr>
            </w:pP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19,778</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15,605</w:t>
            </w:r>
          </w:p>
        </w:tc>
        <w:tc>
          <w:tcPr>
            <w:tcW w:w="0" w:type="dxa"/>
            <w:vAlign w:val="bottom"/>
          </w:tcPr>
          <w:p>
            <w:pPr>
              <w:spacing w:after="0"/>
              <w:rPr>
                <w:sz w:val="1"/>
                <w:szCs w:val="1"/>
                <w:color w:val="auto"/>
              </w:rPr>
            </w:pP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31,128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31,128</w:t>
            </w:r>
          </w:p>
        </w:tc>
        <w:tc>
          <w:tcPr>
            <w:tcW w:w="0" w:type="dxa"/>
            <w:vAlign w:val="bottom"/>
          </w:tcPr>
          <w:p>
            <w:pPr>
              <w:spacing w:after="0"/>
              <w:rPr>
                <w:sz w:val="1"/>
                <w:szCs w:val="1"/>
                <w:color w:val="auto"/>
              </w:rPr>
            </w:pPr>
          </w:p>
        </w:tc>
      </w:tr>
      <w:tr>
        <w:trPr>
          <w:trHeight w:val="234"/>
        </w:trPr>
        <w:tc>
          <w:tcPr>
            <w:tcW w:w="60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intangible assets subject to amortization (accretion)</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144,888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140,460</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20"/>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reflects changes in the carrying amount of goodwill for the nine months ended September 30, 2020:</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Device Solutions</w:t>
            </w: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Networked Solutions</w:t>
            </w:r>
          </w:p>
        </w:tc>
        <w:tc>
          <w:tcPr>
            <w:tcW w:w="26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Outcomes</w:t>
            </w:r>
          </w:p>
        </w:tc>
        <w:tc>
          <w:tcPr>
            <w:tcW w:w="180" w:type="dxa"/>
            <w:vAlign w:val="bottom"/>
          </w:tcPr>
          <w:p>
            <w:pPr>
              <w:spacing w:after="0"/>
              <w:rPr>
                <w:sz w:val="18"/>
                <w:szCs w:val="18"/>
                <w:color w:val="auto"/>
              </w:rPr>
            </w:pPr>
          </w:p>
        </w:tc>
        <w:tc>
          <w:tcPr>
            <w:tcW w:w="13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Total Company</w:t>
            </w:r>
          </w:p>
        </w:tc>
      </w:tr>
      <w:tr>
        <w:trPr>
          <w:trHeight w:val="213"/>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balance at January 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54,930</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908,088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140,889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1,103,907</w:t>
            </w:r>
          </w:p>
        </w:tc>
      </w:tr>
      <w:tr>
        <w:trPr>
          <w:trHeight w:val="213"/>
        </w:trPr>
        <w:tc>
          <w:tcPr>
            <w:tcW w:w="4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Goodwill allocated to business sold</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r>
      <w:tr>
        <w:trPr>
          <w:trHeight w:val="219"/>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13,604</w:t>
            </w:r>
          </w:p>
        </w:tc>
      </w:tr>
      <w:tr>
        <w:trPr>
          <w:trHeight w:val="207"/>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balance at September 30, 2020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52,504</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919,365</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142,642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1,114,511</w:t>
            </w:r>
          </w:p>
        </w:tc>
      </w:tr>
      <w:tr>
        <w:trPr>
          <w:trHeight w:val="23"/>
        </w:trPr>
        <w:tc>
          <w:tcPr>
            <w:tcW w:w="4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333"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We recognized a $3.0 million reduction in Device Solutions goodwill as part of our loss on sale of business. Refer to "Note 17: Sale of Business" for additional information on the transaction.</w:t>
      </w:r>
    </w:p>
    <w:p>
      <w:pPr>
        <w:spacing w:after="0" w:line="189"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We test goodwill for impairment each year as of October 1, or more frequently should a significant impairment indicator occur. As part of the impairment test, we may elect to perform an assessment of qualitative factors. If this qualitative assessment indicates that it is more likely than not that the fair value of a reporting unit, including goodwill, is less than its carrying amount, or if we elect to bypass the qualitative assessment, we would then proceed with the impairment test. The impairment test involves comparing the fair values of the reporting units to their carrying amounts. If the carrying amount of a reporting unit exceeds its fair value, we first evaluate the long-lived assets within the reporting unit for impairment and then recognize a goodwill impairment loss in an amount equal to any excess.</w:t>
      </w:r>
    </w:p>
    <w:p>
      <w:pPr>
        <w:spacing w:after="0" w:line="214"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business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214"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Changes in market demand, fluctuations in the markets in which we operate, the volatility and decline in the worldwide equity markets, and a decline in our market capitalization could unfavorably impact the remaining carrying value of our goodwill, which could have a significant effect on our current and future results of operations and financial position. Due to our updated long-term forecast for the Device Solutions reporting unit, we completed an interim quantitative goodwill impairment test during the third quarter of 2020. As a result of the valuation of this reporting unit, we determined there was no impairment to be recognized.</w:t>
      </w:r>
    </w:p>
    <w:p>
      <w:pPr>
        <w:spacing w:after="0" w:line="206"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6:</w:t>
        <w:tab/>
        <w:t>Debt</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components of our borrowings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760" w:type="dxa"/>
            <w:vAlign w:val="bottom"/>
          </w:tcPr>
          <w:p>
            <w:pPr>
              <w:jc w:val="center"/>
              <w:ind w:right="579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2019</w:t>
            </w:r>
          </w:p>
        </w:tc>
      </w:tr>
      <w:tr>
        <w:trPr>
          <w:trHeight w:val="210"/>
        </w:trPr>
        <w:tc>
          <w:tcPr>
            <w:tcW w:w="20" w:type="dxa"/>
            <w:vAlign w:val="bottom"/>
          </w:tcPr>
          <w:p>
            <w:pPr>
              <w:spacing w:after="0"/>
              <w:rPr>
                <w:sz w:val="18"/>
                <w:szCs w:val="18"/>
                <w:color w:val="auto"/>
              </w:rPr>
            </w:pPr>
          </w:p>
        </w:tc>
        <w:tc>
          <w:tcPr>
            <w:tcW w:w="6760" w:type="dxa"/>
            <w:vAlign w:val="bottom"/>
            <w:tcBorders>
              <w:top w:val="single" w:sz="8" w:color="auto"/>
            </w:tcBorders>
          </w:tcPr>
          <w:p>
            <w:pPr>
              <w:jc w:val="center"/>
              <w:ind w:right="5799"/>
              <w:spacing w:after="0"/>
              <w:rPr>
                <w:sz w:val="20"/>
                <w:szCs w:val="20"/>
                <w:color w:val="auto"/>
              </w:rPr>
            </w:pPr>
            <w:r>
              <w:rPr>
                <w:rFonts w:ascii="Times New Roman" w:cs="Times New Roman" w:eastAsia="Times New Roman" w:hAnsi="Times New Roman"/>
                <w:sz w:val="16"/>
                <w:szCs w:val="16"/>
                <w:color w:val="auto"/>
                <w:w w:val="98"/>
              </w:rPr>
              <w:t>Credit facility</w:t>
            </w: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USD denominated term loan</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550,156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550,156</w:t>
            </w:r>
          </w:p>
        </w:tc>
      </w:tr>
      <w:tr>
        <w:trPr>
          <w:trHeight w:val="213"/>
        </w:trPr>
        <w:tc>
          <w:tcPr>
            <w:tcW w:w="20" w:type="dxa"/>
            <w:vAlign w:val="bottom"/>
          </w:tcPr>
          <w:p>
            <w:pPr>
              <w:spacing w:after="0"/>
              <w:rPr>
                <w:sz w:val="18"/>
                <w:szCs w:val="18"/>
                <w:color w:val="auto"/>
              </w:rPr>
            </w:pPr>
          </w:p>
        </w:tc>
        <w:tc>
          <w:tcPr>
            <w:tcW w:w="6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tcPr>
          <w:p>
            <w:pPr>
              <w:spacing w:after="0"/>
              <w:rPr>
                <w:sz w:val="19"/>
                <w:szCs w:val="19"/>
                <w:color w:val="auto"/>
              </w:rPr>
            </w:pPr>
          </w:p>
        </w:tc>
        <w:tc>
          <w:tcPr>
            <w:tcW w:w="6760" w:type="dxa"/>
            <w:vAlign w:val="bottom"/>
            <w:shd w:val="clear" w:color="auto" w:fill="CCEEFF"/>
          </w:tcPr>
          <w:p>
            <w:pPr>
              <w:jc w:val="center"/>
              <w:ind w:right="5819"/>
              <w:spacing w:after="0"/>
              <w:rPr>
                <w:sz w:val="20"/>
                <w:szCs w:val="20"/>
                <w:color w:val="auto"/>
              </w:rPr>
            </w:pPr>
            <w:r>
              <w:rPr>
                <w:rFonts w:ascii="Times New Roman" w:cs="Times New Roman" w:eastAsia="Times New Roman" w:hAnsi="Times New Roman"/>
                <w:sz w:val="16"/>
                <w:szCs w:val="16"/>
                <w:color w:val="auto"/>
              </w:rPr>
              <w:t>Senior notes</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r>
      <w:tr>
        <w:trPr>
          <w:trHeight w:val="207"/>
        </w:trPr>
        <w:tc>
          <w:tcPr>
            <w:tcW w:w="20" w:type="dxa"/>
            <w:vAlign w:val="bottom"/>
          </w:tcPr>
          <w:p>
            <w:pPr>
              <w:spacing w:after="0"/>
              <w:rPr>
                <w:sz w:val="17"/>
                <w:szCs w:val="17"/>
                <w:color w:val="auto"/>
              </w:rPr>
            </w:pPr>
          </w:p>
        </w:tc>
        <w:tc>
          <w:tcPr>
            <w:tcW w:w="6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debt</w:t>
            </w:r>
          </w:p>
        </w:tc>
        <w:tc>
          <w:tcPr>
            <w:tcW w:w="2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1,350,156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950,156</w:t>
            </w:r>
          </w:p>
        </w:tc>
      </w:tr>
      <w:tr>
        <w:trPr>
          <w:trHeight w:val="219"/>
        </w:trPr>
        <w:tc>
          <w:tcPr>
            <w:tcW w:w="20" w:type="dxa"/>
            <w:vAlign w:val="bottom"/>
          </w:tcPr>
          <w:p>
            <w:pPr>
              <w:spacing w:after="0"/>
              <w:rPr>
                <w:sz w:val="19"/>
                <w:szCs w:val="19"/>
                <w:color w:val="auto"/>
              </w:rPr>
            </w:pPr>
          </w:p>
        </w:tc>
        <w:tc>
          <w:tcPr>
            <w:tcW w:w="6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Less: current portion of debt</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67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Less: unamortized prepaid debt fees - term loan</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3,661</w:t>
            </w:r>
          </w:p>
        </w:tc>
      </w:tr>
      <w:tr>
        <w:trPr>
          <w:trHeight w:val="219"/>
        </w:trPr>
        <w:tc>
          <w:tcPr>
            <w:tcW w:w="20" w:type="dxa"/>
            <w:vAlign w:val="bottom"/>
          </w:tcPr>
          <w:p>
            <w:pPr>
              <w:spacing w:after="0"/>
              <w:rPr>
                <w:sz w:val="19"/>
                <w:szCs w:val="19"/>
                <w:color w:val="auto"/>
              </w:rPr>
            </w:pPr>
          </w:p>
        </w:tc>
        <w:tc>
          <w:tcPr>
            <w:tcW w:w="6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Less: unamortized prepaid debt fees - senior notes</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14,013</w:t>
            </w:r>
          </w:p>
        </w:tc>
      </w:tr>
      <w:tr>
        <w:trPr>
          <w:trHeight w:val="207"/>
        </w:trPr>
        <w:tc>
          <w:tcPr>
            <w:tcW w:w="20" w:type="dxa"/>
            <w:vAlign w:val="bottom"/>
          </w:tcPr>
          <w:p>
            <w:pPr>
              <w:spacing w:after="0"/>
              <w:rPr>
                <w:sz w:val="17"/>
                <w:szCs w:val="17"/>
                <w:color w:val="auto"/>
              </w:rPr>
            </w:pPr>
          </w:p>
        </w:tc>
        <w:tc>
          <w:tcPr>
            <w:tcW w:w="6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Long-term debt, net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1,313,459</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932,482</w:t>
            </w:r>
          </w:p>
        </w:tc>
      </w:tr>
      <w:tr>
        <w:trPr>
          <w:trHeight w:val="23"/>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bl>
    <w:p>
      <w:pPr>
        <w:spacing w:after="0" w:line="3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9"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On October 18, 2019, we amended our credit facility that was initially entered on January 5, 2018 (together with the amendment, the "2018 credit facility"). The 2018 credit facility provides for committed credit facilities in the amount of $1.2 billion U.S. dollars. The 2018 credit facility consists of a $650 million U.S. dollar term loan (the term loan) and a multicurrency revolving line of credit (the revolver) with a principal amount of up to $500 million. The revolver also contains a</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$300 million standby letter of credit sub-facility and a $50 million swingline sub-facility. The October 18, 2019 amendment extended the maturity date to October 18, 2024 and re-amortized the term loan based on the new balance as of the amendment date. The amendment also modified the required interest payments and made it based on total net leverage instead of total leverage. Through the third quarter of 2020, amounts not borrowed under the revolver were subject to a commitment fee, which was paid in arrears on the last day of each fiscal quarter, ranging from 0.15% to 0.25% and drawn amounts were subject to a margin ranging from 1.00% to 1.75%.</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19, 2020, we completed a second amendment to our 2018 credit facility. This amendment adjusts the maximum total net leverage ratio thresholds for the period beginning with the fourth quarter of 2020 through the fourth quarter of 2021 to allow for increased operational flexibility. The maximum leverage ratio is increased to 4.75:1 for the fourth quarter of 2020 and the first quarter of 2021 and 4.50:1 for the second quarter through the fourth quarter of 2021. An additional level of pricing was added to the existing pricing grid and is effective throughout the remaining term of the 2018 credit facility. Beginning with the fourth quarter of 2020, the commitment fee ranges from 0.15% to 0.30% and drawn amounts are subject to a margin ranging from 1.00% to 2.00%. Debt fees of approximately $1.4 million were incurred for the amendment, as well as other legal and advisory fees. Both the term loan and the revolver can be repaid without penalty. Amounts repaid on the term loan may not be reborrowed, and amounts borrowed under the revolver may be repaid and reborrowed until the revolver's maturity, at which time all outstanding loans together with all accrued and unpaid interest must be repaid.</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2018 credit facility permits us and certain of our foreign subsidiaries to borrow in U.S. dollars, euros, British pounds, or, with lender approval, other currencies readily convertible into U.S. dollars. All obligations under the 2018 credit facility are guaranteed by Itron, Inc. and material U.S. domestic subsidiaries and are secured by a pledge of substantially all of the assets of Itron, Inc. and material U.S. domestic subsidiaries. This includes a pledge of 100% of the capital stock of material U.S. domestic subsidiaries and up to 66% of the voting stock (100% of the non-voting stock) of first-tier foreign subsidiaries. In addition, the obligations of any foreign subsidiary who is a foreign borrower, as defined by the 2018 credit facility, are guaranteed by the foreign subsidiary and by its direct and indirect foreign parents. The 2018 credit facility includes debt covenants, which contain certain financial thresholds and place certain restrictions on the incurrence of debt, investments, and the issuance of dividends. We were in compliance with the debt covenants under the 2018 credit facility at September 30, 2020.</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2018 credit facility, we elect applicable market interest rates for both the term loan and any outstanding revolving loans. We also pay an applicable margin, which is based on our total net leverage ratio as defined in the credit agreement. The applicable rates per annum may be based on either:</w:t>
      </w:r>
    </w:p>
    <w:p>
      <w:pPr>
        <w:jc w:val="both"/>
        <w:ind w:firstLine="8"/>
        <w:spacing w:after="0" w:line="253" w:lineRule="auto"/>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LIBOR rate or EURIBOR rate (subject to a floor of 0%), plus an applicable margin, or (2) the Alternate Base Rate, plus an applicable margin. The Alternate Base Rate election is equal to the greatest of three rates: (i) the prime rate, (ii) the Federal Reserve effective rate plus 0.50%, or (iii) one-month LIBOR plus 1.00%. At September 30, 2020, the interest rate for both the term loan and revolver was 1.65%, which includes the LIBOR rate plus a margin of 1.50%.</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2020, we drew $400 million in U.S. dollars under the revolving line of credit within the 2018 credit facility to increase our cash position and preserve future financial flexibility. At September 30, 2020, $400 million was outstanding under the revolver, and $66.8 million was utilized by outstanding standby letters of credit, resulting in $33.2 million available for additional borrowings or standby letters of credit. At September 30, 2020, no amounts were outstanding under the swingline sub-facility. Subsequent to September 30, 2020, we repaid $100 million on the revolving line of credit.</w:t>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2017 and January 2018, we issued $300 million and $100 million of aggregate principal amount of 5.00% senior notes maturing January 15, 2026 (Senior Notes). The proceeds were used to refinance existing indebtedness related to the acquisition of SSNI, pay related fees and expenses, and for general corporate purposes. Interest on the Senior Notes is payable semi-annually in arrears on January 15 and July 15. The Senior Notes are fully and unconditionally guaranteed, jointly and severally, on a senior unsecured basis by each of our subsidiaries that guarantee the senior credit facilities.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maturity, we may redeem some or all of the Senior Notes, together with accrued and unpaid interest, if any, plus a "make-whole" premium. On or after January 15, 2021, we may redeem some or all of the Senior Notes at any time at declining redemption prices equal to 102.50% beginning on January 15, 2021, 101.25% beginning on January 15, 2022 and 100.00% beginning on January 15, 2023 and thereafter to the applicable redemption date. In addition, before January 15, 2021, and subject to certain conditions, we may redeem up to 35% of the aggregate principal amount of Senior Notes with the net proceeds of certain equity offerings at 105.00% thereof to the date of redemption; provided that (i) at least 65% of the aggregate principal amount of Senior Notes remains outstanding after such redemption and (ii) the redemption occurs within 60 days of the closing of any such equity offering.</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Debt Maturities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required minimum principal payments on our long-term debt in aggregate over the next five years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Minimum Payments</w:t>
            </w:r>
          </w:p>
        </w:tc>
      </w:tr>
      <w:tr>
        <w:trPr>
          <w:trHeight w:val="211"/>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8"/>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2020 (amount remaining at September 30, 2020)</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32,422</w:t>
            </w: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44,063</w:t>
            </w: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44,063</w:t>
            </w: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829,608</w:t>
            </w:r>
          </w:p>
        </w:tc>
      </w:tr>
      <w:tr>
        <w:trPr>
          <w:trHeight w:val="21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400,000</w:t>
            </w:r>
          </w:p>
        </w:tc>
      </w:tr>
      <w:tr>
        <w:trPr>
          <w:trHeight w:val="237"/>
        </w:trPr>
        <w:tc>
          <w:tcPr>
            <w:tcW w:w="9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minimum payments on debt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1,350,156</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7:</w:t>
        <w:tab/>
        <w:t>Derivative Financial Instruments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our risk management strategy, we use derivative instruments to hedge certain foreign currency and interest rate exposures. Refer to "Note 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Equity" and "Note 14: Fair Values of Financial Instruments" for additional disclosures on our derivative instruments.</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values of our derivative instruments are determined using the income approach and significant other observable inputs (and are classified as "Level 2" in the fair value hierarchy). We have used observable market inputs based on the type of derivative and the nature of the underlying instrument. The key inputs include interest rate yield curves (swap rates and futures) and foreign exchange spot and forward rates, all of which are available in an active market. We have utilized the mid-market pricing convention for these inputs. We include, as a discount to the derivative asset,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to our counterparty through applying a current market indicative credit spread to all cash flows.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our derivative instruments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780" w:type="dxa"/>
            <w:vAlign w:val="bottom"/>
            <w:tcBorders>
              <w:bottom w:val="single" w:sz="8" w:color="auto"/>
            </w:tcBorders>
          </w:tcPr>
          <w:p>
            <w:pPr>
              <w:spacing w:after="0"/>
              <w:rPr>
                <w:sz w:val="18"/>
                <w:szCs w:val="18"/>
                <w:color w:val="auto"/>
              </w:rPr>
            </w:pPr>
          </w:p>
        </w:tc>
      </w:tr>
      <w:tr>
        <w:trPr>
          <w:trHeight w:val="214"/>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 Assets</w:t>
            </w:r>
          </w:p>
        </w:tc>
        <w:tc>
          <w:tcPr>
            <w:tcW w:w="34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2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4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2019</w:t>
            </w:r>
          </w:p>
        </w:tc>
      </w:tr>
      <w:tr>
        <w:trPr>
          <w:trHeight w:val="20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 under ASC 815-20</w:t>
            </w:r>
          </w:p>
        </w:tc>
        <w:tc>
          <w:tcPr>
            <w:tcW w:w="260" w:type="dxa"/>
            <w:vAlign w:val="bottom"/>
          </w:tcPr>
          <w:p>
            <w:pPr>
              <w:spacing w:after="0"/>
              <w:rPr>
                <w:sz w:val="18"/>
                <w:szCs w:val="18"/>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780" w:type="dxa"/>
            <w:vAlign w:val="bottom"/>
          </w:tcPr>
          <w:p>
            <w:pPr>
              <w:spacing w:after="0"/>
              <w:rPr>
                <w:sz w:val="18"/>
                <w:szCs w:val="18"/>
                <w:color w:val="auto"/>
              </w:rPr>
            </w:pPr>
          </w:p>
        </w:tc>
      </w:tr>
      <w:tr>
        <w:trPr>
          <w:trHeight w:val="218"/>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rate swap contract</w:t>
            </w:r>
          </w:p>
        </w:tc>
        <w:tc>
          <w:tcPr>
            <w:tcW w:w="34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Other current assets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213"/>
        </w:trPr>
        <w:tc>
          <w:tcPr>
            <w:tcW w:w="3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rate cap contracts</w:t>
            </w:r>
          </w:p>
        </w:tc>
        <w:tc>
          <w:tcPr>
            <w:tcW w:w="34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Other current assets</w:t>
            </w:r>
          </w:p>
        </w:tc>
        <w:tc>
          <w:tcPr>
            <w:tcW w:w="260" w:type="dxa"/>
            <w:vAlign w:val="bottom"/>
          </w:tcPr>
          <w:p>
            <w:pPr>
              <w:spacing w:after="0"/>
              <w:rPr>
                <w:sz w:val="18"/>
                <w:szCs w:val="18"/>
                <w:color w:val="auto"/>
              </w:rPr>
            </w:pP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Cross currency swap contract</w:t>
            </w:r>
          </w:p>
        </w:tc>
        <w:tc>
          <w:tcPr>
            <w:tcW w:w="34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Other current assets</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w:t>
            </w:r>
          </w:p>
        </w:tc>
      </w:tr>
      <w:tr>
        <w:trPr>
          <w:trHeight w:val="213"/>
        </w:trPr>
        <w:tc>
          <w:tcPr>
            <w:tcW w:w="3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Cross currency swap contract</w:t>
            </w:r>
          </w:p>
        </w:tc>
        <w:tc>
          <w:tcPr>
            <w:tcW w:w="34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Other long-term assets</w:t>
            </w:r>
          </w:p>
        </w:tc>
        <w:tc>
          <w:tcPr>
            <w:tcW w:w="260" w:type="dxa"/>
            <w:vAlign w:val="bottom"/>
          </w:tcPr>
          <w:p>
            <w:pPr>
              <w:spacing w:after="0"/>
              <w:rPr>
                <w:sz w:val="18"/>
                <w:szCs w:val="18"/>
                <w:color w:val="auto"/>
              </w:rPr>
            </w:pP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2,870</w:t>
            </w:r>
          </w:p>
        </w:tc>
      </w:tr>
      <w:tr>
        <w:trPr>
          <w:trHeight w:val="219"/>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 under ASC 815-20</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13"/>
        </w:trPr>
        <w:tc>
          <w:tcPr>
            <w:tcW w:w="3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Foreign exchange forward contracts</w:t>
            </w:r>
          </w:p>
        </w:tc>
        <w:tc>
          <w:tcPr>
            <w:tcW w:w="3440" w:type="dxa"/>
            <w:vAlign w:val="bottom"/>
            <w:tcBorders>
              <w:bottom w:val="single" w:sz="8" w:color="CCEEFF"/>
            </w:tcBorders>
          </w:tcPr>
          <w:p>
            <w:pPr>
              <w:ind w:left="840"/>
              <w:spacing w:after="0"/>
              <w:rPr>
                <w:sz w:val="20"/>
                <w:szCs w:val="20"/>
                <w:color w:val="auto"/>
              </w:rPr>
            </w:pPr>
            <w:r>
              <w:rPr>
                <w:rFonts w:ascii="Times New Roman" w:cs="Times New Roman" w:eastAsia="Times New Roman" w:hAnsi="Times New Roman"/>
                <w:sz w:val="16"/>
                <w:szCs w:val="16"/>
                <w:color w:val="auto"/>
              </w:rPr>
              <w:t>Other current assets</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34"/>
        </w:trPr>
        <w:tc>
          <w:tcPr>
            <w:tcW w:w="3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Total asset derivatives</w:t>
            </w:r>
          </w:p>
        </w:tc>
        <w:tc>
          <w:tcPr>
            <w:tcW w:w="34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4,297</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33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14"/>
        </w:trPr>
        <w:tc>
          <w:tcPr>
            <w:tcW w:w="3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 Liabilities</w:t>
            </w:r>
          </w:p>
        </w:tc>
        <w:tc>
          <w:tcPr>
            <w:tcW w:w="344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 under ASC 815-20</w:t>
            </w: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8"/>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rate swap contracts</w:t>
            </w:r>
          </w:p>
        </w:tc>
        <w:tc>
          <w:tcPr>
            <w:tcW w:w="34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rate swap contracts</w:t>
            </w:r>
          </w:p>
        </w:tc>
        <w:tc>
          <w:tcPr>
            <w:tcW w:w="34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Other long-term obligations</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 under ASC 815-20</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13"/>
        </w:trPr>
        <w:tc>
          <w:tcPr>
            <w:tcW w:w="3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Foreign exchange forward contracts</w:t>
            </w:r>
          </w:p>
        </w:tc>
        <w:tc>
          <w:tcPr>
            <w:tcW w:w="3440" w:type="dxa"/>
            <w:vAlign w:val="bottom"/>
            <w:tcBorders>
              <w:bottom w:val="single" w:sz="8" w:color="CCEEFF"/>
            </w:tcBorders>
          </w:tcPr>
          <w:p>
            <w:pPr>
              <w:ind w:left="8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34"/>
        </w:trPr>
        <w:tc>
          <w:tcPr>
            <w:tcW w:w="3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Total liability derivatives</w:t>
            </w:r>
          </w:p>
        </w:tc>
        <w:tc>
          <w:tcPr>
            <w:tcW w:w="34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2,542</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changes in accumulated other comprehensive income (loss) (AOCI), net of tax, for our derivative and nonderivative hedging instruments designated as hedging instruments, net of tax,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unrealized loss on hedging instruments at January 1,</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(13,179)</w:t>
            </w:r>
          </w:p>
        </w:tc>
      </w:tr>
      <w:tr>
        <w:trPr>
          <w:trHeight w:val="213"/>
        </w:trPr>
        <w:tc>
          <w:tcPr>
            <w:tcW w:w="6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Unrealized gain (loss) on hedging instruments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4,995</w:t>
            </w:r>
          </w:p>
        </w:tc>
      </w:tr>
      <w:tr>
        <w:trPr>
          <w:trHeight w:val="219"/>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Realized (gains) losses reclassified into net income (loss)</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(5,799)</w:t>
            </w:r>
          </w:p>
        </w:tc>
      </w:tr>
      <w:tr>
        <w:trPr>
          <w:trHeight w:val="207"/>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unrealized loss on hedging instruments at September 30,</w:t>
            </w: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(17,260)</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(13,983)</w:t>
            </w:r>
          </w:p>
        </w:tc>
      </w:tr>
      <w:tr>
        <w:trPr>
          <w:trHeight w:val="23"/>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Reclassification of amounts related to hedging instruments are included in interest expense in the Consolidated Statements of Operations for the periods ended September 30, 2020 and 2019. Included in the net unrealized gain (loss) on hedging instruments at September 30, 2020 and 2019 is a loss of $14.4 million, net of tax, related to our nonderivative net investment hedge, which terminated in 2011. This loss on our net investment hedge will remain in AOCI until earnings are impacted by a sale or liquidation of the associated foreign operation.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effect of netting arrangements on our financial position related to the offsetting of our recognized derivative assets and liabilities under master netting arrangements or similar agreements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Offsetting of Derivative Assets</w:t>
            </w:r>
          </w:p>
        </w:tc>
        <w:tc>
          <w:tcPr>
            <w:tcW w:w="520" w:type="dxa"/>
            <w:vAlign w:val="bottom"/>
          </w:tcPr>
          <w:p>
            <w:pPr>
              <w:spacing w:after="0"/>
              <w:rPr>
                <w:sz w:val="16"/>
                <w:szCs w:val="16"/>
                <w:color w:val="auto"/>
              </w:rPr>
            </w:pPr>
          </w:p>
        </w:tc>
        <w:tc>
          <w:tcPr>
            <w:tcW w:w="1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Gross Amounts of</w:t>
            </w:r>
          </w:p>
        </w:tc>
        <w:tc>
          <w:tcPr>
            <w:tcW w:w="100" w:type="dxa"/>
            <w:vAlign w:val="bottom"/>
          </w:tcPr>
          <w:p>
            <w:pPr>
              <w:spacing w:after="0"/>
              <w:rPr>
                <w:sz w:val="16"/>
                <w:szCs w:val="16"/>
                <w:color w:val="auto"/>
              </w:rPr>
            </w:pPr>
          </w:p>
        </w:tc>
        <w:tc>
          <w:tcPr>
            <w:tcW w:w="40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Gross Amounts Not Offset in the Consolidated Balance</w:t>
            </w:r>
          </w:p>
        </w:tc>
        <w:tc>
          <w:tcPr>
            <w:tcW w:w="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9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4020" w:type="dxa"/>
            <w:vAlign w:val="bottom"/>
            <w:gridSpan w:val="5"/>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Sheets</w:t>
            </w:r>
          </w:p>
        </w:tc>
        <w:tc>
          <w:tcPr>
            <w:tcW w:w="3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6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192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Recognized Assets</w:t>
            </w:r>
          </w:p>
        </w:tc>
        <w:tc>
          <w:tcPr>
            <w:tcW w:w="100" w:type="dxa"/>
            <w:vAlign w:val="bottom"/>
          </w:tcPr>
          <w:p>
            <w:pPr>
              <w:spacing w:after="0"/>
              <w:rPr>
                <w:sz w:val="10"/>
                <w:szCs w:val="10"/>
                <w:color w:val="auto"/>
              </w:rPr>
            </w:pPr>
          </w:p>
        </w:tc>
        <w:tc>
          <w:tcPr>
            <w:tcW w:w="4020" w:type="dxa"/>
            <w:vAlign w:val="bottom"/>
            <w:gridSpan w:val="5"/>
            <w:vMerge w:val="continue"/>
          </w:tcPr>
          <w:p>
            <w:pPr>
              <w:spacing w:after="0"/>
              <w:rPr>
                <w:sz w:val="10"/>
                <w:szCs w:val="10"/>
                <w:color w:val="auto"/>
              </w:rPr>
            </w:pPr>
          </w:p>
        </w:tc>
        <w:tc>
          <w:tcPr>
            <w:tcW w:w="3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20" w:type="dxa"/>
            <w:vAlign w:val="bottom"/>
            <w:gridSpan w:val="2"/>
            <w:vMerge w:val="continue"/>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Presented in the</w:t>
            </w:r>
          </w:p>
        </w:tc>
        <w:tc>
          <w:tcPr>
            <w:tcW w:w="100" w:type="dxa"/>
            <w:vAlign w:val="bottom"/>
          </w:tcPr>
          <w:p>
            <w:pPr>
              <w:spacing w:after="0"/>
              <w:rPr>
                <w:sz w:val="14"/>
                <w:szCs w:val="14"/>
                <w:color w:val="auto"/>
              </w:rPr>
            </w:pPr>
          </w:p>
        </w:tc>
        <w:tc>
          <w:tcPr>
            <w:tcW w:w="1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Derivative Financial</w:t>
            </w: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Pr>
          <w:p>
            <w:pPr>
              <w:spacing w:after="0"/>
              <w:rPr>
                <w:sz w:val="14"/>
                <w:szCs w:val="14"/>
                <w:color w:val="auto"/>
              </w:rPr>
            </w:pPr>
          </w:p>
        </w:tc>
        <w:tc>
          <w:tcPr>
            <w:tcW w:w="19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Consolidated Balance</w:t>
            </w:r>
          </w:p>
        </w:tc>
        <w:tc>
          <w:tcPr>
            <w:tcW w:w="10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Collateral Received</w:t>
            </w:r>
          </w:p>
        </w:tc>
        <w:tc>
          <w:tcPr>
            <w:tcW w:w="320" w:type="dxa"/>
            <w:vAlign w:val="bottom"/>
          </w:tcPr>
          <w:p>
            <w:pPr>
              <w:spacing w:after="0"/>
              <w:rPr>
                <w:sz w:val="14"/>
                <w:szCs w:val="14"/>
                <w:color w:val="auto"/>
              </w:rPr>
            </w:pPr>
          </w:p>
        </w:tc>
        <w:tc>
          <w:tcPr>
            <w:tcW w:w="164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Net Amount</w:t>
            </w:r>
          </w:p>
        </w:tc>
        <w:tc>
          <w:tcPr>
            <w:tcW w:w="0" w:type="dxa"/>
            <w:vAlign w:val="bottom"/>
          </w:tcPr>
          <w:p>
            <w:pPr>
              <w:spacing w:after="0"/>
              <w:rPr>
                <w:sz w:val="1"/>
                <w:szCs w:val="1"/>
                <w:color w:val="auto"/>
              </w:rPr>
            </w:pPr>
          </w:p>
        </w:tc>
      </w:tr>
      <w:tr>
        <w:trPr>
          <w:trHeight w:val="214"/>
        </w:trPr>
        <w:tc>
          <w:tcPr>
            <w:tcW w:w="268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Sheets</w:t>
            </w:r>
          </w:p>
        </w:tc>
        <w:tc>
          <w:tcPr>
            <w:tcW w:w="100" w:type="dxa"/>
            <w:vAlign w:val="bottom"/>
          </w:tcPr>
          <w:p>
            <w:pPr>
              <w:spacing w:after="0"/>
              <w:rPr>
                <w:sz w:val="18"/>
                <w:szCs w:val="18"/>
                <w:color w:val="auto"/>
              </w:rPr>
            </w:pPr>
          </w:p>
        </w:tc>
        <w:tc>
          <w:tcPr>
            <w:tcW w:w="1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00" w:type="dxa"/>
            <w:vAlign w:val="bottom"/>
          </w:tcPr>
          <w:p>
            <w:pPr>
              <w:spacing w:after="0"/>
              <w:rPr>
                <w:sz w:val="18"/>
                <w:szCs w:val="18"/>
                <w:color w:val="auto"/>
              </w:rPr>
            </w:pPr>
          </w:p>
        </w:tc>
        <w:tc>
          <w:tcPr>
            <w:tcW w:w="19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2020</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0" w:type="dxa"/>
            <w:vAlign w:val="bottom"/>
          </w:tcPr>
          <w:p>
            <w:pPr>
              <w:spacing w:after="0"/>
              <w:rPr>
                <w:sz w:val="1"/>
                <w:szCs w:val="1"/>
                <w:color w:val="auto"/>
              </w:rPr>
            </w:pPr>
          </w:p>
        </w:tc>
      </w:tr>
      <w:tr>
        <w:trPr>
          <w:trHeight w:val="210"/>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2019</w:t>
            </w:r>
          </w:p>
        </w:tc>
        <w:tc>
          <w:tcPr>
            <w:tcW w:w="5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4,241</w:t>
            </w:r>
          </w:p>
        </w:tc>
        <w:tc>
          <w:tcPr>
            <w:tcW w:w="0" w:type="dxa"/>
            <w:vAlign w:val="bottom"/>
          </w:tcPr>
          <w:p>
            <w:pPr>
              <w:spacing w:after="0"/>
              <w:rPr>
                <w:sz w:val="1"/>
                <w:szCs w:val="1"/>
                <w:color w:val="auto"/>
              </w:rPr>
            </w:pPr>
          </w:p>
        </w:tc>
      </w:tr>
      <w:tr>
        <w:trPr>
          <w:trHeight w:val="600"/>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Offsetting of Derivative Liabilities</w:t>
            </w:r>
          </w:p>
        </w:tc>
        <w:tc>
          <w:tcPr>
            <w:tcW w:w="520" w:type="dxa"/>
            <w:vAlign w:val="bottom"/>
          </w:tcPr>
          <w:p>
            <w:pPr>
              <w:spacing w:after="0"/>
              <w:rPr>
                <w:sz w:val="24"/>
                <w:szCs w:val="24"/>
                <w:color w:val="auto"/>
              </w:rPr>
            </w:pPr>
          </w:p>
        </w:tc>
        <w:tc>
          <w:tcPr>
            <w:tcW w:w="1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Gross Amounts of</w:t>
            </w:r>
          </w:p>
        </w:tc>
        <w:tc>
          <w:tcPr>
            <w:tcW w:w="100" w:type="dxa"/>
            <w:vAlign w:val="bottom"/>
          </w:tcPr>
          <w:p>
            <w:pPr>
              <w:spacing w:after="0"/>
              <w:rPr>
                <w:sz w:val="24"/>
                <w:szCs w:val="24"/>
                <w:color w:val="auto"/>
              </w:rPr>
            </w:pPr>
          </w:p>
        </w:tc>
        <w:tc>
          <w:tcPr>
            <w:tcW w:w="40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Gross Amounts Not Offset in the Consolidated Balance</w:t>
            </w: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9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4020" w:type="dxa"/>
            <w:vAlign w:val="bottom"/>
            <w:gridSpan w:val="5"/>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Sheets</w:t>
            </w:r>
          </w:p>
        </w:tc>
        <w:tc>
          <w:tcPr>
            <w:tcW w:w="3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6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1920" w:type="dxa"/>
            <w:vAlign w:val="bottom"/>
            <w:gridSpan w:val="2"/>
            <w:vMerge w:val="restart"/>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Recognized Liabilities</w:t>
            </w:r>
          </w:p>
        </w:tc>
        <w:tc>
          <w:tcPr>
            <w:tcW w:w="100" w:type="dxa"/>
            <w:vAlign w:val="bottom"/>
          </w:tcPr>
          <w:p>
            <w:pPr>
              <w:spacing w:after="0"/>
              <w:rPr>
                <w:sz w:val="10"/>
                <w:szCs w:val="10"/>
                <w:color w:val="auto"/>
              </w:rPr>
            </w:pPr>
          </w:p>
        </w:tc>
        <w:tc>
          <w:tcPr>
            <w:tcW w:w="4020" w:type="dxa"/>
            <w:vAlign w:val="bottom"/>
            <w:gridSpan w:val="5"/>
            <w:vMerge w:val="continue"/>
          </w:tcPr>
          <w:p>
            <w:pPr>
              <w:spacing w:after="0"/>
              <w:rPr>
                <w:sz w:val="10"/>
                <w:szCs w:val="10"/>
                <w:color w:val="auto"/>
              </w:rPr>
            </w:pPr>
          </w:p>
        </w:tc>
        <w:tc>
          <w:tcPr>
            <w:tcW w:w="3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20" w:type="dxa"/>
            <w:vAlign w:val="bottom"/>
            <w:gridSpan w:val="2"/>
            <w:vMerge w:val="continue"/>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Presented in the</w:t>
            </w:r>
          </w:p>
        </w:tc>
        <w:tc>
          <w:tcPr>
            <w:tcW w:w="100" w:type="dxa"/>
            <w:vAlign w:val="bottom"/>
          </w:tcPr>
          <w:p>
            <w:pPr>
              <w:spacing w:after="0"/>
              <w:rPr>
                <w:sz w:val="14"/>
                <w:szCs w:val="14"/>
                <w:color w:val="auto"/>
              </w:rPr>
            </w:pPr>
          </w:p>
        </w:tc>
        <w:tc>
          <w:tcPr>
            <w:tcW w:w="1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Derivative Financial</w:t>
            </w: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Pr>
          <w:p>
            <w:pPr>
              <w:spacing w:after="0"/>
              <w:rPr>
                <w:sz w:val="14"/>
                <w:szCs w:val="14"/>
                <w:color w:val="auto"/>
              </w:rPr>
            </w:pPr>
          </w:p>
        </w:tc>
        <w:tc>
          <w:tcPr>
            <w:tcW w:w="19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Consolidated Balance</w:t>
            </w:r>
          </w:p>
        </w:tc>
        <w:tc>
          <w:tcPr>
            <w:tcW w:w="10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Cash Collateral Pledged</w:t>
            </w:r>
          </w:p>
        </w:tc>
        <w:tc>
          <w:tcPr>
            <w:tcW w:w="320" w:type="dxa"/>
            <w:vAlign w:val="bottom"/>
          </w:tcPr>
          <w:p>
            <w:pPr>
              <w:spacing w:after="0"/>
              <w:rPr>
                <w:sz w:val="14"/>
                <w:szCs w:val="14"/>
                <w:color w:val="auto"/>
              </w:rPr>
            </w:pPr>
          </w:p>
        </w:tc>
        <w:tc>
          <w:tcPr>
            <w:tcW w:w="164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Net Amount</w:t>
            </w:r>
          </w:p>
        </w:tc>
        <w:tc>
          <w:tcPr>
            <w:tcW w:w="0" w:type="dxa"/>
            <w:vAlign w:val="bottom"/>
          </w:tcPr>
          <w:p>
            <w:pPr>
              <w:spacing w:after="0"/>
              <w:rPr>
                <w:sz w:val="1"/>
                <w:szCs w:val="1"/>
                <w:color w:val="auto"/>
              </w:rPr>
            </w:pPr>
          </w:p>
        </w:tc>
      </w:tr>
      <w:tr>
        <w:trPr>
          <w:trHeight w:val="214"/>
        </w:trPr>
        <w:tc>
          <w:tcPr>
            <w:tcW w:w="268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Sheets</w:t>
            </w:r>
          </w:p>
        </w:tc>
        <w:tc>
          <w:tcPr>
            <w:tcW w:w="100" w:type="dxa"/>
            <w:vAlign w:val="bottom"/>
          </w:tcPr>
          <w:p>
            <w:pPr>
              <w:spacing w:after="0"/>
              <w:rPr>
                <w:sz w:val="18"/>
                <w:szCs w:val="18"/>
                <w:color w:val="auto"/>
              </w:rPr>
            </w:pPr>
          </w:p>
        </w:tc>
        <w:tc>
          <w:tcPr>
            <w:tcW w:w="1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00" w:type="dxa"/>
            <w:vAlign w:val="bottom"/>
          </w:tcPr>
          <w:p>
            <w:pPr>
              <w:spacing w:after="0"/>
              <w:rPr>
                <w:sz w:val="18"/>
                <w:szCs w:val="18"/>
                <w:color w:val="auto"/>
              </w:rPr>
            </w:pPr>
          </w:p>
        </w:tc>
        <w:tc>
          <w:tcPr>
            <w:tcW w:w="19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2020</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2,251</w:t>
            </w:r>
          </w:p>
        </w:tc>
        <w:tc>
          <w:tcPr>
            <w:tcW w:w="0" w:type="dxa"/>
            <w:vAlign w:val="bottom"/>
          </w:tcPr>
          <w:p>
            <w:pPr>
              <w:spacing w:after="0"/>
              <w:rPr>
                <w:sz w:val="1"/>
                <w:szCs w:val="1"/>
                <w:color w:val="auto"/>
              </w:rPr>
            </w:pPr>
          </w:p>
        </w:tc>
      </w:tr>
      <w:tr>
        <w:trPr>
          <w:trHeight w:val="210"/>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2019</w:t>
            </w:r>
          </w:p>
        </w:tc>
        <w:tc>
          <w:tcPr>
            <w:tcW w:w="5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bl>
    <w:p>
      <w:pPr>
        <w:spacing w:after="0" w:line="3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derivative assets and liabilities subject to netting arrangements consist of foreign exchange forwards and options and interest rate contracts with four counterparties at September 30, 2020 and five counterparties at December 31, 2019. No derivative asset or liability balance with any of our counterparties was individually significant at September 30, 2020 or December 31, 2019. Our derivative contracts with each of these counterparties exist under agreements that provide for the net settlement of all contracts through a single payment in a single currency in the event of default. We have no pledges of cash collateral against our obligations, and we have not received pledges of cash collateral from our counterparties under the associated derivative contracts.</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result of our floating rate debt, we are exposed to variability in our cash flows from changes in the applicable interest rate index. We enter into interest rate caps and swaps to reduce the variability of cash flows from increases in the LIBOR based borrowing rates on our floating rate credit facility. These instruments do not protect us from changes to the applicable margin under our credit facility. At September 30, 2020, our LIBOR-based debt balance was $950.2 million.</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2015, we entered into one interest rate swap, which was effective August 31, 2016 and expired on June 23, 2020, to convert $214 million of our LIBOR-based debt from a floating LIBOR interest rate to a fixed interest rate of 1.42% (excluding the applicable margin on the debt). The notional balance amortized to maturity at the same rate as required minimum payments on our term loan. The cash flow hedge was expected to be highly effective in achieving offsetting cash flows attributable to the hedged risk through the term of the hedge. Consequently, effective changes in the fair value of the interest rate swap were recorded as a component of other comprehensive income (loss) (OCI) and recognized in earnings when the hedged item affected earnings. The amounts paid or received on the hedge were recognized as adjustment to interest expense.</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2020, we entered into an interest rate swap, which is effective from June 30, 2020 to June 30, 2023, and converts $240 million of our LIBOR-based debt from a floating LIBOR interest rate to a fixed interest rate of 0.617% (excluding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applicable margin). The notional balance will amortize to maturity at the same rate of originally required amortizations on our term loan. Changes in the fair value of the interest rate swap are recognized as a component of OCI and recognized in earnings when the hedged item affects earnings. The amounts paid or received on the hedge are recognized as adjustment to interest expense along with the earnings effect of the hedged item. The amount of net losses expected to be reclassified into earnings in the next 12 months is $1.0 million.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2015, we entered into three interest rate cap contracts with a total notional amount of $100 million at a cost of $1.7 million. The interest rate cap contracts expired on June 23, 2020 and were entered into in order to limit our interest rate exposure on $100 million of our variable LIBOR based debt up to 2.00%. The interest rate cap contracts did not include the effect of the applicable margin. Changes in the fair value of these instruments were recognized as a component of OCI and recognized in earnings when the hedged item affected earnings. The amounts received on the hedge were recognized as an adjustment to interest expense along with the earnings effect of the hedged item.</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2018, we entered into one cross-currency swap, which converts $56.0 million of floating LIBOR-based U.S. dollar denominated debt into 1.38% fixed rate euro denominated debt. This cross-currency swap matures on April 30, 2021 and mitigates the risk associated with fluctuations in currency rates impacting cash flows related to U.S. dollar denominated debt in a euro functional currency entity. Changes in the fair value of the cross-currency swap are recognized as a component of OCI and are recognized in earnings when the hedged item affects earnings. The amounts paid or received on the hedge are recognized as an adjustment to interest expense along with the earnings effect of the hedged item. The amount of net gains expected to be reclassified into earnings in the next 12 months is $1.7 million.</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our forecasted inventory purchases in a non-functional currency, we are exposed to foreign exchange risk. We hedge portions of these purchases. During February 2020, we entered into foreign exchange option contracts for a total notional amount of $96 million at a cost of $1.2 million. The contracts matured ratably through the year with final maturity in October 2020. Changes in the fair value of the option contracts were recognized as a component of OCI and were recognized in product cost of revenues when the hedged item affected earnings.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before-tax effects of our accounting for derivative instruments designated as hedges on AOCI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40" w:type="dxa"/>
            <w:vAlign w:val="bottom"/>
            <w:vMerge w:val="restart"/>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Derivatives in ASC 815-20</w:t>
            </w:r>
          </w:p>
        </w:tc>
        <w:tc>
          <w:tcPr>
            <w:tcW w:w="2640" w:type="dxa"/>
            <w:vAlign w:val="bottom"/>
            <w:gridSpan w:val="4"/>
            <w:vMerge w:val="restart"/>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rPr>
              <w:t>Amount of Gain (Loss)</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20" w:type="dxa"/>
            <w:vAlign w:val="bottom"/>
            <w:gridSpan w:val="5"/>
          </w:tcPr>
          <w:p>
            <w:pPr>
              <w:ind w:left="1540"/>
              <w:spacing w:after="0"/>
              <w:rPr>
                <w:sz w:val="20"/>
                <w:szCs w:val="20"/>
                <w:color w:val="auto"/>
              </w:rPr>
            </w:pPr>
            <w:r>
              <w:rPr>
                <w:rFonts w:ascii="Times New Roman" w:cs="Times New Roman" w:eastAsia="Times New Roman" w:hAnsi="Times New Roman"/>
                <w:sz w:val="16"/>
                <w:szCs w:val="16"/>
                <w:b w:val="1"/>
                <w:bCs w:val="1"/>
                <w:color w:val="auto"/>
              </w:rPr>
              <w:t>Gain (Loss) Reclassified from</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840" w:type="dxa"/>
            <w:vAlign w:val="bottom"/>
            <w:vMerge w:val="continue"/>
          </w:tcPr>
          <w:p>
            <w:pPr>
              <w:spacing w:after="0"/>
              <w:rPr>
                <w:sz w:val="8"/>
                <w:szCs w:val="8"/>
                <w:color w:val="auto"/>
              </w:rPr>
            </w:pPr>
          </w:p>
        </w:tc>
        <w:tc>
          <w:tcPr>
            <w:tcW w:w="2640" w:type="dxa"/>
            <w:vAlign w:val="bottom"/>
            <w:gridSpan w:val="4"/>
            <w:vMerge w:val="continue"/>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20" w:type="dxa"/>
            <w:vAlign w:val="bottom"/>
            <w:gridSpan w:val="5"/>
            <w:vMerge w:val="restart"/>
          </w:tcPr>
          <w:p>
            <w:pPr>
              <w:ind w:left="1940"/>
              <w:spacing w:after="0"/>
              <w:rPr>
                <w:sz w:val="20"/>
                <w:szCs w:val="20"/>
                <w:color w:val="auto"/>
              </w:rPr>
            </w:pPr>
            <w:r>
              <w:rPr>
                <w:rFonts w:ascii="Times New Roman" w:cs="Times New Roman" w:eastAsia="Times New Roman" w:hAnsi="Times New Roman"/>
                <w:sz w:val="16"/>
                <w:szCs w:val="16"/>
                <w:b w:val="1"/>
                <w:bCs w:val="1"/>
                <w:color w:val="auto"/>
              </w:rPr>
              <w:t>AOCI into Income</w:t>
            </w:r>
          </w:p>
        </w:tc>
        <w:tc>
          <w:tcPr>
            <w:tcW w:w="3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840" w:type="dxa"/>
            <w:vAlign w:val="bottom"/>
            <w:vMerge w:val="restart"/>
          </w:tcPr>
          <w:p>
            <w:pPr>
              <w:jc w:val="center"/>
              <w:ind w:left="199"/>
              <w:spacing w:after="0" w:line="162" w:lineRule="exact"/>
              <w:rPr>
                <w:sz w:val="20"/>
                <w:szCs w:val="20"/>
                <w:color w:val="auto"/>
              </w:rPr>
            </w:pPr>
            <w:r>
              <w:rPr>
                <w:rFonts w:ascii="Times New Roman" w:cs="Times New Roman" w:eastAsia="Times New Roman" w:hAnsi="Times New Roman"/>
                <w:sz w:val="16"/>
                <w:szCs w:val="16"/>
                <w:b w:val="1"/>
                <w:bCs w:val="1"/>
                <w:color w:val="auto"/>
                <w:w w:val="99"/>
              </w:rPr>
              <w:t>Cash Flow</w:t>
            </w:r>
          </w:p>
        </w:tc>
        <w:tc>
          <w:tcPr>
            <w:tcW w:w="2640" w:type="dxa"/>
            <w:vAlign w:val="bottom"/>
            <w:gridSpan w:val="4"/>
            <w:vMerge w:val="restart"/>
          </w:tcPr>
          <w:p>
            <w:pPr>
              <w:jc w:val="center"/>
              <w:ind w:left="659"/>
              <w:spacing w:after="0" w:line="162" w:lineRule="exact"/>
              <w:rPr>
                <w:sz w:val="20"/>
                <w:szCs w:val="20"/>
                <w:color w:val="auto"/>
              </w:rPr>
            </w:pPr>
            <w:r>
              <w:rPr>
                <w:rFonts w:ascii="Times New Roman" w:cs="Times New Roman" w:eastAsia="Times New Roman" w:hAnsi="Times New Roman"/>
                <w:sz w:val="16"/>
                <w:szCs w:val="16"/>
                <w:b w:val="1"/>
                <w:bCs w:val="1"/>
                <w:color w:val="auto"/>
              </w:rPr>
              <w:t>Recognized in OCI on</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20" w:type="dxa"/>
            <w:vAlign w:val="bottom"/>
            <w:tcBorders>
              <w:bottom w:val="single" w:sz="8" w:color="auto"/>
            </w:tcBorders>
            <w:gridSpan w:val="5"/>
            <w:vMerge w:val="continue"/>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840" w:type="dxa"/>
            <w:vAlign w:val="bottom"/>
            <w:vMerge w:val="continue"/>
          </w:tcPr>
          <w:p>
            <w:pPr>
              <w:spacing w:after="0" w:line="20" w:lineRule="exact"/>
              <w:rPr>
                <w:sz w:val="1"/>
                <w:szCs w:val="1"/>
                <w:color w:val="auto"/>
              </w:rPr>
            </w:pPr>
          </w:p>
        </w:tc>
        <w:tc>
          <w:tcPr>
            <w:tcW w:w="2640" w:type="dxa"/>
            <w:vAlign w:val="bottom"/>
            <w:gridSpan w:val="4"/>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gridSpan w:val="2"/>
            <w:vMerge w:val="restart"/>
          </w:tcPr>
          <w:p>
            <w:pPr>
              <w:ind w:left="82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840" w:type="dxa"/>
            <w:vAlign w:val="bottom"/>
          </w:tcPr>
          <w:p>
            <w:pPr>
              <w:spacing w:after="0" w:line="20" w:lineRule="exact"/>
              <w:rPr>
                <w:sz w:val="1"/>
                <w:szCs w:val="1"/>
                <w:color w:val="auto"/>
              </w:rPr>
            </w:pPr>
          </w:p>
        </w:tc>
        <w:tc>
          <w:tcPr>
            <w:tcW w:w="980" w:type="dxa"/>
            <w:vAlign w:val="bottom"/>
            <w:gridSpan w:val="3"/>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840" w:type="dxa"/>
            <w:vAlign w:val="bottom"/>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Hedging Relationships</w:t>
            </w:r>
          </w:p>
        </w:tc>
        <w:tc>
          <w:tcPr>
            <w:tcW w:w="1120" w:type="dxa"/>
            <w:vAlign w:val="bottom"/>
          </w:tcPr>
          <w:p>
            <w:pPr>
              <w:spacing w:after="0"/>
              <w:rPr>
                <w:sz w:val="18"/>
                <w:szCs w:val="18"/>
                <w:color w:val="auto"/>
              </w:rPr>
            </w:pPr>
          </w:p>
        </w:tc>
        <w:tc>
          <w:tcPr>
            <w:tcW w:w="1520" w:type="dxa"/>
            <w:vAlign w:val="bottom"/>
            <w:gridSpan w:val="3"/>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4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10"/>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rate swap contracts</w:t>
            </w:r>
          </w:p>
        </w:tc>
        <w:tc>
          <w:tcPr>
            <w:tcW w:w="112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0" w:type="dxa"/>
            <w:vAlign w:val="bottom"/>
          </w:tcPr>
          <w:p>
            <w:pPr>
              <w:spacing w:after="0"/>
              <w:rPr>
                <w:sz w:val="1"/>
                <w:szCs w:val="1"/>
                <w:color w:val="auto"/>
              </w:rPr>
            </w:pPr>
          </w:p>
        </w:tc>
      </w:tr>
      <w:tr>
        <w:trPr>
          <w:trHeight w:val="213"/>
        </w:trPr>
        <w:tc>
          <w:tcPr>
            <w:tcW w:w="2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rate cap contracts</w:t>
            </w:r>
          </w:p>
        </w:tc>
        <w:tc>
          <w:tcPr>
            <w:tcW w:w="11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20" w:type="dxa"/>
            <w:vAlign w:val="bottom"/>
          </w:tcPr>
          <w:p>
            <w:pPr>
              <w:spacing w:after="0"/>
              <w:rPr>
                <w:sz w:val="18"/>
                <w:szCs w:val="18"/>
                <w:color w:val="auto"/>
              </w:rPr>
            </w:pP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8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Foreign exchange options</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12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Product cost of revenues</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0" w:type="dxa"/>
            <w:vAlign w:val="bottom"/>
          </w:tcPr>
          <w:p>
            <w:pPr>
              <w:spacing w:after="0"/>
              <w:rPr>
                <w:sz w:val="1"/>
                <w:szCs w:val="1"/>
                <w:color w:val="auto"/>
              </w:rPr>
            </w:pPr>
          </w:p>
        </w:tc>
      </w:tr>
      <w:tr>
        <w:trPr>
          <w:trHeight w:val="213"/>
        </w:trPr>
        <w:tc>
          <w:tcPr>
            <w:tcW w:w="2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Cross currency swap contract</w:t>
            </w:r>
          </w:p>
        </w:tc>
        <w:tc>
          <w:tcPr>
            <w:tcW w:w="1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(2,326)</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2,703</w:t>
            </w:r>
          </w:p>
        </w:tc>
        <w:tc>
          <w:tcPr>
            <w:tcW w:w="120" w:type="dxa"/>
            <w:vAlign w:val="bottom"/>
          </w:tcPr>
          <w:p>
            <w:pPr>
              <w:spacing w:after="0"/>
              <w:rPr>
                <w:sz w:val="18"/>
                <w:szCs w:val="18"/>
                <w:color w:val="auto"/>
              </w:rPr>
            </w:pP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Cross currency swap contract</w:t>
            </w:r>
          </w:p>
        </w:tc>
        <w:tc>
          <w:tcPr>
            <w:tcW w:w="1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income/(expense), net</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(2,242)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0" w:type="dxa"/>
            <w:vAlign w:val="bottom"/>
          </w:tcPr>
          <w:p>
            <w:pPr>
              <w:spacing w:after="0"/>
              <w:rPr>
                <w:sz w:val="1"/>
                <w:szCs w:val="1"/>
                <w:color w:val="auto"/>
              </w:rPr>
            </w:pPr>
          </w:p>
        </w:tc>
      </w:tr>
      <w:tr>
        <w:trPr>
          <w:trHeight w:val="469"/>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rate swap contract</w:t>
            </w:r>
          </w:p>
        </w:tc>
        <w:tc>
          <w:tcPr>
            <w:tcW w:w="112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(2,818)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12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0" w:type="dxa"/>
            <w:vAlign w:val="bottom"/>
          </w:tcPr>
          <w:p>
            <w:pPr>
              <w:spacing w:after="0"/>
              <w:rPr>
                <w:sz w:val="1"/>
                <w:szCs w:val="1"/>
                <w:color w:val="auto"/>
              </w:rPr>
            </w:pPr>
          </w:p>
        </w:tc>
      </w:tr>
      <w:tr>
        <w:trPr>
          <w:trHeight w:val="213"/>
        </w:trPr>
        <w:tc>
          <w:tcPr>
            <w:tcW w:w="2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rate cap contracts</w:t>
            </w:r>
          </w:p>
        </w:tc>
        <w:tc>
          <w:tcPr>
            <w:tcW w:w="1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20" w:type="dxa"/>
            <w:vAlign w:val="bottom"/>
          </w:tcPr>
          <w:p>
            <w:pPr>
              <w:spacing w:after="0"/>
              <w:rPr>
                <w:sz w:val="18"/>
                <w:szCs w:val="18"/>
                <w:color w:val="auto"/>
              </w:rPr>
            </w:pP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Foreign exchange options</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(1,221)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12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Product cost of revenues</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0" w:type="dxa"/>
            <w:vAlign w:val="bottom"/>
          </w:tcPr>
          <w:p>
            <w:pPr>
              <w:spacing w:after="0"/>
              <w:rPr>
                <w:sz w:val="1"/>
                <w:szCs w:val="1"/>
                <w:color w:val="auto"/>
              </w:rPr>
            </w:pPr>
          </w:p>
        </w:tc>
      </w:tr>
      <w:tr>
        <w:trPr>
          <w:trHeight w:val="213"/>
        </w:trPr>
        <w:tc>
          <w:tcPr>
            <w:tcW w:w="2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Cross currency swap contract</w:t>
            </w:r>
          </w:p>
        </w:tc>
        <w:tc>
          <w:tcPr>
            <w:tcW w:w="1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(1,969)</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4,126</w:t>
            </w:r>
          </w:p>
        </w:tc>
        <w:tc>
          <w:tcPr>
            <w:tcW w:w="120" w:type="dxa"/>
            <w:vAlign w:val="bottom"/>
          </w:tcPr>
          <w:p>
            <w:pPr>
              <w:spacing w:after="0"/>
              <w:rPr>
                <w:sz w:val="18"/>
                <w:szCs w:val="18"/>
                <w:color w:val="auto"/>
              </w:rPr>
            </w:pPr>
          </w:p>
        </w:tc>
        <w:tc>
          <w:tcPr>
            <w:tcW w:w="23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w:t>
            </w: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Cross currency swap contract</w:t>
            </w:r>
          </w:p>
        </w:tc>
        <w:tc>
          <w:tcPr>
            <w:tcW w:w="1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income/(expense), net</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(2,438)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w:t>
            </w:r>
          </w:p>
        </w:tc>
        <w:tc>
          <w:tcPr>
            <w:tcW w:w="0" w:type="dxa"/>
            <w:vAlign w:val="bottom"/>
          </w:tcPr>
          <w:p>
            <w:pPr>
              <w:spacing w:after="0"/>
              <w:rPr>
                <w:sz w:val="1"/>
                <w:szCs w:val="1"/>
                <w:color w:val="auto"/>
              </w:rPr>
            </w:pPr>
          </w:p>
        </w:tc>
      </w:tr>
    </w:tbl>
    <w:p>
      <w:pPr>
        <w:spacing w:after="0" w:line="3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Relationships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also exposed to foreign exchange risk when we enter into non-functional currency transactions, both intercompany and third party. At each period-end, non-functional currency monetary assets and liabilities are revalued with the change recognized within other income and expense. We enter into monthly foreign exchange forward contracts, which are not designated for hedge accounting, with the intent to reduce earnings volatility associated with currency exposures. As of September 30, 2020, a total of 43 contracts were offsetting our exposures from the euro, Canadian dollar, Pound Sterling, Brazilian Real, Chinese yuan and various other currencies, with notional amounts ranging from $102,000 to $26.4 million.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our derivative instruments not designated as hedges on the Consolidated Statements of Operations was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 under</w:t>
            </w:r>
          </w:p>
        </w:tc>
        <w:tc>
          <w:tcPr>
            <w:tcW w:w="2620" w:type="dxa"/>
            <w:vAlign w:val="bottom"/>
            <w:gridSpan w:val="2"/>
            <w:vMerge w:val="restart"/>
          </w:tcPr>
          <w:p>
            <w:pPr>
              <w:ind w:left="98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200" w:type="dxa"/>
            <w:vAlign w:val="bottom"/>
          </w:tcPr>
          <w:p>
            <w:pPr>
              <w:spacing w:after="0"/>
              <w:rPr>
                <w:sz w:val="16"/>
                <w:szCs w:val="16"/>
                <w:color w:val="auto"/>
              </w:rPr>
            </w:pPr>
          </w:p>
        </w:tc>
        <w:tc>
          <w:tcPr>
            <w:tcW w:w="4260" w:type="dxa"/>
            <w:vAlign w:val="bottom"/>
            <w:gridSpan w:val="3"/>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Gain (Loss) Recognized on Derivatives in Other Income</w:t>
            </w:r>
          </w:p>
        </w:tc>
        <w:tc>
          <w:tcPr>
            <w:tcW w:w="0" w:type="dxa"/>
            <w:vAlign w:val="bottom"/>
          </w:tcPr>
          <w:p>
            <w:pPr>
              <w:spacing w:after="0"/>
              <w:rPr>
                <w:sz w:val="1"/>
                <w:szCs w:val="1"/>
                <w:color w:val="auto"/>
              </w:rPr>
            </w:pPr>
          </w:p>
        </w:tc>
      </w:tr>
      <w:tr>
        <w:trPr>
          <w:trHeight w:val="214"/>
        </w:trPr>
        <w:tc>
          <w:tcPr>
            <w:tcW w:w="4160" w:type="dxa"/>
            <w:vAlign w:val="bottom"/>
          </w:tcPr>
          <w:p>
            <w:pPr>
              <w:ind w:left="1700"/>
              <w:spacing w:after="0"/>
              <w:rPr>
                <w:sz w:val="20"/>
                <w:szCs w:val="20"/>
                <w:color w:val="auto"/>
              </w:rPr>
            </w:pPr>
            <w:r>
              <w:rPr>
                <w:rFonts w:ascii="Times New Roman" w:cs="Times New Roman" w:eastAsia="Times New Roman" w:hAnsi="Times New Roman"/>
                <w:sz w:val="16"/>
                <w:szCs w:val="16"/>
                <w:b w:val="1"/>
                <w:bCs w:val="1"/>
                <w:color w:val="auto"/>
              </w:rPr>
              <w:t>ASC 815-20</w:t>
            </w:r>
          </w:p>
        </w:tc>
        <w:tc>
          <w:tcPr>
            <w:tcW w:w="26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50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020" w:type="dxa"/>
            <w:vAlign w:val="bottom"/>
            <w:tcBorders>
              <w:top w:val="single" w:sz="8" w:color="auto"/>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66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10"/>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Foreign exchange forward contracts</w:t>
            </w:r>
          </w:p>
        </w:tc>
        <w:tc>
          <w:tcPr>
            <w:tcW w:w="2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66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429"/>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Foreign exchange forward contracts</w:t>
            </w:r>
          </w:p>
        </w:tc>
        <w:tc>
          <w:tcPr>
            <w:tcW w:w="2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66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We will continue to monitor and assess our interest rate and foreign exchange risk and may institute additional derivative instruments to manage such risk in the future.</w:t>
      </w:r>
    </w:p>
    <w:p>
      <w:pPr>
        <w:spacing w:after="0" w:line="19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Defined Benefit Pension Plans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sponsor both funded and unfunded defined benefit pension plans offering death and disability, retirement, and special termination benefits for certain of our international employees, primarily in Germany, France, Indonesia, India, and Italy. The defined benefit obligation is calculated annually by using the projected unit credit method. The measurement date for the pension plans was December 31, 2019.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on the Consolidated Balance Sheets consist of:</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2019</w:t>
            </w:r>
          </w:p>
        </w:tc>
      </w:tr>
      <w:tr>
        <w:trPr>
          <w:trHeight w:val="210"/>
        </w:trPr>
        <w:tc>
          <w:tcPr>
            <w:tcW w:w="6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19"/>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Plan assets in other long-term assets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9"/>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pension benefit obligation in wages and benefits payable</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2,885</w:t>
            </w:r>
          </w:p>
        </w:tc>
      </w:tr>
      <w:tr>
        <w:trPr>
          <w:trHeight w:val="213"/>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Long-term portion of pension benefit obligation</w:t>
            </w: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103,273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98,712</w:t>
            </w:r>
          </w:p>
        </w:tc>
      </w:tr>
      <w:tr>
        <w:trPr>
          <w:trHeight w:val="234"/>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benefit obligation,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107,210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101,553</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pension benefit cost for our plans include the following components: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w:t>
            </w: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w:t>
            </w: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prior service costs</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actuarial net loss</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w:t>
            </w:r>
          </w:p>
        </w:tc>
      </w:tr>
      <w:tr>
        <w:trPr>
          <w:trHeight w:val="213"/>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Settlement</w:t>
            </w: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37"/>
        </w:trPr>
        <w:tc>
          <w:tcPr>
            <w:tcW w:w="4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periodic benefit cost</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1,879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5,416</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cost, other than the service cost component, are included in total other income (expense) on the Consolidated Statements of Operations.</w:t>
      </w:r>
    </w:p>
    <w:p>
      <w:pPr>
        <w:spacing w:after="0" w:line="18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grant stock-based compensation awards under the Second Amended and Restated 2010 Stock Incentive Plan (Stock Incentive Plan), including stock options, restricted stock units, phantom stock, and unrestricted stock units. In the Stock Incentive Plan, we have 12,623,538 shares of common stock reserved and authorized for issuance subject to stock splits, dividends, and other similar events, and at September 30, 2020, 5,594,481 shares were available for grant. We issue new shares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common stock upon the exercise of stock options or when vesting conditions on restricted stock units are fully satisfied. These shares are subject to a fungible share provision such that the authorized share reserve is reduced by (i) one share for every one share subject to a stock option or share appreciation right granted under the Plan and (ii) 1.7 shares for every one share of common stock that was subject to an award other than an option or share appreciation right.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periodically award phantom stock units, which are settled in cash upon vesting and accounted for as liability-based awards with no impact to the shares available for grant.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maintain the Employee Stock Purchase Plan (ESPP), for which 190,736 shares of common stock were available for future issuance at September 30, 2020.</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other forms of stock grants, including unrestricted stock, ESPP, and phantom stock units were not significant for the three and nine months ended September 30, 2020 and 2019.</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expense and the related tax benefit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310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3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w:t>
            </w:r>
          </w:p>
        </w:tc>
      </w:tr>
      <w:tr>
        <w:trPr>
          <w:trHeight w:val="21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18,575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19,178</w:t>
            </w:r>
          </w:p>
        </w:tc>
      </w:tr>
      <w:tr>
        <w:trPr>
          <w:trHeight w:val="21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Unrestricted stock awards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r>
      <w:tr>
        <w:trPr>
          <w:trHeight w:val="213"/>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Phantom stock units</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2,265</w:t>
            </w:r>
          </w:p>
        </w:tc>
      </w:tr>
      <w:tr>
        <w:trPr>
          <w:trHeight w:val="237"/>
        </w:trPr>
        <w:tc>
          <w:tcPr>
            <w:tcW w:w="4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stock-based compensation</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8,103</w:t>
            </w:r>
          </w:p>
        </w:tc>
        <w:tc>
          <w:tcPr>
            <w:tcW w:w="3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22,713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23,329</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1"/>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Related tax benefit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w:t>
            </w:r>
          </w:p>
        </w:tc>
        <w:tc>
          <w:tcPr>
            <w:tcW w:w="3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4,161</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stock option activity is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200" w:type="dxa"/>
            <w:vAlign w:val="bottom"/>
          </w:tcPr>
          <w:p>
            <w:pPr>
              <w:spacing w:after="0"/>
              <w:rPr>
                <w:sz w:val="16"/>
                <w:szCs w:val="16"/>
                <w:color w:val="auto"/>
              </w:rPr>
            </w:pPr>
          </w:p>
        </w:tc>
        <w:tc>
          <w:tcPr>
            <w:tcW w:w="168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3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4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4"/>
                <w:szCs w:val="14"/>
                <w:color w:val="auto"/>
              </w:rPr>
            </w:pPr>
          </w:p>
        </w:tc>
        <w:tc>
          <w:tcPr>
            <w:tcW w:w="15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 Exercise</w:t>
            </w:r>
          </w:p>
        </w:tc>
        <w:tc>
          <w:tcPr>
            <w:tcW w:w="18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200" w:type="dxa"/>
            <w:vAlign w:val="bottom"/>
          </w:tcPr>
          <w:p>
            <w:pPr>
              <w:spacing w:after="0"/>
              <w:rPr>
                <w:sz w:val="14"/>
                <w:szCs w:val="14"/>
                <w:color w:val="auto"/>
              </w:rPr>
            </w:pPr>
          </w:p>
        </w:tc>
        <w:tc>
          <w:tcPr>
            <w:tcW w:w="1680" w:type="dxa"/>
            <w:vAlign w:val="bottom"/>
            <w:gridSpan w:val="3"/>
            <w:vMerge w:val="continue"/>
          </w:tcPr>
          <w:p>
            <w:pPr>
              <w:spacing w:after="0"/>
              <w:rPr>
                <w:sz w:val="14"/>
                <w:szCs w:val="14"/>
                <w:color w:val="auto"/>
              </w:rPr>
            </w:pPr>
          </w:p>
        </w:tc>
        <w:tc>
          <w:tcPr>
            <w:tcW w:w="136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Average Grant</w:t>
            </w:r>
          </w:p>
        </w:tc>
        <w:tc>
          <w:tcPr>
            <w:tcW w:w="0" w:type="dxa"/>
            <w:vAlign w:val="bottom"/>
          </w:tcPr>
          <w:p>
            <w:pPr>
              <w:spacing w:after="0"/>
              <w:rPr>
                <w:sz w:val="1"/>
                <w:szCs w:val="1"/>
                <w:color w:val="auto"/>
              </w:rPr>
            </w:pPr>
          </w:p>
        </w:tc>
      </w:tr>
      <w:tr>
        <w:trPr>
          <w:trHeight w:val="214"/>
        </w:trPr>
        <w:tc>
          <w:tcPr>
            <w:tcW w:w="30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Price per Share</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200" w:type="dxa"/>
            <w:vAlign w:val="bottom"/>
          </w:tcPr>
          <w:p>
            <w:pPr>
              <w:spacing w:after="0"/>
              <w:rPr>
                <w:sz w:val="18"/>
                <w:szCs w:val="18"/>
                <w:color w:val="auto"/>
              </w:rPr>
            </w:pPr>
          </w:p>
        </w:tc>
        <w:tc>
          <w:tcPr>
            <w:tcW w:w="168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13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0" w:type="dxa"/>
            <w:vAlign w:val="bottom"/>
          </w:tcPr>
          <w:p>
            <w:pPr>
              <w:spacing w:after="0"/>
              <w:rPr>
                <w:sz w:val="1"/>
                <w:szCs w:val="1"/>
                <w:color w:val="auto"/>
              </w:rPr>
            </w:pPr>
          </w:p>
        </w:tc>
      </w:tr>
      <w:tr>
        <w:trPr>
          <w:trHeight w:val="209"/>
        </w:trPr>
        <w:tc>
          <w:tcPr>
            <w:tcW w:w="3060" w:type="dxa"/>
            <w:vAlign w:val="bottom"/>
          </w:tcPr>
          <w:p>
            <w:pPr>
              <w:spacing w:after="0"/>
              <w:rPr>
                <w:sz w:val="18"/>
                <w:szCs w:val="18"/>
                <w:color w:val="auto"/>
              </w:rPr>
            </w:pPr>
          </w:p>
        </w:tc>
        <w:tc>
          <w:tcPr>
            <w:tcW w:w="13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(years)</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2019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76.55</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Exercised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Forfeited</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67.38</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Expired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September 30, 2019</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51.22</w:t>
            </w:r>
          </w:p>
        </w:tc>
        <w:tc>
          <w:tcPr>
            <w:tcW w:w="100" w:type="dxa"/>
            <w:vAlign w:val="bottom"/>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0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January 1, 2020</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56.38</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Granted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26.21</w:t>
            </w:r>
          </w:p>
        </w:tc>
        <w:tc>
          <w:tcPr>
            <w:tcW w:w="0" w:type="dxa"/>
            <w:vAlign w:val="bottom"/>
          </w:tcPr>
          <w:p>
            <w:pPr>
              <w:spacing w:after="0"/>
              <w:rPr>
                <w:sz w:val="1"/>
                <w:szCs w:val="1"/>
                <w:color w:val="auto"/>
              </w:rPr>
            </w:pPr>
          </w:p>
        </w:tc>
      </w:tr>
      <w:tr>
        <w:trPr>
          <w:trHeight w:val="213"/>
        </w:trPr>
        <w:tc>
          <w:tcPr>
            <w:tcW w:w="3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Exercised</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50.90</w:t>
            </w: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September 30, 2020</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61.30</w:t>
            </w:r>
          </w:p>
        </w:tc>
        <w:tc>
          <w:tcPr>
            <w:tcW w:w="100" w:type="dxa"/>
            <w:vAlign w:val="bottom"/>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0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Exercisable, September 30, 2020</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52.68</w:t>
            </w:r>
          </w:p>
        </w:tc>
        <w:tc>
          <w:tcPr>
            <w:tcW w:w="100" w:type="dxa"/>
            <w:vAlign w:val="bottom"/>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September 30, 2020, total unrecognized stock-based compensation expense related to nonvested stock options was $3.0 million, which is expected to be recognized over a weighted average period of approximately 2.0 years.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assumptions used to estimate the fair value of stock options granted and the resulting weighted average fair value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3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tcBorders>
              <w:bottom w:val="single" w:sz="8" w:color="auto"/>
            </w:tcBorders>
            <w:gridSpan w:val="3"/>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16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9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2019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17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41.5 %</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31.7 %</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32.1 %</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31.7 %</w:t>
            </w:r>
          </w:p>
        </w:tc>
      </w:tr>
      <w:tr>
        <w:trPr>
          <w:trHeight w:val="213"/>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19"/>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term (years)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bl>
    <w:p>
      <w:pPr>
        <w:spacing w:after="0" w:line="200" w:lineRule="exact"/>
        <w:rPr>
          <w:sz w:val="20"/>
          <w:szCs w:val="20"/>
          <w:color w:val="auto"/>
        </w:rPr>
      </w:pPr>
    </w:p>
    <w:p>
      <w:pPr>
        <w:spacing w:after="0" w:line="3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2200" w:type="dxa"/>
            <w:vAlign w:val="bottom"/>
            <w:vMerge w:val="restart"/>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340" w:type="dxa"/>
            <w:vAlign w:val="bottom"/>
          </w:tcPr>
          <w:p>
            <w:pPr>
              <w:spacing w:after="0"/>
              <w:rPr>
                <w:sz w:val="16"/>
                <w:szCs w:val="16"/>
                <w:color w:val="auto"/>
              </w:rPr>
            </w:pPr>
          </w:p>
        </w:tc>
        <w:tc>
          <w:tcPr>
            <w:tcW w:w="1840" w:type="dxa"/>
            <w:vAlign w:val="bottom"/>
            <w:vMerge w:val="restart"/>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fair value</w:t>
            </w:r>
          </w:p>
        </w:tc>
        <w:tc>
          <w:tcPr>
            <w:tcW w:w="2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6"/>
                <w:szCs w:val="16"/>
                <w:b w:val="1"/>
                <w:bCs w:val="1"/>
                <w:color w:val="auto"/>
              </w:rPr>
              <w:t>Average Grant</w:t>
            </w:r>
          </w:p>
        </w:tc>
        <w:tc>
          <w:tcPr>
            <w:tcW w:w="34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400" w:type="dxa"/>
            <w:vAlign w:val="bottom"/>
            <w:vMerge w:val="continue"/>
          </w:tcPr>
          <w:p>
            <w:pPr>
              <w:spacing w:after="0"/>
              <w:rPr>
                <w:sz w:val="18"/>
                <w:szCs w:val="18"/>
                <w:color w:val="auto"/>
              </w:rPr>
            </w:pPr>
          </w:p>
        </w:tc>
        <w:tc>
          <w:tcPr>
            <w:tcW w:w="22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Restricted Stock Units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340" w:type="dxa"/>
            <w:vAlign w:val="bottom"/>
          </w:tcPr>
          <w:p>
            <w:pPr>
              <w:spacing w:after="0"/>
              <w:rPr>
                <w:sz w:val="18"/>
                <w:szCs w:val="18"/>
                <w:color w:val="auto"/>
              </w:rPr>
            </w:pPr>
          </w:p>
        </w:tc>
        <w:tc>
          <w:tcPr>
            <w:tcW w:w="18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0" w:type="dxa"/>
            <w:vAlign w:val="bottom"/>
          </w:tcPr>
          <w:p>
            <w:pPr>
              <w:spacing w:after="0"/>
              <w:rPr>
                <w:sz w:val="1"/>
                <w:szCs w:val="1"/>
                <w:color w:val="auto"/>
              </w:rPr>
            </w:pPr>
          </w:p>
        </w:tc>
      </w:tr>
      <w:tr>
        <w:trPr>
          <w:trHeight w:val="211"/>
        </w:trPr>
        <w:tc>
          <w:tcPr>
            <w:tcW w:w="4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2019</w:t>
            </w: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Granted</w:t>
            </w: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 xml:space="preserve">Released </w:t>
            </w:r>
            <w:r>
              <w:rPr>
                <w:rFonts w:ascii="Times New Roman" w:cs="Times New Roman" w:eastAsia="Times New Roman" w:hAnsi="Times New Roman"/>
                <w:sz w:val="21"/>
                <w:szCs w:val="21"/>
                <w:color w:val="auto"/>
                <w:vertAlign w:val="superscript"/>
              </w:rPr>
              <w:t>(1)</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26,852</w:t>
            </w: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Forfeited</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September 30, 2019</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January 1, 2020</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Granted</w:t>
            </w: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 xml:space="preserve">Released </w:t>
            </w:r>
            <w:r>
              <w:rPr>
                <w:rFonts w:ascii="Times New Roman" w:cs="Times New Roman" w:eastAsia="Times New Roman" w:hAnsi="Times New Roman"/>
                <w:sz w:val="21"/>
                <w:szCs w:val="21"/>
                <w:color w:val="auto"/>
                <w:vertAlign w:val="superscript"/>
              </w:rPr>
              <w:t>(1)</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21,947</w:t>
            </w: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Forfeited</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69.12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September 30, 2020</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but not released, September 30, 2020</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Shares released is presented gross of shares netted for employee payroll tax obligations.</w:t>
      </w:r>
    </w:p>
    <w:p>
      <w:pPr>
        <w:spacing w:after="0" w:line="23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At September 30, 2020, total unrecognized compensation expense on restricted stock units was $31.8 million, which is expected to be recognized over a weighted average period of approximately 1.8 years.</w:t>
      </w:r>
    </w:p>
    <w:p>
      <w:pPr>
        <w:spacing w:after="0" w:line="18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weighted average assumptions used to estimate the fair value of performance-based restricted stock units granted with a service and market condition and the resulting weighted average fair value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20" w:type="dxa"/>
            <w:vAlign w:val="bottom"/>
          </w:tcPr>
          <w:p>
            <w:pPr>
              <w:spacing w:after="0"/>
              <w:rPr>
                <w:sz w:val="18"/>
                <w:szCs w:val="18"/>
                <w:color w:val="auto"/>
              </w:rPr>
            </w:pPr>
          </w:p>
        </w:tc>
        <w:tc>
          <w:tcPr>
            <w:tcW w:w="3600" w:type="dxa"/>
            <w:vAlign w:val="bottom"/>
            <w:gridSpan w:val="6"/>
          </w:tcPr>
          <w:p>
            <w:pPr>
              <w:ind w:left="5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40" w:type="dxa"/>
            <w:vAlign w:val="bottom"/>
          </w:tcPr>
          <w:p>
            <w:pPr>
              <w:spacing w:after="0"/>
              <w:rPr>
                <w:sz w:val="18"/>
                <w:szCs w:val="18"/>
                <w:color w:val="auto"/>
              </w:rPr>
            </w:pPr>
          </w:p>
        </w:tc>
        <w:tc>
          <w:tcPr>
            <w:tcW w:w="3180" w:type="dxa"/>
            <w:vAlign w:val="bottom"/>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12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31.4 %</w:t>
            </w:r>
          </w:p>
        </w:tc>
      </w:tr>
      <w:tr>
        <w:trPr>
          <w:trHeight w:val="213"/>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r>
      <w:tr>
        <w:trPr>
          <w:trHeight w:val="21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term (years)</w:t>
            </w: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56"/>
        </w:trPr>
        <w:tc>
          <w:tcPr>
            <w:tcW w:w="4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fair value</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61.45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72.18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93.05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determine the interim tax benefit (provision) by applying an estimate of the annual effective tax rate to the year-to-date pretax book income (loss) and adjusting for discrete items during the reporting period, if any. Tax jurisdictions with losses for which tax benefits cannot be realized are excluded.</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tax rate for the three and nine months ended September 30, 2020 of 32% and 0%, respectively, differed from the federal statutory rate of 21% primarily due to a significant loss recognized in the second quarter for the divestiture of the majority of our Latin American business activities. Refer to "Note 17: Sale of Business" for additional information on the transaction. This loss was recognized for tax as a discrete item in the second quarter and resulted in no tax benefit. A discrete tax benefit was recorded in the third quarter for $10.1 million related to the release of a valuation allowance on U.S. foreign tax credit deferred tax assets. This release was triggered by the carryforward of tax attributes due to the filing of amended tax returns in the third quarter. Other rate drivers include losses in jurisdictions for which no benefit is recognized because of valuation allowances on deferred tax assets, the forecasted mix of earnings in domestic and international jurisdictions, a benefit related to excess stock-based compensation, and uncertain tax positions.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tax rate for the three and nine months ended September 30, 2019 of 25% and 35%, respectively, differed from the federal statutory rate of 21% primarily due to losses in jurisdictions for which no benefit is recognized because of valuation allowances on deferred tax assets as well as the forecasted mix of earnings in domestic and international jurisdictions, a benefit related to excess stock-based compensation, and uncertain tax positions.</w:t>
      </w:r>
    </w:p>
    <w:p>
      <w:pPr>
        <w:spacing w:after="0" w:line="20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classify interest expense and penalties related to unrecognized tax liabilities and interest income on tax overpayments as components of income tax expense. The net interest and penalties expense amounts recognized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80" w:type="dxa"/>
            <w:vAlign w:val="bottom"/>
          </w:tcPr>
          <w:p>
            <w:pPr>
              <w:spacing w:after="0"/>
              <w:rPr>
                <w:sz w:val="18"/>
                <w:szCs w:val="18"/>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00" w:type="dxa"/>
            <w:vAlign w:val="bottom"/>
            <w:tcBorders>
              <w:bottom w:val="single" w:sz="8" w:color="auto"/>
            </w:tcBorders>
          </w:tcPr>
          <w:p>
            <w:pPr>
              <w:spacing w:after="0"/>
              <w:rPr>
                <w:sz w:val="18"/>
                <w:szCs w:val="18"/>
                <w:color w:val="auto"/>
              </w:rPr>
            </w:pPr>
          </w:p>
        </w:tc>
      </w:tr>
      <w:tr>
        <w:trPr>
          <w:trHeight w:val="214"/>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400" w:type="dxa"/>
            <w:vAlign w:val="bottom"/>
            <w:tcBorders>
              <w:bottom w:val="single" w:sz="8" w:color="auto"/>
            </w:tcBorders>
          </w:tcPr>
          <w:p>
            <w:pPr>
              <w:spacing w:after="0"/>
              <w:rPr>
                <w:sz w:val="18"/>
                <w:szCs w:val="18"/>
                <w:color w:val="auto"/>
              </w:rPr>
            </w:pPr>
          </w:p>
        </w:tc>
      </w:tr>
      <w:tr>
        <w:trPr>
          <w:trHeight w:val="211"/>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and penalties expense</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 and penalties recognized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4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2019</w:t>
            </w:r>
          </w:p>
        </w:tc>
      </w:tr>
      <w:tr>
        <w:trPr>
          <w:trHeight w:val="213"/>
        </w:trPr>
        <w:tc>
          <w:tcPr>
            <w:tcW w:w="3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w:t>
            </w:r>
          </w:p>
        </w:tc>
        <w:tc>
          <w:tcPr>
            <w:tcW w:w="30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2,849</w:t>
            </w:r>
          </w:p>
        </w:tc>
      </w:tr>
      <w:tr>
        <w:trPr>
          <w:trHeight w:val="210"/>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penalties</w:t>
            </w:r>
          </w:p>
        </w:tc>
        <w:tc>
          <w:tcPr>
            <w:tcW w:w="30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w:t>
            </w:r>
          </w:p>
        </w:tc>
      </w:tr>
    </w:tbl>
    <w:p>
      <w:pPr>
        <w:spacing w:after="0" w:line="338"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Unrecognized tax benefits related to uncertain tax positions and the amount of unrecognized tax benefits that, if recognized, would affect our effective tax rate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4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2019</w:t>
            </w:r>
          </w:p>
        </w:tc>
      </w:tr>
      <w:tr>
        <w:trPr>
          <w:trHeight w:val="213"/>
        </w:trPr>
        <w:tc>
          <w:tcPr>
            <w:tcW w:w="6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Unrecognized tax benefits related to uncertain tax positions</w:t>
            </w:r>
          </w:p>
        </w:tc>
        <w:tc>
          <w:tcPr>
            <w:tcW w:w="5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125,743</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121,715</w:t>
            </w:r>
          </w:p>
        </w:tc>
      </w:tr>
      <w:tr>
        <w:trPr>
          <w:trHeight w:val="210"/>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amount of unrecognized tax benefits that, if recognized, would affect our effective tax rate</w:t>
            </w:r>
          </w:p>
        </w:tc>
        <w:tc>
          <w:tcPr>
            <w:tcW w:w="5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124,362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120,410</w:t>
            </w:r>
          </w:p>
        </w:tc>
      </w:tr>
    </w:tbl>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2020,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cash flows.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upon the timing and outcome of examinations, litigation, the impact of legislative, regulatory, and judicial developments, and the impact of these items on the statute of limitations, it is reasonably possible that the related unrecognized tax benefits could change from those recognized within the next twelve months. However, at this time, an estimate of the range of reasonably possible adjustments to the balance of unrecognized tax benefits cannot be made.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file income tax returns in various jurisdictions. The material jurisdictions where we are subject to examination include, among others, the United States, France, Germany, Italy, and the United Kingdom.</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27, 2020, the U.S. Federal government passed the Coronavirus Aid, Relief, and Economic Security (CARES) Act to provide economic relief from COVID-19. The CARES Act contains significant business tax provisions, which the Company has evaluated and determined will not have a material impact on the Company's financial statements or related disclosures.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CARES Act also provides employer payroll tax credits for wages paid to employees who are unable to work during the COVID-19 outbreak and options to defer payroll tax payments. The Company has elected to defer remittances of payroll and other taxes into the future as provided for under the Act, and may assess in subsequent quarters the impact and availability of payroll tax credits from the U.S. and similar programs provided for by foreign governments, as applicable.</w:t>
      </w:r>
    </w:p>
    <w:p>
      <w:pPr>
        <w:spacing w:after="0" w:line="20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11:</w:t>
        <w:tab/>
        <w:t>Commitments and Contingencies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Guarantees and Indemnifications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often required to obtain standby letters of credit (LOCs) or bonds in support of our obligations for customer contracts. These standby LOCs or bonds typically provide a guarantee to the customer for our future performance, which usually covers the installation phase of a contract and may, on occasion, cover the operations and maintenance phase of outsourcing contracts.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available lines of credit, outstanding standby LOCs, and bonds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2019</w:t>
            </w:r>
          </w:p>
        </w:tc>
      </w:tr>
      <w:tr>
        <w:trPr>
          <w:trHeight w:val="210"/>
        </w:trPr>
        <w:tc>
          <w:tcPr>
            <w:tcW w:w="6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Credit facility</w:t>
            </w: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19"/>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13"/>
        </w:trPr>
        <w:tc>
          <w:tcPr>
            <w:tcW w:w="6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Long-term borrowings</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Standby LOCs issued and outstanding</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(66,775)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(41,072)</w:t>
            </w:r>
          </w:p>
        </w:tc>
      </w:tr>
      <w:tr>
        <w:trPr>
          <w:trHeight w:val="207"/>
        </w:trPr>
        <w:tc>
          <w:tcPr>
            <w:tcW w:w="67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available for additional borrowings under the multi-currency revolving line of credit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33,225</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458,928</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26"/>
        </w:trPr>
        <w:tc>
          <w:tcPr>
            <w:tcW w:w="6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13"/>
        </w:trPr>
        <w:tc>
          <w:tcPr>
            <w:tcW w:w="6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available for additional standby LOCs under sub-facility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33,225</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258,928</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26"/>
        </w:trPr>
        <w:tc>
          <w:tcPr>
            <w:tcW w:w="6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Unsecured multicurrency revolving lines of credit with various financial institutions</w:t>
            </w: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9"/>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Multicurrency revolving lines of credit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107,206</w:t>
            </w:r>
          </w:p>
        </w:tc>
      </w:tr>
      <w:tr>
        <w:trPr>
          <w:trHeight w:val="213"/>
        </w:trPr>
        <w:tc>
          <w:tcPr>
            <w:tcW w:w="6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Standby LOCs issued and outstanding</w:t>
            </w: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(25,100)</w:t>
            </w:r>
          </w:p>
        </w:tc>
      </w:tr>
      <w:tr>
        <w:trPr>
          <w:trHeight w:val="219"/>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Short-term borrowings</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07"/>
        </w:trPr>
        <w:tc>
          <w:tcPr>
            <w:tcW w:w="67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Net available for additional borrowings and LOCs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78,777</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81,933</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26"/>
        </w:trPr>
        <w:tc>
          <w:tcPr>
            <w:tcW w:w="6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Unsecured surety bonds in force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162,324</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136,004</w:t>
            </w:r>
          </w:p>
        </w:tc>
      </w:tr>
      <w:tr>
        <w:trPr>
          <w:trHeight w:val="23"/>
        </w:trPr>
        <w:tc>
          <w:tcPr>
            <w:tcW w:w="6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bl>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any such standby LOC or bond is called, we would be obligated to reimburse the issuer of the standby LOC or bond; however, as of November 2, 2020, we do not believe that any outstanding LOC or bond will be called.</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would be recognized and charged to operating expense when we determine that a loss is probable and the amount can be reasonably estimated. Additionally, we disclose contingencies for which a material loss is reasonably possible, but not probable.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warranty accrual account activity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44,757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60,443</w:t>
            </w:r>
          </w:p>
        </w:tc>
      </w:tr>
      <w:tr>
        <w:trPr>
          <w:trHeight w:val="213"/>
        </w:trPr>
        <w:tc>
          <w:tcPr>
            <w:tcW w:w="4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New product warranties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3,645</w:t>
            </w:r>
          </w:p>
        </w:tc>
      </w:tr>
      <w:tr>
        <w:trPr>
          <w:trHeight w:val="219"/>
        </w:trPr>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adjustments and expirations, net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12,533</w:t>
            </w:r>
          </w:p>
        </w:tc>
      </w:tr>
      <w:tr>
        <w:trPr>
          <w:trHeight w:val="213"/>
        </w:trPr>
        <w:tc>
          <w:tcPr>
            <w:tcW w:w="4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Claims activity</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(21,970)</w:t>
            </w:r>
          </w:p>
        </w:tc>
      </w:tr>
      <w:tr>
        <w:trPr>
          <w:trHeight w:val="219"/>
        </w:trPr>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w:t>
            </w:r>
          </w:p>
        </w:tc>
      </w:tr>
      <w:tr>
        <w:trPr>
          <w:trHeight w:val="207"/>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43,087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53,882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43,087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53,882</w:t>
            </w:r>
          </w:p>
        </w:tc>
      </w:tr>
      <w:tr>
        <w:trPr>
          <w:trHeight w:val="21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warranty</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32,118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38,018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32,118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38,018</w:t>
            </w:r>
          </w:p>
        </w:tc>
      </w:tr>
      <w:tr>
        <w:trPr>
          <w:trHeight w:val="212"/>
        </w:trPr>
        <w:tc>
          <w:tcPr>
            <w:tcW w:w="4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Long-term warranty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15,864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15,864</w:t>
            </w:r>
          </w:p>
        </w:tc>
      </w:tr>
      <w:tr>
        <w:trPr>
          <w:trHeight w:val="21"/>
        </w:trPr>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Total warranty expense is classified within cost of revenues and consists of new product warranties issued, costs related to insurance and supplier recoveries, other changes and adjustments to warranties, and customer claims. Warranty expense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tcBorders>
              <w:bottom w:val="single" w:sz="8" w:color="auto"/>
            </w:tcBorders>
            <w:gridSpan w:val="5"/>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warranty expense</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5,991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13,957</w:t>
            </w:r>
          </w:p>
        </w:tc>
      </w:tr>
    </w:tbl>
    <w:p>
      <w:pPr>
        <w:spacing w:after="0" w:line="32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12:</w:t>
        <w:tab/>
        <w:t>Restructuring</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2020 Projects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September 17, 2020, our Board of Directors approved a restructuring plan (the 2020 Projects). The 2020 Projects include activities that continue our efforts to optimize our global supply chain and manufacturing operations, sales and marketing organizations, and other overhead. These projects are scheduled to be substantially complete by the end of 2022. We estimate pre-tax restructuring charges of $55 million to $65 million, of which approximately $35 million to $45 million will result in cash expenditures, and the remainder relates to non-cash charges. Of the total expected costs, $43.9 million was recognized in the third quarter of 2020. The largest component of expected remaining costs to be recognized is related to a non-cash cumulative translation adjustment charge. Many of the affected employees are represented by unions or works councils, which require consultation, and potential restructuring projects may be subject to regulatory approval, both of which could impact the timing of charges, total expected charges, cost recognized, and planned savings in certain jurisdictions.</w:t>
      </w:r>
    </w:p>
    <w:p>
      <w:pPr>
        <w:spacing w:after="0" w:line="22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total expected restructuring costs, the restructuring costs recognized, and the remaining expected restructuring costs related to the 2020 Projects were as follows:</w:t>
      </w:r>
    </w:p>
    <w:tbl>
      <w:tblPr>
        <w:tblLayout w:type="fixed"/>
        <w:tblInd w:w="0" w:type="dxa"/>
        <w:tblCellMar>
          <w:top w:w="0" w:type="dxa"/>
          <w:left w:w="0" w:type="dxa"/>
          <w:bottom w:w="0" w:type="dxa"/>
          <w:right w:w="0" w:type="dxa"/>
        </w:tblCellMar>
      </w:tblPr>
      <w:tr>
        <w:trPr>
          <w:trHeight w:val="165"/>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Total Expected Costs at</w:t>
            </w:r>
          </w:p>
        </w:tc>
        <w:tc>
          <w:tcPr>
            <w:tcW w:w="20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Costs Recognized in Prior</w:t>
            </w:r>
          </w:p>
        </w:tc>
        <w:tc>
          <w:tcPr>
            <w:tcW w:w="2100" w:type="dxa"/>
            <w:vAlign w:val="bottom"/>
            <w:gridSpan w:val="3"/>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Cost Recognized During the</w:t>
            </w:r>
          </w:p>
        </w:tc>
        <w:tc>
          <w:tcPr>
            <w:tcW w:w="198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Expected Remaining Costs</w:t>
            </w:r>
          </w:p>
        </w:tc>
        <w:tc>
          <w:tcPr>
            <w:tcW w:w="0" w:type="dxa"/>
            <w:vAlign w:val="bottom"/>
          </w:tcPr>
          <w:p>
            <w:pPr>
              <w:spacing w:after="0"/>
              <w:rPr>
                <w:sz w:val="1"/>
                <w:szCs w:val="1"/>
                <w:color w:val="auto"/>
              </w:rPr>
            </w:pPr>
          </w:p>
        </w:tc>
      </w:tr>
      <w:tr>
        <w:trPr>
          <w:trHeight w:val="162"/>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6"/>
                <w:szCs w:val="16"/>
                <w:b w:val="1"/>
                <w:bCs w:val="1"/>
                <w:color w:val="auto"/>
              </w:rPr>
              <w:t>Nine Months Ended</w:t>
            </w:r>
          </w:p>
        </w:tc>
        <w:tc>
          <w:tcPr>
            <w:tcW w:w="200" w:type="dxa"/>
            <w:vAlign w:val="bottom"/>
          </w:tcPr>
          <w:p>
            <w:pPr>
              <w:spacing w:after="0"/>
              <w:rPr>
                <w:sz w:val="14"/>
                <w:szCs w:val="14"/>
                <w:color w:val="auto"/>
              </w:rPr>
            </w:pPr>
          </w:p>
        </w:tc>
        <w:tc>
          <w:tcPr>
            <w:tcW w:w="1780" w:type="dxa"/>
            <w:vAlign w:val="bottom"/>
          </w:tcPr>
          <w:p>
            <w:pPr>
              <w:jc w:val="right"/>
              <w:ind w:right="239"/>
              <w:spacing w:after="0" w:line="162" w:lineRule="exact"/>
              <w:rPr>
                <w:sz w:val="20"/>
                <w:szCs w:val="20"/>
                <w:color w:val="auto"/>
              </w:rPr>
            </w:pPr>
            <w:r>
              <w:rPr>
                <w:rFonts w:ascii="Times New Roman" w:cs="Times New Roman" w:eastAsia="Times New Roman" w:hAnsi="Times New Roman"/>
                <w:sz w:val="16"/>
                <w:szCs w:val="16"/>
                <w:b w:val="1"/>
                <w:bCs w:val="1"/>
                <w:color w:val="auto"/>
              </w:rPr>
              <w:t>to be Recognized at</w:t>
            </w:r>
          </w:p>
        </w:tc>
        <w:tc>
          <w:tcPr>
            <w:tcW w:w="0" w:type="dxa"/>
            <w:vAlign w:val="bottom"/>
          </w:tcPr>
          <w:p>
            <w:pPr>
              <w:spacing w:after="0"/>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400" w:type="dxa"/>
            <w:vAlign w:val="bottom"/>
          </w:tcPr>
          <w:p>
            <w:pPr>
              <w:spacing w:after="0"/>
              <w:rPr>
                <w:sz w:val="18"/>
                <w:szCs w:val="18"/>
                <w:color w:val="auto"/>
              </w:rPr>
            </w:pPr>
          </w:p>
        </w:tc>
        <w:tc>
          <w:tcPr>
            <w:tcW w:w="168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Periods</w:t>
            </w:r>
          </w:p>
        </w:tc>
        <w:tc>
          <w:tcPr>
            <w:tcW w:w="200" w:type="dxa"/>
            <w:vAlign w:val="bottom"/>
          </w:tcPr>
          <w:p>
            <w:pPr>
              <w:spacing w:after="0"/>
              <w:rPr>
                <w:sz w:val="18"/>
                <w:szCs w:val="18"/>
                <w:color w:val="auto"/>
              </w:rPr>
            </w:pP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200" w:type="dxa"/>
            <w:vAlign w:val="bottom"/>
          </w:tcPr>
          <w:p>
            <w:pPr>
              <w:spacing w:after="0"/>
              <w:rPr>
                <w:sz w:val="18"/>
                <w:szCs w:val="18"/>
                <w:color w:val="auto"/>
              </w:rPr>
            </w:pPr>
          </w:p>
        </w:tc>
        <w:tc>
          <w:tcPr>
            <w:tcW w:w="17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0" w:type="dxa"/>
            <w:vAlign w:val="bottom"/>
          </w:tcPr>
          <w:p>
            <w:pPr>
              <w:spacing w:after="0"/>
              <w:rPr>
                <w:sz w:val="1"/>
                <w:szCs w:val="1"/>
                <w:color w:val="auto"/>
              </w:rPr>
            </w:pPr>
          </w:p>
        </w:tc>
      </w:tr>
      <w:tr>
        <w:trPr>
          <w:trHeight w:val="211"/>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severance costs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36,625</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36,625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Asset impairments &amp; net loss (gain) on sale</w:t>
            </w:r>
          </w:p>
        </w:tc>
        <w:tc>
          <w:tcPr>
            <w:tcW w:w="120" w:type="dxa"/>
            <w:vAlign w:val="bottom"/>
          </w:tcPr>
          <w:p>
            <w:pPr>
              <w:spacing w:after="0"/>
              <w:rPr>
                <w:sz w:val="14"/>
                <w:szCs w:val="14"/>
                <w:color w:val="auto"/>
              </w:rPr>
            </w:pP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7,240</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gridSpan w:val="2"/>
            <w:vMerge w:val="restart"/>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7,240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or disposal</w:t>
            </w:r>
          </w:p>
        </w:tc>
        <w:tc>
          <w:tcPr>
            <w:tcW w:w="12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restructuring costs</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16,508</w:t>
            </w:r>
          </w:p>
        </w:tc>
        <w:tc>
          <w:tcPr>
            <w:tcW w:w="0" w:type="dxa"/>
            <w:vAlign w:val="bottom"/>
          </w:tcPr>
          <w:p>
            <w:pPr>
              <w:spacing w:after="0"/>
              <w:rPr>
                <w:sz w:val="1"/>
                <w:szCs w:val="1"/>
                <w:color w:val="auto"/>
              </w:rPr>
            </w:pPr>
          </w:p>
        </w:tc>
      </w:tr>
      <w:tr>
        <w:trPr>
          <w:trHeight w:val="210"/>
        </w:trPr>
        <w:tc>
          <w:tcPr>
            <w:tcW w:w="3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60,373</w:t>
            </w:r>
          </w:p>
        </w:tc>
        <w:tc>
          <w:tcPr>
            <w:tcW w:w="12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bottom w:val="single" w:sz="8" w:color="auto"/>
            </w:tcBorders>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43,865</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16,508</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2018 Projects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22, 2018, our Board of Directors approved a restructuring plan (the 2018 Projects) to continue our efforts to optimize our global supply chain and manufacturing operations, research and development, and sales and marketing organizations. We expect to substantially complete expense recognition on the plan by the end of 2020. Many of the affected employees are represented by unions or works councils, which require consultation, and potential restructuring projects may be subject to regulatory approval, both of which could impact the timing of charges, total expected charges, cost recognized, and planned savings in certain jurisdictions. All prior restructuring plans are substantially complete and are not presented below.</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2020, we reversed expenses for employee severance costs and asset impairments we will no longer incur as a result of selling our operations in Latin America.</w:t>
      </w:r>
    </w:p>
    <w:p>
      <w:pPr>
        <w:spacing w:after="0" w:line="18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total expected restructuring costs, the restructuring costs recognized, and the remaining expected restructuring costs related to the 2018 Projects were as follows:</w:t>
      </w:r>
    </w:p>
    <w:tbl>
      <w:tblPr>
        <w:tblLayout w:type="fixed"/>
        <w:tblInd w:w="0" w:type="dxa"/>
        <w:tblCellMar>
          <w:top w:w="0" w:type="dxa"/>
          <w:left w:w="0" w:type="dxa"/>
          <w:bottom w:w="0" w:type="dxa"/>
          <w:right w:w="0" w:type="dxa"/>
        </w:tblCellMar>
      </w:tblPr>
      <w:tr>
        <w:trPr>
          <w:trHeight w:val="165"/>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Total Expected Costs at</w:t>
            </w:r>
          </w:p>
        </w:tc>
        <w:tc>
          <w:tcPr>
            <w:tcW w:w="20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Costs Recognized in Prior</w:t>
            </w:r>
          </w:p>
        </w:tc>
        <w:tc>
          <w:tcPr>
            <w:tcW w:w="2100" w:type="dxa"/>
            <w:vAlign w:val="bottom"/>
            <w:gridSpan w:val="3"/>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Cost Recognized During the</w:t>
            </w:r>
          </w:p>
        </w:tc>
        <w:tc>
          <w:tcPr>
            <w:tcW w:w="198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Expected Remaining Costs</w:t>
            </w:r>
          </w:p>
        </w:tc>
        <w:tc>
          <w:tcPr>
            <w:tcW w:w="0" w:type="dxa"/>
            <w:vAlign w:val="bottom"/>
          </w:tcPr>
          <w:p>
            <w:pPr>
              <w:spacing w:after="0"/>
              <w:rPr>
                <w:sz w:val="1"/>
                <w:szCs w:val="1"/>
                <w:color w:val="auto"/>
              </w:rPr>
            </w:pPr>
          </w:p>
        </w:tc>
      </w:tr>
      <w:tr>
        <w:trPr>
          <w:trHeight w:val="162"/>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6"/>
                <w:szCs w:val="16"/>
                <w:b w:val="1"/>
                <w:bCs w:val="1"/>
                <w:color w:val="auto"/>
              </w:rPr>
              <w:t>Nine Months Ended</w:t>
            </w:r>
          </w:p>
        </w:tc>
        <w:tc>
          <w:tcPr>
            <w:tcW w:w="200" w:type="dxa"/>
            <w:vAlign w:val="bottom"/>
          </w:tcPr>
          <w:p>
            <w:pPr>
              <w:spacing w:after="0"/>
              <w:rPr>
                <w:sz w:val="14"/>
                <w:szCs w:val="14"/>
                <w:color w:val="auto"/>
              </w:rPr>
            </w:pPr>
          </w:p>
        </w:tc>
        <w:tc>
          <w:tcPr>
            <w:tcW w:w="1780" w:type="dxa"/>
            <w:vAlign w:val="bottom"/>
          </w:tcPr>
          <w:p>
            <w:pPr>
              <w:jc w:val="right"/>
              <w:ind w:right="239"/>
              <w:spacing w:after="0" w:line="162" w:lineRule="exact"/>
              <w:rPr>
                <w:sz w:val="20"/>
                <w:szCs w:val="20"/>
                <w:color w:val="auto"/>
              </w:rPr>
            </w:pPr>
            <w:r>
              <w:rPr>
                <w:rFonts w:ascii="Times New Roman" w:cs="Times New Roman" w:eastAsia="Times New Roman" w:hAnsi="Times New Roman"/>
                <w:sz w:val="16"/>
                <w:szCs w:val="16"/>
                <w:b w:val="1"/>
                <w:bCs w:val="1"/>
                <w:color w:val="auto"/>
              </w:rPr>
              <w:t>to be Recognized at</w:t>
            </w:r>
          </w:p>
        </w:tc>
        <w:tc>
          <w:tcPr>
            <w:tcW w:w="0" w:type="dxa"/>
            <w:vAlign w:val="bottom"/>
          </w:tcPr>
          <w:p>
            <w:pPr>
              <w:spacing w:after="0"/>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400" w:type="dxa"/>
            <w:vAlign w:val="bottom"/>
          </w:tcPr>
          <w:p>
            <w:pPr>
              <w:spacing w:after="0"/>
              <w:rPr>
                <w:sz w:val="18"/>
                <w:szCs w:val="18"/>
                <w:color w:val="auto"/>
              </w:rPr>
            </w:pPr>
          </w:p>
        </w:tc>
        <w:tc>
          <w:tcPr>
            <w:tcW w:w="168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Periods</w:t>
            </w:r>
          </w:p>
        </w:tc>
        <w:tc>
          <w:tcPr>
            <w:tcW w:w="200" w:type="dxa"/>
            <w:vAlign w:val="bottom"/>
          </w:tcPr>
          <w:p>
            <w:pPr>
              <w:spacing w:after="0"/>
              <w:rPr>
                <w:sz w:val="18"/>
                <w:szCs w:val="18"/>
                <w:color w:val="auto"/>
              </w:rPr>
            </w:pP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200" w:type="dxa"/>
            <w:vAlign w:val="bottom"/>
          </w:tcPr>
          <w:p>
            <w:pPr>
              <w:spacing w:after="0"/>
              <w:rPr>
                <w:sz w:val="18"/>
                <w:szCs w:val="18"/>
                <w:color w:val="auto"/>
              </w:rPr>
            </w:pPr>
          </w:p>
        </w:tc>
        <w:tc>
          <w:tcPr>
            <w:tcW w:w="17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0" w:type="dxa"/>
            <w:vAlign w:val="bottom"/>
          </w:tcPr>
          <w:p>
            <w:pPr>
              <w:spacing w:after="0"/>
              <w:rPr>
                <w:sz w:val="1"/>
                <w:szCs w:val="1"/>
                <w:color w:val="auto"/>
              </w:rPr>
            </w:pPr>
          </w:p>
        </w:tc>
      </w:tr>
      <w:tr>
        <w:trPr>
          <w:trHeight w:val="211"/>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severance costs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67,663</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72,133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Asset impairments &amp; net loss (gain) on sale</w:t>
            </w:r>
          </w:p>
        </w:tc>
        <w:tc>
          <w:tcPr>
            <w:tcW w:w="120" w:type="dxa"/>
            <w:vAlign w:val="bottom"/>
          </w:tcPr>
          <w:p>
            <w:pPr>
              <w:spacing w:after="0"/>
              <w:rPr>
                <w:sz w:val="14"/>
                <w:szCs w:val="14"/>
                <w:color w:val="auto"/>
              </w:rPr>
            </w:pP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3,120</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3,842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or disposal</w:t>
            </w:r>
          </w:p>
        </w:tc>
        <w:tc>
          <w:tcPr>
            <w:tcW w:w="12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restructuring costs</w:t>
            </w:r>
          </w:p>
        </w:tc>
        <w:tc>
          <w:tcPr>
            <w:tcW w:w="1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21,163</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6,885</w:t>
            </w:r>
          </w:p>
        </w:tc>
        <w:tc>
          <w:tcPr>
            <w:tcW w:w="0" w:type="dxa"/>
            <w:vAlign w:val="bottom"/>
          </w:tcPr>
          <w:p>
            <w:pPr>
              <w:spacing w:after="0"/>
              <w:rPr>
                <w:sz w:val="1"/>
                <w:szCs w:val="1"/>
                <w:color w:val="auto"/>
              </w:rPr>
            </w:pPr>
          </w:p>
        </w:tc>
      </w:tr>
      <w:tr>
        <w:trPr>
          <w:trHeight w:val="212"/>
        </w:trPr>
        <w:tc>
          <w:tcPr>
            <w:tcW w:w="3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91,946</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87,395</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6,885</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activity within the restructuring related balance sheet accounts for the 2020 Projects and 2018 Projects during the nine months ended September 30, 2020:</w:t>
      </w:r>
    </w:p>
    <w:tbl>
      <w:tblPr>
        <w:tblLayout w:type="fixed"/>
        <w:tblInd w:w="0" w:type="dxa"/>
        <w:tblCellMar>
          <w:top w:w="0" w:type="dxa"/>
          <w:left w:w="0" w:type="dxa"/>
          <w:bottom w:w="0" w:type="dxa"/>
          <w:right w:w="0" w:type="dxa"/>
        </w:tblCellMar>
      </w:tblPr>
      <w:tr>
        <w:trPr>
          <w:trHeight w:val="165"/>
        </w:trPr>
        <w:tc>
          <w:tcPr>
            <w:tcW w:w="3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Accrued Employee</w:t>
            </w:r>
          </w:p>
        </w:tc>
        <w:tc>
          <w:tcPr>
            <w:tcW w:w="100" w:type="dxa"/>
            <w:vAlign w:val="bottom"/>
          </w:tcPr>
          <w:p>
            <w:pPr>
              <w:spacing w:after="0"/>
              <w:rPr>
                <w:sz w:val="14"/>
                <w:szCs w:val="14"/>
                <w:color w:val="auto"/>
              </w:rPr>
            </w:pPr>
          </w:p>
        </w:tc>
        <w:tc>
          <w:tcPr>
            <w:tcW w:w="1980" w:type="dxa"/>
            <w:vAlign w:val="bottom"/>
            <w:gridSpan w:val="2"/>
          </w:tcPr>
          <w:p>
            <w:pPr>
              <w:jc w:val="center"/>
              <w:ind w:right="220"/>
              <w:spacing w:after="0" w:line="165" w:lineRule="exact"/>
              <w:rPr>
                <w:sz w:val="20"/>
                <w:szCs w:val="20"/>
                <w:color w:val="auto"/>
              </w:rPr>
            </w:pPr>
            <w:r>
              <w:rPr>
                <w:rFonts w:ascii="Times New Roman" w:cs="Times New Roman" w:eastAsia="Times New Roman" w:hAnsi="Times New Roman"/>
                <w:sz w:val="16"/>
                <w:szCs w:val="16"/>
                <w:b w:val="1"/>
                <w:bCs w:val="1"/>
                <w:color w:val="auto"/>
              </w:rPr>
              <w:t>Asset Impairments &amp; Net</w:t>
            </w: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Loss (Gain) on Sale or</w:t>
            </w:r>
          </w:p>
        </w:tc>
        <w:tc>
          <w:tcPr>
            <w:tcW w:w="180" w:type="dxa"/>
            <w:vAlign w:val="bottom"/>
          </w:tcPr>
          <w:p>
            <w:pPr>
              <w:spacing w:after="0"/>
              <w:rPr>
                <w:sz w:val="14"/>
                <w:szCs w:val="14"/>
                <w:color w:val="auto"/>
              </w:rPr>
            </w:pPr>
          </w:p>
        </w:tc>
        <w:tc>
          <w:tcPr>
            <w:tcW w:w="1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Other Accrued Costs</w:t>
            </w:r>
          </w:p>
        </w:tc>
        <w:tc>
          <w:tcPr>
            <w:tcW w:w="460" w:type="dxa"/>
            <w:vAlign w:val="bottom"/>
          </w:tcPr>
          <w:p>
            <w:pPr>
              <w:spacing w:after="0"/>
              <w:rPr>
                <w:sz w:val="14"/>
                <w:szCs w:val="14"/>
                <w:color w:val="auto"/>
              </w:rPr>
            </w:pPr>
          </w:p>
        </w:tc>
        <w:tc>
          <w:tcPr>
            <w:tcW w:w="1520" w:type="dxa"/>
            <w:vAlign w:val="bottom"/>
            <w:vMerge w:val="restart"/>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Severance</w:t>
            </w:r>
          </w:p>
        </w:tc>
        <w:tc>
          <w:tcPr>
            <w:tcW w:w="100" w:type="dxa"/>
            <w:vAlign w:val="bottom"/>
          </w:tcPr>
          <w:p>
            <w:pPr>
              <w:spacing w:after="0"/>
              <w:rPr>
                <w:sz w:val="18"/>
                <w:szCs w:val="18"/>
                <w:color w:val="auto"/>
              </w:rPr>
            </w:pPr>
          </w:p>
        </w:tc>
        <w:tc>
          <w:tcPr>
            <w:tcW w:w="1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Disposal</w:t>
            </w:r>
          </w:p>
        </w:tc>
        <w:tc>
          <w:tcPr>
            <w:tcW w:w="180" w:type="dxa"/>
            <w:vAlign w:val="bottom"/>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January 1, 2020</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53,741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56,107</w:t>
            </w:r>
          </w:p>
        </w:tc>
        <w:tc>
          <w:tcPr>
            <w:tcW w:w="0" w:type="dxa"/>
            <w:vAlign w:val="bottom"/>
          </w:tcPr>
          <w:p>
            <w:pPr>
              <w:spacing w:after="0"/>
              <w:rPr>
                <w:sz w:val="1"/>
                <w:szCs w:val="1"/>
                <w:color w:val="auto"/>
              </w:rPr>
            </w:pPr>
          </w:p>
        </w:tc>
      </w:tr>
      <w:tr>
        <w:trPr>
          <w:trHeight w:val="213"/>
        </w:trPr>
        <w:tc>
          <w:tcPr>
            <w:tcW w:w="3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Costs charged to expense</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41,531</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(payments) receipts</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(10,929)</w:t>
            </w:r>
          </w:p>
        </w:tc>
        <w:tc>
          <w:tcPr>
            <w:tcW w:w="0" w:type="dxa"/>
            <w:vAlign w:val="bottom"/>
          </w:tcPr>
          <w:p>
            <w:pPr>
              <w:spacing w:after="0"/>
              <w:rPr>
                <w:sz w:val="1"/>
                <w:szCs w:val="1"/>
                <w:color w:val="auto"/>
              </w:rPr>
            </w:pPr>
          </w:p>
        </w:tc>
      </w:tr>
      <w:tr>
        <w:trPr>
          <w:trHeight w:val="213"/>
        </w:trPr>
        <w:tc>
          <w:tcPr>
            <w:tcW w:w="3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assets disposed and impaired</w:t>
            </w:r>
          </w:p>
        </w:tc>
        <w:tc>
          <w:tcPr>
            <w:tcW w:w="20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(8,398)</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0" w:type="dxa"/>
            <w:vAlign w:val="bottom"/>
          </w:tcPr>
          <w:p>
            <w:pPr>
              <w:spacing w:after="0"/>
              <w:rPr>
                <w:sz w:val="1"/>
                <w:szCs w:val="1"/>
                <w:color w:val="auto"/>
              </w:rPr>
            </w:pPr>
          </w:p>
        </w:tc>
      </w:tr>
      <w:tr>
        <w:trPr>
          <w:trHeight w:val="210"/>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September 30, 2020</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77,074</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2,607</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79,681</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 impairments are determined at the asset group level. Revenues and net operating income from the activities we have exited or will exit under the restructuring projects are not material to our operating segments or consolidated results.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restructuring costs include expenses for employee relocation, professional fees associated with employee severance, and costs to exit the facilities once the operations in those facilities have ceased.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 Restructuring expense is part of the Corporate unallocated segment and is not part of the operating segments.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current portion of restructuring liabilities was $24.6 million and $18.9 million as of September 30, 2020 and December 31, 2019. The current portion of restructuring liabilities is classified within other current liabilities on the Consolidated Balance Sheets. The long-term portion of restructuring liabilities balances was $55.1 million and $37.2 million as of September 30, 2020 and December 31, 2019. The long-term portion of restructuring liabilities is classified within other long-term obligations on the Consolidated Balance Sheets and includes severance accruals and facility exit costs.</w:t>
      </w:r>
    </w:p>
    <w:p>
      <w:pPr>
        <w:spacing w:after="0" w:line="20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Shareholders' Equity</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will be entitled to be paid a preferential amount per share to be determined by the Board of Directors prior to any payment to holders of common stock. There was no preferred stock issued or outstanding at September 30, 2020 or December 31, 2019.</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 Repurchase Authorization</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March 14, 2019, Itron's Board of Directors authorized the Company to repurchase up to $50 million of our common stock over a 12-month period (the 2019 Stock Repurchase Program). Following the announcement of the program and through</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December 31, 2019, we repurchased 529,396 shares at an average share price of $47.22 (including commissions) for a total of $25 million. The program expired on March 13, 2020 and no additional shares were repurchased during 2020.</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 (Loss)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components of AOCI, net of tax,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15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Unrealized</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Net Unrealized</w:t>
            </w:r>
          </w:p>
        </w:tc>
        <w:tc>
          <w:tcPr>
            <w:tcW w:w="160" w:type="dxa"/>
            <w:vAlign w:val="bottom"/>
          </w:tcPr>
          <w:p>
            <w:pPr>
              <w:spacing w:after="0"/>
              <w:rPr>
                <w:sz w:val="16"/>
                <w:szCs w:val="16"/>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Pension Benefit</w:t>
            </w: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356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Gain (Loss) on</w:t>
            </w:r>
          </w:p>
        </w:tc>
        <w:tc>
          <w:tcPr>
            <w:tcW w:w="140" w:type="dxa"/>
            <w:vAlign w:val="bottom"/>
          </w:tcPr>
          <w:p>
            <w:pPr>
              <w:spacing w:after="0"/>
              <w:rPr>
                <w:sz w:val="14"/>
                <w:szCs w:val="14"/>
                <w:color w:val="auto"/>
              </w:rPr>
            </w:pPr>
          </w:p>
        </w:tc>
        <w:tc>
          <w:tcPr>
            <w:tcW w:w="14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Gain (Loss) on</w:t>
            </w:r>
          </w:p>
        </w:tc>
        <w:tc>
          <w:tcPr>
            <w:tcW w:w="16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4"/>
                <w:szCs w:val="14"/>
                <w:color w:val="auto"/>
              </w:rPr>
            </w:pPr>
          </w:p>
        </w:tc>
        <w:tc>
          <w:tcPr>
            <w:tcW w:w="13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40" w:type="dxa"/>
            <w:vAlign w:val="bottom"/>
          </w:tcPr>
          <w:p>
            <w:pPr>
              <w:spacing w:after="0"/>
              <w:rPr>
                <w:sz w:val="14"/>
                <w:szCs w:val="14"/>
                <w:color w:val="auto"/>
              </w:rPr>
            </w:pPr>
          </w:p>
        </w:tc>
        <w:tc>
          <w:tcPr>
            <w:tcW w:w="14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Nonderivative</w:t>
            </w:r>
          </w:p>
        </w:tc>
        <w:tc>
          <w:tcPr>
            <w:tcW w:w="16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Obligation</w:t>
            </w:r>
          </w:p>
        </w:tc>
        <w:tc>
          <w:tcPr>
            <w:tcW w:w="140" w:type="dxa"/>
            <w:vAlign w:val="bottom"/>
          </w:tcPr>
          <w:p>
            <w:pPr>
              <w:spacing w:after="0"/>
              <w:rPr>
                <w:sz w:val="14"/>
                <w:szCs w:val="14"/>
                <w:color w:val="auto"/>
              </w:rPr>
            </w:pPr>
          </w:p>
        </w:tc>
        <w:tc>
          <w:tcPr>
            <w:tcW w:w="1300" w:type="dxa"/>
            <w:vAlign w:val="bottom"/>
          </w:tcPr>
          <w:p>
            <w:pPr>
              <w:jc w:val="right"/>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14"/>
        </w:trPr>
        <w:tc>
          <w:tcPr>
            <w:tcW w:w="35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3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0" w:type="dxa"/>
            <w:vAlign w:val="bottom"/>
          </w:tcPr>
          <w:p>
            <w:pPr>
              <w:spacing w:after="0"/>
              <w:rPr>
                <w:sz w:val="1"/>
                <w:szCs w:val="1"/>
                <w:color w:val="auto"/>
              </w:rPr>
            </w:pPr>
          </w:p>
        </w:tc>
      </w:tr>
      <w:tr>
        <w:trPr>
          <w:trHeight w:val="211"/>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1, 2019</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(157,489)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(25,637)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(196,305)</w:t>
            </w:r>
          </w:p>
        </w:tc>
        <w:tc>
          <w:tcPr>
            <w:tcW w:w="0" w:type="dxa"/>
            <w:vAlign w:val="bottom"/>
          </w:tcPr>
          <w:p>
            <w:pPr>
              <w:spacing w:after="0"/>
              <w:rPr>
                <w:sz w:val="1"/>
                <w:szCs w:val="1"/>
                <w:color w:val="auto"/>
              </w:rPr>
            </w:pPr>
          </w:p>
        </w:tc>
      </w:tr>
      <w:tr>
        <w:trPr>
          <w:trHeight w:val="207"/>
        </w:trPr>
        <w:tc>
          <w:tcPr>
            <w:tcW w:w="3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(7,298)</w:t>
            </w: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(3,451)</w:t>
            </w:r>
          </w:p>
        </w:tc>
        <w:tc>
          <w:tcPr>
            <w:tcW w:w="0" w:type="dxa"/>
            <w:vAlign w:val="bottom"/>
          </w:tcPr>
          <w:p>
            <w:pPr>
              <w:spacing w:after="0"/>
              <w:rPr>
                <w:sz w:val="1"/>
                <w:szCs w:val="1"/>
                <w:color w:val="auto"/>
              </w:rPr>
            </w:pPr>
          </w:p>
        </w:tc>
      </w:tr>
      <w:tr>
        <w:trPr>
          <w:trHeight w:val="207"/>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(11,101)</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(10,749)</w:t>
            </w:r>
          </w:p>
        </w:tc>
        <w:tc>
          <w:tcPr>
            <w:tcW w:w="0" w:type="dxa"/>
            <w:vAlign w:val="bottom"/>
          </w:tcPr>
          <w:p>
            <w:pPr>
              <w:spacing w:after="0"/>
              <w:rPr>
                <w:sz w:val="1"/>
                <w:szCs w:val="1"/>
                <w:color w:val="auto"/>
              </w:rPr>
            </w:pPr>
          </w:p>
        </w:tc>
      </w:tr>
      <w:tr>
        <w:trPr>
          <w:trHeight w:val="237"/>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September 30, 2019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(168,590)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(24,481)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(207,054)</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January 1,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(157,999)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(31,570)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(204,672)</w:t>
            </w:r>
          </w:p>
        </w:tc>
        <w:tc>
          <w:tcPr>
            <w:tcW w:w="0" w:type="dxa"/>
            <w:vAlign w:val="bottom"/>
          </w:tcPr>
          <w:p>
            <w:pPr>
              <w:spacing w:after="0"/>
              <w:rPr>
                <w:sz w:val="1"/>
                <w:szCs w:val="1"/>
                <w:color w:val="auto"/>
              </w:rPr>
            </w:pPr>
          </w:p>
        </w:tc>
      </w:tr>
      <w:tr>
        <w:trPr>
          <w:trHeight w:val="207"/>
        </w:trPr>
        <w:tc>
          <w:tcPr>
            <w:tcW w:w="3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(6,025)</w:t>
            </w: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56,684</w:t>
            </w:r>
          </w:p>
        </w:tc>
        <w:tc>
          <w:tcPr>
            <w:tcW w:w="0" w:type="dxa"/>
            <w:vAlign w:val="bottom"/>
          </w:tcPr>
          <w:p>
            <w:pPr>
              <w:spacing w:after="0"/>
              <w:rPr>
                <w:sz w:val="1"/>
                <w:szCs w:val="1"/>
                <w:color w:val="auto"/>
              </w:rPr>
            </w:pPr>
          </w:p>
        </w:tc>
      </w:tr>
      <w:tr>
        <w:trPr>
          <w:trHeight w:val="207"/>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51,927</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(2,157)</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50,659</w:t>
            </w:r>
          </w:p>
        </w:tc>
        <w:tc>
          <w:tcPr>
            <w:tcW w:w="0" w:type="dxa"/>
            <w:vAlign w:val="bottom"/>
          </w:tcPr>
          <w:p>
            <w:pPr>
              <w:spacing w:after="0"/>
              <w:rPr>
                <w:sz w:val="1"/>
                <w:szCs w:val="1"/>
                <w:color w:val="auto"/>
              </w:rPr>
            </w:pPr>
          </w:p>
        </w:tc>
      </w:tr>
      <w:tr>
        <w:trPr>
          <w:trHeight w:val="237"/>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September 30,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(106,072)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(14,380)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(154,013)</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before-tax, income tax (provision) benefit, and net-of-tax amounts related to each component of OCI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09"/>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Before-tax amount</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(13,403)</w:t>
            </w:r>
          </w:p>
        </w:tc>
        <w:tc>
          <w:tcPr>
            <w:tcW w:w="0" w:type="dxa"/>
            <w:vAlign w:val="bottom"/>
          </w:tcPr>
          <w:p>
            <w:pPr>
              <w:spacing w:after="0"/>
              <w:rPr>
                <w:sz w:val="1"/>
                <w:szCs w:val="1"/>
                <w:color w:val="auto"/>
              </w:rPr>
            </w:pPr>
          </w:p>
        </w:tc>
      </w:tr>
      <w:tr>
        <w:trPr>
          <w:trHeight w:val="162"/>
        </w:trPr>
        <w:tc>
          <w:tcPr>
            <w:tcW w:w="43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Foreign currency translation adjustment reclassified to net</w:t>
            </w:r>
          </w:p>
        </w:tc>
        <w:tc>
          <w:tcPr>
            <w:tcW w:w="26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2,443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52,074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2,443</w:t>
            </w:r>
          </w:p>
        </w:tc>
        <w:tc>
          <w:tcPr>
            <w:tcW w:w="0" w:type="dxa"/>
            <w:vAlign w:val="bottom"/>
          </w:tcPr>
          <w:p>
            <w:pPr>
              <w:spacing w:after="0"/>
              <w:rPr>
                <w:sz w:val="1"/>
                <w:szCs w:val="1"/>
                <w:color w:val="auto"/>
              </w:rPr>
            </w:pPr>
          </w:p>
        </w:tc>
      </w:tr>
      <w:tr>
        <w:trPr>
          <w:trHeight w:val="213"/>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on sale of business</w:t>
            </w:r>
          </w:p>
        </w:tc>
        <w:tc>
          <w:tcPr>
            <w:tcW w:w="26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38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Net unrealized gain (loss) on derivative instruments, designated</w:t>
            </w:r>
          </w:p>
        </w:tc>
        <w:tc>
          <w:tcPr>
            <w:tcW w:w="26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as cash flow hedges</w:t>
            </w:r>
          </w:p>
        </w:tc>
        <w:tc>
          <w:tcPr>
            <w:tcW w:w="26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hedging (gain) loss reclassified to net income</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(6,327)</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defined benefit plans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defined benefit plan (gain) loss reclassified to net income</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37"/>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before tax</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49,674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(11,159)</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Tax (provision) benefit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165"/>
        </w:trPr>
        <w:tc>
          <w:tcPr>
            <w:tcW w:w="438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Foreign currency translation adjustment reclassified to net</w:t>
            </w:r>
          </w:p>
        </w:tc>
        <w:tc>
          <w:tcPr>
            <w:tcW w:w="260" w:type="dxa"/>
            <w:vAlign w:val="bottom"/>
            <w:shd w:val="clear" w:color="auto" w:fill="CCEEFF"/>
          </w:tcPr>
          <w:p>
            <w:pPr>
              <w:spacing w:after="0"/>
              <w:rPr>
                <w:sz w:val="14"/>
                <w:szCs w:val="14"/>
                <w:color w:val="auto"/>
              </w:rPr>
            </w:pPr>
          </w:p>
        </w:tc>
        <w:tc>
          <w:tcPr>
            <w:tcW w:w="14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on sale of business</w:t>
            </w:r>
          </w:p>
        </w:tc>
        <w:tc>
          <w:tcPr>
            <w:tcW w:w="260" w:type="dxa"/>
            <w:vAlign w:val="bottom"/>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3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Net unrealized gain (loss) on derivative instruments, designated</w:t>
            </w:r>
          </w:p>
        </w:tc>
        <w:tc>
          <w:tcPr>
            <w:tcW w:w="26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13"/>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as cash flow hedges</w:t>
            </w:r>
          </w:p>
        </w:tc>
        <w:tc>
          <w:tcPr>
            <w:tcW w:w="26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hedging (gain) loss reclassified to net income</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0" w:type="dxa"/>
            <w:vAlign w:val="bottom"/>
          </w:tcPr>
          <w:p>
            <w:pPr>
              <w:spacing w:after="0"/>
              <w:rPr>
                <w:sz w:val="1"/>
                <w:szCs w:val="1"/>
                <w:color w:val="auto"/>
              </w:rPr>
            </w:pPr>
          </w:p>
        </w:tc>
      </w:tr>
      <w:tr>
        <w:trPr>
          <w:trHeight w:val="213"/>
        </w:trPr>
        <w:tc>
          <w:tcPr>
            <w:tcW w:w="4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defined benefit plans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defined benefit plan (gain) loss reclassified to net income</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2"/>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tax benefit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Net-of-tax amount</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(13,544)</w:t>
            </w:r>
          </w:p>
        </w:tc>
        <w:tc>
          <w:tcPr>
            <w:tcW w:w="0" w:type="dxa"/>
            <w:vAlign w:val="bottom"/>
          </w:tcPr>
          <w:p>
            <w:pPr>
              <w:spacing w:after="0"/>
              <w:rPr>
                <w:sz w:val="1"/>
                <w:szCs w:val="1"/>
                <w:color w:val="auto"/>
              </w:rPr>
            </w:pPr>
          </w:p>
        </w:tc>
      </w:tr>
      <w:tr>
        <w:trPr>
          <w:trHeight w:val="162"/>
        </w:trPr>
        <w:tc>
          <w:tcPr>
            <w:tcW w:w="43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Foreign currency translation adjustment reclassified to net</w:t>
            </w:r>
          </w:p>
        </w:tc>
        <w:tc>
          <w:tcPr>
            <w:tcW w:w="26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2,443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52,074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2,443</w:t>
            </w:r>
          </w:p>
        </w:tc>
        <w:tc>
          <w:tcPr>
            <w:tcW w:w="0" w:type="dxa"/>
            <w:vAlign w:val="bottom"/>
          </w:tcPr>
          <w:p>
            <w:pPr>
              <w:spacing w:after="0"/>
              <w:rPr>
                <w:sz w:val="1"/>
                <w:szCs w:val="1"/>
                <w:color w:val="auto"/>
              </w:rPr>
            </w:pPr>
          </w:p>
        </w:tc>
      </w:tr>
      <w:tr>
        <w:trPr>
          <w:trHeight w:val="213"/>
        </w:trPr>
        <w:tc>
          <w:tcPr>
            <w:tcW w:w="4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on sale of business</w:t>
            </w:r>
          </w:p>
        </w:tc>
        <w:tc>
          <w:tcPr>
            <w:tcW w:w="26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38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Net unrealized gain (loss) on derivative instruments, designated</w:t>
            </w:r>
          </w:p>
        </w:tc>
        <w:tc>
          <w:tcPr>
            <w:tcW w:w="26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4,995</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as cash flow hedges</w:t>
            </w:r>
          </w:p>
        </w:tc>
        <w:tc>
          <w:tcPr>
            <w:tcW w:w="26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hedging (gain) loss reclassified to net income</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(5,799)</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defined benefit plans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0" w:type="dxa"/>
            <w:vAlign w:val="bottom"/>
          </w:tcPr>
          <w:p>
            <w:pPr>
              <w:spacing w:after="0"/>
              <w:rPr>
                <w:sz w:val="1"/>
                <w:szCs w:val="1"/>
                <w:color w:val="auto"/>
              </w:rPr>
            </w:pPr>
          </w:p>
        </w:tc>
      </w:tr>
      <w:tr>
        <w:trPr>
          <w:trHeight w:val="213"/>
        </w:trPr>
        <w:tc>
          <w:tcPr>
            <w:tcW w:w="4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defined benefit plan (gain) loss reclassified to net income</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37"/>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net of tax</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50,659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(10,749)</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Fair Values of Financial Instruments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values at September 30, 2020 and December 31, 2019 do not reflect subsequent changes in the economy, interest rates, tax rates, and other variables that may affect the determination of fair value.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3"/>
                <w:szCs w:val="13"/>
                <w:color w:val="auto"/>
              </w:rPr>
            </w:pPr>
          </w:p>
        </w:tc>
        <w:tc>
          <w:tcPr>
            <w:tcW w:w="1360" w:type="dxa"/>
            <w:vAlign w:val="bottom"/>
          </w:tcPr>
          <w:p>
            <w:pPr>
              <w:jc w:val="right"/>
              <w:ind w:right="439"/>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700" w:type="dxa"/>
            <w:vAlign w:val="bottom"/>
          </w:tcPr>
          <w:p>
            <w:pPr>
              <w:spacing w:after="0"/>
              <w:rPr>
                <w:sz w:val="13"/>
                <w:szCs w:val="13"/>
                <w:color w:val="auto"/>
              </w:rPr>
            </w:pPr>
          </w:p>
        </w:tc>
        <w:tc>
          <w:tcPr>
            <w:tcW w:w="1020" w:type="dxa"/>
            <w:vAlign w:val="bottom"/>
          </w:tcPr>
          <w:p>
            <w:pPr>
              <w:jc w:val="center"/>
              <w:ind w:right="539"/>
              <w:spacing w:after="0" w:line="158"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right"/>
              <w:ind w:right="439"/>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700" w:type="dxa"/>
            <w:vAlign w:val="bottom"/>
          </w:tcPr>
          <w:p>
            <w:pPr>
              <w:spacing w:after="0"/>
              <w:rPr>
                <w:sz w:val="13"/>
                <w:szCs w:val="13"/>
                <w:color w:val="auto"/>
              </w:rPr>
            </w:pPr>
          </w:p>
        </w:tc>
        <w:tc>
          <w:tcPr>
            <w:tcW w:w="1020" w:type="dxa"/>
            <w:vAlign w:val="bottom"/>
          </w:tcPr>
          <w:p>
            <w:pPr>
              <w:jc w:val="right"/>
              <w:ind w:right="579"/>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43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00" w:type="dxa"/>
            <w:vAlign w:val="bottom"/>
          </w:tcPr>
          <w:p>
            <w:pPr>
              <w:spacing w:after="0"/>
              <w:rPr>
                <w:sz w:val="18"/>
                <w:szCs w:val="18"/>
                <w:color w:val="auto"/>
              </w:rPr>
            </w:pPr>
          </w:p>
        </w:tc>
        <w:tc>
          <w:tcPr>
            <w:tcW w:w="1120" w:type="dxa"/>
            <w:vAlign w:val="bottom"/>
            <w:gridSpan w:val="2"/>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300" w:type="dxa"/>
            <w:vAlign w:val="bottom"/>
          </w:tcPr>
          <w:p>
            <w:pPr>
              <w:spacing w:after="0"/>
              <w:rPr>
                <w:sz w:val="18"/>
                <w:szCs w:val="18"/>
                <w:color w:val="auto"/>
              </w:rPr>
            </w:pPr>
          </w:p>
        </w:tc>
        <w:tc>
          <w:tcPr>
            <w:tcW w:w="136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00" w:type="dxa"/>
            <w:vAlign w:val="bottom"/>
          </w:tcPr>
          <w:p>
            <w:pPr>
              <w:spacing w:after="0"/>
              <w:rPr>
                <w:sz w:val="18"/>
                <w:szCs w:val="18"/>
                <w:color w:val="auto"/>
              </w:rPr>
            </w:pPr>
          </w:p>
        </w:tc>
        <w:tc>
          <w:tcPr>
            <w:tcW w:w="10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08"/>
        </w:trPr>
        <w:tc>
          <w:tcPr>
            <w:tcW w:w="4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Credit facility</w:t>
            </w: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USD denominated term loan</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547,139</w:t>
            </w:r>
          </w:p>
        </w:tc>
        <w:tc>
          <w:tcPr>
            <w:tcW w:w="70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533,223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546,495</w:t>
            </w:r>
          </w:p>
        </w:tc>
        <w:tc>
          <w:tcPr>
            <w:tcW w:w="70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550,135</w:t>
            </w:r>
          </w:p>
        </w:tc>
        <w:tc>
          <w:tcPr>
            <w:tcW w:w="0" w:type="dxa"/>
            <w:vAlign w:val="bottom"/>
          </w:tcPr>
          <w:p>
            <w:pPr>
              <w:spacing w:after="0"/>
              <w:rPr>
                <w:sz w:val="1"/>
                <w:szCs w:val="1"/>
                <w:color w:val="auto"/>
              </w:rPr>
            </w:pPr>
          </w:p>
        </w:tc>
      </w:tr>
      <w:tr>
        <w:trPr>
          <w:trHeight w:val="213"/>
        </w:trPr>
        <w:tc>
          <w:tcPr>
            <w:tcW w:w="4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30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400,000</w:t>
            </w:r>
          </w:p>
        </w:tc>
        <w:tc>
          <w:tcPr>
            <w:tcW w:w="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386,086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387,726</w:t>
            </w:r>
          </w:p>
        </w:tc>
        <w:tc>
          <w:tcPr>
            <w:tcW w:w="7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385,987</w:t>
            </w:r>
          </w:p>
        </w:tc>
        <w:tc>
          <w:tcPr>
            <w:tcW w:w="7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in estimating fair values: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Cash, cash equivalents, and restricted cash: </w:t>
      </w:r>
      <w:r>
        <w:rPr>
          <w:rFonts w:ascii="Times New Roman" w:cs="Times New Roman" w:eastAsia="Times New Roman" w:hAnsi="Times New Roman"/>
          <w:sz w:val="18"/>
          <w:szCs w:val="18"/>
          <w:color w:val="auto"/>
        </w:rPr>
        <w:t>Due to the liquid nature of these instruments, the carrying amount approximates fair value (Level 1).</w:t>
      </w:r>
    </w:p>
    <w:p>
      <w:pPr>
        <w:spacing w:after="0" w:line="2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Credit Facility - term loan and multicurrency revolving line of credit: </w:t>
      </w:r>
      <w:r>
        <w:rPr>
          <w:rFonts w:ascii="Times New Roman" w:cs="Times New Roman" w:eastAsia="Times New Roman" w:hAnsi="Times New Roman"/>
          <w:sz w:val="18"/>
          <w:szCs w:val="18"/>
          <w:color w:val="auto"/>
        </w:rPr>
        <w:t>The term loan and revolver are not traded publicly. The fair values,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based upon a hypothetical market participant, are calculated using a discounted cash flow model with Level 2 inputs, including estimates of incremental borrowing rates for debt with similar terms, maturities, and credit profiles. Refer to "Note 6: Debt" for a further discussion of our debt.</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Senior Notes: </w:t>
      </w:r>
      <w:r>
        <w:rPr>
          <w:rFonts w:ascii="Times New Roman" w:cs="Times New Roman" w:eastAsia="Times New Roman" w:hAnsi="Times New Roman"/>
          <w:sz w:val="18"/>
          <w:szCs w:val="18"/>
          <w:color w:val="auto"/>
        </w:rPr>
        <w:t>The Senior Notes are not registered securities nor listed on any securities exchange but may be actively traded by qualified institutional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buyers. The fair value is estimated using Level 1 inputs, as it is based on quoted prices for these instruments in active markets.</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Derivatives: </w:t>
      </w:r>
      <w:r>
        <w:rPr>
          <w:rFonts w:ascii="Times New Roman" w:cs="Times New Roman" w:eastAsia="Times New Roman" w:hAnsi="Times New Roman"/>
          <w:sz w:val="18"/>
          <w:szCs w:val="18"/>
          <w:color w:val="auto"/>
        </w:rPr>
        <w:t>See "Note 7: Derivative Financial Instruments" for a description of our methods and assumptions in determining the fair value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derivatives, which were determined using Level 2 inputs. Each derivative asset and liability has a carrying value equal to fair value.</w:t>
      </w:r>
    </w:p>
    <w:p>
      <w:pPr>
        <w:spacing w:after="0" w:line="18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under the Itron brand worldwide and manage and report under three operating segments: Device Solutions, Networked Solutions, and Outcomes.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three GAAP measures of segment performance: revenues, gross profit (gross margin), and operating income (operating margin). Intersegment revenues are minimal. Certain operating expenses are allocated to the operating segments based upon internally established allocation methodologies. Corporate operating expenses, interest income, interest expense, other income (expense), and the income tax provision (benefit) are neither allocated to the segments, nor are they included in the measure of segment performance. In addition, we allocate only certain production assets and intangible assets to our operating segments. We do not manage the performance of the segments on a balance sheet basis.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Products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Device Solutions </w:t>
      </w:r>
      <w:r>
        <w:rPr>
          <w:rFonts w:ascii="Times New Roman" w:cs="Times New Roman" w:eastAsia="Times New Roman" w:hAnsi="Times New Roman"/>
          <w:sz w:val="18"/>
          <w:szCs w:val="18"/>
          <w:color w:val="auto"/>
        </w:rPr>
        <w:t>– This segment primarily includes hardware products used for measurement, control, or sensing that do not have communications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capability embedded for use with our broader Itron systems, i.e., hardware-based products not part of a complete "end-to-end" solution. Examples from the Device Solutions portfolio include: standard endpoints that are shipped without Itron communications, such as our standard gas meters, electricity IEC meters, and water meters, in addition to our heat and allocation products; communicating meters that are not a part of an Itron solution such as Smart Spec meters; and the implementation and installation of non-communicating devices, such as gas regulators.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Networked Solutions </w:t>
      </w:r>
      <w:r>
        <w:rPr>
          <w:rFonts w:ascii="Times New Roman" w:cs="Times New Roman" w:eastAsia="Times New Roman" w:hAnsi="Times New Roman"/>
          <w:sz w:val="18"/>
          <w:szCs w:val="18"/>
          <w:color w:val="auto"/>
        </w:rPr>
        <w:t>– This segment primarily includes a combination of communicating devices (smart meters, modules, endpoints, and sensors), network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and associated application software designed and sold as a complete solution for acquiring and transporting robust application-specific data. Networked Solutions combines the majority of the assets from the recently acquired SSNI organization with our legacy Itron networking products and software and the implementation and installation of communicating devices into one operating segment. Examples from the Networked Solutions portfolio include: communicating measurement, control, or sensing endpoints such as our Itron® and OpenWay® Riva meters, Itron traditional ERT® technology, Intelis smart gas or water meters, 500G gas communication modules, 500W water communication modules; GenX networking products, network modules and interface cards; and specific network control and management software applications. The IIoT solutions supported by this segment include automated meter reading (AMR), advanced metering infrastructure (AMI), smart grid and distribution automation (DA), and smart street lighting and smart city solutions.</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Outcomes </w:t>
      </w:r>
      <w:r>
        <w:rPr>
          <w:rFonts w:ascii="Times New Roman" w:cs="Times New Roman" w:eastAsia="Times New Roman" w:hAnsi="Times New Roman"/>
          <w:sz w:val="18"/>
          <w:szCs w:val="18"/>
          <w:color w:val="auto"/>
        </w:rPr>
        <w:t>– This segment primarily includes our value-added, enhanced software and services in which we manage, organize, analyze, and interpret data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 decision making, maximize operational profitability, drive resource efficiency, and deliver results for consumers, utilities, and smart cities. Outcomes places an emphasis on delivering to Itron customers high-value, turn-key, digital experiences by leveraging the footprint of our Device Solutions and Networked Solutions segments. The revenues from these offerings are primarily recurring in nature and would include any direct management of Device Solutions, Networked Solutions, and other products on behalf of our end customers. Examples from the Outcomes portfolio include: our meter data management and analytics offerings; our managed service solutions including network-as-a-service and platform-as-a-service, forecasting software and services; and any consulting-based engagement. Within the Outcomes segment, we also</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identify new business models, including performance-based contracting, to drive broader portfolio offerings across utilities and cities.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gross profit, and operating income associated with our operating segments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310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0"/>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Product revenues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4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Device Solutions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174,039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211,096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501,157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644,254</w:t>
            </w:r>
          </w:p>
        </w:tc>
      </w:tr>
      <w:tr>
        <w:trPr>
          <w:trHeight w:val="213"/>
        </w:trPr>
        <w:tc>
          <w:tcPr>
            <w:tcW w:w="43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Networked Solutions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282,677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330,487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898,465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978,259</w:t>
            </w:r>
          </w:p>
        </w:tc>
      </w:tr>
      <w:tr>
        <w:trPr>
          <w:trHeight w:val="219"/>
        </w:trPr>
        <w:tc>
          <w:tcPr>
            <w:tcW w:w="4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Outcomes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38,158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41,281</w:t>
            </w:r>
          </w:p>
        </w:tc>
      </w:tr>
      <w:tr>
        <w:trPr>
          <w:trHeight w:val="207"/>
        </w:trPr>
        <w:tc>
          <w:tcPr>
            <w:tcW w:w="43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Company</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470,658</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552,897</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1,437,780</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1,663,794</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4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Service revenues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4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Device Solutions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8,573</w:t>
            </w:r>
          </w:p>
        </w:tc>
      </w:tr>
      <w:tr>
        <w:trPr>
          <w:trHeight w:val="213"/>
        </w:trPr>
        <w:tc>
          <w:tcPr>
            <w:tcW w:w="43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Networked Solutions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23,982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25,734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70,305</w:t>
            </w:r>
          </w:p>
        </w:tc>
      </w:tr>
      <w:tr>
        <w:trPr>
          <w:trHeight w:val="219"/>
        </w:trPr>
        <w:tc>
          <w:tcPr>
            <w:tcW w:w="4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Outcomes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43,455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43,590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130,479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131,415</w:t>
            </w:r>
          </w:p>
        </w:tc>
      </w:tr>
      <w:tr>
        <w:trPr>
          <w:trHeight w:val="207"/>
        </w:trPr>
        <w:tc>
          <w:tcPr>
            <w:tcW w:w="43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Company</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69,526</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71,577</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210,413</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210,293</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4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4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Device Solutions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176,128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213,349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507,572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652,827</w:t>
            </w:r>
          </w:p>
        </w:tc>
      </w:tr>
      <w:tr>
        <w:trPr>
          <w:trHeight w:val="213"/>
        </w:trPr>
        <w:tc>
          <w:tcPr>
            <w:tcW w:w="43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Networked Solutions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306,659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356,221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971,984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1,048,564</w:t>
            </w:r>
          </w:p>
        </w:tc>
      </w:tr>
      <w:tr>
        <w:trPr>
          <w:trHeight w:val="219"/>
        </w:trPr>
        <w:tc>
          <w:tcPr>
            <w:tcW w:w="4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Outcomes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57,397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54,904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168,637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172,696</w:t>
            </w:r>
          </w:p>
        </w:tc>
      </w:tr>
      <w:tr>
        <w:trPr>
          <w:trHeight w:val="207"/>
        </w:trPr>
        <w:tc>
          <w:tcPr>
            <w:tcW w:w="43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Company</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540,184</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624,474</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1,648,193</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1,874,087</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4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4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Device Solutions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40,945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64,843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122,451</w:t>
            </w:r>
          </w:p>
        </w:tc>
      </w:tr>
      <w:tr>
        <w:trPr>
          <w:trHeight w:val="213"/>
        </w:trPr>
        <w:tc>
          <w:tcPr>
            <w:tcW w:w="43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Networked Solutions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332,368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388,717</w:t>
            </w:r>
          </w:p>
        </w:tc>
      </w:tr>
      <w:tr>
        <w:trPr>
          <w:trHeight w:val="219"/>
        </w:trPr>
        <w:tc>
          <w:tcPr>
            <w:tcW w:w="4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Outcomes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56,123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63,713</w:t>
            </w:r>
          </w:p>
        </w:tc>
      </w:tr>
      <w:tr>
        <w:trPr>
          <w:trHeight w:val="207"/>
        </w:trPr>
        <w:tc>
          <w:tcPr>
            <w:tcW w:w="43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Company</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143,251</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196,404</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453,334</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574,881</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4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4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Device Solutions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28,095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81,717</w:t>
            </w:r>
          </w:p>
        </w:tc>
      </w:tr>
      <w:tr>
        <w:trPr>
          <w:trHeight w:val="213"/>
        </w:trPr>
        <w:tc>
          <w:tcPr>
            <w:tcW w:w="43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Networked Solutions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105,637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237,466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298,994</w:t>
            </w:r>
          </w:p>
        </w:tc>
      </w:tr>
      <w:tr>
        <w:trPr>
          <w:trHeight w:val="219"/>
        </w:trPr>
        <w:tc>
          <w:tcPr>
            <w:tcW w:w="4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Outcomes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29,468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35,620</w:t>
            </w:r>
          </w:p>
        </w:tc>
      </w:tr>
      <w:tr>
        <w:trPr>
          <w:trHeight w:val="213"/>
        </w:trPr>
        <w:tc>
          <w:tcPr>
            <w:tcW w:w="4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Corporate unallocated</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(118,445)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(104,946)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(338,026)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(312,511)</w:t>
            </w:r>
          </w:p>
        </w:tc>
      </w:tr>
      <w:tr>
        <w:trPr>
          <w:trHeight w:val="212"/>
        </w:trPr>
        <w:tc>
          <w:tcPr>
            <w:tcW w:w="43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Company</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(23,980)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39,439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(42,997)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103,820</w:t>
            </w:r>
          </w:p>
        </w:tc>
      </w:tr>
      <w:tr>
        <w:trPr>
          <w:trHeight w:val="213"/>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(13,063)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(15,110)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(35,020)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(44,983)</w:t>
            </w:r>
          </w:p>
        </w:tc>
      </w:tr>
      <w:tr>
        <w:trPr>
          <w:trHeight w:val="235"/>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(37,043)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24,329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(78,017)</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58,837</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corporate unallocated operating loss for the three and nine months ended September 30, 2020 includes a $57.3 million loss from the sale of our Latin American business. Refer to "Note 17: Sale of Business" for additional information on the transaction.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2020, no customer represented more than 10% of total company revenue. During the three months ended September 30, 2019, one customer represented 10% of total company revenues. For the nine months ended September 30, 2020 and 2019, one customer represented 11% of total company revenues.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buy a majority of our integrated circuit board assemblies from three suppliers. Management believes that other suppliers could provide similar products, but a change in suppliers, disputes with our suppliers, or unexpected constraints on the suppliers' production capacity could adversely affect operating results.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region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310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 and Canada</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354,841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405,973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1,110,028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1,221,448</w:t>
            </w: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 Middle East, and Africa (EMEA)</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157,159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431,593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495,715</w:t>
            </w:r>
          </w:p>
        </w:tc>
      </w:tr>
      <w:tr>
        <w:trPr>
          <w:trHeight w:val="219"/>
        </w:trPr>
        <w:tc>
          <w:tcPr>
            <w:tcW w:w="43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Latin America and Asia Pacific</w:t>
            </w:r>
            <w:r>
              <w:rPr>
                <w:rFonts w:ascii="Times New Roman" w:cs="Times New Roman" w:eastAsia="Times New Roman" w:hAnsi="Times New Roman"/>
                <w:sz w:val="21"/>
                <w:szCs w:val="21"/>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28,533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61,342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106,572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156,924</w:t>
            </w:r>
          </w:p>
        </w:tc>
      </w:tr>
      <w:tr>
        <w:trPr>
          <w:trHeight w:val="207"/>
        </w:trPr>
        <w:tc>
          <w:tcPr>
            <w:tcW w:w="43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Company</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540,184</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624,474</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1,648,193</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1,874,087</w:t>
            </w:r>
          </w:p>
        </w:tc>
      </w:tr>
      <w:tr>
        <w:trPr>
          <w:trHeight w:val="23"/>
        </w:trPr>
        <w:tc>
          <w:tcPr>
            <w:tcW w:w="4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40"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On June 25, 2020, Itron closed on the sale of its Latin American operations. We will continue to sell into the region through an exclusive distributor.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is allocated to the operating segments based upon each segment's use of the assets. All amortization expense is recognized within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unallocated. Depreciation and amortization of intangible assets expense associated with our operating segments was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Device Solutions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19,155</w:t>
            </w: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Networked Solutions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9,530</w:t>
            </w: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Outcomes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3,995</w:t>
            </w:r>
          </w:p>
        </w:tc>
      </w:tr>
      <w:tr>
        <w:trPr>
          <w:trHeight w:val="213"/>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 unallocated</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12,446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17,765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37,304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53,011</w:t>
            </w:r>
          </w:p>
        </w:tc>
      </w:tr>
      <w:tr>
        <w:trPr>
          <w:trHeight w:val="235"/>
        </w:trPr>
        <w:tc>
          <w:tcPr>
            <w:tcW w:w="4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Company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28,623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72,306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85,691</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Revenues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significant net changes in the contract assets and the contract liabilities balances during the period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6"/>
                <w:szCs w:val="16"/>
                <w:color w:val="auto"/>
              </w:rPr>
            </w:pPr>
          </w:p>
        </w:tc>
        <w:tc>
          <w:tcPr>
            <w:tcW w:w="20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Contract liabilities, less</w:t>
            </w:r>
          </w:p>
        </w:tc>
        <w:tc>
          <w:tcPr>
            <w:tcW w:w="0" w:type="dxa"/>
            <w:vAlign w:val="bottom"/>
          </w:tcPr>
          <w:p>
            <w:pPr>
              <w:spacing w:after="0"/>
              <w:rPr>
                <w:sz w:val="1"/>
                <w:szCs w:val="1"/>
                <w:color w:val="auto"/>
              </w:rPr>
            </w:pPr>
          </w:p>
        </w:tc>
      </w:tr>
      <w:tr>
        <w:trPr>
          <w:trHeight w:val="214"/>
        </w:trPr>
        <w:tc>
          <w:tcPr>
            <w:tcW w:w="906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contract assets</w:t>
            </w:r>
          </w:p>
        </w:tc>
        <w:tc>
          <w:tcPr>
            <w:tcW w:w="0" w:type="dxa"/>
            <w:vAlign w:val="bottom"/>
          </w:tcPr>
          <w:p>
            <w:pPr>
              <w:spacing w:after="0"/>
              <w:rPr>
                <w:sz w:val="1"/>
                <w:szCs w:val="1"/>
                <w:color w:val="auto"/>
              </w:rPr>
            </w:pPr>
          </w:p>
        </w:tc>
      </w:tr>
      <w:tr>
        <w:trPr>
          <w:trHeight w:val="211"/>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 January 1, 2020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88,215</w:t>
            </w:r>
          </w:p>
        </w:tc>
        <w:tc>
          <w:tcPr>
            <w:tcW w:w="0" w:type="dxa"/>
            <w:vAlign w:val="bottom"/>
          </w:tcPr>
          <w:p>
            <w:pPr>
              <w:spacing w:after="0"/>
              <w:rPr>
                <w:sz w:val="1"/>
                <w:szCs w:val="1"/>
                <w:color w:val="auto"/>
              </w:rPr>
            </w:pP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 recognized from beginning contract liability</w:t>
            </w:r>
          </w:p>
        </w:tc>
        <w:tc>
          <w:tcPr>
            <w:tcW w:w="1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(82,438)</w:t>
            </w:r>
          </w:p>
        </w:tc>
        <w:tc>
          <w:tcPr>
            <w:tcW w:w="0" w:type="dxa"/>
            <w:vAlign w:val="bottom"/>
          </w:tcPr>
          <w:p>
            <w:pPr>
              <w:spacing w:after="0"/>
              <w:rPr>
                <w:sz w:val="1"/>
                <w:szCs w:val="1"/>
                <w:color w:val="auto"/>
              </w:rPr>
            </w:pP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Increases due to amounts collected or due</w:t>
            </w: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252,212</w:t>
            </w:r>
          </w:p>
        </w:tc>
        <w:tc>
          <w:tcPr>
            <w:tcW w:w="0" w:type="dxa"/>
            <w:vAlign w:val="bottom"/>
          </w:tcPr>
          <w:p>
            <w:pPr>
              <w:spacing w:after="0"/>
              <w:rPr>
                <w:sz w:val="1"/>
                <w:szCs w:val="1"/>
                <w:color w:val="auto"/>
              </w:rPr>
            </w:pP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 recognized from current period increases</w:t>
            </w:r>
          </w:p>
        </w:tc>
        <w:tc>
          <w:tcPr>
            <w:tcW w:w="1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(145,016)</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(5,054)</w:t>
            </w:r>
          </w:p>
        </w:tc>
        <w:tc>
          <w:tcPr>
            <w:tcW w:w="0" w:type="dxa"/>
            <w:vAlign w:val="bottom"/>
          </w:tcPr>
          <w:p>
            <w:pPr>
              <w:spacing w:after="0"/>
              <w:rPr>
                <w:sz w:val="1"/>
                <w:szCs w:val="1"/>
                <w:color w:val="auto"/>
              </w:rPr>
            </w:pPr>
          </w:p>
        </w:tc>
      </w:tr>
      <w:tr>
        <w:trPr>
          <w:trHeight w:val="212"/>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September 30, 2020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107,919</w:t>
            </w:r>
          </w:p>
        </w:tc>
        <w:tc>
          <w:tcPr>
            <w:tcW w:w="0" w:type="dxa"/>
            <w:vAlign w:val="bottom"/>
          </w:tcPr>
          <w:p>
            <w:pPr>
              <w:spacing w:after="0"/>
              <w:rPr>
                <w:sz w:val="1"/>
                <w:szCs w:val="1"/>
                <w:color w:val="auto"/>
              </w:rPr>
            </w:pPr>
          </w:p>
        </w:tc>
      </w:tr>
      <w:tr>
        <w:trPr>
          <w:trHeight w:val="21"/>
        </w:trPr>
        <w:tc>
          <w:tcPr>
            <w:tcW w:w="9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 2020, total contract assets were $50.7 million and total contract liabilities were $138.9 million. On September 30, 2020, total contract assets were $50.4 million and total contract liabilities were $158.3 million. The contract assets primarily relate to contracts that include a retention clause and allocations related to contracts with multiple performance obligations. The contract liabilities primarily relate to deferred revenue, such as extended warranty and maintenance cost.</w:t>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Transaction price allocated to the remaining performance obligations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Total transaction price allocated to remaining performance obligations represents committed but undelivered products and services for contracts and purchase orders at period end. Twelve-month remaining performance obligations represent the portion of total transaction price allocated to remaining performance obligations that we estimate will be recognized as revenue over the next 12 months. Total transaction price allocated to remaining performance obligations is not a complete measure of our future revenues as we also receive orders where the customer may have legal termination rights but are not likely to terminate.</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transaction price allocated to remaining performance obligations related to contracts is approximately $1.0 billion for the next twelve months and approximately $1.2 billion for periods longer than 12 months. The total remaining performance obligations consist of product and service components. The service component relates primarily to maintenance agreements for which customers pay a full year's maintenance in advance, and service revenues are generally recognized over the service period. Total transaction price allocated to remaining performance obligations also includes our extended warranty contracts, for which revenue is recognized over the warranty period, and hardware, which is recognized as units are delivered. The estimate of when remaining performance obligations will be recognized requires significant judgment.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Cost to obtain a contract and cost to fulfill a contract with a customer</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Cost to obtain a contract and costs to fulfill a contract were capitalized and amortized using a systematic rational approach to align with the transfer of control of underlying contracts with customers. While amounts were capitalized, they are not material.</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Refer to "Note 15: Segment Information" and the Consolidated Statements of Operations for disclosure regarding the disaggregation of revenue into categories, which depict how revenue and cash flows are affected by economic factors. Specifically, our operating segments and geographical regions as disclosed, and categories for products, which include hardware and software and services, are presented.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Sale of Business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Latin America Divestiture</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June 25, 2020, we closed on the sale of five subsidiaries comprising our manufacturing and sales operations in Latin America to buyers led by Instalación Profesional y Tecnologías del Centro S.A. de C.V., a Mexican company doing business as Accell in Brazil (Accell), through the execution of various definitive stock purchase agreements. The sale of these Latin America-based operations is part of our continued strategy to improve profitability and focus on growing our Networked Solutions and Outcomes businesses in Latin America and throughout the world. We retained the intellectual property rights to our products sold in Latin America. As part of the transaction, we entered into an intellectual property license agreement whereby Accell pays a royalty on certain products manufactured by Accell using licensed Company intellectual property. In addition, Accell serves as the exclusive distributor for our Device Solutions, Networked Solutions, and Outcomes products and services offerings in Latin America.</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sales price and the net assets of the five subsidiaries sold, we recognized a total loss of $57.3 million in the second and third quarters of 2020. The loss was primarily due to the recognition of $52.1 million in foreign currency translation losses accumulated since the acquisition of these subsidiaries in 2006 and 2007, and allocated goodwill of $3.0 million. Accell assumed all recognized liabilities, as well as all future liabilities, of the subsidiaries. We have provided no indemnification for any future losses that may be incurred. Following the close of the transaction, the terms of the agreement allow for adjustments to the $21.9 million working capital amount.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the total sales price, $2.5 million was received at closing, and the majority of the remaining portion is due by December 31, 2020. Included in the net assets sold was $6.1 million in cash. This resulted in net outflow of cash at closing of $3.6 million. During the quarter ended September 30, 2020, we received $2.9 million of payments for the purchase price evidenced by a promissory note.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loss on sale of business was calculated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Loss on sale of business</w:t>
            </w:r>
          </w:p>
        </w:tc>
      </w:tr>
      <w:tr>
        <w:trPr>
          <w:trHeight w:val="21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price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35,008</w:t>
            </w: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assets sold (including working capital)</w:t>
            </w:r>
          </w:p>
        </w:tc>
        <w:tc>
          <w:tcPr>
            <w:tcW w:w="1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(36,198)</w:t>
            </w: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 loss</w:t>
            </w: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(52,074)</w:t>
            </w: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allocated</w:t>
            </w:r>
          </w:p>
        </w:tc>
        <w:tc>
          <w:tcPr>
            <w:tcW w:w="1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r>
      <w:tr>
        <w:trPr>
          <w:trHeight w:val="216"/>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Legal fees</w:t>
            </w:r>
          </w:p>
        </w:tc>
        <w:tc>
          <w:tcPr>
            <w:tcW w:w="18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w:t>
            </w:r>
          </w:p>
        </w:tc>
      </w:tr>
      <w:tr>
        <w:trPr>
          <w:trHeight w:val="212"/>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loss on sale of business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(57,295)</w:t>
            </w:r>
          </w:p>
        </w:tc>
      </w:tr>
      <w:tr>
        <w:trPr>
          <w:trHeight w:val="20"/>
        </w:trPr>
        <w:tc>
          <w:tcPr>
            <w:tcW w:w="9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unaudited consolidated financial statements and notes included in this report and with the consolidated financial statements and the notes thereto for the fiscal year ended December 31, 2019 filed with the Securities and Exchange Commission (SEC) in our Annual Report on Form 10-K on February 27, 2020 (2019 Annual Report).</w:t>
      </w: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Documents we provide to the SEC are available free of charge under the Investors section of our website at </w:t>
      </w:r>
      <w:r>
        <w:rPr>
          <w:rFonts w:ascii="Times New Roman" w:cs="Times New Roman" w:eastAsia="Times New Roman" w:hAnsi="Times New Roman"/>
          <w:sz w:val="18"/>
          <w:szCs w:val="18"/>
          <w:i w:val="1"/>
          <w:iCs w:val="1"/>
          <w:color w:val="auto"/>
        </w:rPr>
        <w:t>www.itron.com</w:t>
      </w:r>
      <w:r>
        <w:rPr>
          <w:rFonts w:ascii="Times New Roman" w:cs="Times New Roman" w:eastAsia="Times New Roman" w:hAnsi="Times New Roman"/>
          <w:sz w:val="18"/>
          <w:szCs w:val="18"/>
          <w:color w:val="auto"/>
        </w:rPr>
        <w:t xml:space="preserve"> as soon as practicable after they are filed with or furnished to the SEC. In addition, these documents are available at the SEC's website (http://</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Forward-Looking Statements</w:t>
      </w:r>
    </w:p>
    <w:p>
      <w:pPr>
        <w:spacing w:after="0" w:line="24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i w:val="1"/>
          <w:iCs w:val="1"/>
          <w:color w:val="222222"/>
        </w:rPr>
        <w:t>This report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Quarterly Report on Form 10-Q.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such as the COVID-19 pandemic and other factors that are more fully described in Item 1A: “Risk Factors” included in our 2019 Annual Report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222222"/>
        </w:rPr>
        <w:t xml:space="preserve"> Part II - Item 1A of this document, and other reports on file with the SEC. We do not undertake any obligation to publicly update or revise any forward-looking statement, whether written or oral.</w:t>
      </w:r>
    </w:p>
    <w:p>
      <w:pPr>
        <w:spacing w:after="0" w:line="22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i w:val="1"/>
          <w:iCs w:val="1"/>
          <w:color w:val="222222"/>
        </w:rPr>
        <w:t>The impact caused by the ongoing COVID-19 pandemic includes uncertainty as to the duration, spread, severity, and any recurrence of the COVID-19 pandemic, the duration and scope of related government orders and restrictions, impact on overall demand, impact on our customers’ businesses and workforce levels, disruptions of our business and operations, including the impact on our employees, limitations on, or closures of, our facilities, or the business and operations of our customers or suppliers. Our estimates and statements regarding the impact of COVID-19 are made in good faith to provide insight to our current and future operating and financial environment and any of these may materially change due to factors outside our control. For more information on risks associated with the COVID-19 pandemic, please see our updated risk in Part II, Item 1A, “Risk Factors” of this document.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technology and service company, which is a leader in the Industrial Internet of Things (IIoT). We offer solutions that enable utilities and municipalities to safely, securely, and reliably operate their critical infrastructure. Our solutions include the deployment of smart networks, software, services, devices, sensors, and data analytics that allow our customers to manage assets, secure revenue, lower operational costs, improve customer service, improve safety, and enable efficient management of valuable resources. Our comprehensive solutions and data analytics address the unique challenges facing the energy, water, and municipality sectors, including increasing demand on resources, non-technical loss, leak detection, environmental and regulatory compliance, and improved operational reliability.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under the Itron brand worldwide and manage and report under three operating segments: Device Solutions, Networked Solutions,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Outcomes. The product and operating definitions of the three segments are as follows:</w:t>
      </w:r>
    </w:p>
    <w:p>
      <w:pPr>
        <w:spacing w:after="0" w:line="2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Device Solutions </w:t>
      </w:r>
      <w:r>
        <w:rPr>
          <w:rFonts w:ascii="Times New Roman" w:cs="Times New Roman" w:eastAsia="Times New Roman" w:hAnsi="Times New Roman"/>
          <w:sz w:val="18"/>
          <w:szCs w:val="18"/>
          <w:color w:val="auto"/>
        </w:rPr>
        <w:t>– This segment primarily includes hardware products used for measurement, control, or sensing that do not have communications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capability embedded for use with our broader Itron systems, i.e., hardware-based products not part of a complete "end-to-end" solution. Examples from the Device Solutions portfolio include: standard endpoints that are shipped without Itron communications, such as our standard gas meters, electricity IEC meters, and water meters, in addition to our heat and allocation products; communicating meters that are not a part of an Itron solution such as Smart Spec meters; and the implementation and installation of non-communicating devices, such as gas regulators.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Networked Solutions </w:t>
      </w:r>
      <w:r>
        <w:rPr>
          <w:rFonts w:ascii="Times New Roman" w:cs="Times New Roman" w:eastAsia="Times New Roman" w:hAnsi="Times New Roman"/>
          <w:sz w:val="18"/>
          <w:szCs w:val="18"/>
          <w:color w:val="auto"/>
        </w:rPr>
        <w:t>– This segment primarily includes a combination of communicating devices (smart meters, modules, endpoints, and sensors), network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and associated application software designed and sold as a complete solution for acquiring and transporting robust application-specific data. Networked Solutions combines the majority of the assets from the recently acquired SSNI organization with our legacy Itron networking products and software and the implementation and installation of communicating devices into one operating segment. Examples from the Networked Solutions portfolio include: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communicating measurement, control, or sensing endpoints such as our Itron® and OpenWay® Riva meters, Itron traditional ERT® technology, Intelis smart gas or water meters, 500G gas communication modules, 500W water communication modules; GenX networking products, network modules and interface cards; and specific network control and management software applications. The IIoT solutions supported by this segment include automated meter reading (AMR), advanced metering infrastructure (AMI), smart grid and distribution automation (DA), and smart street lighting and smart city solutions.</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Outcomes </w:t>
      </w:r>
      <w:r>
        <w:rPr>
          <w:rFonts w:ascii="Times New Roman" w:cs="Times New Roman" w:eastAsia="Times New Roman" w:hAnsi="Times New Roman"/>
          <w:sz w:val="18"/>
          <w:szCs w:val="18"/>
          <w:color w:val="auto"/>
        </w:rPr>
        <w:t>– This segment primarily includes our value-added, enhanced software and services in which we manage, organize, analyze, and interpret data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 decision making, maximize operational profitability, drive resource efficiency, and deliver results for consumers, utilities, and smart cities. Outcomes places an emphasis on delivering to Itron customers high-value, turn-key, digital experiences by leveraging the footprint of our Device Solutions and Networked Solutions segments. The revenues from these offerings are primarily recurring in nature and would include any direct management of Device Solutions, Networked Solutions, and other products on behalf of our end customers. Examples from the Outcomes portfolio include: our meter data management and analytics offerings; our managed service solutions including network-as-a-service and platform-as-a-service, forecasting software and services; and any consulting-based engagement. Within the Outcomes segment, we also identify new business models, including performance-based contracting, to drive broader portfolio offerings across utilities and cities.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three measures of segment performance: revenues, gross profit (margin), and operating income (margin). Intersegment revenues are minimal. Certain operating expenses are allocated to the operating segments based upon internally established allocation methodologies. Interest income, interest expense, other income (expense), the income tax provision (benefit), and certain corporate operating expenses are neither allocated to the segments nor included in the measures of segment performance.</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Non-GAAP Measures</w:t>
      </w:r>
    </w:p>
    <w:p>
      <w:pPr>
        <w:spacing w:after="0" w:line="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To supplement our consolidated financial statements, which are prepared in accordance with accounting principles generally accepted in the United States (GAAP), we use certain adjusted or non-GAAP financial measures, including non-GAAP operating expense, non-GAAP operating income, non-GAAP net income, non-GAAP diluted earnings per share (EPS), adjusted EBITDA, adjusted EBITDA margin, constant currency, and free cash flow.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We believe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We strongly encourage investors and shareholders to review our financial statements and publicly-filed reports in their entirety and not to rely on any single financial measure. Our non-GAAP financial measures may be different from those reported by other companies.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our discussions of the operating results below, we sometimes refer to the impact of foreign currency exchange rate fluctuations, which are references to the differences between the foreign currency exchange rates we use to convert operating results from local currencies into U.S. dollars for reporting purposes. We also use the term </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constant currency</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 xml:space="preserve"> which represents results adjusted to exclude foreign currency exchange rate impacts. We calculate the constant currency change as the difference between the current period results translated using the current period currency exchange rates and the comparable prior period's results restated using current period currency exchange rates. We believe the reconciliations of changes in constant currency provide useful supplementary information to investors in light of fluctuations in foreign currency exchange rates.</w:t>
      </w:r>
    </w:p>
    <w:p>
      <w:pPr>
        <w:spacing w:after="0" w:line="2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Refer to the </w:t>
      </w:r>
      <w:r>
        <w:rPr>
          <w:rFonts w:ascii="Times New Roman" w:cs="Times New Roman" w:eastAsia="Times New Roman" w:hAnsi="Times New Roman"/>
          <w:sz w:val="18"/>
          <w:szCs w:val="18"/>
          <w:i w:val="1"/>
          <w:iCs w:val="1"/>
          <w:color w:val="auto"/>
        </w:rPr>
        <w:t>Non-GAAP Measures</w:t>
      </w:r>
      <w:r>
        <w:rPr>
          <w:rFonts w:ascii="Times New Roman" w:cs="Times New Roman" w:eastAsia="Times New Roman" w:hAnsi="Times New Roman"/>
          <w:sz w:val="18"/>
          <w:szCs w:val="18"/>
          <w:color w:val="auto"/>
        </w:rPr>
        <w:t xml:space="preserve"> section below on pages 43-46 for information about these non-GAAP measures and the detailed reconciliation of items that impacted free cash flow, non-GAAP operating expense, non-GAAP operating income, non-GAAP net income, adjusted EBITDA, and non-GAAP diluted EPS in the presented periods.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Company Highlights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2222"/>
        </w:rPr>
        <w:t xml:space="preserve">Highlights and significant developments for the </w:t>
      </w:r>
      <w:r>
        <w:rPr>
          <w:rFonts w:ascii="Times New Roman" w:cs="Times New Roman" w:eastAsia="Times New Roman" w:hAnsi="Times New Roman"/>
          <w:sz w:val="18"/>
          <w:szCs w:val="18"/>
          <w:i w:val="1"/>
          <w:iCs w:val="1"/>
          <w:color w:val="000000"/>
        </w:rPr>
        <w:t>three months ended September 30, 2020 compared with the three months ended September 30, 2019</w:t>
      </w:r>
    </w:p>
    <w:p>
      <w:pPr>
        <w:spacing w:after="0" w:line="65" w:lineRule="exact"/>
        <w:rPr>
          <w:sz w:val="20"/>
          <w:szCs w:val="20"/>
          <w:color w:val="auto"/>
        </w:rPr>
      </w:pPr>
    </w:p>
    <w:p>
      <w:pPr>
        <w:ind w:left="240" w:hanging="151"/>
        <w:spacing w:after="0"/>
        <w:tabs>
          <w:tab w:leader="none" w:pos="24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Revenues were $540.2 million compared with $624.5 million in 2019, a decrease of $84.3 million, or 13%</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Gross margin was </w:t>
      </w:r>
      <w:r>
        <w:rPr>
          <w:rFonts w:ascii="Times New Roman" w:cs="Times New Roman" w:eastAsia="Times New Roman" w:hAnsi="Times New Roman"/>
          <w:sz w:val="18"/>
          <w:szCs w:val="18"/>
          <w:color w:val="000000"/>
        </w:rPr>
        <w:t>26.5%</w:t>
      </w:r>
      <w:r>
        <w:rPr>
          <w:rFonts w:ascii="Times New Roman" w:cs="Times New Roman" w:eastAsia="Times New Roman" w:hAnsi="Times New Roman"/>
          <w:sz w:val="18"/>
          <w:szCs w:val="18"/>
          <w:color w:val="222222"/>
        </w:rPr>
        <w:t>, compared with 31.5% in the same period last year</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Operating expenses increased $10.3 million, or 7%, compared with 2019, including $43.9 million of restructuring expense related to the 2020 Projects</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Net loss attributable to Itron, Inc. was $25.4 million compared with net income of $16.8 million in 2019</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GAAP diluted EPS decreased by </w:t>
      </w:r>
      <w:r>
        <w:rPr>
          <w:rFonts w:ascii="Times New Roman" w:cs="Times New Roman" w:eastAsia="Times New Roman" w:hAnsi="Times New Roman"/>
          <w:sz w:val="18"/>
          <w:szCs w:val="18"/>
          <w:color w:val="000000"/>
        </w:rPr>
        <w:t>$1.05</w:t>
      </w:r>
      <w:r>
        <w:rPr>
          <w:rFonts w:ascii="Times New Roman" w:cs="Times New Roman" w:eastAsia="Times New Roman" w:hAnsi="Times New Roman"/>
          <w:sz w:val="18"/>
          <w:szCs w:val="18"/>
          <w:color w:val="222222"/>
        </w:rPr>
        <w:t xml:space="preserve"> to a diluted loss per share of $0.63 in 2020</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Non-GAAP net income attributable to Itron, Inc. was $24.6 million compared with $41.4 million in 2019</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Non-GAAP diluted EPS was $0.61, a decrease of $0.43 compared with 2019</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Adjusted EBITDA was $39.7 million compared with $74.5 million in 2019</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6"/>
        </w:numPr>
        <w:rPr>
          <w:rFonts w:ascii="Times New Roman" w:cs="Times New Roman" w:eastAsia="Times New Roman" w:hAnsi="Times New Roman"/>
          <w:sz w:val="18"/>
          <w:szCs w:val="18"/>
          <w:i w:val="1"/>
          <w:iCs w:val="1"/>
          <w:color w:val="222222"/>
        </w:rPr>
      </w:pPr>
      <w:r>
        <w:rPr>
          <w:rFonts w:ascii="Times New Roman" w:cs="Times New Roman" w:eastAsia="Times New Roman" w:hAnsi="Times New Roman"/>
          <w:sz w:val="18"/>
          <w:szCs w:val="18"/>
          <w:color w:val="222222"/>
        </w:rPr>
        <w:t xml:space="preserve">Total backlog was $2.8 billion and twelve-month backlog was $1.1 billion at </w:t>
      </w:r>
      <w:r>
        <w:rPr>
          <w:rFonts w:ascii="Times New Roman" w:cs="Times New Roman" w:eastAsia="Times New Roman" w:hAnsi="Times New Roman"/>
          <w:sz w:val="18"/>
          <w:szCs w:val="18"/>
          <w:color w:val="000000"/>
        </w:rPr>
        <w:t>September 30, 2020</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2222"/>
        </w:rPr>
        <w:t xml:space="preserve">Highlights and significant developments for the nine months ended </w:t>
      </w:r>
      <w:r>
        <w:rPr>
          <w:rFonts w:ascii="Times New Roman" w:cs="Times New Roman" w:eastAsia="Times New Roman" w:hAnsi="Times New Roman"/>
          <w:sz w:val="18"/>
          <w:szCs w:val="18"/>
          <w:i w:val="1"/>
          <w:iCs w:val="1"/>
          <w:color w:val="000000"/>
        </w:rPr>
        <w:t>September 30, 2020 compared with the</w:t>
      </w:r>
      <w:r>
        <w:rPr>
          <w:rFonts w:ascii="Times New Roman" w:cs="Times New Roman" w:eastAsia="Times New Roman" w:hAnsi="Times New Roman"/>
          <w:sz w:val="18"/>
          <w:szCs w:val="18"/>
          <w:i w:val="1"/>
          <w:iCs w:val="1"/>
          <w:color w:val="222222"/>
        </w:rPr>
        <w:t xml:space="preserve"> nine months ended </w:t>
      </w:r>
      <w:r>
        <w:rPr>
          <w:rFonts w:ascii="Times New Roman" w:cs="Times New Roman" w:eastAsia="Times New Roman" w:hAnsi="Times New Roman"/>
          <w:sz w:val="18"/>
          <w:szCs w:val="18"/>
          <w:i w:val="1"/>
          <w:iCs w:val="1"/>
          <w:color w:val="000000"/>
        </w:rPr>
        <w:t>September 30, 2019</w:t>
      </w:r>
    </w:p>
    <w:p>
      <w:pPr>
        <w:spacing w:after="0" w:line="65" w:lineRule="exact"/>
        <w:rPr>
          <w:sz w:val="20"/>
          <w:szCs w:val="20"/>
          <w:color w:val="auto"/>
        </w:rPr>
      </w:pPr>
    </w:p>
    <w:p>
      <w:pPr>
        <w:ind w:left="240" w:hanging="151"/>
        <w:spacing w:after="0"/>
        <w:tabs>
          <w:tab w:leader="none" w:pos="240" w:val="left"/>
        </w:tabs>
        <w:numPr>
          <w:ilvl w:val="0"/>
          <w:numId w:val="7"/>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Revenues were $1.65 billion compared with $1.87 billion in 2019, a decrease of $225.9 million, or 12%</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7"/>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Gross margin was 27.5% compared with 30.7% in 2019</w:t>
      </w:r>
    </w:p>
    <w:p>
      <w:pPr>
        <w:spacing w:after="0" w:line="63" w:lineRule="exact"/>
        <w:rPr>
          <w:rFonts w:ascii="Times New Roman" w:cs="Times New Roman" w:eastAsia="Times New Roman" w:hAnsi="Times New Roman"/>
          <w:sz w:val="18"/>
          <w:szCs w:val="18"/>
          <w:color w:val="222222"/>
        </w:rPr>
      </w:pPr>
    </w:p>
    <w:p>
      <w:pPr>
        <w:ind w:left="260" w:hanging="171"/>
        <w:spacing w:after="0" w:line="281" w:lineRule="auto"/>
        <w:tabs>
          <w:tab w:leader="none" w:pos="255" w:val="left"/>
        </w:tabs>
        <w:numPr>
          <w:ilvl w:val="0"/>
          <w:numId w:val="7"/>
        </w:numPr>
        <w:rPr>
          <w:rFonts w:ascii="Times New Roman" w:cs="Times New Roman" w:eastAsia="Times New Roman" w:hAnsi="Times New Roman"/>
          <w:sz w:val="18"/>
          <w:szCs w:val="18"/>
          <w:i w:val="1"/>
          <w:iCs w:val="1"/>
          <w:color w:val="222222"/>
        </w:rPr>
      </w:pPr>
      <w:r>
        <w:rPr>
          <w:rFonts w:ascii="Times New Roman" w:cs="Times New Roman" w:eastAsia="Times New Roman" w:hAnsi="Times New Roman"/>
          <w:sz w:val="18"/>
          <w:szCs w:val="18"/>
          <w:color w:val="222222"/>
        </w:rPr>
        <w:t xml:space="preserve">Operating expenses increased $25.3 million, or 5%, compared with 2019, including $43.9 million of restructuring expense related to the 2020 Projects and a $57.3 million </w:t>
      </w:r>
      <w:r>
        <w:rPr>
          <w:rFonts w:ascii="Times New Roman" w:cs="Times New Roman" w:eastAsia="Times New Roman" w:hAnsi="Times New Roman"/>
          <w:sz w:val="18"/>
          <w:szCs w:val="18"/>
          <w:color w:val="000000"/>
        </w:rPr>
        <w:t>loss on sale of business</w:t>
      </w:r>
    </w:p>
    <w:p>
      <w:pPr>
        <w:spacing w:after="0" w:line="1" w:lineRule="exact"/>
        <w:rPr>
          <w:rFonts w:ascii="Times New Roman" w:cs="Times New Roman" w:eastAsia="Times New Roman" w:hAnsi="Times New Roman"/>
          <w:sz w:val="18"/>
          <w:szCs w:val="18"/>
          <w:i w:val="1"/>
          <w:iCs w:val="1"/>
          <w:color w:val="222222"/>
        </w:rPr>
      </w:pPr>
    </w:p>
    <w:p>
      <w:pPr>
        <w:ind w:left="240" w:hanging="151"/>
        <w:spacing w:after="0"/>
        <w:tabs>
          <w:tab w:leader="none" w:pos="240" w:val="left"/>
        </w:tabs>
        <w:numPr>
          <w:ilvl w:val="0"/>
          <w:numId w:val="7"/>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Net loss attributable to Itron, Inc. was $79.5 million, compared with net income of $34.4 million in 2019</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7"/>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GAAP diluted EPS decreased by $2.84 to a diluted loss per share of $1.98 as compared with 2019</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7"/>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Non-GAAP net income attributable to Itron, Inc. was $48.9 million compared with $103.9 million in 2019</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7"/>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Non-GAAP diluted EPS was $1.21, a decrease of $1.39 compared with 2019</w:t>
      </w:r>
    </w:p>
    <w:p>
      <w:pPr>
        <w:spacing w:after="0" w:line="63" w:lineRule="exact"/>
        <w:rPr>
          <w:rFonts w:ascii="Times New Roman" w:cs="Times New Roman" w:eastAsia="Times New Roman" w:hAnsi="Times New Roman"/>
          <w:sz w:val="18"/>
          <w:szCs w:val="18"/>
          <w:color w:val="222222"/>
        </w:rPr>
      </w:pPr>
    </w:p>
    <w:p>
      <w:pPr>
        <w:ind w:left="240" w:hanging="151"/>
        <w:spacing w:after="0"/>
        <w:tabs>
          <w:tab w:leader="none" w:pos="240" w:val="left"/>
        </w:tabs>
        <w:numPr>
          <w:ilvl w:val="0"/>
          <w:numId w:val="7"/>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Adjusted EBITDA was $122.9 million compared with $213.2 million in 2019</w:t>
      </w:r>
    </w:p>
    <w:p>
      <w:pPr>
        <w:spacing w:after="0" w:line="3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Outlook for 2020 due to COVID-19</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COVID-19 pandemic has had global economic impacts including disrupting global supply chains and creating market volatility. The extent of the recent pandemic and its ongoing impact on our operations is volatile but is being monitored closely by management. While certain of our European factories were closed during portions of the first half of 2020 due to government actions and local conditions, all were open throughout the third quarter. Any further closures that may be imposed on us could impact our results for the remainder of 2020. We expect that certain of our customers’ projects and deployments may shift into 2021. Incremental costs we have incurred related to COVID-19, such as personal protective equipment, increased cleaning and sanitizing of our facilities, and other such items, have not been material to date. At this time, we have not identified any significant decrease in long-term customer demand for our products and services. For more information on risks associated with the COVID-19 pandemic, please see our updated risk in Part II, Item 1A, "Risk Factors".</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COVID-19 pandemic remains a rapidly evolving situation. Changes in the mix of earnings or losses from our different geographical operations, as well as any future enactment of tax legislation and other factors, may result in more volatile quarterly and annual effective tax rates. The detrimental impacts to financial results may be partially offset by financial assistance from the U.S. and foreign governments, including employer payroll tax credits for wages paid to employees who are unable to work during the COVID-19 outbreak. Other benefits, including options to defer payroll tax payments and additional deductions, has resulted in reduced future cash outlays in the near term.</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2020 Restructuring Plan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17, 2020, our Board of Directors approved a restructuring plan (the "2020 Projects"). The 2020 Projects include activities that continue the Company’s efforts to optimize its global supply chain and manufacturing operations, sales and marketing organizations, and other overhead. These projects are scheduled to be substantially complete by the end of 2022. We estimate pre-tax restructuring charges of $55 million to $65 million, of which approximately $35 million to $45 million will result in cash expenditures, and the remainder relates to non-cash charges. Of the total expected costs, $43.9 million was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recognized in the third quarter. Once the 2020 Projects are substantially completed, the Company estimates $20 to $25 million of annualized savings.</w:t>
      </w:r>
    </w:p>
    <w:p>
      <w:pPr>
        <w:spacing w:after="0" w:line="2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Sale of Business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On June 25, 2020, we closed on the sale of five subsidiaries comprising our manufacturing and sales operations in Latin America to buyers led by Instalación Profesional y Tecnologías del Centro S.A. de C.V., a Mexican company doing business as Accell in Brazil (Accell), through the execution of various definitive stock purchase agreements. The sale of these Latin America-based operations is part of our continued strategy to improve profitability and focus on growing our Networked Solutions and Outcomes businesses in Latin America and throughout the world. We retained the intellectual property rights to our products sold in Latin America. As part of the transaction, we entered into an intellectual property license agreement whereby Accell will pay a royalty on certain products manufactured by Accell using licensed Company intellectual property. In addition, Accell will serve as an exclusive distributor for our Device Solutions, Networked Solutions, and Outcomes products and services offerings in Latin America. We recognized a loss on sale of business of </w:t>
      </w:r>
      <w:r>
        <w:rPr>
          <w:rFonts w:ascii="Times New Roman" w:cs="Times New Roman" w:eastAsia="Times New Roman" w:hAnsi="Times New Roman"/>
          <w:sz w:val="18"/>
          <w:szCs w:val="18"/>
          <w:color w:val="222222"/>
        </w:rPr>
        <w:t>$57.3 million</w:t>
      </w:r>
      <w:r>
        <w:rPr>
          <w:rFonts w:ascii="Times New Roman" w:cs="Times New Roman" w:eastAsia="Times New Roman" w:hAnsi="Times New Roman"/>
          <w:sz w:val="18"/>
          <w:szCs w:val="18"/>
          <w:color w:val="auto"/>
        </w:rPr>
        <w:t xml:space="preserve"> during the nine months ended September 30, 2020, primarily due to foreign currency translation losses and allocated goodwill. Refer to Item 1: "Financial Statements (Unaudited), Note 17: Sale of Business" for more information.</w:t>
      </w:r>
    </w:p>
    <w:p>
      <w:pPr>
        <w:spacing w:after="0" w:line="2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2020, we drew $400 million U.S. dollars under the revolving line of credit within the 2018 credit facility. In light of the current uncertain environment, we deemed it prudent to increase our cash position and preserve future financial flexibility. The Total Net Leverage Ratio, as defined in the amended 2018 credit facility agreement, was unchanged by this drawing.</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Company GAAP and Non-GAAP Highlights and Unit Shipments: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40" w:type="dxa"/>
            <w:vAlign w:val="bottom"/>
            <w:gridSpan w:val="7"/>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3520" w:type="dxa"/>
            <w:vAlign w:val="bottom"/>
            <w:gridSpan w:val="6"/>
          </w:tcPr>
          <w:p>
            <w:pPr>
              <w:ind w:left="4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2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i w:val="1"/>
                <w:iCs w:val="1"/>
                <w:color w:val="auto"/>
              </w:rPr>
              <w:t>In thousands, except margin and per share data</w:t>
            </w: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71"/>
        </w:trPr>
        <w:tc>
          <w:tcPr>
            <w:tcW w:w="20" w:type="dxa"/>
            <w:vAlign w:val="bottom"/>
          </w:tcPr>
          <w:p>
            <w:pPr>
              <w:spacing w:after="0"/>
              <w:rPr>
                <w:sz w:val="14"/>
                <w:szCs w:val="14"/>
                <w:color w:val="auto"/>
              </w:rPr>
            </w:pPr>
          </w:p>
        </w:tc>
        <w:tc>
          <w:tcPr>
            <w:tcW w:w="3720" w:type="dxa"/>
            <w:vAlign w:val="bottom"/>
            <w:gridSpan w:val="5"/>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GAAP</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9"/>
        </w:trPr>
        <w:tc>
          <w:tcPr>
            <w:tcW w:w="20" w:type="dxa"/>
            <w:vAlign w:val="bottom"/>
            <w:shd w:val="clear" w:color="auto" w:fill="CCEEFF"/>
          </w:tcPr>
          <w:p>
            <w:pPr>
              <w:spacing w:after="0"/>
              <w:rPr>
                <w:sz w:val="19"/>
                <w:szCs w:val="19"/>
                <w:color w:val="auto"/>
              </w:rPr>
            </w:pPr>
          </w:p>
        </w:tc>
        <w:tc>
          <w:tcPr>
            <w:tcW w:w="372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Product 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470,658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552,897</w:t>
            </w:r>
          </w:p>
        </w:tc>
        <w:tc>
          <w:tcPr>
            <w:tcW w:w="11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1,437,780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1,663,794</w:t>
            </w:r>
          </w:p>
        </w:tc>
        <w:tc>
          <w:tcPr>
            <w:tcW w:w="11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(14)%</w:t>
            </w:r>
          </w:p>
        </w:tc>
      </w:tr>
      <w:tr>
        <w:trPr>
          <w:trHeight w:val="213"/>
        </w:trPr>
        <w:tc>
          <w:tcPr>
            <w:tcW w:w="20" w:type="dxa"/>
            <w:vAlign w:val="bottom"/>
            <w:tcBorders>
              <w:bottom w:val="single" w:sz="8" w:color="CCEEFF"/>
            </w:tcBorders>
          </w:tcPr>
          <w:p>
            <w:pPr>
              <w:spacing w:after="0"/>
              <w:rPr>
                <w:sz w:val="18"/>
                <w:szCs w:val="18"/>
                <w:color w:val="auto"/>
              </w:rPr>
            </w:pPr>
          </w:p>
        </w:tc>
        <w:tc>
          <w:tcPr>
            <w:tcW w:w="3720" w:type="dxa"/>
            <w:vAlign w:val="bottom"/>
            <w:tcBorders>
              <w:bottom w:val="single" w:sz="8" w:color="CCEEFF"/>
            </w:tcBorders>
            <w:gridSpan w:val="5"/>
          </w:tcPr>
          <w:p>
            <w:pPr>
              <w:ind w:left="200"/>
              <w:spacing w:after="0"/>
              <w:rPr>
                <w:sz w:val="20"/>
                <w:szCs w:val="20"/>
                <w:color w:val="auto"/>
              </w:rPr>
            </w:pPr>
            <w:r>
              <w:rPr>
                <w:rFonts w:ascii="Times New Roman" w:cs="Times New Roman" w:eastAsia="Times New Roman" w:hAnsi="Times New Roman"/>
                <w:sz w:val="16"/>
                <w:szCs w:val="16"/>
                <w:color w:val="auto"/>
              </w:rPr>
              <w:t>Service revenues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69,526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71,577</w:t>
            </w:r>
          </w:p>
        </w:tc>
        <w:tc>
          <w:tcPr>
            <w:tcW w:w="112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210,413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210,293</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20" w:type="dxa"/>
            <w:vAlign w:val="bottom"/>
            <w:shd w:val="clear" w:color="auto" w:fill="CCEEFF"/>
          </w:tcPr>
          <w:p>
            <w:pPr>
              <w:spacing w:after="0"/>
              <w:rPr>
                <w:sz w:val="18"/>
                <w:szCs w:val="18"/>
                <w:color w:val="auto"/>
              </w:rPr>
            </w:pPr>
          </w:p>
        </w:tc>
        <w:tc>
          <w:tcPr>
            <w:tcW w:w="372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revenues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540,184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624,474</w:t>
            </w:r>
          </w:p>
        </w:tc>
        <w:tc>
          <w:tcPr>
            <w:tcW w:w="11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1,648,193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1,874,087</w:t>
            </w:r>
          </w:p>
        </w:tc>
        <w:tc>
          <w:tcPr>
            <w:tcW w:w="11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(12)%</w:t>
            </w:r>
          </w:p>
        </w:tc>
      </w:tr>
      <w:tr>
        <w:trPr>
          <w:trHeight w:val="257"/>
        </w:trPr>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16"/>
        </w:trPr>
        <w:tc>
          <w:tcPr>
            <w:tcW w:w="20" w:type="dxa"/>
            <w:vAlign w:val="bottom"/>
            <w:shd w:val="clear" w:color="auto" w:fill="CCEEFF"/>
          </w:tcPr>
          <w:p>
            <w:pPr>
              <w:spacing w:after="0"/>
              <w:rPr>
                <w:sz w:val="18"/>
                <w:szCs w:val="18"/>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143,251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196,404</w:t>
            </w:r>
          </w:p>
        </w:tc>
        <w:tc>
          <w:tcPr>
            <w:tcW w:w="11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453,334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574,881</w:t>
            </w:r>
          </w:p>
        </w:tc>
        <w:tc>
          <w:tcPr>
            <w:tcW w:w="11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(21)%</w:t>
            </w:r>
          </w:p>
        </w:tc>
      </w:tr>
      <w:tr>
        <w:trPr>
          <w:trHeight w:val="213"/>
        </w:trPr>
        <w:tc>
          <w:tcPr>
            <w:tcW w:w="2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167,231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156,965</w:t>
            </w:r>
          </w:p>
        </w:tc>
        <w:tc>
          <w:tcPr>
            <w:tcW w:w="11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496,331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471,061</w:t>
            </w:r>
          </w:p>
        </w:tc>
        <w:tc>
          <w:tcPr>
            <w:tcW w:w="11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20" w:type="dxa"/>
            <w:vAlign w:val="bottom"/>
            <w:shd w:val="clear" w:color="auto" w:fill="CCEEFF"/>
          </w:tcPr>
          <w:p>
            <w:pPr>
              <w:spacing w:after="0"/>
              <w:rPr>
                <w:sz w:val="19"/>
                <w:szCs w:val="19"/>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(23,980)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39,439</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NM</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(42,997)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103,820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NM</w:t>
            </w:r>
          </w:p>
        </w:tc>
      </w:tr>
      <w:tr>
        <w:trPr>
          <w:trHeight w:val="213"/>
        </w:trPr>
        <w:tc>
          <w:tcPr>
            <w:tcW w:w="2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26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(13,063)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(15,110)</w:t>
            </w:r>
          </w:p>
        </w:tc>
        <w:tc>
          <w:tcPr>
            <w:tcW w:w="11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(35,020)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(44,983)</w:t>
            </w:r>
          </w:p>
        </w:tc>
        <w:tc>
          <w:tcPr>
            <w:tcW w:w="11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(22)%</w:t>
            </w:r>
          </w:p>
        </w:tc>
      </w:tr>
      <w:tr>
        <w:trPr>
          <w:trHeight w:val="219"/>
        </w:trPr>
        <w:tc>
          <w:tcPr>
            <w:tcW w:w="20" w:type="dxa"/>
            <w:vAlign w:val="bottom"/>
            <w:shd w:val="clear" w:color="auto" w:fill="CCEEFF"/>
          </w:tcPr>
          <w:p>
            <w:pPr>
              <w:spacing w:after="0"/>
              <w:rPr>
                <w:sz w:val="19"/>
                <w:szCs w:val="19"/>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11,985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(6,152)</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NM</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(20,692)</w:t>
            </w:r>
          </w:p>
        </w:tc>
        <w:tc>
          <w:tcPr>
            <w:tcW w:w="11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(98)%</w:t>
            </w:r>
          </w:p>
        </w:tc>
      </w:tr>
      <w:tr>
        <w:trPr>
          <w:trHeight w:val="213"/>
        </w:trPr>
        <w:tc>
          <w:tcPr>
            <w:tcW w:w="2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income (loss) attributable to Itron, Inc.</w:t>
            </w:r>
          </w:p>
        </w:tc>
        <w:tc>
          <w:tcPr>
            <w:tcW w:w="26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(25,357)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16,847</w:t>
            </w: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NM</w:t>
            </w:r>
          </w:p>
        </w:tc>
        <w:tc>
          <w:tcPr>
            <w:tcW w:w="28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(79,475)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34,386</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NM</w:t>
            </w: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175"/>
        </w:trPr>
        <w:tc>
          <w:tcPr>
            <w:tcW w:w="20" w:type="dxa"/>
            <w:vAlign w:val="bottom"/>
          </w:tcPr>
          <w:p>
            <w:pPr>
              <w:spacing w:after="0"/>
              <w:rPr>
                <w:sz w:val="15"/>
                <w:szCs w:val="15"/>
                <w:color w:val="auto"/>
              </w:rPr>
            </w:pPr>
          </w:p>
        </w:tc>
        <w:tc>
          <w:tcPr>
            <w:tcW w:w="3720" w:type="dxa"/>
            <w:vAlign w:val="bottom"/>
            <w:gridSpan w:val="5"/>
          </w:tcPr>
          <w:p>
            <w:pPr>
              <w:spacing w:after="0" w:line="176" w:lineRule="exact"/>
              <w:rPr>
                <w:sz w:val="20"/>
                <w:szCs w:val="20"/>
                <w:color w:val="auto"/>
              </w:rPr>
            </w:pPr>
            <w:r>
              <w:rPr>
                <w:rFonts w:ascii="Times New Roman" w:cs="Times New Roman" w:eastAsia="Times New Roman" w:hAnsi="Times New Roman"/>
                <w:sz w:val="15"/>
                <w:szCs w:val="15"/>
                <w:b w:val="1"/>
                <w:bCs w:val="1"/>
                <w:color w:val="auto"/>
              </w:rPr>
              <w:t>Non-GAAP</w:t>
            </w:r>
            <w:r>
              <w:rPr>
                <w:rFonts w:ascii="Times New Roman" w:cs="Times New Roman" w:eastAsia="Times New Roman" w:hAnsi="Times New Roman"/>
                <w:sz w:val="20"/>
                <w:szCs w:val="20"/>
                <w:b w:val="1"/>
                <w:bCs w:val="1"/>
                <w:color w:val="auto"/>
                <w:vertAlign w:val="superscript"/>
              </w:rPr>
              <w:t>(1)</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113,554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130,387</w:t>
            </w:r>
          </w:p>
        </w:tc>
        <w:tc>
          <w:tcPr>
            <w:tcW w:w="11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364,788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388,985</w:t>
            </w:r>
          </w:p>
        </w:tc>
        <w:tc>
          <w:tcPr>
            <w:tcW w:w="11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(6)%</w:t>
            </w:r>
          </w:p>
        </w:tc>
      </w:tr>
      <w:tr>
        <w:trPr>
          <w:trHeight w:val="213"/>
        </w:trPr>
        <w:tc>
          <w:tcPr>
            <w:tcW w:w="2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Non-GAAP operating income</w:t>
            </w: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29,697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66,017</w:t>
            </w:r>
          </w:p>
        </w:tc>
        <w:tc>
          <w:tcPr>
            <w:tcW w:w="11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88,546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185,896</w:t>
            </w:r>
          </w:p>
        </w:tc>
        <w:tc>
          <w:tcPr>
            <w:tcW w:w="11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(52)%</w:t>
            </w:r>
          </w:p>
        </w:tc>
      </w:tr>
      <w:tr>
        <w:trPr>
          <w:trHeight w:val="219"/>
        </w:trPr>
        <w:tc>
          <w:tcPr>
            <w:tcW w:w="20" w:type="dxa"/>
            <w:vAlign w:val="bottom"/>
            <w:shd w:val="clear" w:color="auto" w:fill="CCEEFF"/>
          </w:tcPr>
          <w:p>
            <w:pPr>
              <w:spacing w:after="0"/>
              <w:rPr>
                <w:sz w:val="19"/>
                <w:szCs w:val="19"/>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net income attributable to Itron, Inc.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24,634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41,396</w:t>
            </w:r>
          </w:p>
        </w:tc>
        <w:tc>
          <w:tcPr>
            <w:tcW w:w="11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48,929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103,886</w:t>
            </w:r>
          </w:p>
        </w:tc>
        <w:tc>
          <w:tcPr>
            <w:tcW w:w="11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(53)%</w:t>
            </w:r>
          </w:p>
        </w:tc>
      </w:tr>
      <w:tr>
        <w:trPr>
          <w:trHeight w:val="213"/>
        </w:trPr>
        <w:tc>
          <w:tcPr>
            <w:tcW w:w="2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39,684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74,456</w:t>
            </w:r>
          </w:p>
        </w:tc>
        <w:tc>
          <w:tcPr>
            <w:tcW w:w="11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122,858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213,180</w:t>
            </w:r>
          </w:p>
        </w:tc>
        <w:tc>
          <w:tcPr>
            <w:tcW w:w="11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(42)%</w:t>
            </w: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176"/>
        </w:trPr>
        <w:tc>
          <w:tcPr>
            <w:tcW w:w="20" w:type="dxa"/>
            <w:vAlign w:val="bottom"/>
          </w:tcPr>
          <w:p>
            <w:pPr>
              <w:spacing w:after="0"/>
              <w:rPr>
                <w:sz w:val="15"/>
                <w:szCs w:val="15"/>
                <w:color w:val="auto"/>
              </w:rPr>
            </w:pPr>
          </w:p>
        </w:tc>
        <w:tc>
          <w:tcPr>
            <w:tcW w:w="372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GAAP Margins and Earnings Per Share</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72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rPr>
              <w:t>Product gross margin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29.5 %</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29.3 %</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72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Service gross margin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720" w:type="dxa"/>
            <w:vAlign w:val="bottom"/>
            <w:gridSpan w:val="5"/>
          </w:tcPr>
          <w:p>
            <w:pPr>
              <w:ind w:left="440"/>
              <w:spacing w:after="0"/>
              <w:rPr>
                <w:sz w:val="20"/>
                <w:szCs w:val="20"/>
                <w:color w:val="auto"/>
              </w:rPr>
            </w:pPr>
            <w:r>
              <w:rPr>
                <w:rFonts w:ascii="Times New Roman" w:cs="Times New Roman" w:eastAsia="Times New Roman" w:hAnsi="Times New Roman"/>
                <w:sz w:val="16"/>
                <w:szCs w:val="16"/>
                <w:color w:val="auto"/>
              </w:rPr>
              <w:t>Total gross margin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31.5 %</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30.7 %</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13"/>
        </w:trPr>
        <w:tc>
          <w:tcPr>
            <w:tcW w:w="2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Operating margin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per common share - Basic</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0.87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Net income (loss) per common share - Diluted</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(0.63)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0.42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0.86</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73"/>
        </w:trPr>
        <w:tc>
          <w:tcPr>
            <w:tcW w:w="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175"/>
        </w:trPr>
        <w:tc>
          <w:tcPr>
            <w:tcW w:w="20" w:type="dxa"/>
            <w:vAlign w:val="bottom"/>
          </w:tcPr>
          <w:p>
            <w:pPr>
              <w:spacing w:after="0"/>
              <w:rPr>
                <w:sz w:val="15"/>
                <w:szCs w:val="15"/>
                <w:color w:val="auto"/>
              </w:rPr>
            </w:pPr>
          </w:p>
        </w:tc>
        <w:tc>
          <w:tcPr>
            <w:tcW w:w="3720" w:type="dxa"/>
            <w:vAlign w:val="bottom"/>
            <w:gridSpan w:val="5"/>
          </w:tcPr>
          <w:p>
            <w:pPr>
              <w:spacing w:after="0" w:line="176" w:lineRule="exact"/>
              <w:rPr>
                <w:sz w:val="20"/>
                <w:szCs w:val="20"/>
                <w:color w:val="auto"/>
              </w:rPr>
            </w:pPr>
            <w:r>
              <w:rPr>
                <w:rFonts w:ascii="Times New Roman" w:cs="Times New Roman" w:eastAsia="Times New Roman" w:hAnsi="Times New Roman"/>
                <w:sz w:val="15"/>
                <w:szCs w:val="15"/>
                <w:b w:val="1"/>
                <w:bCs w:val="1"/>
                <w:color w:val="auto"/>
              </w:rPr>
              <w:t>Non-GAAP Earnings Per Share</w:t>
            </w:r>
            <w:r>
              <w:rPr>
                <w:rFonts w:ascii="Times New Roman" w:cs="Times New Roman" w:eastAsia="Times New Roman" w:hAnsi="Times New Roman"/>
                <w:sz w:val="20"/>
                <w:szCs w:val="20"/>
                <w:b w:val="1"/>
                <w:bCs w:val="1"/>
                <w:color w:val="auto"/>
                <w:vertAlign w:val="superscript"/>
              </w:rPr>
              <w:t>(1)</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diluted EPS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bl>
    <w:p>
      <w:pPr>
        <w:spacing w:after="0" w:line="94" w:lineRule="exact"/>
        <w:rPr>
          <w:sz w:val="20"/>
          <w:szCs w:val="20"/>
          <w:color w:val="auto"/>
        </w:rPr>
      </w:pPr>
    </w:p>
    <w:p>
      <w:pPr>
        <w:ind w:left="340" w:right="20" w:hanging="332"/>
        <w:spacing w:after="0" w:line="225" w:lineRule="auto"/>
        <w:tabs>
          <w:tab w:leader="none" w:pos="32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measures exclude certain expenses that we do not believe are indicative of our core operating results. See pages 43-46 for information about these non-GAAP measures and reconciliations to the most comparable GAAP measures.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Endpoints Summary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is driven significantly by sales of endpoints. We classify our endpoints into two categories:</w:t>
      </w:r>
    </w:p>
    <w:p>
      <w:pPr>
        <w:spacing w:after="0" w:line="9" w:lineRule="exact"/>
        <w:rPr>
          <w:sz w:val="20"/>
          <w:szCs w:val="20"/>
          <w:color w:val="auto"/>
        </w:rPr>
      </w:pPr>
    </w:p>
    <w:p>
      <w:pPr>
        <w:jc w:val="both"/>
        <w:ind w:left="660" w:hanging="328"/>
        <w:spacing w:after="0" w:line="253"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Standard Endpoints </w:t>
      </w:r>
      <w:r>
        <w:rPr>
          <w:rFonts w:ascii="Times New Roman" w:cs="Times New Roman" w:eastAsia="Times New Roman" w:hAnsi="Times New Roman"/>
          <w:sz w:val="18"/>
          <w:szCs w:val="18"/>
          <w:color w:val="auto"/>
        </w:rPr>
        <w:t>– an Itron product delivered primarily via our Device Solutions segment. The majority of our standard endpoint devices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for delivery and metrology in the electricity, water, and gas distribution industries, and have no built-in remote reading communication technology. However, some standard endpoint devices are shipped with non-Itron communications capabilities and are not a part of an Itron solution, such as the Smart Spec meters, and are classified as a standard endpoint.</w:t>
      </w:r>
    </w:p>
    <w:p>
      <w:pPr>
        <w:spacing w:after="0" w:line="213"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Networked Endpoints </w:t>
      </w:r>
      <w:r>
        <w:rPr>
          <w:rFonts w:ascii="Times New Roman" w:cs="Times New Roman" w:eastAsia="Times New Roman" w:hAnsi="Times New Roman"/>
          <w:sz w:val="18"/>
          <w:szCs w:val="18"/>
          <w:color w:val="auto"/>
        </w:rPr>
        <w:t>– an Itron product with the capability of one-way communication or two-way communication of data including remote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device configuration and upgrade (consisting primarily of our OpenWay® or Gen X technology). This primarily includes Itron devices used in electricity, water, and gas distribution industries. Networked endpoints also include smart communication modules and network interface cards (NICs). NICs are communicating modules that can be sold separately from the device directly to our customers or to third party manufacturers for use in endpoints such as electric, water, and gas meters; streetlights and smart city devices; sensors or another standard device that the end customer would like to connect to our OpenWay or Gen X Networked Solutions. These endpoints are primarily delivered via our Networked Solutions segment.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endpoints shipped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3480" w:type="dxa"/>
            <w:vAlign w:val="bottom"/>
            <w:gridSpan w:val="4"/>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380" w:type="dxa"/>
            <w:vAlign w:val="bottom"/>
            <w:gridSpan w:val="3"/>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Units in thousands</w:t>
            </w:r>
          </w:p>
        </w:tc>
        <w:tc>
          <w:tcPr>
            <w:tcW w:w="16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6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08"/>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Itron Endpoints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9"/>
        </w:trPr>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Standard endpoints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16,460</w:t>
            </w:r>
          </w:p>
        </w:tc>
      </w:tr>
      <w:tr>
        <w:trPr>
          <w:trHeight w:val="213"/>
        </w:trPr>
        <w:tc>
          <w:tcPr>
            <w:tcW w:w="4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Networked endpoints</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3,860</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3,940</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11,950</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12,180</w:t>
            </w:r>
          </w:p>
        </w:tc>
      </w:tr>
      <w:tr>
        <w:trPr>
          <w:trHeight w:val="237"/>
        </w:trPr>
        <w:tc>
          <w:tcPr>
            <w:tcW w:w="43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endpoints</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7,750</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9,360</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24,360</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28,640</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and Gross Margin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results of and effects of changes in foreign currency exchange rates on revenues and gross profit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20" w:type="dxa"/>
            <w:vAlign w:val="bottom"/>
            <w:gridSpan w:val="4"/>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6"/>
                <w:szCs w:val="16"/>
                <w:color w:val="auto"/>
              </w:rPr>
            </w:pP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9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2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2"/>
            <w:vMerge w:val="restart"/>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Constant Currency</w:t>
            </w: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
                <w:szCs w:val="2"/>
                <w:color w:val="auto"/>
              </w:rPr>
            </w:pPr>
          </w:p>
        </w:tc>
        <w:tc>
          <w:tcPr>
            <w:tcW w:w="138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29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3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26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540,184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624,474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(84,290)</w:t>
            </w:r>
          </w:p>
        </w:tc>
        <w:tc>
          <w:tcPr>
            <w:tcW w:w="0" w:type="dxa"/>
            <w:vAlign w:val="bottom"/>
          </w:tcPr>
          <w:p>
            <w:pPr>
              <w:spacing w:after="0"/>
              <w:rPr>
                <w:sz w:val="1"/>
                <w:szCs w:val="1"/>
                <w:color w:val="auto"/>
              </w:rPr>
            </w:pPr>
          </w:p>
        </w:tc>
      </w:tr>
      <w:tr>
        <w:trPr>
          <w:trHeight w:val="210"/>
        </w:trPr>
        <w:tc>
          <w:tcPr>
            <w:tcW w:w="2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143,251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196,404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(53,153)</w:t>
            </w:r>
          </w:p>
        </w:tc>
        <w:tc>
          <w:tcPr>
            <w:tcW w:w="0" w:type="dxa"/>
            <w:vAlign w:val="bottom"/>
          </w:tcPr>
          <w:p>
            <w:pPr>
              <w:spacing w:after="0"/>
              <w:rPr>
                <w:sz w:val="1"/>
                <w:szCs w:val="1"/>
                <w:color w:val="auto"/>
              </w:rPr>
            </w:pPr>
          </w:p>
        </w:tc>
      </w:tr>
      <w:tr>
        <w:trPr>
          <w:trHeight w:val="789"/>
        </w:trPr>
        <w:tc>
          <w:tcPr>
            <w:tcW w:w="2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20" w:type="dxa"/>
            <w:vAlign w:val="bottom"/>
            <w:gridSpan w:val="4"/>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00" w:type="dxa"/>
            <w:vAlign w:val="bottom"/>
          </w:tcPr>
          <w:p>
            <w:pPr>
              <w:spacing w:after="0"/>
              <w:rPr>
                <w:sz w:val="24"/>
                <w:szCs w:val="24"/>
                <w:color w:val="auto"/>
              </w:rPr>
            </w:pP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9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2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2"/>
            <w:vMerge w:val="restart"/>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Constant Currency</w:t>
            </w: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
                <w:szCs w:val="2"/>
                <w:color w:val="auto"/>
              </w:rPr>
            </w:pPr>
          </w:p>
        </w:tc>
        <w:tc>
          <w:tcPr>
            <w:tcW w:w="138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29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3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26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1,648,193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1,874,087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(212,253)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(225,894)</w:t>
            </w:r>
          </w:p>
        </w:tc>
        <w:tc>
          <w:tcPr>
            <w:tcW w:w="0" w:type="dxa"/>
            <w:vAlign w:val="bottom"/>
          </w:tcPr>
          <w:p>
            <w:pPr>
              <w:spacing w:after="0"/>
              <w:rPr>
                <w:sz w:val="1"/>
                <w:szCs w:val="1"/>
                <w:color w:val="auto"/>
              </w:rPr>
            </w:pPr>
          </w:p>
        </w:tc>
      </w:tr>
      <w:tr>
        <w:trPr>
          <w:trHeight w:val="210"/>
        </w:trPr>
        <w:tc>
          <w:tcPr>
            <w:tcW w:w="2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453,334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574,881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(121,547)</w:t>
            </w:r>
          </w:p>
        </w:tc>
        <w:tc>
          <w:tcPr>
            <w:tcW w:w="0" w:type="dxa"/>
            <w:vAlign w:val="bottom"/>
          </w:tcPr>
          <w:p>
            <w:pPr>
              <w:spacing w:after="0"/>
              <w:rPr>
                <w:sz w:val="1"/>
                <w:szCs w:val="1"/>
                <w:color w:val="auto"/>
              </w:rPr>
            </w:pPr>
          </w:p>
        </w:tc>
      </w:tr>
    </w:tbl>
    <w:p>
      <w:pPr>
        <w:spacing w:after="0" w:line="3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September 30, 2020 vs. Three months ended September 30, 2019</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Total revenues decreased $84.3 million, or 13%, in the current 2020 quarter, compared with the same period in 2019. We have been negatively impacted by COVID-19, which played a significant role in lower year-over-year results. Product revenues decreased by $82.2 million, and service revenues decreased slightly. Device Solutions decreased by $37.2 million; Networked Solution decreased by $49.6 million; and Outcomes increased by $2.5 million when compared with the same period last year. Changes in exchange rates favorably impacted total revenues in the 2020 period by $5.5 million, of which $5.1 million favorably impacted Device Solutions.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Nine months ended September 30, 2020 vs. Nine months ended September 30, 2019</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22222"/>
        </w:rPr>
        <w:t xml:space="preserve">Total revenues decreased $225.9 million, or 12%, for the first </w:t>
      </w:r>
      <w:r>
        <w:rPr>
          <w:rFonts w:ascii="Times New Roman" w:cs="Times New Roman" w:eastAsia="Times New Roman" w:hAnsi="Times New Roman"/>
          <w:sz w:val="18"/>
          <w:szCs w:val="18"/>
          <w:color w:val="000000"/>
        </w:rPr>
        <w:t>nine months</w:t>
      </w:r>
      <w:r>
        <w:rPr>
          <w:rFonts w:ascii="Times New Roman" w:cs="Times New Roman" w:eastAsia="Times New Roman" w:hAnsi="Times New Roman"/>
          <w:sz w:val="18"/>
          <w:szCs w:val="18"/>
          <w:color w:val="222222"/>
        </w:rPr>
        <w:t xml:space="preserve"> of </w:t>
      </w:r>
      <w:r>
        <w:rPr>
          <w:rFonts w:ascii="Times New Roman" w:cs="Times New Roman" w:eastAsia="Times New Roman" w:hAnsi="Times New Roman"/>
          <w:sz w:val="18"/>
          <w:szCs w:val="18"/>
          <w:color w:val="000000"/>
        </w:rPr>
        <w:t>2020</w:t>
      </w:r>
      <w:r>
        <w:rPr>
          <w:rFonts w:ascii="Times New Roman" w:cs="Times New Roman" w:eastAsia="Times New Roman" w:hAnsi="Times New Roman"/>
          <w:sz w:val="18"/>
          <w:szCs w:val="18"/>
          <w:color w:val="222222"/>
        </w:rPr>
        <w:t xml:space="preserve">, compared with the same period in </w:t>
      </w:r>
      <w:r>
        <w:rPr>
          <w:rFonts w:ascii="Times New Roman" w:cs="Times New Roman" w:eastAsia="Times New Roman" w:hAnsi="Times New Roman"/>
          <w:sz w:val="18"/>
          <w:szCs w:val="18"/>
          <w:color w:val="000000"/>
        </w:rPr>
        <w:t>2019. We have been negatively</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impacted by COVID-19, which played a significant role in lower year-over-year results. Product revenues decreased by $226.0 million, and service revenues increased slightly. </w:t>
      </w:r>
      <w:r>
        <w:rPr>
          <w:rFonts w:ascii="Times New Roman" w:cs="Times New Roman" w:eastAsia="Times New Roman" w:hAnsi="Times New Roman"/>
          <w:sz w:val="18"/>
          <w:szCs w:val="18"/>
          <w:color w:val="222222"/>
        </w:rPr>
        <w:t>Device Solutions decreased by $145.3 million; Networked Solutions decreased by</w:t>
      </w:r>
      <w:r>
        <w:rPr>
          <w:rFonts w:ascii="Times New Roman" w:cs="Times New Roman" w:eastAsia="Times New Roman" w:hAnsi="Times New Roman"/>
          <w:sz w:val="18"/>
          <w:szCs w:val="18"/>
          <w:color w:val="000000"/>
        </w:rPr>
        <w:t xml:space="preserve"> $76.6 million</w:t>
      </w:r>
      <w:r>
        <w:rPr>
          <w:rFonts w:ascii="Times New Roman" w:cs="Times New Roman" w:eastAsia="Times New Roman" w:hAnsi="Times New Roman"/>
          <w:sz w:val="18"/>
          <w:szCs w:val="18"/>
          <w:color w:val="222222"/>
        </w:rPr>
        <w:t>; and Outcomes decreased by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22222"/>
        </w:rPr>
        <w:t>$4.1 million when compared with the same period last year. C</w:t>
      </w:r>
      <w:r>
        <w:rPr>
          <w:rFonts w:ascii="Times New Roman" w:cs="Times New Roman" w:eastAsia="Times New Roman" w:hAnsi="Times New Roman"/>
          <w:sz w:val="18"/>
          <w:szCs w:val="18"/>
          <w:color w:val="000000"/>
        </w:rPr>
        <w:t>hanges in exchange rates unfavorably impacted total revenues by</w:t>
      </w:r>
      <w:r>
        <w:rPr>
          <w:rFonts w:ascii="Times New Roman" w:cs="Times New Roman" w:eastAsia="Times New Roman" w:hAnsi="Times New Roman"/>
          <w:sz w:val="18"/>
          <w:szCs w:val="18"/>
          <w:color w:val="222222"/>
        </w:rPr>
        <w:t xml:space="preserve"> $13.6 million</w:t>
      </w:r>
      <w:r>
        <w:rPr>
          <w:rFonts w:ascii="Times New Roman" w:cs="Times New Roman" w:eastAsia="Times New Roman" w:hAnsi="Times New Roman"/>
          <w:sz w:val="18"/>
          <w:szCs w:val="18"/>
          <w:color w:val="000000"/>
        </w:rPr>
        <w:t>, of which</w:t>
      </w:r>
      <w:r>
        <w:rPr>
          <w:rFonts w:ascii="Times New Roman" w:cs="Times New Roman" w:eastAsia="Times New Roman" w:hAnsi="Times New Roman"/>
          <w:sz w:val="18"/>
          <w:szCs w:val="18"/>
          <w:color w:val="222222"/>
        </w:rPr>
        <w:t xml:space="preserve"> $11.6 million </w:t>
      </w:r>
      <w:r>
        <w:rPr>
          <w:rFonts w:ascii="Times New Roman" w:cs="Times New Roman" w:eastAsia="Times New Roman" w:hAnsi="Times New Roman"/>
          <w:sz w:val="18"/>
          <w:szCs w:val="18"/>
          <w:color w:val="000000"/>
        </w:rPr>
        <w:t>unfavorably impacted Device Solutions.</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Gross Margin - Three months ended September 30, 2020 vs. Three months ended September 30, 2019</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22222"/>
        </w:rPr>
        <w:t xml:space="preserve">Gross margin in the </w:t>
      </w:r>
      <w:r>
        <w:rPr>
          <w:rFonts w:ascii="Times New Roman" w:cs="Times New Roman" w:eastAsia="Times New Roman" w:hAnsi="Times New Roman"/>
          <w:sz w:val="18"/>
          <w:szCs w:val="18"/>
          <w:color w:val="000000"/>
        </w:rPr>
        <w:t>2020</w:t>
      </w:r>
      <w:r>
        <w:rPr>
          <w:rFonts w:ascii="Times New Roman" w:cs="Times New Roman" w:eastAsia="Times New Roman" w:hAnsi="Times New Roman"/>
          <w:sz w:val="18"/>
          <w:szCs w:val="18"/>
          <w:color w:val="222222"/>
        </w:rPr>
        <w:t xml:space="preserve"> period was 26.5%, compared with 31.5% in </w:t>
      </w:r>
      <w:r>
        <w:rPr>
          <w:rFonts w:ascii="Times New Roman" w:cs="Times New Roman" w:eastAsia="Times New Roman" w:hAnsi="Times New Roman"/>
          <w:sz w:val="18"/>
          <w:szCs w:val="18"/>
          <w:color w:val="000000"/>
        </w:rPr>
        <w:t>2019</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We were negatively impacted by unfavorable product mix, inventory reserves,</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and manufacturing inefficiencies caused by COVID-19. </w:t>
      </w:r>
      <w:r>
        <w:rPr>
          <w:rFonts w:ascii="Times New Roman" w:cs="Times New Roman" w:eastAsia="Times New Roman" w:hAnsi="Times New Roman"/>
          <w:sz w:val="18"/>
          <w:szCs w:val="18"/>
          <w:color w:val="222222"/>
        </w:rPr>
        <w:t>Product sales gross margin decreased to 23.9% for the quarter in</w:t>
      </w:r>
      <w:r>
        <w:rPr>
          <w:rFonts w:ascii="Times New Roman" w:cs="Times New Roman" w:eastAsia="Times New Roman" w:hAnsi="Times New Roman"/>
          <w:sz w:val="18"/>
          <w:szCs w:val="18"/>
          <w:color w:val="000000"/>
        </w:rPr>
        <w:t xml:space="preserve"> 2020</w:t>
      </w:r>
      <w:r>
        <w:rPr>
          <w:rFonts w:ascii="Times New Roman" w:cs="Times New Roman" w:eastAsia="Times New Roman" w:hAnsi="Times New Roman"/>
          <w:sz w:val="18"/>
          <w:szCs w:val="18"/>
          <w:color w:val="222222"/>
        </w:rPr>
        <w:t>, compared with 29.5% in</w:t>
      </w:r>
      <w:r>
        <w:rPr>
          <w:rFonts w:ascii="Times New Roman" w:cs="Times New Roman" w:eastAsia="Times New Roman" w:hAnsi="Times New Roman"/>
          <w:sz w:val="18"/>
          <w:szCs w:val="18"/>
          <w:color w:val="000000"/>
        </w:rPr>
        <w:t xml:space="preserve"> 2019</w:t>
      </w:r>
      <w:r>
        <w:rPr>
          <w:rFonts w:ascii="Times New Roman" w:cs="Times New Roman" w:eastAsia="Times New Roman" w:hAnsi="Times New Roman"/>
          <w:sz w:val="18"/>
          <w:szCs w:val="18"/>
          <w:color w:val="222222"/>
        </w:rPr>
        <w:t>. Gross margin on service revenues decreased to 44.4% in</w:t>
      </w:r>
      <w:r>
        <w:rPr>
          <w:rFonts w:ascii="Times New Roman" w:cs="Times New Roman" w:eastAsia="Times New Roman" w:hAnsi="Times New Roman"/>
          <w:sz w:val="18"/>
          <w:szCs w:val="18"/>
          <w:color w:val="000000"/>
        </w:rPr>
        <w:t xml:space="preserve"> 2020</w:t>
      </w:r>
      <w:r>
        <w:rPr>
          <w:rFonts w:ascii="Times New Roman" w:cs="Times New Roman" w:eastAsia="Times New Roman" w:hAnsi="Times New Roman"/>
          <w:sz w:val="18"/>
          <w:szCs w:val="18"/>
          <w:color w:val="222222"/>
        </w:rPr>
        <w:t>, compared with 46.5% in</w:t>
      </w:r>
      <w:r>
        <w:rPr>
          <w:rFonts w:ascii="Times New Roman" w:cs="Times New Roman" w:eastAsia="Times New Roman" w:hAnsi="Times New Roman"/>
          <w:sz w:val="18"/>
          <w:szCs w:val="18"/>
          <w:color w:val="000000"/>
        </w:rPr>
        <w:t xml:space="preserve"> 2019</w:t>
      </w:r>
      <w:r>
        <w:rPr>
          <w:rFonts w:ascii="Times New Roman" w:cs="Times New Roman" w:eastAsia="Times New Roman" w:hAnsi="Times New Roman"/>
          <w:sz w:val="18"/>
          <w:szCs w:val="18"/>
          <w:color w:val="222222"/>
        </w:rPr>
        <w:t>.</w:t>
      </w:r>
    </w:p>
    <w:p>
      <w:pPr>
        <w:spacing w:after="0" w:line="2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Gross Margin - Nine months ended September 30, 2020 vs. Nine months ended September 30, 2019</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22222"/>
        </w:rPr>
        <w:t xml:space="preserve">Gross margin for the current year was 27.5%, compared with 30.7% in </w:t>
      </w:r>
      <w:r>
        <w:rPr>
          <w:rFonts w:ascii="Times New Roman" w:cs="Times New Roman" w:eastAsia="Times New Roman" w:hAnsi="Times New Roman"/>
          <w:sz w:val="18"/>
          <w:szCs w:val="18"/>
          <w:color w:val="000000"/>
        </w:rPr>
        <w:t>2019</w:t>
      </w:r>
      <w:r>
        <w:rPr>
          <w:rFonts w:ascii="Times New Roman" w:cs="Times New Roman" w:eastAsia="Times New Roman" w:hAnsi="Times New Roman"/>
          <w:sz w:val="18"/>
          <w:szCs w:val="18"/>
          <w:color w:val="222222"/>
        </w:rPr>
        <w:t xml:space="preserve">. Unfavorable product mix and manufacturing inefficiencies caused by COVID-19 negatively </w:t>
      </w:r>
      <w:r>
        <w:rPr>
          <w:rFonts w:ascii="Times New Roman" w:cs="Times New Roman" w:eastAsia="Times New Roman" w:hAnsi="Times New Roman"/>
          <w:sz w:val="18"/>
          <w:szCs w:val="18"/>
          <w:color w:val="000000"/>
        </w:rPr>
        <w:t>impacted our results.</w:t>
      </w:r>
      <w:r>
        <w:rPr>
          <w:rFonts w:ascii="Times New Roman" w:cs="Times New Roman" w:eastAsia="Times New Roman" w:hAnsi="Times New Roman"/>
          <w:sz w:val="18"/>
          <w:szCs w:val="18"/>
          <w:color w:val="222222"/>
        </w:rPr>
        <w:t xml:space="preserve"> Product sales gross margin decreased to 25.4% in the </w:t>
      </w:r>
      <w:r>
        <w:rPr>
          <w:rFonts w:ascii="Times New Roman" w:cs="Times New Roman" w:eastAsia="Times New Roman" w:hAnsi="Times New Roman"/>
          <w:sz w:val="18"/>
          <w:szCs w:val="18"/>
          <w:color w:val="000000"/>
        </w:rPr>
        <w:t>2020 period</w:t>
      </w:r>
      <w:r>
        <w:rPr>
          <w:rFonts w:ascii="Times New Roman" w:cs="Times New Roman" w:eastAsia="Times New Roman" w:hAnsi="Times New Roman"/>
          <w:sz w:val="18"/>
          <w:szCs w:val="18"/>
          <w:color w:val="222222"/>
        </w:rPr>
        <w:t xml:space="preserve">, compared with 29.3% in </w:t>
      </w:r>
      <w:r>
        <w:rPr>
          <w:rFonts w:ascii="Times New Roman" w:cs="Times New Roman" w:eastAsia="Times New Roman" w:hAnsi="Times New Roman"/>
          <w:sz w:val="18"/>
          <w:szCs w:val="18"/>
          <w:color w:val="000000"/>
        </w:rPr>
        <w:t>2019</w:t>
      </w:r>
      <w:r>
        <w:rPr>
          <w:rFonts w:ascii="Times New Roman" w:cs="Times New Roman" w:eastAsia="Times New Roman" w:hAnsi="Times New Roman"/>
          <w:sz w:val="18"/>
          <w:szCs w:val="18"/>
          <w:color w:val="222222"/>
        </w:rPr>
        <w:t xml:space="preserve"> and gross margin on service revenues decreased to 41.7%, compared with 41.8% in </w:t>
      </w:r>
      <w:r>
        <w:rPr>
          <w:rFonts w:ascii="Times New Roman" w:cs="Times New Roman" w:eastAsia="Times New Roman" w:hAnsi="Times New Roman"/>
          <w:sz w:val="18"/>
          <w:szCs w:val="18"/>
          <w:color w:val="000000"/>
        </w:rPr>
        <w:t>2019</w:t>
      </w:r>
      <w:r>
        <w:rPr>
          <w:rFonts w:ascii="Times New Roman" w:cs="Times New Roman" w:eastAsia="Times New Roman" w:hAnsi="Times New Roman"/>
          <w:sz w:val="18"/>
          <w:szCs w:val="18"/>
          <w:color w:val="222222"/>
        </w:rPr>
        <w: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Operating Segment Results section below for further detail on total company revenues and gross margin.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results of and effects of changes in foreign currency exchange rates on operating expenses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0" w:type="dxa"/>
            <w:vAlign w:val="bottom"/>
            <w:gridSpan w:val="5"/>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tcBorders>
          </w:tcPr>
          <w:p>
            <w:pPr>
              <w:spacing w:after="0"/>
              <w:rPr>
                <w:sz w:val="2"/>
                <w:szCs w:val="2"/>
                <w:color w:val="auto"/>
              </w:rPr>
            </w:pPr>
          </w:p>
        </w:tc>
        <w:tc>
          <w:tcPr>
            <w:tcW w:w="1360" w:type="dxa"/>
            <w:vAlign w:val="bottom"/>
            <w:tcBorders>
              <w:top w:val="single" w:sz="8" w:color="auto"/>
            </w:tcBorders>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Sales, general and administrative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64,982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(18,684)</w:t>
            </w:r>
          </w:p>
        </w:tc>
        <w:tc>
          <w:tcPr>
            <w:tcW w:w="0" w:type="dxa"/>
            <w:vAlign w:val="bottom"/>
          </w:tcPr>
          <w:p>
            <w:pPr>
              <w:spacing w:after="0"/>
              <w:rPr>
                <w:sz w:val="1"/>
                <w:szCs w:val="1"/>
                <w:color w:val="auto"/>
              </w:rPr>
            </w:pPr>
          </w:p>
        </w:tc>
      </w:tr>
      <w:tr>
        <w:trPr>
          <w:trHeight w:val="213"/>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(4,388)</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(4,912)</w:t>
            </w:r>
          </w:p>
        </w:tc>
        <w:tc>
          <w:tcPr>
            <w:tcW w:w="0" w:type="dxa"/>
            <w:vAlign w:val="bottom"/>
          </w:tcPr>
          <w:p>
            <w:pPr>
              <w:spacing w:after="0"/>
              <w:rPr>
                <w:sz w:val="1"/>
                <w:szCs w:val="1"/>
                <w:color w:val="auto"/>
              </w:rPr>
            </w:pPr>
          </w:p>
        </w:tc>
      </w:tr>
      <w:tr>
        <w:trPr>
          <w:trHeight w:val="213"/>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Restructuring</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37,870</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on sale of business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0" w:type="dxa"/>
            <w:vAlign w:val="bottom"/>
          </w:tcPr>
          <w:p>
            <w:pPr>
              <w:spacing w:after="0"/>
              <w:rPr>
                <w:sz w:val="1"/>
                <w:szCs w:val="1"/>
                <w:color w:val="auto"/>
              </w:rPr>
            </w:pPr>
          </w:p>
        </w:tc>
      </w:tr>
      <w:tr>
        <w:trPr>
          <w:trHeight w:val="207"/>
        </w:trPr>
        <w:tc>
          <w:tcPr>
            <w:tcW w:w="30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167,231</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156,965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10,266</w:t>
            </w: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0"/>
        </w:trPr>
        <w:tc>
          <w:tcPr>
            <w:tcW w:w="3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gridSpan w:val="5"/>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0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top w:val="single" w:sz="8" w:color="auto"/>
            </w:tcBorders>
          </w:tcPr>
          <w:p>
            <w:pPr>
              <w:spacing w:after="0"/>
              <w:rPr>
                <w:sz w:val="2"/>
                <w:szCs w:val="2"/>
                <w:color w:val="auto"/>
              </w:rPr>
            </w:pPr>
          </w:p>
        </w:tc>
        <w:tc>
          <w:tcPr>
            <w:tcW w:w="1360" w:type="dxa"/>
            <w:vAlign w:val="bottom"/>
            <w:tcBorders>
              <w:top w:val="single" w:sz="8" w:color="auto"/>
            </w:tcBorders>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Sales, general and administrative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264,640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(49,622)</w:t>
            </w:r>
          </w:p>
        </w:tc>
        <w:tc>
          <w:tcPr>
            <w:tcW w:w="0" w:type="dxa"/>
            <w:vAlign w:val="bottom"/>
          </w:tcPr>
          <w:p>
            <w:pPr>
              <w:spacing w:after="0"/>
              <w:rPr>
                <w:sz w:val="1"/>
                <w:szCs w:val="1"/>
                <w:color w:val="auto"/>
              </w:rPr>
            </w:pPr>
          </w:p>
        </w:tc>
      </w:tr>
      <w:tr>
        <w:trPr>
          <w:trHeight w:val="213"/>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(14,697)</w:t>
            </w:r>
          </w:p>
        </w:tc>
        <w:tc>
          <w:tcPr>
            <w:tcW w:w="0" w:type="dxa"/>
            <w:vAlign w:val="bottom"/>
          </w:tcPr>
          <w:p>
            <w:pPr>
              <w:spacing w:after="0"/>
              <w:rPr>
                <w:sz w:val="1"/>
                <w:szCs w:val="1"/>
                <w:color w:val="auto"/>
              </w:rPr>
            </w:pPr>
          </w:p>
        </w:tc>
      </w:tr>
      <w:tr>
        <w:trPr>
          <w:trHeight w:val="213"/>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Restructuring</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33,846</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on sale of business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57,295</w:t>
            </w:r>
          </w:p>
        </w:tc>
        <w:tc>
          <w:tcPr>
            <w:tcW w:w="0" w:type="dxa"/>
            <w:vAlign w:val="bottom"/>
          </w:tcPr>
          <w:p>
            <w:pPr>
              <w:spacing w:after="0"/>
              <w:rPr>
                <w:sz w:val="1"/>
                <w:szCs w:val="1"/>
                <w:color w:val="auto"/>
              </w:rPr>
            </w:pPr>
          </w:p>
        </w:tc>
      </w:tr>
      <w:tr>
        <w:trPr>
          <w:trHeight w:val="207"/>
        </w:trPr>
        <w:tc>
          <w:tcPr>
            <w:tcW w:w="30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496,331</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471,061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26,721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25,270</w:t>
            </w: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expenses increased $10.3 million for the third quarter of 2020 as compared with the same period in 2019. This was primarily the result of $43.9 million in restructuring expenses recognized for the 2020 Projects during the third quarter of 2020. An additional $0.4 million recognized for the loss on sale of business from the Latin America divestiture, which closed in June 2020. The increase was partially offset by decreases of $18.7 million in sales, general and administrative expenses due to lower variable compensation and reduced travel expenses, and $4.9 million in amortization of intangible assets compared with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2019 period. Acquisition and integration costs, which are classified within sales, general and administrative expenses, decreased by $6.2 million compared with the same period in 2019.</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expenses increased $25.3 million for the nine months ended September 30, 2020 as compared with the same period in 2019. This was primarily the result of $43.9 million in restructuring expense recognized for the 2020 Projects during the third quarter of 2020 and a $57.3 million loss on sale of business resulting from the Latin America divestiture during the second quarter of 2020. The increase was partially offset by decreases of $49.6 million in sales, general and administrative expenses due to lower variable compensation and reduced travel expenses, and $14.7 million in amortization of intangible assets. Acquisition and integration costs, which are classified within sales, general and administrative expenses, decreased by $25.3 million compared with the same period in 2019.</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other income (expense):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6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880" w:type="dxa"/>
            <w:vAlign w:val="bottom"/>
          </w:tcPr>
          <w:p>
            <w:pPr>
              <w:spacing w:after="0"/>
              <w:rPr>
                <w:sz w:val="18"/>
                <w:szCs w:val="18"/>
                <w:color w:val="auto"/>
              </w:rPr>
            </w:pPr>
          </w:p>
        </w:tc>
      </w:tr>
      <w:tr>
        <w:trPr>
          <w:trHeight w:val="236"/>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3"/>
        </w:trPr>
        <w:tc>
          <w:tcPr>
            <w:tcW w:w="2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57%</w:t>
            </w: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(11,584)</w:t>
            </w:r>
          </w:p>
        </w:tc>
        <w:tc>
          <w:tcPr>
            <w:tcW w:w="9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(36,213)</w:t>
            </w:r>
          </w:p>
        </w:tc>
        <w:tc>
          <w:tcPr>
            <w:tcW w:w="10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(15)%</w:t>
            </w:r>
          </w:p>
        </w:tc>
      </w:tr>
      <w:tr>
        <w:trPr>
          <w:trHeight w:val="21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prepaid debt fees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9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(18)%</w:t>
            </w:r>
          </w:p>
        </w:tc>
      </w:tr>
      <w:tr>
        <w:trPr>
          <w:trHeight w:val="213"/>
        </w:trPr>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(2,759)</w:t>
            </w:r>
          </w:p>
        </w:tc>
        <w:tc>
          <w:tcPr>
            <w:tcW w:w="98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(6,463)</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CCEEFF"/>
            </w:tcBorders>
          </w:tcPr>
          <w:p>
            <w:pPr>
              <w:jc w:val="right"/>
              <w:ind w:right="159"/>
              <w:spacing w:after="0"/>
              <w:rPr>
                <w:sz w:val="20"/>
                <w:szCs w:val="20"/>
                <w:color w:val="auto"/>
              </w:rPr>
            </w:pPr>
            <w:r>
              <w:rPr>
                <w:rFonts w:ascii="Times New Roman" w:cs="Times New Roman" w:eastAsia="Times New Roman" w:hAnsi="Times New Roman"/>
                <w:sz w:val="16"/>
                <w:szCs w:val="16"/>
                <w:color w:val="auto"/>
              </w:rPr>
              <w:t>(47)%</w:t>
            </w:r>
          </w:p>
        </w:tc>
      </w:tr>
      <w:tr>
        <w:trPr>
          <w:trHeight w:val="237"/>
        </w:trPr>
        <w:tc>
          <w:tcPr>
            <w:tcW w:w="27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(15,110)</w:t>
            </w:r>
          </w:p>
        </w:tc>
        <w:tc>
          <w:tcPr>
            <w:tcW w:w="980" w:type="dxa"/>
            <w:vAlign w:val="bottom"/>
            <w:tcBorders>
              <w:bottom w:val="single" w:sz="8" w:color="CCEEFF"/>
            </w:tcBorders>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(35,020)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(44,983)</w:t>
            </w: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(22)%</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bl>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other income (expense) for the three and nine months ended September 30, 2020 was a net expense of $13.1 million and $35.0 million, compared with net expense of $15.1 million and $45.0 million in the same periods in 2019.</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lower total expense for the three months ended September 30, 2020, as compared with the same period in 2019, was driven primarily by $2.9 million in lower interest expense for the credit facility due to a lower interest rate in 2020.</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other income (expense) for the nine months ended September 30, 2020, as compared with the same period in 2019, was primarily driven by $7.1 million in lower interest expense for the credit facility due to a lower interest rate in 2020, and lower foreign currency exchange losses resulting from transactions denominated in a currency other than the reporting entity's functional currency.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three and nine months ended September 30, 2020, our income tax expense (benefit) was $(12.0) million and $0.4 million compared with income tax expense of $6.2 million and $20.7 million for the same periods in 2019. Our tax rate for the three and nine months ended September 30, 2020 of 32% and 0%, respectively, differed from the federal statutory rate of 21% primarily due to a significant loss recognized in the second quarter for the divestiture of the majority of our Latin American business activities. Refer to "Note 17: Sale of Business" for additional information on the transaction. This loss was recognized for tax as a discrete item and resulted in no tax benefit. A discrete tax benefit was recorded in the third quarter for $10.1 million related to the release of a valuation allowance on U.S. foreign tax credit deferred tax assets. This release was triggered by the carryforward of tax attributes due to the filing of amended tax returns in the third quarter. Other rate drivers include losses in jurisdictions for which no benefit is recognized because of valuation allowances on deferred tax assets, the forecasted mix of earnings in domestic and international jurisdictions, a benefit related to excess stock-based compensation, and uncertain tax positions. Our tax rate for the three and nine months ended September 30, 2019 of 25% and 35%, respectively, differed from the federal statutory rate of 21% primarily due to losses in jurisdictions for which no benefit is recognized because of valuation allowances on deferred tax assets as well as the forecasted mix of earnings in domestic and international jurisdictions, a benefit related to excess stock-based compensation, and uncertain tax positions.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discussion related to income taxes, see Item 1: "Financial Statements (Unaudited), Note 10: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 Results</w:t>
      </w:r>
    </w:p>
    <w:p>
      <w:pPr>
        <w:spacing w:after="0" w:line="256"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For a description of our operating segments, refer to Item 1: "Financial Statements (Unaudited), Note 15: Segment Information". The following tables and discussion highlight significant changes in trends or components of each operating segment:</w:t>
      </w:r>
    </w:p>
    <w:tbl>
      <w:tblPr>
        <w:tblLayout w:type="fixed"/>
        <w:tblInd w:w="0" w:type="dxa"/>
        <w:tblCellMar>
          <w:top w:w="0" w:type="dxa"/>
          <w:left w:w="0" w:type="dxa"/>
          <w:bottom w:w="0" w:type="dxa"/>
          <w:right w:w="0" w:type="dxa"/>
        </w:tblCellMar>
      </w:tblPr>
      <w:tr>
        <w:trPr>
          <w:trHeight w:val="165"/>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jc w:val="center"/>
              <w:ind w:right="220"/>
              <w:spacing w:after="0" w:line="165"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5"/>
          </w:tcPr>
          <w:p>
            <w:pPr>
              <w:jc w:val="center"/>
              <w:ind w:right="300"/>
              <w:spacing w:after="0" w:line="165" w:lineRule="exact"/>
              <w:rPr>
                <w:sz w:val="20"/>
                <w:szCs w:val="20"/>
                <w:color w:val="auto"/>
              </w:rPr>
            </w:pPr>
            <w:r>
              <w:rPr>
                <w:rFonts w:ascii="Times New Roman" w:cs="Times New Roman" w:eastAsia="Times New Roman" w:hAnsi="Times New Roman"/>
                <w:sz w:val="16"/>
                <w:szCs w:val="16"/>
                <w:b w:val="1"/>
                <w:bCs w:val="1"/>
                <w:color w:val="auto"/>
              </w:rPr>
              <w:t>Nine Months Ended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Revenues</w:t>
            </w: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Device Solutions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176,128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9"/>
              </w:rPr>
              <w:t>(17)%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507,572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652,827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9"/>
              </w:rPr>
              <w:t>(22)%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Networked Solutions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306,659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356,221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971,984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1,048,564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Outcomes</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57,397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3"/>
              </w:rPr>
              <w:t>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168,637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5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540,184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624,474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1,648,193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1,874,087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6"/>
        </w:trPr>
        <w:tc>
          <w:tcPr>
            <w:tcW w:w="2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9"/>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2019</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2019</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3"/>
                <w:szCs w:val="13"/>
                <w:color w:val="auto"/>
              </w:rPr>
            </w:pPr>
          </w:p>
        </w:tc>
        <w:tc>
          <w:tcPr>
            <w:tcW w:w="86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Gross</w:t>
            </w:r>
          </w:p>
        </w:tc>
        <w:tc>
          <w:tcPr>
            <w:tcW w:w="840" w:type="dxa"/>
            <w:vAlign w:val="bottom"/>
          </w:tcPr>
          <w:p>
            <w:pPr>
              <w:jc w:val="center"/>
              <w:ind w:right="1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86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9"/>
              </w:rPr>
              <w:t>Gross</w:t>
            </w:r>
          </w:p>
        </w:tc>
        <w:tc>
          <w:tcPr>
            <w:tcW w:w="0" w:type="dxa"/>
            <w:vAlign w:val="bottom"/>
          </w:tcPr>
          <w:p>
            <w:pPr>
              <w:spacing w:after="0"/>
              <w:rPr>
                <w:sz w:val="1"/>
                <w:szCs w:val="1"/>
                <w:color w:val="auto"/>
              </w:rPr>
            </w:pPr>
          </w:p>
        </w:tc>
      </w:tr>
      <w:tr>
        <w:trPr>
          <w:trHeight w:val="215"/>
        </w:trPr>
        <w:tc>
          <w:tcPr>
            <w:tcW w:w="2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i w:val="1"/>
                <w:iCs w:val="1"/>
                <w:color w:val="auto"/>
                <w:w w:val="99"/>
              </w:rPr>
              <w:t>Profit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0" w:type="dxa"/>
            <w:vAlign w:val="bottom"/>
          </w:tcPr>
          <w:p>
            <w:pPr>
              <w:spacing w:after="0"/>
              <w:rPr>
                <w:sz w:val="18"/>
                <w:szCs w:val="18"/>
                <w:color w:val="auto"/>
              </w:rPr>
            </w:pPr>
          </w:p>
        </w:tc>
        <w:tc>
          <w:tcPr>
            <w:tcW w:w="112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i w:val="1"/>
                <w:iCs w:val="1"/>
                <w:color w:val="auto"/>
              </w:rPr>
              <w:t>Profit</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40" w:type="dxa"/>
            <w:vAlign w:val="bottom"/>
          </w:tcPr>
          <w:p>
            <w:pPr>
              <w:spacing w:after="0"/>
              <w:rPr>
                <w:sz w:val="18"/>
                <w:szCs w:val="18"/>
                <w:color w:val="auto"/>
              </w:rPr>
            </w:pPr>
          </w:p>
        </w:tc>
        <w:tc>
          <w:tcPr>
            <w:tcW w:w="9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i w:val="1"/>
                <w:iCs w:val="1"/>
                <w:color w:val="auto"/>
                <w:w w:val="99"/>
              </w:rPr>
              <w:t>Profit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0" w:type="dxa"/>
            <w:vAlign w:val="bottom"/>
          </w:tcPr>
          <w:p>
            <w:pPr>
              <w:spacing w:after="0"/>
              <w:rPr>
                <w:sz w:val="18"/>
                <w:szCs w:val="18"/>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i w:val="1"/>
                <w:iCs w:val="1"/>
                <w:color w:val="auto"/>
                <w:w w:val="99"/>
              </w:rPr>
              <w:t>Profit</w:t>
            </w: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0" w:type="dxa"/>
            <w:vAlign w:val="bottom"/>
          </w:tcPr>
          <w:p>
            <w:pPr>
              <w:spacing w:after="0"/>
              <w:rPr>
                <w:sz w:val="1"/>
                <w:szCs w:val="1"/>
                <w:color w:val="auto"/>
              </w:rPr>
            </w:pPr>
          </w:p>
        </w:tc>
      </w:tr>
      <w:tr>
        <w:trPr>
          <w:trHeight w:val="210"/>
        </w:trPr>
        <w:tc>
          <w:tcPr>
            <w:tcW w:w="2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Gross Profit and Margin</w:t>
            </w: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Device Solutions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19.2%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18.8%</w:t>
            </w:r>
          </w:p>
        </w:tc>
        <w:tc>
          <w:tcPr>
            <w:tcW w:w="0" w:type="dxa"/>
            <w:vAlign w:val="bottom"/>
          </w:tcPr>
          <w:p>
            <w:pPr>
              <w:spacing w:after="0"/>
              <w:rPr>
                <w:sz w:val="1"/>
                <w:szCs w:val="1"/>
                <w:color w:val="auto"/>
              </w:rPr>
            </w:pPr>
          </w:p>
        </w:tc>
      </w:tr>
      <w:tr>
        <w:trPr>
          <w:trHeight w:val="213"/>
        </w:trPr>
        <w:tc>
          <w:tcPr>
            <w:tcW w:w="2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Networked Solutions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38.0%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332,368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34.2%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388,717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37.1%</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Outcomes</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36.5%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36.9%</w:t>
            </w:r>
          </w:p>
        </w:tc>
        <w:tc>
          <w:tcPr>
            <w:tcW w:w="0" w:type="dxa"/>
            <w:vAlign w:val="bottom"/>
          </w:tcPr>
          <w:p>
            <w:pPr>
              <w:spacing w:after="0"/>
              <w:rPr>
                <w:sz w:val="1"/>
                <w:szCs w:val="1"/>
                <w:color w:val="auto"/>
              </w:rPr>
            </w:pPr>
          </w:p>
        </w:tc>
      </w:tr>
      <w:tr>
        <w:trPr>
          <w:trHeight w:val="212"/>
        </w:trPr>
        <w:tc>
          <w:tcPr>
            <w:tcW w:w="25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gross profit and margin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143,251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196,404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31.5%</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453,334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27.5%</w:t>
            </w:r>
          </w:p>
        </w:tc>
        <w:tc>
          <w:tcPr>
            <w:tcW w:w="12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574,881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30.7%</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Segment Operating Expenses</w:t>
            </w: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Device Solutions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9"/>
              </w:rPr>
              <w:t>(27)%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36,748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9"/>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Networked Solutions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3"/>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Outcomes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9"/>
              </w:rPr>
              <w:t>(9)%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9"/>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Corporate unallocated</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118,445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104,946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center"/>
              <w:ind w:right="39"/>
              <w:spacing w:after="0"/>
              <w:rPr>
                <w:sz w:val="20"/>
                <w:szCs w:val="20"/>
                <w:color w:val="auto"/>
              </w:rPr>
            </w:pPr>
            <w:r>
              <w:rPr>
                <w:rFonts w:ascii="Times New Roman" w:cs="Times New Roman" w:eastAsia="Times New Roman" w:hAnsi="Times New Roman"/>
                <w:sz w:val="16"/>
                <w:szCs w:val="16"/>
                <w:color w:val="auto"/>
                <w:w w:val="95"/>
              </w:rPr>
              <w:t>13%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338,026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312,511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center"/>
              <w:ind w:right="3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5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3"/>
              </w:rPr>
              <w:t>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496,331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471,061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1340" w:type="dxa"/>
            <w:vAlign w:val="bottom"/>
            <w:tcBorders>
              <w:top w:val="single" w:sz="8" w:color="CCEEFF"/>
            </w:tcBorders>
            <w:gridSpan w:val="5"/>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1140" w:type="dxa"/>
            <w:vAlign w:val="bottom"/>
            <w:tcBorders>
              <w:top w:val="single" w:sz="8" w:color="CCEEFF"/>
            </w:tcBorders>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9"/>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2019</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2019</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w w:val="98"/>
              </w:rPr>
              <w:t>Operating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i w:val="1"/>
                <w:iCs w:val="1"/>
                <w:color w:val="auto"/>
                <w:w w:val="98"/>
              </w:rPr>
              <w:t>Operating</w:t>
            </w:r>
          </w:p>
        </w:tc>
        <w:tc>
          <w:tcPr>
            <w:tcW w:w="120" w:type="dxa"/>
            <w:vAlign w:val="bottom"/>
          </w:tcPr>
          <w:p>
            <w:pPr>
              <w:spacing w:after="0"/>
              <w:rPr>
                <w:sz w:val="13"/>
                <w:szCs w:val="13"/>
                <w:color w:val="auto"/>
              </w:rPr>
            </w:pPr>
          </w:p>
        </w:tc>
        <w:tc>
          <w:tcPr>
            <w:tcW w:w="112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i w:val="1"/>
                <w:iCs w:val="1"/>
                <w:color w:val="auto"/>
                <w:w w:val="98"/>
              </w:rPr>
              <w:t>Operating</w:t>
            </w:r>
          </w:p>
        </w:tc>
        <w:tc>
          <w:tcPr>
            <w:tcW w:w="140" w:type="dxa"/>
            <w:vAlign w:val="bottom"/>
          </w:tcPr>
          <w:p>
            <w:pPr>
              <w:spacing w:after="0"/>
              <w:rPr>
                <w:sz w:val="13"/>
                <w:szCs w:val="13"/>
                <w:color w:val="auto"/>
              </w:rPr>
            </w:pPr>
          </w:p>
        </w:tc>
        <w:tc>
          <w:tcPr>
            <w:tcW w:w="90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b w:val="1"/>
                <w:bCs w:val="1"/>
                <w:i w:val="1"/>
                <w:iCs w:val="1"/>
                <w:color w:val="auto"/>
                <w:w w:val="98"/>
              </w:rPr>
              <w:t>Operating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120" w:type="dxa"/>
            <w:vAlign w:val="bottom"/>
          </w:tcPr>
          <w:p>
            <w:pPr>
              <w:spacing w:after="0"/>
              <w:rPr>
                <w:sz w:val="13"/>
                <w:szCs w:val="13"/>
                <w:color w:val="auto"/>
              </w:rPr>
            </w:pPr>
          </w:p>
        </w:tc>
        <w:tc>
          <w:tcPr>
            <w:tcW w:w="112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86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Operating</w:t>
            </w:r>
          </w:p>
        </w:tc>
        <w:tc>
          <w:tcPr>
            <w:tcW w:w="0" w:type="dxa"/>
            <w:vAlign w:val="bottom"/>
          </w:tcPr>
          <w:p>
            <w:pPr>
              <w:spacing w:after="0"/>
              <w:rPr>
                <w:sz w:val="1"/>
                <w:szCs w:val="1"/>
                <w:color w:val="auto"/>
              </w:rPr>
            </w:pPr>
          </w:p>
        </w:tc>
      </w:tr>
      <w:tr>
        <w:trPr>
          <w:trHeight w:val="162"/>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4"/>
                <w:szCs w:val="14"/>
                <w:color w:val="auto"/>
              </w:rPr>
            </w:pPr>
          </w:p>
        </w:tc>
        <w:tc>
          <w:tcPr>
            <w:tcW w:w="86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Income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i w:val="1"/>
                <w:iCs w:val="1"/>
                <w:color w:val="auto"/>
              </w:rPr>
              <w:t>(Loss)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4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Income (Loss)</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Income (Loss)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124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Income (Loss)</w:t>
            </w: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i w:val="1"/>
                <w:iCs w:val="1"/>
                <w:color w:val="auto"/>
              </w:rPr>
              <w:t>Margin</w:t>
            </w:r>
          </w:p>
        </w:tc>
        <w:tc>
          <w:tcPr>
            <w:tcW w:w="0" w:type="dxa"/>
            <w:vAlign w:val="bottom"/>
          </w:tcPr>
          <w:p>
            <w:pPr>
              <w:spacing w:after="0"/>
              <w:rPr>
                <w:sz w:val="1"/>
                <w:szCs w:val="1"/>
                <w:color w:val="auto"/>
              </w:rPr>
            </w:pPr>
          </w:p>
        </w:tc>
      </w:tr>
      <w:tr>
        <w:trPr>
          <w:trHeight w:val="156"/>
        </w:trPr>
        <w:tc>
          <w:tcPr>
            <w:tcW w:w="2500" w:type="dxa"/>
            <w:vAlign w:val="bottom"/>
            <w:tcBorders>
              <w:top w:val="single" w:sz="8" w:color="auto"/>
            </w:tcBorders>
          </w:tcPr>
          <w:p>
            <w:pPr>
              <w:ind w:left="20"/>
              <w:spacing w:after="0" w:line="156" w:lineRule="exact"/>
              <w:rPr>
                <w:sz w:val="20"/>
                <w:szCs w:val="20"/>
                <w:color w:val="auto"/>
              </w:rPr>
            </w:pPr>
            <w:r>
              <w:rPr>
                <w:rFonts w:ascii="Times New Roman" w:cs="Times New Roman" w:eastAsia="Times New Roman" w:hAnsi="Times New Roman"/>
                <w:sz w:val="16"/>
                <w:szCs w:val="16"/>
                <w:b w:val="1"/>
                <w:bCs w:val="1"/>
                <w:i w:val="1"/>
                <w:iCs w:val="1"/>
                <w:color w:val="auto"/>
              </w:rPr>
              <w:t>Segment Operating Income (Loss)</w:t>
            </w: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and Operating Margin</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Device Solutions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13"/>
        </w:trPr>
        <w:tc>
          <w:tcPr>
            <w:tcW w:w="2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Networked Solutions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237,466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298,994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Outcomes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13"/>
        </w:trPr>
        <w:tc>
          <w:tcPr>
            <w:tcW w:w="2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Corporate unallocated</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(118,445)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center"/>
              <w:ind w:right="59"/>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(104,946)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center"/>
              <w:ind w:right="19"/>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(338,026)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center"/>
              <w:ind w:right="59"/>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(312,511)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center"/>
              <w:ind w:right="19"/>
              <w:spacing w:after="0"/>
              <w:rPr>
                <w:sz w:val="20"/>
                <w:szCs w:val="20"/>
                <w:color w:val="auto"/>
              </w:rPr>
            </w:pPr>
            <w:r>
              <w:rPr>
                <w:rFonts w:ascii="Times New Roman" w:cs="Times New Roman" w:eastAsia="Times New Roman" w:hAnsi="Times New Roman"/>
                <w:sz w:val="16"/>
                <w:szCs w:val="16"/>
                <w:color w:val="auto"/>
                <w:w w:val="99"/>
              </w:rPr>
              <w:t>(16.7)%</w:t>
            </w:r>
          </w:p>
        </w:tc>
        <w:tc>
          <w:tcPr>
            <w:tcW w:w="0" w:type="dxa"/>
            <w:vAlign w:val="bottom"/>
          </w:tcPr>
          <w:p>
            <w:pPr>
              <w:spacing w:after="0"/>
              <w:rPr>
                <w:sz w:val="1"/>
                <w:szCs w:val="1"/>
                <w:color w:val="auto"/>
              </w:rPr>
            </w:pPr>
          </w:p>
        </w:tc>
      </w:tr>
      <w:tr>
        <w:trPr>
          <w:trHeight w:val="145"/>
        </w:trPr>
        <w:tc>
          <w:tcPr>
            <w:tcW w:w="250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6"/>
                <w:szCs w:val="16"/>
                <w:color w:val="auto"/>
              </w:rPr>
              <w:t>Total operating income (loss) and</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(23,980)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39,439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(42,997)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9"/>
              </w:rPr>
              <w:t>(2.6)%</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103,820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09"/>
        </w:trPr>
        <w:tc>
          <w:tcPr>
            <w:tcW w:w="25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operating margin</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Device Solutions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Device Solutions segment financial results were as follows:</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00" w:type="dxa"/>
            <w:vAlign w:val="bottom"/>
            <w:gridSpan w:val="4"/>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6"/>
                <w:szCs w:val="16"/>
                <w:color w:val="auto"/>
              </w:rPr>
            </w:pP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2"/>
            <w:vMerge w:val="restart"/>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Constant Currency</w:t>
            </w: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3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Device Solutions Segment</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176,128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213,349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(37,221)</w:t>
            </w:r>
          </w:p>
        </w:tc>
        <w:tc>
          <w:tcPr>
            <w:tcW w:w="0" w:type="dxa"/>
            <w:vAlign w:val="bottom"/>
          </w:tcPr>
          <w:p>
            <w:pPr>
              <w:spacing w:after="0"/>
              <w:rPr>
                <w:sz w:val="1"/>
                <w:szCs w:val="1"/>
                <w:color w:val="auto"/>
              </w:rPr>
            </w:pPr>
          </w:p>
        </w:tc>
      </w:tr>
      <w:tr>
        <w:trPr>
          <w:trHeight w:val="213"/>
        </w:trPr>
        <w:tc>
          <w:tcPr>
            <w:tcW w:w="3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(20,417)</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(3,529)</w:t>
            </w:r>
          </w:p>
        </w:tc>
        <w:tc>
          <w:tcPr>
            <w:tcW w:w="0" w:type="dxa"/>
            <w:vAlign w:val="bottom"/>
          </w:tcPr>
          <w:p>
            <w:pPr>
              <w:spacing w:after="0"/>
              <w:rPr>
                <w:sz w:val="1"/>
                <w:szCs w:val="1"/>
                <w:color w:val="auto"/>
              </w:rPr>
            </w:pPr>
          </w:p>
        </w:tc>
      </w:tr>
      <w:tr>
        <w:trPr>
          <w:trHeight w:val="783"/>
        </w:trPr>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gridSpan w:val="4"/>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00" w:type="dxa"/>
            <w:vAlign w:val="bottom"/>
          </w:tcPr>
          <w:p>
            <w:pPr>
              <w:spacing w:after="0"/>
              <w:rPr>
                <w:sz w:val="24"/>
                <w:szCs w:val="24"/>
                <w:color w:val="auto"/>
              </w:rPr>
            </w:pP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2"/>
            <w:vMerge w:val="restart"/>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Constant Currency</w:t>
            </w: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3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Device Solutions Segment</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507,572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652,827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(133,667)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(145,255)</w:t>
            </w:r>
          </w:p>
        </w:tc>
        <w:tc>
          <w:tcPr>
            <w:tcW w:w="0" w:type="dxa"/>
            <w:vAlign w:val="bottom"/>
          </w:tcPr>
          <w:p>
            <w:pPr>
              <w:spacing w:after="0"/>
              <w:rPr>
                <w:sz w:val="1"/>
                <w:szCs w:val="1"/>
                <w:color w:val="auto"/>
              </w:rPr>
            </w:pPr>
          </w:p>
        </w:tc>
      </w:tr>
      <w:tr>
        <w:trPr>
          <w:trHeight w:val="213"/>
        </w:trPr>
        <w:tc>
          <w:tcPr>
            <w:tcW w:w="3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64,843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(57,608)</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(3,986)</w:t>
            </w:r>
          </w:p>
        </w:tc>
        <w:tc>
          <w:tcPr>
            <w:tcW w:w="0" w:type="dxa"/>
            <w:vAlign w:val="bottom"/>
          </w:tcPr>
          <w:p>
            <w:pPr>
              <w:spacing w:after="0"/>
              <w:rPr>
                <w:sz w:val="1"/>
                <w:szCs w:val="1"/>
                <w:color w:val="auto"/>
              </w:rPr>
            </w:pPr>
          </w:p>
        </w:tc>
      </w:tr>
    </w:tbl>
    <w:p>
      <w:pPr>
        <w:spacing w:after="0" w:line="3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September 30, 2020 vs. Three months ended September 30, 2019</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Revenues decreased $37.2 million, or 17%. Changes in foreign currency exchange rates favorably impacted revenues by $5.1 million. Revenue was negatively impacted by $18.0 million in the Latin America region in part due to the sale of the business in June 2020, as well as lower shipments in all regions due to reduced demand primarily from COVID-19 delays.</w:t>
      </w: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Nine months ended September 30, 2020 vs. Nine months ended September 30, 2019</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Revenues decreased $145.3 million, or 22%. Changes in foreign currency exchange rates unfavorably impacted revenues by $11.6 million. We had reduced shipments driven by COVID-19 delays, and revenue decreased $22.0 million in the Latin America region in part due to the sale of the business in June 2020.</w:t>
      </w:r>
    </w:p>
    <w:p>
      <w:pPr>
        <w:spacing w:after="0" w:line="2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Three months ended September 30, 2020 vs. Three months ended September 30, 2019</w:t>
      </w:r>
    </w:p>
    <w:p>
      <w:pPr>
        <w:spacing w:after="0" w:line="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For the three months ended September 30, 2020, gross margin was 11.7%, compared with 19.2% for the same period in 2019. The 750 basis point reduction over the prior year was primarily due to unfavorable product mix, inventory reserves, and COVID-19 induced operational inefficiencies.</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Nine months ended September 30, 2020 vs. Nine months ended September 30, 2019</w:t>
      </w:r>
    </w:p>
    <w:p>
      <w:pPr>
        <w:spacing w:after="0" w:line="2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For the nine months ended September 30, 2020, gross margin was 12.8%, compared with 18.8% for the same period in 2019. The 600 basis point reduction over the prior year was primarily due to $37.5 million of unfavorable product mix, inventory reserves, and COVID-19 induced operating inefficiencies, partially offset by lower warranty expense of $2.0 million.</w:t>
      </w:r>
    </w:p>
    <w:p>
      <w:pPr>
        <w:spacing w:after="0" w:line="2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Three months ended September 30, 2020 vs. Three months ended September 30, 2019</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Operating expenses decreased $3.5 million, or 27%, compared with 2019. The decrease was primarily related to $2.8 million decrease in research and development costs, and a decrease in sales and marketing expenses of $0.9 million.</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Nine months ended September 30, 2020 vs. Nine months ended September 30, 2019</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Operating expenses decreased $4.0 million, or 10%, for the first nine months of 2020, compared with the same period in 2019. The decrease was primarily a result of a $3.0 million decrease in research and development cost, and a $0.9 million decrease in sales and marketing expenses.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Networked Solutions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Networked Solutions segment financial results were as follows:</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00" w:type="dxa"/>
            <w:vAlign w:val="bottom"/>
            <w:gridSpan w:val="4"/>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6"/>
                <w:szCs w:val="16"/>
                <w:color w:val="auto"/>
              </w:rPr>
            </w:pP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2"/>
            <w:vMerge w:val="restart"/>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Constant Currency</w:t>
            </w: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3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Networked Solutions Segment</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306,659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356,221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(49,562)</w:t>
            </w:r>
          </w:p>
        </w:tc>
        <w:tc>
          <w:tcPr>
            <w:tcW w:w="0" w:type="dxa"/>
            <w:vAlign w:val="bottom"/>
          </w:tcPr>
          <w:p>
            <w:pPr>
              <w:spacing w:after="0"/>
              <w:rPr>
                <w:sz w:val="1"/>
                <w:szCs w:val="1"/>
                <w:color w:val="auto"/>
              </w:rPr>
            </w:pPr>
          </w:p>
        </w:tc>
      </w:tr>
      <w:tr>
        <w:trPr>
          <w:trHeight w:val="213"/>
        </w:trPr>
        <w:tc>
          <w:tcPr>
            <w:tcW w:w="3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(33,111)</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0" w:type="dxa"/>
            <w:vAlign w:val="bottom"/>
          </w:tcPr>
          <w:p>
            <w:pPr>
              <w:spacing w:after="0"/>
              <w:rPr>
                <w:sz w:val="1"/>
                <w:szCs w:val="1"/>
                <w:color w:val="auto"/>
              </w:rPr>
            </w:pPr>
          </w:p>
        </w:tc>
      </w:tr>
      <w:tr>
        <w:trPr>
          <w:trHeight w:val="823"/>
        </w:trPr>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gridSpan w:val="4"/>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00" w:type="dxa"/>
            <w:vAlign w:val="bottom"/>
          </w:tcPr>
          <w:p>
            <w:pPr>
              <w:spacing w:after="0"/>
              <w:rPr>
                <w:sz w:val="24"/>
                <w:szCs w:val="24"/>
                <w:color w:val="auto"/>
              </w:rPr>
            </w:pP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2"/>
            <w:vMerge w:val="restart"/>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Constant Currency</w:t>
            </w: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3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Networked Solutions Segment</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971,984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1,048,564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(75,041)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(76,580)</w:t>
            </w:r>
          </w:p>
        </w:tc>
        <w:tc>
          <w:tcPr>
            <w:tcW w:w="0" w:type="dxa"/>
            <w:vAlign w:val="bottom"/>
          </w:tcPr>
          <w:p>
            <w:pPr>
              <w:spacing w:after="0"/>
              <w:rPr>
                <w:sz w:val="1"/>
                <w:szCs w:val="1"/>
                <w:color w:val="auto"/>
              </w:rPr>
            </w:pPr>
          </w:p>
        </w:tc>
      </w:tr>
      <w:tr>
        <w:trPr>
          <w:trHeight w:val="213"/>
        </w:trPr>
        <w:tc>
          <w:tcPr>
            <w:tcW w:w="3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332,368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388,717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(56,349)</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5,179</w:t>
            </w:r>
          </w:p>
        </w:tc>
        <w:tc>
          <w:tcPr>
            <w:tcW w:w="0" w:type="dxa"/>
            <w:vAlign w:val="bottom"/>
          </w:tcPr>
          <w:p>
            <w:pPr>
              <w:spacing w:after="0"/>
              <w:rPr>
                <w:sz w:val="1"/>
                <w:szCs w:val="1"/>
                <w:color w:val="auto"/>
              </w:rPr>
            </w:pPr>
          </w:p>
        </w:tc>
      </w:tr>
    </w:tbl>
    <w:p>
      <w:pPr>
        <w:spacing w:after="0" w:line="3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September 30, 2020 vs. Three months ended September 30, 2019</w:t>
      </w:r>
    </w:p>
    <w:p>
      <w:pPr>
        <w:spacing w:after="0" w:line="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Revenues decreased $49.6 million, or 14%, in 2020 compared with 2019. The change was primarily due to delayed deployments driven by COVID-19 delays, with lower product revenue of $47.8 million and lower maintenance service revenue of $1.8 million.</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Nine months ended September 30, 2020 vs. Nine months ended September 30, 2019</w:t>
      </w:r>
    </w:p>
    <w:p>
      <w:pPr>
        <w:spacing w:after="0" w:line="2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Revenues decreased $76.6 million, or 7%, for the first nine months of 2020 compared with the same period in 2019. The change was primarily due to delayed deployments driven by COVID-19 delays, with lower product revenue of $79.8 million partially offset by higher maintenance service revenue of $3.2 million.</w:t>
      </w:r>
    </w:p>
    <w:p>
      <w:pPr>
        <w:spacing w:after="0" w:line="2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Three months ended September 30, 2020 vs. Three months ended September 30, 2019</w:t>
      </w:r>
    </w:p>
    <w:p>
      <w:pPr>
        <w:spacing w:after="0" w:line="29"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Gross margin was 33.4% for the period ending September 30, 2020, compared with 38.0% in 2019. The 460 basis point decrease was primarily related to unfavorable product mix and COVID-19 related inefficiencies.</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Nine months ended September 30, 2020 vs. Nine months ended September 30, 2019</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Gross margin was 34.2% for the 2020 period, compared with 37.1% in 2019. The 290 basis point decrease was primarily related to unfavorable product mix and COVID-19 induced operational inefficiencies.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Three months ended September 30, 2020 vs. Three months ended September 30, 2019</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Operating expenses increased $1.1 million, or 4%, for the quarter in 2020, compared with the same period in 2019. The increase was primarily related to higher research and development expenses of $2.6 million, partially offset by a decrease of $1.5 million in sales and marketing expenses.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Nine months ended September 30, 2020 vs. Nine months ended September 30, 2019</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Operating expenses increased $5.2 million, or 6%, for the first nine months of 2020, compared with the same period in 2019. The increase was primarily related to higher research and development expenses of $7.4 million, partially offset by a decrease of $2.3 million in sales and marketing expenses.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Outcomes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Outcomes segment financial results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00" w:type="dxa"/>
            <w:vAlign w:val="bottom"/>
            <w:gridSpan w:val="4"/>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6"/>
                <w:szCs w:val="16"/>
                <w:color w:val="auto"/>
              </w:rPr>
            </w:pP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2"/>
            <w:vMerge w:val="restart"/>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Constant Currency</w:t>
            </w: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3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Outcomes Segment</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57,397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54,904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2,493</w:t>
            </w:r>
          </w:p>
        </w:tc>
        <w:tc>
          <w:tcPr>
            <w:tcW w:w="0" w:type="dxa"/>
            <w:vAlign w:val="bottom"/>
          </w:tcPr>
          <w:p>
            <w:pPr>
              <w:spacing w:after="0"/>
              <w:rPr>
                <w:sz w:val="1"/>
                <w:szCs w:val="1"/>
                <w:color w:val="auto"/>
              </w:rPr>
            </w:pPr>
          </w:p>
        </w:tc>
      </w:tr>
      <w:tr>
        <w:trPr>
          <w:trHeight w:val="213"/>
        </w:trPr>
        <w:tc>
          <w:tcPr>
            <w:tcW w:w="3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0" w:type="dxa"/>
            <w:vAlign w:val="bottom"/>
          </w:tcPr>
          <w:p>
            <w:pPr>
              <w:spacing w:after="0"/>
              <w:rPr>
                <w:sz w:val="1"/>
                <w:szCs w:val="1"/>
                <w:color w:val="auto"/>
              </w:rPr>
            </w:pPr>
          </w:p>
        </w:tc>
      </w:tr>
      <w:tr>
        <w:trPr>
          <w:trHeight w:val="823"/>
        </w:trPr>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gridSpan w:val="4"/>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00" w:type="dxa"/>
            <w:vAlign w:val="bottom"/>
          </w:tcPr>
          <w:p>
            <w:pPr>
              <w:spacing w:after="0"/>
              <w:rPr>
                <w:sz w:val="24"/>
                <w:szCs w:val="24"/>
                <w:color w:val="auto"/>
              </w:rPr>
            </w:pP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2"/>
            <w:vMerge w:val="restart"/>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Constant Currency</w:t>
            </w: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
                <w:szCs w:val="2"/>
                <w:color w:val="auto"/>
              </w:rPr>
            </w:pPr>
          </w:p>
        </w:tc>
        <w:tc>
          <w:tcPr>
            <w:tcW w:w="136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4"/>
        </w:trPr>
        <w:tc>
          <w:tcPr>
            <w:tcW w:w="3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3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Outcomes Segment</w:t>
            </w:r>
          </w:p>
        </w:tc>
        <w:tc>
          <w:tcPr>
            <w:tcW w:w="26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172,696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(4,059)</w:t>
            </w:r>
          </w:p>
        </w:tc>
        <w:tc>
          <w:tcPr>
            <w:tcW w:w="0" w:type="dxa"/>
            <w:vAlign w:val="bottom"/>
          </w:tcPr>
          <w:p>
            <w:pPr>
              <w:spacing w:after="0"/>
              <w:rPr>
                <w:sz w:val="1"/>
                <w:szCs w:val="1"/>
                <w:color w:val="auto"/>
              </w:rPr>
            </w:pPr>
          </w:p>
        </w:tc>
      </w:tr>
      <w:tr>
        <w:trPr>
          <w:trHeight w:val="213"/>
        </w:trPr>
        <w:tc>
          <w:tcPr>
            <w:tcW w:w="3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(7,590)</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0" w:type="dxa"/>
            <w:vAlign w:val="bottom"/>
          </w:tcPr>
          <w:p>
            <w:pPr>
              <w:spacing w:after="0"/>
              <w:rPr>
                <w:sz w:val="1"/>
                <w:szCs w:val="1"/>
                <w:color w:val="auto"/>
              </w:rPr>
            </w:pPr>
          </w:p>
        </w:tc>
      </w:tr>
    </w:tbl>
    <w:p>
      <w:pPr>
        <w:spacing w:after="0" w:line="3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September 30, 2020 vs. Three months ended September 30, 2019</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2020 period, revenues increased $2.5 million, or 5%, compared with the 2019 period. This increase was driven by an increase in software license sales and professional services.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Nine months ended September 30, 2020 vs. Nine months ended September 30, 2019</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Revenues decreased $4.1 million, or 2%, for the first nine months of 2020, compared with 2019. This decline was driven by a decrease in hardware and software license sales and professional services.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Three months ended September 30, 2020 vs. Three months ended September 30, 2019</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Gross margin decreased to 35.6% for the third quarter of 2020, compared with 36.5% for the same period last year. The 90 basis point decrease was driven by unfavorable product mix and infrastructure investments.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Nine months ended September 30, 2020 vs. Nine months ended September 30, 2019</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Gross margin decreased to 33.3% for the period ending in 2020, compared with 36.9% for last year. The 360 basis point decrease was driven by unfavorable product mix and infrastructure investments.</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Three months ended September 30, 2020 vs. Three months ended September 30, 2019</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Operating expenses for the 2020 period decreased $0.8 million, compared with the same period last year, with lower product marketing expenses of $0.2 million and lower research and development expenses of $0.6 million.</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Nine months ended September 30, 2020 vs. Nine months ended September 30, 2019</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Operating expenses for the first nine months of 2020 decreased $1.4 million, or 5%, compared with the same period last year. This was primarily related to lower product marketing expenses of $0.7 million and lower research and development expenses of $0.7 million.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Unallocated</w:t>
      </w: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Corporate Unallocated Expenses - Three months ended September 30, 2020 vs. Three months ended September 30, 2019</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Operating expenses not directly associated with an operating segment are classified as "Corporate unallocated". These expenses increased $13.5 million, or 13%, for the three months ended September 30, 2020 compared with the same period in 2019. This was primarily the result of a $43.9 million restructuring expenses recognized for the 2020 Projects during the third quarter of 2020. The increase was offset by $18.7 million in reduced sales, general and administrative expenses due to lower employee medical costs and reduced travel expenses and a $4.9 million reduction in amortization of intangible assets. Acquisition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integration costs, which are classified within sales, general and administrative expenses, decreased by $6.2 million compared with the same period in 2019.</w:t>
      </w:r>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Corporate Unallocated Expenses - Nine months ended September 30, 2020 vs. Nine months ended September 30, 2019</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first nine months of 2020, corporate unallocated expenses increased $25.5 million, or 8%, compared with the 2019 period. This was primarily the result of a $57.3 million loss on sale of business due to the Latin America divestiture and a $43.9 million restructuring expense recognized for the Itron 2020 Projects during the nine months ended in 2020. The increase was offset by $49.6 million in reduced sales, general and administrative expenses due to lower employee medical costs and reduced travel expenses, and $14.7 million in lower amortization of intangible assets. Acquisition and integration costs, which are classified within sales, general and administrative expenses, decreased by $25.3 million compared with the same period in 2019.</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Bookings and Backlog of Orders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Bookings for a reported period represent customer contracts and purchase orders received during the period for hardware, software, and services that have met certain conditions, such as regulatory and/or contractual approval. Total backlog represents committed but undelivered products and services for contracts and purchase orders at period-end. Twelve-month backlog represents the portion of total backlog that we estimate will be recognized as revenue over the next 12 months. Backlog is not a complete measure of our future revenues as we also receive significant book-and-ship orders, as well as frame contracts.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 Total bookings and backlog include certain contracts with termination for convenience clause, which will not agree to the total transaction price allocated to the remaining performance obligations disclosed in Item 1: "Financial Statements (Unaudited), Note 16: Revenues".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3220" w:type="dxa"/>
            <w:vAlign w:val="bottom"/>
            <w:vMerge w:val="restart"/>
          </w:tcPr>
          <w:p>
            <w:pPr>
              <w:jc w:val="center"/>
              <w:ind w:left="2019"/>
              <w:spacing w:after="0"/>
              <w:rPr>
                <w:sz w:val="20"/>
                <w:szCs w:val="20"/>
                <w:color w:val="auto"/>
              </w:rPr>
            </w:pPr>
            <w:r>
              <w:rPr>
                <w:rFonts w:ascii="Times New Roman" w:cs="Times New Roman" w:eastAsia="Times New Roman" w:hAnsi="Times New Roman"/>
                <w:sz w:val="16"/>
                <w:szCs w:val="16"/>
                <w:b w:val="1"/>
                <w:bCs w:val="1"/>
                <w:color w:val="auto"/>
                <w:w w:val="99"/>
              </w:rPr>
              <w:t>Quarterly</w:t>
            </w: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60" w:type="dxa"/>
            <w:vAlign w:val="bottom"/>
          </w:tcPr>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500" w:type="dxa"/>
            <w:vAlign w:val="bottom"/>
          </w:tcPr>
          <w:p>
            <w:pPr>
              <w:spacing w:after="0"/>
              <w:rPr>
                <w:sz w:val="16"/>
                <w:szCs w:val="16"/>
                <w:color w:val="auto"/>
              </w:rPr>
            </w:pPr>
          </w:p>
        </w:tc>
        <w:tc>
          <w:tcPr>
            <w:tcW w:w="1760" w:type="dxa"/>
            <w:vAlign w:val="bottom"/>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0" w:type="dxa"/>
            <w:vAlign w:val="bottom"/>
          </w:tcPr>
          <w:p>
            <w:pPr>
              <w:spacing w:after="0"/>
              <w:rPr>
                <w:sz w:val="1"/>
                <w:szCs w:val="1"/>
                <w:color w:val="auto"/>
              </w:rPr>
            </w:pPr>
          </w:p>
        </w:tc>
      </w:tr>
      <w:tr>
        <w:trPr>
          <w:trHeight w:val="162"/>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32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60" w:type="dxa"/>
            <w:vAlign w:val="bottom"/>
          </w:tcPr>
          <w:p>
            <w:pPr>
              <w:jc w:val="center"/>
              <w:ind w:right="399"/>
              <w:spacing w:after="0" w:line="16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500" w:type="dxa"/>
            <w:vAlign w:val="bottom"/>
          </w:tcPr>
          <w:p>
            <w:pPr>
              <w:spacing w:after="0"/>
              <w:rPr>
                <w:sz w:val="14"/>
                <w:szCs w:val="14"/>
                <w:color w:val="auto"/>
              </w:rPr>
            </w:pPr>
          </w:p>
        </w:tc>
        <w:tc>
          <w:tcPr>
            <w:tcW w:w="1760" w:type="dxa"/>
            <w:vAlign w:val="bottom"/>
          </w:tcPr>
          <w:p>
            <w:pPr>
              <w:jc w:val="center"/>
              <w:ind w:right="359"/>
              <w:spacing w:after="0" w:line="162" w:lineRule="exact"/>
              <w:rPr>
                <w:sz w:val="20"/>
                <w:szCs w:val="20"/>
                <w:color w:val="auto"/>
              </w:rPr>
            </w:pPr>
            <w:r>
              <w:rPr>
                <w:rFonts w:ascii="Times New Roman" w:cs="Times New Roman" w:eastAsia="Times New Roman" w:hAnsi="Times New Roman"/>
                <w:sz w:val="16"/>
                <w:szCs w:val="16"/>
                <w:b w:val="1"/>
                <w:bCs w:val="1"/>
                <w:color w:val="auto"/>
              </w:rPr>
              <w:t>12-Month</w:t>
            </w:r>
          </w:p>
        </w:tc>
        <w:tc>
          <w:tcPr>
            <w:tcW w:w="0" w:type="dxa"/>
            <w:vAlign w:val="bottom"/>
          </w:tcPr>
          <w:p>
            <w:pPr>
              <w:spacing w:after="0"/>
              <w:rPr>
                <w:sz w:val="1"/>
                <w:szCs w:val="1"/>
                <w:color w:val="auto"/>
              </w:rPr>
            </w:pPr>
          </w:p>
        </w:tc>
      </w:tr>
      <w:tr>
        <w:trPr>
          <w:trHeight w:val="214"/>
        </w:trPr>
        <w:tc>
          <w:tcPr>
            <w:tcW w:w="2920" w:type="dxa"/>
            <w:vAlign w:val="bottom"/>
            <w:tcBorders>
              <w:bottom w:val="single" w:sz="8" w:color="auto"/>
            </w:tcBorders>
            <w:vMerge w:val="continue"/>
          </w:tcPr>
          <w:p>
            <w:pPr>
              <w:spacing w:after="0"/>
              <w:rPr>
                <w:sz w:val="18"/>
                <w:szCs w:val="18"/>
                <w:color w:val="auto"/>
              </w:rPr>
            </w:pPr>
          </w:p>
        </w:tc>
        <w:tc>
          <w:tcPr>
            <w:tcW w:w="3220" w:type="dxa"/>
            <w:vAlign w:val="bottom"/>
            <w:tcBorders>
              <w:bottom w:val="single" w:sz="8" w:color="auto"/>
            </w:tcBorders>
          </w:tcPr>
          <w:p>
            <w:pPr>
              <w:jc w:val="center"/>
              <w:ind w:left="2019"/>
              <w:spacing w:after="0"/>
              <w:rPr>
                <w:sz w:val="20"/>
                <w:szCs w:val="20"/>
                <w:color w:val="auto"/>
              </w:rPr>
            </w:pPr>
            <w:r>
              <w:rPr>
                <w:rFonts w:ascii="Times New Roman" w:cs="Times New Roman" w:eastAsia="Times New Roman" w:hAnsi="Times New Roman"/>
                <w:sz w:val="16"/>
                <w:szCs w:val="16"/>
                <w:b w:val="1"/>
                <w:bCs w:val="1"/>
                <w:color w:val="auto"/>
              </w:rPr>
              <w:t>Bookings</w:t>
            </w:r>
          </w:p>
        </w:tc>
        <w:tc>
          <w:tcPr>
            <w:tcW w:w="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Backlog</w:t>
            </w:r>
          </w:p>
        </w:tc>
        <w:tc>
          <w:tcPr>
            <w:tcW w:w="5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Backlog</w:t>
            </w:r>
          </w:p>
        </w:tc>
        <w:tc>
          <w:tcPr>
            <w:tcW w:w="0" w:type="dxa"/>
            <w:vAlign w:val="bottom"/>
          </w:tcPr>
          <w:p>
            <w:pPr>
              <w:spacing w:after="0"/>
              <w:rPr>
                <w:sz w:val="1"/>
                <w:szCs w:val="1"/>
                <w:color w:val="auto"/>
              </w:rPr>
            </w:pPr>
          </w:p>
        </w:tc>
      </w:tr>
      <w:tr>
        <w:trPr>
          <w:trHeight w:val="209"/>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2020</w:t>
            </w:r>
          </w:p>
        </w:tc>
        <w:tc>
          <w:tcPr>
            <w:tcW w:w="3220" w:type="dxa"/>
            <w:vAlign w:val="bottom"/>
            <w:shd w:val="clear" w:color="auto" w:fill="CCEEFF"/>
          </w:tcPr>
          <w:p>
            <w:pPr>
              <w:jc w:val="right"/>
              <w:ind w:right="147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432</w:t>
            </w:r>
          </w:p>
        </w:tc>
        <w:tc>
          <w:tcPr>
            <w:tcW w:w="5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2,795</w:t>
            </w:r>
          </w:p>
        </w:tc>
        <w:tc>
          <w:tcPr>
            <w:tcW w:w="5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June 30, 2020</w:t>
            </w:r>
          </w:p>
        </w:tc>
        <w:tc>
          <w:tcPr>
            <w:tcW w:w="3220" w:type="dxa"/>
            <w:vAlign w:val="bottom"/>
          </w:tcPr>
          <w:p>
            <w:pPr>
              <w:spacing w:after="0"/>
              <w:rPr>
                <w:sz w:val="18"/>
                <w:szCs w:val="18"/>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390</w:t>
            </w:r>
          </w:p>
        </w:tc>
        <w:tc>
          <w:tcPr>
            <w:tcW w:w="520" w:type="dxa"/>
            <w:vAlign w:val="bottom"/>
          </w:tcPr>
          <w:p>
            <w:pPr>
              <w:spacing w:after="0"/>
              <w:rPr>
                <w:sz w:val="18"/>
                <w:szCs w:val="18"/>
                <w:color w:val="auto"/>
              </w:rPr>
            </w:pPr>
          </w:p>
        </w:tc>
        <w:tc>
          <w:tcPr>
            <w:tcW w:w="1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2,895</w:t>
            </w:r>
          </w:p>
        </w:tc>
        <w:tc>
          <w:tcPr>
            <w:tcW w:w="5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31, 2020</w:t>
            </w:r>
          </w:p>
        </w:tc>
        <w:tc>
          <w:tcPr>
            <w:tcW w:w="32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418</w:t>
            </w:r>
          </w:p>
        </w:tc>
        <w:tc>
          <w:tcPr>
            <w:tcW w:w="5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3,020</w:t>
            </w:r>
          </w:p>
        </w:tc>
        <w:tc>
          <w:tcPr>
            <w:tcW w:w="5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2019</w:t>
            </w:r>
          </w:p>
        </w:tc>
        <w:tc>
          <w:tcPr>
            <w:tcW w:w="3220" w:type="dxa"/>
            <w:vAlign w:val="bottom"/>
          </w:tcPr>
          <w:p>
            <w:pPr>
              <w:spacing w:after="0"/>
              <w:rPr>
                <w:sz w:val="18"/>
                <w:szCs w:val="18"/>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767</w:t>
            </w:r>
          </w:p>
        </w:tc>
        <w:tc>
          <w:tcPr>
            <w:tcW w:w="520" w:type="dxa"/>
            <w:vAlign w:val="bottom"/>
          </w:tcPr>
          <w:p>
            <w:pPr>
              <w:spacing w:after="0"/>
              <w:rPr>
                <w:sz w:val="18"/>
                <w:szCs w:val="18"/>
                <w:color w:val="auto"/>
              </w:rPr>
            </w:pPr>
          </w:p>
        </w:tc>
        <w:tc>
          <w:tcPr>
            <w:tcW w:w="1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3,207</w:t>
            </w:r>
          </w:p>
        </w:tc>
        <w:tc>
          <w:tcPr>
            <w:tcW w:w="5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2019</w:t>
            </w:r>
          </w:p>
        </w:tc>
        <w:tc>
          <w:tcPr>
            <w:tcW w:w="32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609</w:t>
            </w:r>
          </w:p>
        </w:tc>
        <w:tc>
          <w:tcPr>
            <w:tcW w:w="5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3,063</w:t>
            </w:r>
          </w:p>
        </w:tc>
        <w:tc>
          <w:tcPr>
            <w:tcW w:w="5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Information</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70,571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128,100</w:t>
            </w: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(33,472)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(34,593)</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(used in) financing activities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402,590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(73,592)</w:t>
            </w:r>
          </w:p>
        </w:tc>
      </w:tr>
      <w:tr>
        <w:trPr>
          <w:trHeight w:val="21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rates on cash, cash equivalents, and restricted cash</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(3,426)</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w:t>
            </w:r>
          </w:p>
        </w:tc>
      </w:tr>
      <w:tr>
        <w:trPr>
          <w:trHeight w:val="235"/>
        </w:trPr>
        <w:tc>
          <w:tcPr>
            <w:tcW w:w="6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Increase in cash, cash equivalents, and restricted cash</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436,263</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19,372</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cash equivalents, and restricted cash was $586.2 million at September 30, 2020, compared with $149.9 million at December 31, 2019. The $436.3 million increase in cash, cash equivalents, and restricted cash in the 2020 period was primarily the result of a $400 million draw from our credit facility in March 2020, along with cash flows from operating activities, partially offset by acquisitions of property, plant, and equipment.</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Cash provided by operating activities during the nine months in 2020 was $70.6 million compared with $128.1 million during the same period in 2019. The decrease was primarily due to net loss, as a result of restructuring and loss on sale of business, partially offset by decreased cash used for working capital.</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Cash used in investing activities during 2020 was $1.1 million lower than in 2019. This slight decrease in use of cash was primarily related to the net cash outflow for the sale of our Latin America operation, and a decrease of $8.3 million in investment of property, plant, and equipment.</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during the nine months in 2020 was $402.6 million, compared with net cash used of $73.6 million for the same period in 2019. In March 2020, we drew on our revolver in the amount of $400 million to increase our cash position and preserve future financial flexibility. In 2019, we repurchased $25 million in shares of our common stock and had net repayments of debt of $50.3 million.</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Effect of exchange rates on cash and cash equivalents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effect of exchange rates on the cash balances of currencies held in foreign denominations at September 30, 2020 was a decrease of $3.4 million, compared with a decrease of $0.5 million for the same period in 2019. Our foreign currency exposure relates to non-U.S. dollar denominated balances in our international subsidiary operations.</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Free cash flow (Non-GAAP)</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as an indicator of our performance, or as an alternative to cash flows from operating activities as a measure of liquidity. We calculate free cash flows, using amounts from our Consolidated Statements of Cash Flows,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center"/>
              <w:ind w:left="1019"/>
              <w:spacing w:after="0"/>
              <w:rPr>
                <w:sz w:val="20"/>
                <w:szCs w:val="20"/>
                <w:color w:val="auto"/>
              </w:rPr>
            </w:pPr>
            <w:r>
              <w:rPr>
                <w:rFonts w:ascii="Times New Roman" w:cs="Times New Roman" w:eastAsia="Times New Roman" w:hAnsi="Times New Roman"/>
                <w:sz w:val="16"/>
                <w:szCs w:val="16"/>
                <w:color w:val="auto"/>
                <w:w w:val="99"/>
              </w:rPr>
              <w:t>70,571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128,100</w:t>
            </w:r>
          </w:p>
        </w:tc>
      </w:tr>
      <w:tr>
        <w:trPr>
          <w:trHeight w:val="21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Acquisitions of property, plant, and equipment</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left="979"/>
              <w:spacing w:after="0"/>
              <w:rPr>
                <w:sz w:val="20"/>
                <w:szCs w:val="20"/>
                <w:color w:val="auto"/>
              </w:rPr>
            </w:pPr>
            <w:r>
              <w:rPr>
                <w:rFonts w:ascii="Times New Roman" w:cs="Times New Roman" w:eastAsia="Times New Roman" w:hAnsi="Times New Roman"/>
                <w:sz w:val="16"/>
                <w:szCs w:val="16"/>
                <w:color w:val="auto"/>
              </w:rPr>
              <w:t>(36,297)</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(44,570)</w:t>
            </w:r>
          </w:p>
        </w:tc>
      </w:tr>
      <w:tr>
        <w:trPr>
          <w:trHeight w:val="237"/>
        </w:trPr>
        <w:tc>
          <w:tcPr>
            <w:tcW w:w="6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Free cash flow</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center"/>
              <w:ind w:left="1019"/>
              <w:spacing w:after="0"/>
              <w:rPr>
                <w:sz w:val="20"/>
                <w:szCs w:val="20"/>
                <w:color w:val="auto"/>
              </w:rPr>
            </w:pPr>
            <w:r>
              <w:rPr>
                <w:rFonts w:ascii="Times New Roman" w:cs="Times New Roman" w:eastAsia="Times New Roman" w:hAnsi="Times New Roman"/>
                <w:sz w:val="16"/>
                <w:szCs w:val="16"/>
                <w:color w:val="auto"/>
                <w:w w:val="99"/>
              </w:rPr>
              <w:t>34,274</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83,530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Free cash flow fluctuated primarily as a result of changes in cash provided by operating activities. See the cash flow discussion of operating activities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 off-balance sheet financing agreements or guarantees as defined by Item 303 of Regulation S-K at September 30, 2020 and December 31, 2019 that we believe could reasonably likely have a current or future effect on our financial condition, results of operations, 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sources of liquidity are cash flows from operations, borrowings, and the sale of our common stock. Cash flows may fluctuate and are sensitive to many factors including changes in working capital and the timing and magnitude of capital expenditures and payments of debt. Working capital, which represents current assets less current liabilities, continues to be in a net favorable position.</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Borrowings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18, 2019 we amended our credit facility that was initially entered on January 5, 2018 (together with the amendment, the "2018 credit facility"). The 2018 credit facility provides for committed credit facilities in the amount of $1.2 billion U.S. dollars. The 2018 credit facility consists of a $650 million U.S. dollar term loan (the term loan) and a multicurrency revolving line of credit (the revolver) with a principal amount of up to $500 million. The revolver also contains a $300 million standby letter of credit sub-facility and a $50 million swingline sub-facility. The October 18, 2019, amendment extended the maturity date to October 18, 2024 and re-amortized the term loan based on the new balance as of the amendment date.</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drew $400 million in U.S. dollars under the revolving line of credit within the 2018 credit facility in March 2020. In light of the current uncertain environment, we deemed it prudent to increase our cash position and preserve future financial flexibility.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Net Leverage Ratio, as defined in the amended 2018 credit facility agreement, continues to be unchanged by this drawing. Subsequent to September 30, 2020, we repaid $100 million on the revolving line of credit.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19, 2020, we completed a second amendment to our 2018 credit facility. This amendment adjusts the maximum total net leverage ratio thresholds for the period beginning with the fourth quarter of 2020 through the fourth quarter of 2021 to allow for increased operational flexibility. The maximum leverage ratio is increased to 4.75:1 for the fourth quarter of 2020 and the first quarter of 2021 and 4.5:1 for the second quarter through the fourth quarter of 2021. An additional level of pricing was added to the existing pricing grid and is effective throughout the remaining term of the 2018 credit facility. Beginning with the fourth quarter of 2020, the commitment fee ranges from 0.15% to 0.30% and drawn amounts are subject to a margin ranging from 1.00% to 2.00%. Going forward, we do not expect any significant increase in interest expense as the result of this amendment.</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repaid on the term loan may not be reborrowed, and amounts borrowed under the revolver may be repaid and reborrowed until the revolver's maturity, at which time all outstanding loans together with all accrued and unpaid interest must be repaid.</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December 2017 and January 2018, we issued a combined $400 million in aggregate principal amount of 5.00% senior notes maturing January 15, 2026 (Senior Notes). The proceeds were used to refinance existing indebtedness related to the acquisition of SSNI, pay related fees and expenses, and for general corporate purposes. Interest on the Senior Notes is payable semi-annually in arrears on January 15 and July 15, commencing on July 15, 2018. The $10 million interest payment due on July 15, 2020 was paid as of June 30, 2020. The Senior Notes are fully and unconditionally guaranteed, jointly and severally, on a senior unsecured basis by each of our subsidiaries that guarantee the 2018 credit facility.</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maturity, we may redeem some or all of the Senior Notes, together with accrued and unpaid interest, if any, plus a "make-whole" premium. On or after January 15, 2021, we may redeem some or all of the Senior Notes at any time at declining redemption prices equal to 102.50% beginning on January 15, 2021, 101.25% beginning on January 15, 2022 and 100.00% beginning on January 15, 2023 and thereafter to the applicable redemption date. In addition, before January 15, 2021, and subject to certain conditions, we may redeem up to 35% of the aggregate principal amount of Senior Notes with the net proceeds of certain equity offerings at 105.00% of the principal amount thereof to the date of redemption; provided that (i) at least 65% of the aggregate principal amount of Senior Notes remains outstanding after such redemption and (ii) the redemption occurs within 60 days of the closing of any such equity offering.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description of our borrowings, refer to Item 1: "Financial Statements (Unaudited), Note 6: Debt".</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description of our letters of credit and performance bonds, and the amounts available for additional borrowings or letters of credit under our lines of credit, including the revolver that is part of our credit facility, refer to Item 1: "Financial Statements (Unaudited), Note 11: Commitments and Contingencies".</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Silver Spring Networks, Inc. Acquisition</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the acquisition of SSNI, we announced an integration plan to obtain approximately $50 million of annualized savings by the end of 2020. For the nine months ended September 30, 2020, we paid out $11.9 million and we have approximately $4 million to $8 million of estimated cash payments remaining on the integration plan, the majority of which is expected to be paid out in the next 12 months.</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17, 2020, our Board of Directors approved a restructuring plan (the "2020 Projects"). The 2020 Projects include activities that continue our efforts to optimize its global supply chain and manufacturing operations, sales and marketing organizations, and other overhead. These projects are scheduled to be substantially complete by the end of 2022. We estimate pre-tax restructuring charges of $55 million to $65 million. Of the total estimated charge, approximately $35 million to $45 million will result in cash expenditures, and the remainder relates to non-cash charges.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2020, we paid out a net $10.9 million related to the 2018 restructuring projects. As of September 30, 2020, $79.7 million was accrued for restructuring projects, of which $24.6 million is expected to be paid over the next 12 months.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details regarding our restructuring activities, refer to Item 1: "Financial Statements (Unaudited), Note 12: Restructuring".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Liquidity Considerations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tax credits and net operating loss carryforwards in various jurisdictions that are available to reduce cash taxes. However, utilization of tax credits and net operating losses are limited in certain jurisdictions. Based on current projections, we expect to pay, net of refunds, approximately $1 million in state taxes and approximately $7 million in local and foreign taxes during 2020. We expect to receive approximately $7 million in U.S. federal tax refunds. For a discussion of our tax provision and unrecognized tax benefits, see Item 1: "Financial Statements (Unaudited), Note 10: Income Taxes".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2020,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2020, there was $37.2 million of cash and short-term investments held by certain foreign subsidiaries in which we are permanently reinvested for tax purposes. As a result of recent changes in U.S. tax legislation, any repatriation in the future would not result in U.S. federal income tax. Accordingly, there is no provision for U.S. deferred taxes on this cash. If this cash were repatriated to fund U.S. operations, additional withholding tax costs may be incurred. Tax is only one of the many factors that we consider in the management of global cash. Accordingly, the amount of taxes that we would need to accrue and pay to repatriate foreign cash could vary significantly.</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several of our consolidated international subsidiaries, we have joint venture partners, who are minority shareholders. Although these entities are not wholly-owned by Itron, Inc., we consolidate them because we have a greater than 50% ownership interest and/or because we exercise control over the operations. The noncontrolling interest balance in our Consolidated Balance Sheets represents the proportional share of the equity of the joint venture entities, which is attributable to the minority shareholders. At September 30, 2020, $7.9 million of our consolidated cash balance is held in our joint venture entities. As a result, the minority shareholders of these entities have rights to their proportional share of this cash balance, and there may be limitations on our ability to repatriate cash to the United States from these entities.</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General Liquidity Overview</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Notwithstanding the expected short to mid-term impacts of the COVID-19 pandemic, we expect to grow through a combination of internal new research and development, licensing technology from and to others, distribution agreements, partnering arrangements, and acquisitions of technology or other companies. We expect these activities to be funded with existing cash, cash flow from operations, borrowings, or the sale of our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industries, competitive pressures, </w:t>
      </w:r>
      <w:r>
        <w:rPr>
          <w:rFonts w:ascii="Times New Roman" w:cs="Times New Roman" w:eastAsia="Times New Roman" w:hAnsi="Times New Roman"/>
          <w:sz w:val="18"/>
          <w:szCs w:val="18"/>
          <w:color w:val="222222"/>
        </w:rPr>
        <w:t>our dependence on certain key vendors and components,</w:t>
      </w:r>
      <w:r>
        <w:rPr>
          <w:rFonts w:ascii="Times New Roman" w:cs="Times New Roman" w:eastAsia="Times New Roman" w:hAnsi="Times New Roman"/>
          <w:sz w:val="18"/>
          <w:szCs w:val="18"/>
          <w:color w:val="auto"/>
        </w:rPr>
        <w:t xml:space="preserve"> changes in estimated liabilities for product warranties and/or litigation, duration of the COVID-19 pandemic, future business combinations, capital market fluctuations, international risks, and other factors described under "Risk Factors" within Item 1A of Part I of our 2019 Annual Report, as well as "Quantitative and Qualitative Disclosures About Market Risk" within Item 3 of Part I included in this Quarterly Report on Form 10-Q.</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 "Financial Statements (Unaudited), Note 11: Commitments and Contingencies".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Policies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and accompanying notes are prepared in accordance with U.S. GAAP. Preparing consolidated financial statements requires management to make estimates and assumptions that affect the reported amounts of assets, liabilities, revenues, and expenses. These estimates and assumptions are based on historical experience and on various other assumptions management believes to be reasonable. Actual results could differ from the amounts reported and disclosed herein. Our critical accounting policies that require the use of estimates and assumptions were discussed in detail in the 2019 Annual Report and have not changed materially.</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Item 1: "Financial Statements (Unaudited), Note 1: Summary of Significant Accounting Policies" included in this Quarterly Report on Form 10-Q for further disclosures regarding new accounting pronouncements.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schedule contains non-GAAP financial measures. To supplement our consolidated financial statements, which are prepared in accordance with GAAP, we use certain non-GAAP financial measures, including non-GAAP operating expense, non-GAAP operating income, non-GAAP net income, non-GAAP diluted EPS, adjusted EBITDA, free cash flow,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5" w:name="page46"/>
    <w:bookmarkEnd w:id="4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constant currency. The presentation of this financial information is not intended to be considered in isolation or as a substitute for, or superior to, the financial information prepared and presented in accordance with GAAP, and other companies may define such measures differently. For more information on these non-GAAP financial measures, please see the table captioned "Reconciliations of Non-GAAP Financial Measures to the Most Directly Comparable GAAP Financial Measures".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acquisition and integration related expenses, or restructuring charges.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Non-GAAP operating expenses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non-GAAP operating income </w:t>
      </w:r>
      <w:r>
        <w:rPr>
          <w:rFonts w:ascii="Times New Roman" w:cs="Times New Roman" w:eastAsia="Times New Roman" w:hAnsi="Times New Roman"/>
          <w:sz w:val="18"/>
          <w:szCs w:val="18"/>
          <w:color w:val="auto"/>
        </w:rPr>
        <w:t>– We define non-GAAP operating expenses as operating expenses excluding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related to the amortization of intangible assets, restructuring, loss on sale of business, corporate transition cost, and acquisition and integration. We define non-GAAP operating income as operating income excluding the expenses related to the amortization of intangible assets, restructuring, loss on sale of business, corporate transition cost, and acquisition and integration.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related to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Non-GAAP net income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non-GAAP diluted EPS </w:t>
      </w:r>
      <w:r>
        <w:rPr>
          <w:rFonts w:ascii="Times New Roman" w:cs="Times New Roman" w:eastAsia="Times New Roman" w:hAnsi="Times New Roman"/>
          <w:sz w:val="18"/>
          <w:szCs w:val="18"/>
          <w:color w:val="auto"/>
        </w:rPr>
        <w:t>– We define non-GAAP net income as net income attributable to Itron, Inc. excluding the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amortization of intangible assets, amortization of debt placement fees, restructuring, loss on sale of business, corporate transition cost, acquisition and integration, and the tax effect of excluding these expenses.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interim periods, beginning the first quarter of 2019, the budgeted annual effective tax rate (AETR) is used, adjusted for any discrete items, as defined in ASC 740 - Income Taxes. The budgeted AETR is determined at the beginning of the fiscal year. The AETR is revised throughout the year based on changes to our full-year forecast. If the revised AETR increases or decreases by 200 basis points or more from the budgeted AETR due to changes in the full-year forecast during the year, the revised AETR is used in place of the budgeted AETR beginning with the quarter the 200 basis point threshold is exceeded and going forward for all subsequent interim quarters in the year. We continue to assess the AETR based on latest forecast throughout the year and use the most recent AETR anytime it increases or decreases by 200 basis points or more from the prior interim period.</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 We define adjusted EBITDA as net income (a) minus interest income, (b) plus interest expense, depreciation and amortization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 assets, restructuring, loss on sale of business, corporate transition cost, acquisition and integration related expense,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items. Additionally, the items that we exclude in our calculation of adjusted EBITDA may differ from the items that our peer companies exclude when they report their results. We compensate for these limitations by providing a reconciliation of this measure to GAAP net income (loss).</w:t>
      </w:r>
    </w:p>
    <w:p>
      <w:pPr>
        <w:spacing w:after="0" w:line="1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 We define free cash flow as net cash provided by operating activities less cash used for acquisitions of property, plant and equipment.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Constant currency </w:t>
      </w:r>
      <w:r>
        <w:rPr>
          <w:rFonts w:ascii="Times New Roman" w:cs="Times New Roman" w:eastAsia="Times New Roman" w:hAnsi="Times New Roman"/>
          <w:sz w:val="18"/>
          <w:szCs w:val="18"/>
          <w:color w:val="auto"/>
        </w:rPr>
        <w:t>– We refer to the impact of foreign currency exchange rate fluctuations in our discussions of financial results, which references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differences between the foreign currency exchange rates used to translate operating results from the entity's functional currency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 of Non-GAAP Financial Measures to the Most Directly Comparable GAAP Financial Measures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tables below reconcile the non-GAAP financial measures of operating expenses, operating income, net income, diluted EPS, adjusted EBITDA, and free cash flow with the most directly comparable GAAP financial measures.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COMPANY RECONCILIATIONS</w:t>
            </w:r>
          </w:p>
        </w:tc>
        <w:tc>
          <w:tcPr>
            <w:tcW w:w="260" w:type="dxa"/>
            <w:vAlign w:val="bottom"/>
          </w:tcPr>
          <w:p>
            <w:pPr>
              <w:spacing w:after="0"/>
              <w:rPr>
                <w:sz w:val="18"/>
                <w:szCs w:val="18"/>
                <w:color w:val="auto"/>
              </w:rPr>
            </w:pPr>
          </w:p>
        </w:tc>
        <w:tc>
          <w:tcPr>
            <w:tcW w:w="320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308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2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EXPENSES</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GAAP operating expenses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167,231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496,331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471,061</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(48,185)</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(7,685)</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sale of business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Corporate transition cost</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w:t>
            </w:r>
          </w:p>
        </w:tc>
        <w:tc>
          <w:tcPr>
            <w:tcW w:w="0" w:type="dxa"/>
            <w:vAlign w:val="bottom"/>
          </w:tcPr>
          <w:p>
            <w:pPr>
              <w:spacing w:after="0"/>
              <w:rPr>
                <w:sz w:val="1"/>
                <w:szCs w:val="1"/>
                <w:color w:val="auto"/>
              </w:rPr>
            </w:pPr>
          </w:p>
        </w:tc>
      </w:tr>
      <w:tr>
        <w:trPr>
          <w:trHeight w:val="213"/>
        </w:trPr>
        <w:tc>
          <w:tcPr>
            <w:tcW w:w="100" w:type="dxa"/>
            <w:vAlign w:val="bottom"/>
            <w:tcBorders>
              <w:bottom w:val="single" w:sz="8" w:color="CCEEFF"/>
            </w:tcBorders>
          </w:tcPr>
          <w:p>
            <w:pPr>
              <w:spacing w:after="0"/>
              <w:rPr>
                <w:sz w:val="18"/>
                <w:szCs w:val="18"/>
                <w:color w:val="auto"/>
              </w:rPr>
            </w:pPr>
          </w:p>
        </w:tc>
        <w:tc>
          <w:tcPr>
            <w:tcW w:w="4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Acquisition and integration related expense</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(24,593)</w:t>
            </w:r>
          </w:p>
        </w:tc>
        <w:tc>
          <w:tcPr>
            <w:tcW w:w="0" w:type="dxa"/>
            <w:vAlign w:val="bottom"/>
          </w:tcPr>
          <w:p>
            <w:pPr>
              <w:spacing w:after="0"/>
              <w:rPr>
                <w:sz w:val="1"/>
                <w:szCs w:val="1"/>
                <w:color w:val="auto"/>
              </w:rPr>
            </w:pPr>
          </w:p>
        </w:tc>
      </w:tr>
      <w:tr>
        <w:trPr>
          <w:trHeight w:val="237"/>
        </w:trPr>
        <w:tc>
          <w:tcPr>
            <w:tcW w:w="100" w:type="dxa"/>
            <w:vAlign w:val="bottom"/>
            <w:tcBorders>
              <w:bottom w:val="single" w:sz="8" w:color="CCEEFF"/>
            </w:tcBorders>
            <w:shd w:val="clear" w:color="auto" w:fill="CCEEFF"/>
          </w:tcPr>
          <w:p>
            <w:pPr>
              <w:spacing w:after="0"/>
              <w:rPr>
                <w:sz w:val="20"/>
                <w:szCs w:val="20"/>
                <w:color w:val="auto"/>
              </w:rPr>
            </w:pPr>
          </w:p>
        </w:tc>
        <w:tc>
          <w:tcPr>
            <w:tcW w:w="43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113,554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130,387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364,788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388,985</w:t>
            </w: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INCOME</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GAAP operating income (loss)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(23,980)</w:t>
            </w:r>
          </w:p>
        </w:tc>
        <w:tc>
          <w:tcPr>
            <w:tcW w:w="120" w:type="dxa"/>
            <w:vAlign w:val="bottom"/>
          </w:tcPr>
          <w:p>
            <w:pPr>
              <w:spacing w:after="0"/>
              <w:rPr>
                <w:sz w:val="18"/>
                <w:szCs w:val="18"/>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39,439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(42,997)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103,820</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48,185</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44,462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7,685</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 sale of business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Corporate transition cost</w:t>
            </w:r>
          </w:p>
        </w:tc>
        <w:tc>
          <w:tcPr>
            <w:tcW w:w="2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 and integration related expense</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24,593</w:t>
            </w: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Non-GAAP operating income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29,697</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66,017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88,546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185,896</w:t>
            </w:r>
          </w:p>
        </w:tc>
        <w:tc>
          <w:tcPr>
            <w:tcW w:w="0" w:type="dxa"/>
            <w:vAlign w:val="bottom"/>
          </w:tcPr>
          <w:p>
            <w:pPr>
              <w:spacing w:after="0"/>
              <w:rPr>
                <w:sz w:val="1"/>
                <w:szCs w:val="1"/>
                <w:color w:val="auto"/>
              </w:rPr>
            </w:pP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 w:type="dxa"/>
            <w:vAlign w:val="bottom"/>
            <w:shd w:val="clear" w:color="auto" w:fill="CCEEFF"/>
          </w:tcPr>
          <w:p>
            <w:pPr>
              <w:spacing w:after="0"/>
              <w:rPr>
                <w:sz w:val="15"/>
                <w:szCs w:val="15"/>
                <w:color w:val="auto"/>
              </w:rPr>
            </w:pPr>
          </w:p>
        </w:tc>
        <w:tc>
          <w:tcPr>
            <w:tcW w:w="4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NON-GAAP NET INCOME &amp; DILUTED EPS</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GAAP net income (loss) attributable to Itron, Inc.</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(79,475)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34,386</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48,185</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placement fees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3,555</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44,462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7,685</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 sale of business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Corporate transition cost</w:t>
            </w:r>
          </w:p>
        </w:tc>
        <w:tc>
          <w:tcPr>
            <w:tcW w:w="2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 and integration related expense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24,593</w:t>
            </w:r>
          </w:p>
        </w:tc>
        <w:tc>
          <w:tcPr>
            <w:tcW w:w="0" w:type="dxa"/>
            <w:vAlign w:val="bottom"/>
          </w:tcPr>
          <w:p>
            <w:pPr>
              <w:spacing w:after="0"/>
              <w:rPr>
                <w:sz w:val="1"/>
                <w:szCs w:val="1"/>
                <w:color w:val="auto"/>
              </w:rPr>
            </w:pPr>
          </w:p>
        </w:tc>
      </w:tr>
      <w:tr>
        <w:trPr>
          <w:trHeight w:val="213"/>
        </w:trPr>
        <w:tc>
          <w:tcPr>
            <w:tcW w:w="100" w:type="dxa"/>
            <w:vAlign w:val="bottom"/>
            <w:tcBorders>
              <w:bottom w:val="single" w:sz="8" w:color="CCEEFF"/>
            </w:tcBorders>
          </w:tcPr>
          <w:p>
            <w:pPr>
              <w:spacing w:after="0"/>
              <w:rPr>
                <w:sz w:val="18"/>
                <w:szCs w:val="18"/>
                <w:color w:val="auto"/>
              </w:rPr>
            </w:pPr>
          </w:p>
        </w:tc>
        <w:tc>
          <w:tcPr>
            <w:tcW w:w="4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Income tax effect of non-GAAP adjustments</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(4,658)</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(16,131)</w:t>
            </w:r>
          </w:p>
        </w:tc>
        <w:tc>
          <w:tcPr>
            <w:tcW w:w="0" w:type="dxa"/>
            <w:vAlign w:val="bottom"/>
          </w:tcPr>
          <w:p>
            <w:pPr>
              <w:spacing w:after="0"/>
              <w:rPr>
                <w:sz w:val="1"/>
                <w:szCs w:val="1"/>
                <w:color w:val="auto"/>
              </w:rPr>
            </w:pPr>
          </w:p>
        </w:tc>
      </w:tr>
      <w:tr>
        <w:trPr>
          <w:trHeight w:val="237"/>
        </w:trPr>
        <w:tc>
          <w:tcPr>
            <w:tcW w:w="100" w:type="dxa"/>
            <w:vAlign w:val="bottom"/>
            <w:tcBorders>
              <w:bottom w:val="single" w:sz="8" w:color="CCEEFF"/>
            </w:tcBorders>
            <w:shd w:val="clear" w:color="auto" w:fill="CCEEFF"/>
          </w:tcPr>
          <w:p>
            <w:pPr>
              <w:spacing w:after="0"/>
              <w:rPr>
                <w:sz w:val="20"/>
                <w:szCs w:val="20"/>
                <w:color w:val="auto"/>
              </w:rPr>
            </w:pPr>
          </w:p>
        </w:tc>
        <w:tc>
          <w:tcPr>
            <w:tcW w:w="43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Non-GAAP net income attributable to Itron, Inc.</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24,634</w:t>
            </w:r>
          </w:p>
        </w:tc>
        <w:tc>
          <w:tcPr>
            <w:tcW w:w="12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41,396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48,929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103,886</w:t>
            </w: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100" w:type="dxa"/>
            <w:vAlign w:val="bottom"/>
            <w:tcBorders>
              <w:bottom w:val="single" w:sz="8" w:color="CCEEFF"/>
            </w:tcBorders>
            <w:shd w:val="clear" w:color="auto" w:fill="CCEEFF"/>
          </w:tcPr>
          <w:p>
            <w:pPr>
              <w:spacing w:after="0"/>
              <w:rPr>
                <w:sz w:val="20"/>
                <w:szCs w:val="20"/>
                <w:color w:val="auto"/>
              </w:rPr>
            </w:pPr>
          </w:p>
        </w:tc>
        <w:tc>
          <w:tcPr>
            <w:tcW w:w="43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Non-GAAP diluted EPS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6"/>
                <w:szCs w:val="16"/>
                <w:color w:val="auto"/>
              </w:rPr>
              <w:t>Non-GAAP weighted average common shares outstanding -</w:t>
            </w:r>
          </w:p>
        </w:tc>
        <w:tc>
          <w:tcPr>
            <w:tcW w:w="26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40,559</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39,903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40,507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39,884</w:t>
            </w:r>
          </w:p>
        </w:tc>
        <w:tc>
          <w:tcPr>
            <w:tcW w:w="0" w:type="dxa"/>
            <w:vAlign w:val="bottom"/>
          </w:tcPr>
          <w:p>
            <w:pPr>
              <w:spacing w:after="0"/>
              <w:rPr>
                <w:sz w:val="1"/>
                <w:szCs w:val="1"/>
                <w:color w:val="auto"/>
              </w:rPr>
            </w:pPr>
          </w:p>
        </w:tc>
      </w:tr>
      <w:tr>
        <w:trPr>
          <w:trHeight w:val="209"/>
        </w:trPr>
        <w:tc>
          <w:tcPr>
            <w:tcW w:w="100" w:type="dxa"/>
            <w:vAlign w:val="bottom"/>
            <w:tcBorders>
              <w:bottom w:val="single" w:sz="8" w:color="CCEEFF"/>
            </w:tcBorders>
            <w:shd w:val="clear" w:color="auto" w:fill="CCEEFF"/>
          </w:tcPr>
          <w:p>
            <w:pPr>
              <w:spacing w:after="0"/>
              <w:rPr>
                <w:sz w:val="18"/>
                <w:szCs w:val="18"/>
                <w:color w:val="auto"/>
              </w:rPr>
            </w:pPr>
          </w:p>
        </w:tc>
        <w:tc>
          <w:tcPr>
            <w:tcW w:w="43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GAAP net income (loss) attributable to Itron, Inc.</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(25,357)</w:t>
            </w:r>
          </w:p>
        </w:tc>
        <w:tc>
          <w:tcPr>
            <w:tcW w:w="120" w:type="dxa"/>
            <w:vAlign w:val="bottom"/>
          </w:tcPr>
          <w:p>
            <w:pPr>
              <w:spacing w:after="0"/>
              <w:rPr>
                <w:sz w:val="18"/>
                <w:szCs w:val="18"/>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(79,475)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34,386</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39,899</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 provision</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20,692</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24,076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85,691</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Restructuring</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7,685</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sale of business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100" w:type="dxa"/>
            <w:vAlign w:val="bottom"/>
            <w:shd w:val="clear" w:color="auto" w:fill="CCEEFF"/>
          </w:tcPr>
          <w:p>
            <w:pPr>
              <w:spacing w:after="0"/>
              <w:rPr>
                <w:sz w:val="19"/>
                <w:szCs w:val="19"/>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Corporate transition cost</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w:t>
            </w:r>
          </w:p>
        </w:tc>
        <w:tc>
          <w:tcPr>
            <w:tcW w:w="0" w:type="dxa"/>
            <w:vAlign w:val="bottom"/>
          </w:tcPr>
          <w:p>
            <w:pPr>
              <w:spacing w:after="0"/>
              <w:rPr>
                <w:sz w:val="1"/>
                <w:szCs w:val="1"/>
                <w:color w:val="auto"/>
              </w:rPr>
            </w:pPr>
          </w:p>
        </w:tc>
      </w:tr>
      <w:tr>
        <w:trPr>
          <w:trHeight w:val="213"/>
        </w:trPr>
        <w:tc>
          <w:tcPr>
            <w:tcW w:w="100" w:type="dxa"/>
            <w:vAlign w:val="bottom"/>
            <w:tcBorders>
              <w:bottom w:val="single" w:sz="8" w:color="CCEEFF"/>
            </w:tcBorders>
          </w:tcPr>
          <w:p>
            <w:pPr>
              <w:spacing w:after="0"/>
              <w:rPr>
                <w:sz w:val="18"/>
                <w:szCs w:val="18"/>
                <w:color w:val="auto"/>
              </w:rPr>
            </w:pPr>
          </w:p>
        </w:tc>
        <w:tc>
          <w:tcPr>
            <w:tcW w:w="4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Acquisition and integration related expense</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24,593</w:t>
            </w:r>
          </w:p>
        </w:tc>
        <w:tc>
          <w:tcPr>
            <w:tcW w:w="0" w:type="dxa"/>
            <w:vAlign w:val="bottom"/>
          </w:tcPr>
          <w:p>
            <w:pPr>
              <w:spacing w:after="0"/>
              <w:rPr>
                <w:sz w:val="1"/>
                <w:szCs w:val="1"/>
                <w:color w:val="auto"/>
              </w:rPr>
            </w:pPr>
          </w:p>
        </w:tc>
      </w:tr>
      <w:tr>
        <w:trPr>
          <w:trHeight w:val="237"/>
        </w:trPr>
        <w:tc>
          <w:tcPr>
            <w:tcW w:w="100" w:type="dxa"/>
            <w:vAlign w:val="bottom"/>
            <w:tcBorders>
              <w:bottom w:val="single" w:sz="8" w:color="CCEEFF"/>
            </w:tcBorders>
            <w:shd w:val="clear" w:color="auto" w:fill="CCEEFF"/>
          </w:tcPr>
          <w:p>
            <w:pPr>
              <w:spacing w:after="0"/>
              <w:rPr>
                <w:sz w:val="20"/>
                <w:szCs w:val="20"/>
                <w:color w:val="auto"/>
              </w:rPr>
            </w:pPr>
          </w:p>
        </w:tc>
        <w:tc>
          <w:tcPr>
            <w:tcW w:w="43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Adjusted EBITDA</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39,684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74,456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122,858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213,180</w:t>
            </w: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FREE CASH FLOW</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44,785</w:t>
            </w:r>
          </w:p>
        </w:tc>
        <w:tc>
          <w:tcPr>
            <w:tcW w:w="120" w:type="dxa"/>
            <w:vAlign w:val="bottom"/>
          </w:tcPr>
          <w:p>
            <w:pPr>
              <w:spacing w:after="0"/>
              <w:rPr>
                <w:sz w:val="18"/>
                <w:szCs w:val="18"/>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50,037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70,571</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128,100</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Acquisitions of property, plant, and equipment</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(36,297)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(44,570)</w:t>
            </w: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Free Cash Flow</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37,537</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31,978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34,274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83,530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8" w:name="page49"/>
    <w:bookmarkEnd w:id="4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exposed to interest rate risk through our variable rate debt instruments. In March 2020, we entered into an interest rate swap, which is effective from June 30, 2020 to June 30, 2023, and converts $240 million of our LIBOR-based debt from a floating LIBOR interest rate to a fixed interest rate of 0.617% (excluding the applicable margin). The notional balance will amortize to maturity at the same rate of originally required amortizations on our term loan. At September 30, 2020, our LIBOR-based debt balance was $950.2 million.</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2018, we entered into a cross-currency swap, which converts $56.0 million of floating rate LIBOR-based U.S. dollar denominated debt into 1.38% fixed rate euro denominated debt. This cross-currency swap matures on April 30, 2021 and mitigates the risk associated with fluctuations in interest and currency rates impacting cash flows related to a U.S. dollar denominated debt in a euro functional currency entity.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provides information about our financial instruments that are sensitive to changes in interest rates and the scheduled minimum repayment of principal and the weighted average interest rates at September 30, 2020. Weighted average variable rates in the table are based on implied forward rates in the Reuters U.S. dollar yield curve as of September 30, 2020 and our estimated leverage ratio, which determines our additional interest rate margin at September 30, 2020.</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1"/>
        </w:trPr>
        <w:tc>
          <w:tcPr>
            <w:tcW w:w="2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Variable Rate Debt</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Principal: U.S. dollar term loan</w:t>
            </w: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32,422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44,063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44,063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429,608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550,156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533,223</w:t>
            </w:r>
          </w:p>
        </w:tc>
        <w:tc>
          <w:tcPr>
            <w:tcW w:w="0" w:type="dxa"/>
            <w:vAlign w:val="bottom"/>
          </w:tcPr>
          <w:p>
            <w:pPr>
              <w:spacing w:after="0"/>
              <w:rPr>
                <w:sz w:val="1"/>
                <w:szCs w:val="1"/>
                <w:color w:val="auto"/>
              </w:rPr>
            </w:pPr>
          </w:p>
        </w:tc>
      </w:tr>
      <w:tr>
        <w:trPr>
          <w:trHeight w:val="213"/>
        </w:trPr>
        <w:tc>
          <w:tcPr>
            <w:tcW w:w="2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Weighted average interest rate</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7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Principal: Multicurrency revolving line</w:t>
            </w:r>
          </w:p>
        </w:tc>
        <w:tc>
          <w:tcPr>
            <w:tcW w:w="28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400,000</w:t>
            </w:r>
          </w:p>
        </w:tc>
        <w:tc>
          <w:tcPr>
            <w:tcW w:w="12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386,086</w:t>
            </w:r>
          </w:p>
        </w:tc>
        <w:tc>
          <w:tcPr>
            <w:tcW w:w="0" w:type="dxa"/>
            <w:vAlign w:val="bottom"/>
          </w:tcPr>
          <w:p>
            <w:pPr>
              <w:spacing w:after="0"/>
              <w:rPr>
                <w:sz w:val="1"/>
                <w:szCs w:val="1"/>
                <w:color w:val="auto"/>
              </w:rPr>
            </w:pPr>
          </w:p>
        </w:tc>
      </w:tr>
      <w:tr>
        <w:trPr>
          <w:trHeight w:val="213"/>
        </w:trPr>
        <w:tc>
          <w:tcPr>
            <w:tcW w:w="2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of credit</w:t>
            </w:r>
          </w:p>
        </w:tc>
        <w:tc>
          <w:tcPr>
            <w:tcW w:w="28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Weighted average interest rate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 rate swap</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Weighted average interest rate (pay)</w:t>
            </w:r>
          </w:p>
        </w:tc>
        <w:tc>
          <w:tcPr>
            <w:tcW w:w="2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0.62 %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0.62 %</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0.62 %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0.62 %</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Fixed</w:t>
            </w:r>
          </w:p>
        </w:tc>
        <w:tc>
          <w:tcPr>
            <w:tcW w:w="2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700" w:type="dxa"/>
            <w:vAlign w:val="bottom"/>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Weighted average interest rate</w:t>
            </w:r>
          </w:p>
        </w:tc>
        <w:tc>
          <w:tcPr>
            <w:tcW w:w="2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0.14 %</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0.19 %</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(receive) Floating LIBOR</w:t>
            </w:r>
          </w:p>
        </w:tc>
        <w:tc>
          <w:tcPr>
            <w:tcW w:w="2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Cross currency swap</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Weighted average interest rate (pay)</w:t>
            </w:r>
          </w:p>
        </w:tc>
        <w:tc>
          <w:tcPr>
            <w:tcW w:w="2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Fixed - EURIBOR</w:t>
            </w:r>
          </w:p>
        </w:tc>
        <w:tc>
          <w:tcPr>
            <w:tcW w:w="2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700" w:type="dxa"/>
            <w:vAlign w:val="bottom"/>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Weighted average interest rate</w:t>
            </w:r>
          </w:p>
        </w:tc>
        <w:tc>
          <w:tcPr>
            <w:tcW w:w="2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0.17 %</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(receive) Floating - LIBOR</w:t>
            </w:r>
          </w:p>
        </w:tc>
        <w:tc>
          <w:tcPr>
            <w:tcW w:w="2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a sensitivity analysis as of September 30, 2020, we estimate that, if market interest rates average one percentage point higher in 2020 than in the table above, our financial results in 2020 would not be materially impacted.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continually monitor and assess our interest rate risk and may institute additional interest rate swaps or other derivative instruments to manage such risk in the future.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conduct business in a number of countries. Revenues denominated in functional currencies other than the U.S. dollar were 37% and 36% of total revenues for the three and nine months ended September 30, 2020 compared with 38% and 37% for the same respective periods in 2019. These transactions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also exposed to foreign exchange risk when we enter into non-functional currency transactions, both intercompany and third party. At each period-end, non-functional currency monetary assets and liabilities are revalued with the change recognized to other income and expense. We enter into monthly foreign exchange forward contracts, which are not designated for hedge accounting, with the intent to reduce earnings volatility associated with currency exposures. As of September 30, 2020, a total of 43 contracts were offsetting our exposures from the euro, Canadian dollar, Pound Sterling, Brazilian Real, Chinese yuan and various other currencies, with notional amounts ranging from $102,000 to $26.4 million. Based on a sensitivity analysis as of September 30, 2020, we estimate that, if foreign currency exchange rates average ten percentage points higher in 2020 for these financial instruments, our financial results in 2020 would not be materially impacted.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future periods, we may use additional derivative contracts to protect against foreign currency exchange rate risks.</w:t>
      </w:r>
    </w:p>
    <w:p>
      <w:pPr>
        <w:spacing w:after="0" w:line="24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September 30, 2020,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three months ended September 30, 2020 that materially affected, or are reasonably likely to materially affect, internal control over financial reporting.</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 "Financial Statements (Unaudited), Note 11: Commitments and Contingencies".</w:t>
      </w:r>
    </w:p>
    <w:p>
      <w:pPr>
        <w:spacing w:after="0" w:line="24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complete list of Risk Factors, refer to Item 1A: "Risk Factors" of Part I of our Annual Report on Form 10-K for the fiscal year ended December 31, 2019, which was filed with the Securities and Exchange Commission on February 27, 2020.</w:t>
      </w:r>
    </w:p>
    <w:p>
      <w:pPr>
        <w:spacing w:after="0" w:line="18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We have been and will continue to be affected by the ongoing COVID-19 pandemic, and such effects could have an adverse effect on our business operations, results of operations, cash flows, and financial condition.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experienced disruptions to our business from the ongoing COVID-19 pandemic, and the full impact of the COVID-19 pandemic on all aspects of our business and geographic markets is highly uncertain and cannot be predicted with confidence. This includes how it may impact our customers, employees, vendors, strategic partners, managed services, and manufacturing operations. The COVID-19 pandemic has created significant volatility, uncertainty, and economic disruption, which has and may continue to materially and adversely affect our business operations, cash flows, and financial condition.</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impact of the virus on third parties on which we rely, such as our suppliers, contract manufacturers, distributors, and strategic partners, cannot be fully known or controlled by us. As a result, we may experience difficulties sourcing components and other critical inventory. The impact of the COVID-19 pandemic on our customers and demand for our products is also uncertain. Due to resulting financial constraints, illness within their organizations, quarantine and travel restrictions placed upon our customers’ employees, as well as individual actions our customers may take in response to the spread of COVID-19, our customers may have difficulty in making timely payments to us or may have an inability or unwillingness to purchase our products and services. Also, certain of our projects require regulatory approvals, and our customers may experience delays in regulatory approvals. Any of these effects may materially and adversely affect us.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has taken measures, both voluntary and as a result of government directives and guidance, to mitigate the effects of the COVID-19 pandemic on us and others. These measures include, among others, restrictions on our employees' access to our physical work locations and the purchase of personal protective equipment. Additionally, we may implement the temporary closure or reduction in operations of certain of our manufacturing facilities, which would be disruptive to our operations. We have also implemented measures to allow certain employees to work remotely, which may place a burden on our IT systems and may expose us to increased vulnerability to cyber-attack and other cyber-disruption. Many of these measures may result in incremental costs to us, and such costs may not be recoverable or adequately covered by our insurance. Further, any focus by our management on mitigating COVID-19 effects has required, and will continue to require, a large investment of time and resources, which may delay other value-add initiatives.</w:t>
      </w:r>
    </w:p>
    <w:p>
      <w:pPr>
        <w:spacing w:after="0" w:line="2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a company with global operations, we are subject to numerous government jurisdictions at all levels that are addressing COVID-19 differently. The guidance and directives provided by these governmental authorities is difficult to predict, may be unclear in their application, and are unknown in duration. This includes uncertainty in governmental authorities’ assessments of our business as “essential”. If governmental authorities were to reverse their designation of our business as “essential”, it could have a material effect on our results of operations and cash flows.</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full extent to which the COVID-19 pandemic impacts us depends on numerous evolving factors and future developments that we are not able to predict at this time, including: medical advancements to treat or stop the virus; governmental, business, and other actions (which could include limitations on our operations to provide products or services); the duration of the outbreak and the related limitations on our ability to conduct business; or the length of time and velocity at which we will return to more normalized operations. In addition, we cannot predict the impact that COVID-19 will have on our customers, vendors, strategic partners, and other business partners and each of their financial conditions; however, any material effect on these parties could materially and adversely impact us. The impact of COVID-19 may also include possible impairment or other charges and may exacerbate other risks discussed in Item 1A: Risk Factors in our Annual Report on Form 10-K, any of which could have a material effect on us. This situation is changing rapidly and additional impacts may arise that we are not aware of currently.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52"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Repurchase of Equity Securities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Maximum Dollar</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Value of Shares that</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8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6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8"/>
              </w:rPr>
              <w:t>May Yet Be</w:t>
            </w:r>
          </w:p>
        </w:tc>
        <w:tc>
          <w:tcPr>
            <w:tcW w:w="0" w:type="dxa"/>
            <w:vAlign w:val="bottom"/>
          </w:tcPr>
          <w:p>
            <w:pPr>
              <w:spacing w:after="0"/>
              <w:rPr>
                <w:sz w:val="1"/>
                <w:szCs w:val="1"/>
                <w:color w:val="auto"/>
              </w:rPr>
            </w:pPr>
          </w:p>
        </w:tc>
      </w:tr>
      <w:tr>
        <w:trPr>
          <w:trHeight w:val="162"/>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820" w:type="dxa"/>
            <w:vAlign w:val="bottom"/>
            <w:gridSpan w:val="3"/>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6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100" w:type="dxa"/>
            <w:vAlign w:val="bottom"/>
          </w:tcPr>
          <w:p>
            <w:pPr>
              <w:spacing w:after="0"/>
              <w:rPr>
                <w:sz w:val="14"/>
                <w:szCs w:val="14"/>
                <w:color w:val="auto"/>
              </w:rPr>
            </w:pPr>
          </w:p>
        </w:tc>
        <w:tc>
          <w:tcPr>
            <w:tcW w:w="16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w:t>
            </w:r>
          </w:p>
        </w:tc>
        <w:tc>
          <w:tcPr>
            <w:tcW w:w="0" w:type="dxa"/>
            <w:vAlign w:val="bottom"/>
          </w:tcPr>
          <w:p>
            <w:pPr>
              <w:spacing w:after="0"/>
              <w:rPr>
                <w:sz w:val="1"/>
                <w:szCs w:val="1"/>
                <w:color w:val="auto"/>
              </w:rPr>
            </w:pPr>
          </w:p>
        </w:tc>
      </w:tr>
      <w:tr>
        <w:trPr>
          <w:trHeight w:val="216"/>
        </w:trPr>
        <w:tc>
          <w:tcPr>
            <w:tcW w:w="4540" w:type="dxa"/>
            <w:vAlign w:val="bottom"/>
            <w:vMerge w:val="continue"/>
          </w:tcPr>
          <w:p>
            <w:pPr>
              <w:spacing w:after="0"/>
              <w:rPr>
                <w:sz w:val="18"/>
                <w:szCs w:val="18"/>
                <w:color w:val="auto"/>
              </w:rPr>
            </w:pPr>
          </w:p>
        </w:tc>
        <w:tc>
          <w:tcPr>
            <w:tcW w:w="1820" w:type="dxa"/>
            <w:vAlign w:val="bottom"/>
            <w:gridSpan w:val="3"/>
          </w:tcPr>
          <w:p>
            <w:pPr>
              <w:jc w:val="center"/>
              <w:ind w:right="220"/>
              <w:spacing w:after="0" w:line="216" w:lineRule="exact"/>
              <w:rPr>
                <w:sz w:val="20"/>
                <w:szCs w:val="20"/>
                <w:color w:val="auto"/>
              </w:rPr>
            </w:pPr>
            <w:r>
              <w:rPr>
                <w:rFonts w:ascii="Times New Roman" w:cs="Times New Roman" w:eastAsia="Times New Roman" w:hAnsi="Times New Roman"/>
                <w:sz w:val="16"/>
                <w:szCs w:val="16"/>
                <w:b w:val="1"/>
                <w:bCs w:val="1"/>
                <w:color w:val="auto"/>
                <w:w w:val="98"/>
              </w:rPr>
              <w:t xml:space="preserve">Shares Purchased </w:t>
            </w:r>
            <w:r>
              <w:rPr>
                <w:rFonts w:ascii="Times New Roman" w:cs="Times New Roman" w:eastAsia="Times New Roman" w:hAnsi="Times New Roman"/>
                <w:sz w:val="21"/>
                <w:szCs w:val="21"/>
                <w:b w:val="1"/>
                <w:bCs w:val="1"/>
                <w:color w:val="auto"/>
                <w:w w:val="98"/>
                <w:vertAlign w:val="superscript"/>
              </w:rPr>
              <w:t>(1)</w:t>
            </w:r>
          </w:p>
        </w:tc>
        <w:tc>
          <w:tcPr>
            <w:tcW w:w="1580" w:type="dxa"/>
            <w:vAlign w:val="bottom"/>
            <w:gridSpan w:val="2"/>
          </w:tcPr>
          <w:p>
            <w:pPr>
              <w:jc w:val="center"/>
              <w:ind w:right="220"/>
              <w:spacing w:after="0" w:line="216" w:lineRule="exact"/>
              <w:rPr>
                <w:sz w:val="20"/>
                <w:szCs w:val="20"/>
                <w:color w:val="auto"/>
              </w:rPr>
            </w:pPr>
            <w:r>
              <w:rPr>
                <w:rFonts w:ascii="Times New Roman" w:cs="Times New Roman" w:eastAsia="Times New Roman" w:hAnsi="Times New Roman"/>
                <w:sz w:val="16"/>
                <w:szCs w:val="16"/>
                <w:b w:val="1"/>
                <w:bCs w:val="1"/>
                <w:color w:val="auto"/>
                <w:w w:val="96"/>
              </w:rPr>
              <w:t xml:space="preserve">per Share </w:t>
            </w:r>
            <w:r>
              <w:rPr>
                <w:rFonts w:ascii="Times New Roman" w:cs="Times New Roman" w:eastAsia="Times New Roman" w:hAnsi="Times New Roman"/>
                <w:sz w:val="21"/>
                <w:szCs w:val="21"/>
                <w:b w:val="1"/>
                <w:bCs w:val="1"/>
                <w:color w:val="auto"/>
                <w:w w:val="96"/>
                <w:vertAlign w:val="superscript"/>
              </w:rPr>
              <w:t>(2)</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Plans or Programs</w:t>
            </w:r>
          </w:p>
        </w:tc>
        <w:tc>
          <w:tcPr>
            <w:tcW w:w="0" w:type="dxa"/>
            <w:vAlign w:val="bottom"/>
          </w:tcPr>
          <w:p>
            <w:pPr>
              <w:spacing w:after="0"/>
              <w:rPr>
                <w:sz w:val="1"/>
                <w:szCs w:val="1"/>
                <w:color w:val="auto"/>
              </w:rPr>
            </w:pPr>
          </w:p>
        </w:tc>
      </w:tr>
      <w:tr>
        <w:trPr>
          <w:trHeight w:val="208"/>
        </w:trPr>
        <w:tc>
          <w:tcPr>
            <w:tcW w:w="45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0" w:type="dxa"/>
            <w:vAlign w:val="bottom"/>
          </w:tcPr>
          <w:p>
            <w:pPr>
              <w:spacing w:after="0"/>
              <w:rPr>
                <w:sz w:val="1"/>
                <w:szCs w:val="1"/>
                <w:color w:val="auto"/>
              </w:rPr>
            </w:pPr>
          </w:p>
        </w:tc>
      </w:tr>
      <w:tr>
        <w:trPr>
          <w:trHeight w:val="21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2020 through July 31, 2020</w:t>
            </w:r>
          </w:p>
        </w:tc>
        <w:tc>
          <w:tcPr>
            <w:tcW w:w="1820" w:type="dxa"/>
            <w:vAlign w:val="bottom"/>
            <w:gridSpan w:val="3"/>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   $</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1, 2020 through August 31, 2020</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67.06</w:t>
            </w:r>
          </w:p>
        </w:tc>
        <w:tc>
          <w:tcPr>
            <w:tcW w:w="100" w:type="dxa"/>
            <w:vAlign w:val="bottom"/>
          </w:tcPr>
          <w:p>
            <w:pPr>
              <w:spacing w:after="0"/>
              <w:rPr>
                <w:sz w:val="18"/>
                <w:szCs w:val="18"/>
                <w:color w:val="auto"/>
              </w:rPr>
            </w:pPr>
          </w:p>
        </w:tc>
        <w:tc>
          <w:tcPr>
            <w:tcW w:w="160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1, 2020 through September 30, 2020</w:t>
            </w:r>
          </w:p>
        </w:tc>
        <w:tc>
          <w:tcPr>
            <w:tcW w:w="18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top w:val="single" w:sz="8" w:color="auto"/>
              <w:bottom w:val="single" w:sz="8" w:color="auto"/>
            </w:tcBorders>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340" w:right="20" w:hanging="332"/>
        <w:spacing w:after="0" w:line="225" w:lineRule="auto"/>
        <w:tabs>
          <w:tab w:leader="none" w:pos="32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Shares repurchased represent shares transferred to us by certain employees who vested in restricted stock units and used shares to pay all, or a portion of, the related taxes.</w:t>
      </w:r>
    </w:p>
    <w:p>
      <w:pPr>
        <w:spacing w:after="0" w:line="1"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commissions.</w:t>
      </w:r>
    </w:p>
    <w:p>
      <w:pPr>
        <w:spacing w:after="0" w:line="21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information was required to be disclosed in a report on Form 8-K during the third quarter of 2020 that was not reported.</w:t>
      </w:r>
    </w:p>
    <w:p>
      <w:pPr>
        <w:spacing w:after="0" w:line="252"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color w:val="0000FF"/>
                </w:rPr>
                <w:t>Table of Contents</w:t>
              </w:r>
            </w:hyperlink>
          </w:p>
        </w:tc>
        <w:tc>
          <w:tcPr>
            <w:tcW w:w="20" w:type="dxa"/>
            <w:vAlign w:val="bottom"/>
          </w:tcPr>
          <w:p>
            <w:pPr>
              <w:spacing w:after="0"/>
              <w:rPr>
                <w:sz w:val="17"/>
                <w:szCs w:val="17"/>
                <w:color w:val="auto"/>
              </w:rPr>
            </w:pPr>
          </w:p>
        </w:tc>
        <w:tc>
          <w:tcPr>
            <w:tcW w:w="8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98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0" w:type="dxa"/>
            <w:vAlign w:val="bottom"/>
          </w:tcPr>
          <w:p>
            <w:pPr>
              <w:spacing w:after="0"/>
              <w:rPr>
                <w:sz w:val="1"/>
                <w:szCs w:val="1"/>
                <w:color w:val="auto"/>
              </w:rPr>
            </w:pPr>
          </w:p>
        </w:tc>
      </w:tr>
      <w:tr>
        <w:trPr>
          <w:trHeight w:val="229"/>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19"/>
                <w:szCs w:val="19"/>
                <w:color w:val="auto"/>
              </w:rPr>
            </w:pPr>
          </w:p>
        </w:tc>
        <w:tc>
          <w:tcPr>
            <w:tcW w:w="98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820" w:type="dxa"/>
            <w:vAlign w:val="bottom"/>
            <w:tcBorders>
              <w:top w:val="single" w:sz="8" w:color="auto"/>
              <w:bottom w:val="single" w:sz="8" w:color="0000FF"/>
            </w:tcBorders>
          </w:tcPr>
          <w:p>
            <w:pPr>
              <w:spacing w:after="0"/>
              <w:rPr>
                <w:rFonts w:ascii="Times New Roman" w:cs="Times New Roman" w:eastAsia="Times New Roman" w:hAnsi="Times New Roman"/>
                <w:sz w:val="18"/>
                <w:szCs w:val="18"/>
                <w:color w:val="0000FF"/>
                <w:w w:val="99"/>
              </w:rPr>
            </w:pPr>
            <w:hyperlink w:anchor="page55">
              <w:r>
                <w:rPr>
                  <w:rFonts w:ascii="Times New Roman" w:cs="Times New Roman" w:eastAsia="Times New Roman" w:hAnsi="Times New Roman"/>
                  <w:sz w:val="18"/>
                  <w:szCs w:val="18"/>
                  <w:color w:val="0000FF"/>
                  <w:w w:val="99"/>
                </w:rPr>
                <w:t>Amendment No. 2 dated October 19, 2020, to the Second Amended and Restated Credit Agreement dated January 5, 2018</w:t>
              </w:r>
            </w:hyperlink>
          </w:p>
        </w:tc>
        <w:tc>
          <w:tcPr>
            <w:tcW w:w="980" w:type="dxa"/>
            <w:vAlign w:val="bottom"/>
            <w:tcBorders>
              <w:top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8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w:anchor="page55">
              <w:r>
                <w:rPr>
                  <w:rFonts w:ascii="Times New Roman" w:cs="Times New Roman" w:eastAsia="Times New Roman" w:hAnsi="Times New Roman"/>
                  <w:sz w:val="18"/>
                  <w:szCs w:val="18"/>
                  <w:color w:val="0000FF"/>
                  <w:w w:val="99"/>
                </w:rPr>
                <w:t>(incorporated by reference from the Form 8-K filed on January 12, 2018, by the Company) among Itron, Inc., certain foreign</w:t>
              </w:r>
            </w:hyperlink>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0" w:type="dxa"/>
            <w:vAlign w:val="bottom"/>
            <w:gridSpan w:val="3"/>
          </w:tcPr>
          <w:p>
            <w:pPr>
              <w:spacing w:after="0"/>
              <w:rPr>
                <w:rFonts w:ascii="Times New Roman" w:cs="Times New Roman" w:eastAsia="Times New Roman" w:hAnsi="Times New Roman"/>
                <w:sz w:val="18"/>
                <w:szCs w:val="18"/>
                <w:u w:val="single" w:color="auto"/>
                <w:color w:val="0000FF"/>
              </w:rPr>
            </w:pPr>
            <w:hyperlink w:anchor="page55">
              <w:r>
                <w:rPr>
                  <w:rFonts w:ascii="Times New Roman" w:cs="Times New Roman" w:eastAsia="Times New Roman" w:hAnsi="Times New Roman"/>
                  <w:sz w:val="18"/>
                  <w:szCs w:val="18"/>
                  <w:u w:val="single" w:color="auto"/>
                  <w:color w:val="0000FF"/>
                </w:rPr>
                <w:t>borrowers, guarantors, lenders and issuing parties thereto, and Wells Fargo Bank, National Association, as administrative agent.</w:t>
              </w:r>
            </w:hyperlink>
          </w:p>
        </w:tc>
        <w:tc>
          <w:tcPr>
            <w:tcW w:w="0" w:type="dxa"/>
            <w:vAlign w:val="bottom"/>
          </w:tcPr>
          <w:p>
            <w:pPr>
              <w:spacing w:after="0"/>
              <w:rPr>
                <w:sz w:val="1"/>
                <w:szCs w:val="1"/>
                <w:color w:val="auto"/>
              </w:rPr>
            </w:pPr>
          </w:p>
        </w:tc>
      </w:tr>
      <w:tr>
        <w:trPr>
          <w:trHeight w:val="45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3"/>
          </w:tcPr>
          <w:p>
            <w:pPr>
              <w:spacing w:after="0"/>
              <w:rPr>
                <w:rFonts w:ascii="Times New Roman" w:cs="Times New Roman" w:eastAsia="Times New Roman" w:hAnsi="Times New Roman"/>
                <w:sz w:val="18"/>
                <w:szCs w:val="18"/>
                <w:u w:val="single" w:color="auto"/>
                <w:color w:val="0000FF"/>
              </w:rPr>
            </w:pPr>
            <w:hyperlink w:anchor="page80">
              <w:r>
                <w:rPr>
                  <w:rFonts w:ascii="Times New Roman" w:cs="Times New Roman" w:eastAsia="Times New Roman" w:hAnsi="Times New Roman"/>
                  <w:sz w:val="18"/>
                  <w:szCs w:val="18"/>
                  <w:u w:val="single" w:color="auto"/>
                  <w:color w:val="0000FF"/>
                </w:rPr>
                <w:t>Certification Pursuant to Section 302 of the Sarbanes-Oxley Act of 2002.</w:t>
              </w:r>
            </w:hyperlink>
          </w:p>
        </w:tc>
        <w:tc>
          <w:tcPr>
            <w:tcW w:w="0" w:type="dxa"/>
            <w:vAlign w:val="bottom"/>
          </w:tcPr>
          <w:p>
            <w:pPr>
              <w:spacing w:after="0"/>
              <w:rPr>
                <w:sz w:val="1"/>
                <w:szCs w:val="1"/>
                <w:color w:val="auto"/>
              </w:rPr>
            </w:pPr>
          </w:p>
        </w:tc>
      </w:tr>
      <w:tr>
        <w:trPr>
          <w:trHeight w:val="499"/>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3"/>
          </w:tcPr>
          <w:p>
            <w:pPr>
              <w:spacing w:after="0"/>
              <w:rPr>
                <w:rFonts w:ascii="Times New Roman" w:cs="Times New Roman" w:eastAsia="Times New Roman" w:hAnsi="Times New Roman"/>
                <w:sz w:val="18"/>
                <w:szCs w:val="18"/>
                <w:u w:val="single" w:color="auto"/>
                <w:color w:val="0000FF"/>
              </w:rPr>
            </w:pPr>
            <w:hyperlink w:anchor="page81">
              <w:r>
                <w:rPr>
                  <w:rFonts w:ascii="Times New Roman" w:cs="Times New Roman" w:eastAsia="Times New Roman" w:hAnsi="Times New Roman"/>
                  <w:sz w:val="18"/>
                  <w:szCs w:val="18"/>
                  <w:u w:val="single" w:color="auto"/>
                  <w:color w:val="0000FF"/>
                </w:rPr>
                <w:t>Certification Pursuant to Section 302 of the Sarbanes-Oxley Act of 2002.</w:t>
              </w:r>
            </w:hyperlink>
          </w:p>
        </w:tc>
        <w:tc>
          <w:tcPr>
            <w:tcW w:w="0" w:type="dxa"/>
            <w:vAlign w:val="bottom"/>
          </w:tcPr>
          <w:p>
            <w:pPr>
              <w:spacing w:after="0"/>
              <w:rPr>
                <w:sz w:val="1"/>
                <w:szCs w:val="1"/>
                <w:color w:val="auto"/>
              </w:rPr>
            </w:pPr>
          </w:p>
        </w:tc>
      </w:tr>
      <w:tr>
        <w:trPr>
          <w:trHeight w:val="500"/>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3"/>
          </w:tcPr>
          <w:p>
            <w:pPr>
              <w:spacing w:after="0"/>
              <w:rPr>
                <w:rFonts w:ascii="Times New Roman" w:cs="Times New Roman" w:eastAsia="Times New Roman" w:hAnsi="Times New Roman"/>
                <w:sz w:val="18"/>
                <w:szCs w:val="18"/>
                <w:u w:val="single" w:color="auto"/>
                <w:color w:val="0000FF"/>
              </w:rPr>
            </w:pPr>
            <w:hyperlink w:anchor="page82">
              <w:r>
                <w:rPr>
                  <w:rFonts w:ascii="Times New Roman" w:cs="Times New Roman" w:eastAsia="Times New Roman" w:hAnsi="Times New Roman"/>
                  <w:sz w:val="18"/>
                  <w:szCs w:val="18"/>
                  <w:u w:val="single" w:color="auto"/>
                  <w:color w:val="0000FF"/>
                </w:rPr>
                <w:t>Certification Pursuant to Section 906 of the Sarbanes-Oxley Act of 2002.</w:t>
              </w:r>
            </w:hyperlink>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ind w:left="1420" w:right="20" w:hanging="933"/>
        <w:spacing w:after="0" w:line="220" w:lineRule="auto"/>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Itron, Inc.'s Quarterly Report on Form 10-Q for the quarter ended September 30, 2020 formatted in Inline XBRL (Extensible Business Reporting Language) includes: (i) the Consolidated Statements of Operations, (ii) the Consolidated Statements of Comprehensive Income (Loss), (iii) the Consolidated Balance Sheets, (iv) the Consolidated Statements of Equity, (v) the Consolidated Statements of Cash Flows, and (vi) Notes to the Consolidated Financial Statements.</w:t>
      </w:r>
    </w:p>
    <w:p>
      <w:pPr>
        <w:spacing w:after="0" w:line="267" w:lineRule="exact"/>
        <w:rPr>
          <w:sz w:val="20"/>
          <w:szCs w:val="20"/>
          <w:color w:val="auto"/>
        </w:rPr>
      </w:pPr>
    </w:p>
    <w:p>
      <w:pPr>
        <w:ind w:left="1420" w:hanging="933"/>
        <w:spacing w:after="0"/>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3"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3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ITRON, INC.</w:t>
            </w:r>
          </w:p>
        </w:tc>
      </w:tr>
      <w:tr>
        <w:trPr>
          <w:trHeight w:val="486"/>
        </w:trPr>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November 2, 2020</w:t>
            </w:r>
          </w:p>
        </w:tc>
        <w:tc>
          <w:tcPr>
            <w:tcW w:w="1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By:</w:t>
            </w:r>
          </w:p>
        </w:tc>
        <w:tc>
          <w:tcPr>
            <w:tcW w:w="6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JOAN S. HOOPER</w:t>
            </w:r>
          </w:p>
        </w:tc>
      </w:tr>
      <w:tr>
        <w:trPr>
          <w:trHeight w:val="214"/>
        </w:trPr>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80" w:type="dxa"/>
            <w:vAlign w:val="bottom"/>
          </w:tcPr>
          <w:p>
            <w:pPr>
              <w:spacing w:after="0"/>
              <w:rPr>
                <w:sz w:val="18"/>
                <w:szCs w:val="18"/>
                <w:color w:val="auto"/>
              </w:rPr>
            </w:pPr>
          </w:p>
        </w:tc>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Joan S. Hooper</w:t>
            </w:r>
          </w:p>
        </w:tc>
      </w:tr>
      <w:tr>
        <w:trPr>
          <w:trHeight w:val="238"/>
        </w:trPr>
        <w:tc>
          <w:tcPr>
            <w:tcW w:w="3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21"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2"/>
          <w:szCs w:val="22"/>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960" w:right="20" w:firstLine="648"/>
        <w:spacing w:after="0" w:line="247" w:lineRule="auto"/>
        <w:rPr>
          <w:sz w:val="20"/>
          <w:szCs w:val="20"/>
          <w:color w:val="auto"/>
        </w:rPr>
      </w:pPr>
      <w:r>
        <w:rPr>
          <w:rFonts w:ascii="Times New Roman" w:cs="Times New Roman" w:eastAsia="Times New Roman" w:hAnsi="Times New Roman"/>
          <w:sz w:val="22"/>
          <w:szCs w:val="22"/>
          <w:color w:val="auto"/>
        </w:rPr>
        <w:t>AMENDMENT NO. 2 dated as of October 19, 2020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to the SECOND AMENDED AND RESTATED CREDIT AGREEMENT dated as of January 5, 2018 (as amended, supplemented or otherwise modified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capitalized terms used and not defined herein shall have the meanings assigned to such terms in the Credit Agreement), among ITRON, INC., a Washington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FOREIGN BORROWERS and GUARANTORS party thereto, the LENDERS and ISSUING LENDERS party thereto and WELLS FARGO BANK, NATIONAL ASSOCIATION (“</w:t>
      </w:r>
      <w:r>
        <w:rPr>
          <w:rFonts w:ascii="Times New Roman" w:cs="Times New Roman" w:eastAsia="Times New Roman" w:hAnsi="Times New Roman"/>
          <w:sz w:val="22"/>
          <w:szCs w:val="22"/>
          <w:u w:val="single" w:color="auto"/>
          <w:color w:val="auto"/>
        </w:rPr>
        <w:t>Wells Fargo</w:t>
      </w:r>
      <w:r>
        <w:rPr>
          <w:rFonts w:ascii="Times New Roman" w:cs="Times New Roman" w:eastAsia="Times New Roman" w:hAnsi="Times New Roman"/>
          <w:sz w:val="22"/>
          <w:szCs w:val="22"/>
          <w:color w:val="auto"/>
        </w:rPr>
        <w:t>”), as Administrative Agent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right="160" w:firstLine="1296"/>
        <w:spacing w:after="0" w:line="271" w:lineRule="auto"/>
        <w:rPr>
          <w:sz w:val="20"/>
          <w:szCs w:val="20"/>
          <w:color w:val="auto"/>
        </w:rPr>
      </w:pPr>
      <w:r>
        <w:rPr>
          <w:rFonts w:ascii="Times New Roman" w:cs="Times New Roman" w:eastAsia="Times New Roman" w:hAnsi="Times New Roman"/>
          <w:sz w:val="22"/>
          <w:szCs w:val="22"/>
          <w:color w:val="auto"/>
        </w:rPr>
        <w:t>WHEREAS, pursuant to the Credit Agreement, the Lenders and the Issuing Lenders have agreed to extend credit to the Borrower on the terms and subject to the conditions set forth therein; and</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WHEREAS, the Company has requested that certain provisions of the Credit Agreement be amended as set forth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herein; and</w:t>
      </w:r>
    </w:p>
    <w:p>
      <w:pPr>
        <w:spacing w:after="0" w:line="196" w:lineRule="exact"/>
        <w:rPr>
          <w:sz w:val="20"/>
          <w:szCs w:val="20"/>
          <w:color w:val="auto"/>
        </w:rPr>
      </w:pPr>
    </w:p>
    <w:p>
      <w:pPr>
        <w:ind w:right="100" w:firstLine="1296"/>
        <w:spacing w:after="0" w:line="271" w:lineRule="auto"/>
        <w:rPr>
          <w:sz w:val="20"/>
          <w:szCs w:val="20"/>
          <w:color w:val="auto"/>
        </w:rPr>
      </w:pPr>
      <w:r>
        <w:rPr>
          <w:rFonts w:ascii="Times New Roman" w:cs="Times New Roman" w:eastAsia="Times New Roman" w:hAnsi="Times New Roman"/>
          <w:sz w:val="22"/>
          <w:szCs w:val="22"/>
          <w:color w:val="auto"/>
        </w:rPr>
        <w:t>WHEREAS, the undersigned Lenders are willing to amend such provisions of the Credit Agreement, in each case on the terms and subject to the conditions set forth herein.</w:t>
      </w:r>
    </w:p>
    <w:p>
      <w:pPr>
        <w:spacing w:after="0" w:line="158" w:lineRule="exact"/>
        <w:rPr>
          <w:sz w:val="20"/>
          <w:szCs w:val="20"/>
          <w:color w:val="auto"/>
        </w:rPr>
      </w:pPr>
    </w:p>
    <w:p>
      <w:pPr>
        <w:jc w:val="both"/>
        <w:ind w:right="280" w:firstLine="1296"/>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mutual agreements herein contained and other good and valuable consideration, the sufficiency and receipt of which are hereby acknowledged, and subject to the conditions set forth herein, the parties hereto hereby agree as follows:</w:t>
      </w:r>
    </w:p>
    <w:p>
      <w:pPr>
        <w:spacing w:after="0" w:line="173" w:lineRule="exact"/>
        <w:rPr>
          <w:sz w:val="20"/>
          <w:szCs w:val="20"/>
          <w:color w:val="auto"/>
        </w:rPr>
      </w:pPr>
    </w:p>
    <w:p>
      <w:pPr>
        <w:ind w:right="26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Rules of Interpretation.</w:t>
      </w:r>
      <w:r>
        <w:rPr>
          <w:rFonts w:ascii="Times New Roman" w:cs="Times New Roman" w:eastAsia="Times New Roman" w:hAnsi="Times New Roman"/>
          <w:sz w:val="22"/>
          <w:szCs w:val="22"/>
          <w:color w:val="auto"/>
        </w:rPr>
        <w:t xml:space="preserve"> The rules of interpretation set forth in Section 1.2 of the Credit Agreement are hereby incorporated by reference herein, </w:t>
      </w:r>
      <w:r>
        <w:rPr>
          <w:rFonts w:ascii="Times New Roman" w:cs="Times New Roman" w:eastAsia="Times New Roman" w:hAnsi="Times New Roman"/>
          <w:sz w:val="22"/>
          <w:szCs w:val="22"/>
          <w:u w:val="single" w:color="auto"/>
          <w:color w:val="auto"/>
        </w:rPr>
        <w:t>mutatis mutandis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Amendments to the Credit Agreement.</w:t>
      </w:r>
    </w:p>
    <w:p>
      <w:pPr>
        <w:spacing w:after="0" w:line="220" w:lineRule="exact"/>
        <w:rPr>
          <w:sz w:val="20"/>
          <w:szCs w:val="20"/>
          <w:color w:val="auto"/>
        </w:rPr>
      </w:pPr>
    </w:p>
    <w:p>
      <w:pPr>
        <w:ind w:right="160" w:firstLine="1304"/>
        <w:spacing w:after="0" w:line="271" w:lineRule="auto"/>
        <w:tabs>
          <w:tab w:leader="none" w:pos="159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Credit Agreement is hereby amended by adding the following definitions in the appropriate alphabetical order:</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Affected Financial Institution</w:t>
      </w:r>
      <w:r>
        <w:rPr>
          <w:rFonts w:ascii="Times New Roman" w:cs="Times New Roman" w:eastAsia="Times New Roman" w:hAnsi="Times New Roman"/>
          <w:sz w:val="21"/>
          <w:szCs w:val="21"/>
          <w:color w:val="auto"/>
        </w:rPr>
        <w:t>” shall mean (a) any EEA Financial Institution or (b) any UK Financial Institution.</w:t>
      </w:r>
    </w:p>
    <w:p>
      <w:pPr>
        <w:spacing w:after="0" w:line="231" w:lineRule="exact"/>
        <w:rPr>
          <w:sz w:val="20"/>
          <w:szCs w:val="20"/>
          <w:color w:val="auto"/>
        </w:rPr>
      </w:pPr>
    </w:p>
    <w:p>
      <w:pPr>
        <w:ind w:left="660" w:right="1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 Authority</w:t>
      </w:r>
      <w:r>
        <w:rPr>
          <w:rFonts w:ascii="Times New Roman" w:cs="Times New Roman" w:eastAsia="Times New Roman" w:hAnsi="Times New Roman"/>
          <w:sz w:val="22"/>
          <w:szCs w:val="22"/>
          <w:color w:val="auto"/>
        </w:rPr>
        <w:t>” shall mean an EEA Resolution Authority or, with respect to any UK Financial Institution, a UK Resolution Authority.</w:t>
      </w:r>
    </w:p>
    <w:p>
      <w:pPr>
        <w:sectPr>
          <w:pgSz w:w="11900" w:h="16838" w:orient="portrait"/>
          <w:cols w:equalWidth="0" w:num="1">
            <w:col w:w="11240"/>
          </w:cols>
          <w:pgMar w:left="320" w:top="126" w:right="339" w:bottom="1440" w:gutter="0" w:footer="0" w:header="0"/>
        </w:sectPr>
      </w:pPr>
    </w:p>
    <w:bookmarkStart w:id="55" w:name="page56"/>
    <w:bookmarkEnd w:id="55"/>
    <w:p>
      <w:pPr>
        <w:ind w:left="111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Amendment Effective Date</w:t>
      </w:r>
      <w:r>
        <w:rPr>
          <w:rFonts w:ascii="Times New Roman" w:cs="Times New Roman" w:eastAsia="Times New Roman" w:hAnsi="Times New Roman"/>
          <w:sz w:val="22"/>
          <w:szCs w:val="22"/>
          <w:color w:val="auto"/>
        </w:rPr>
        <w:t>” shall mean October 19, 2020.</w:t>
      </w:r>
    </w:p>
    <w:p>
      <w:pPr>
        <w:spacing w:after="0" w:line="220" w:lineRule="exact"/>
        <w:rPr>
          <w:sz w:val="20"/>
          <w:szCs w:val="20"/>
          <w:color w:val="auto"/>
        </w:rPr>
      </w:pPr>
    </w:p>
    <w:p>
      <w:pPr>
        <w:ind w:left="660" w:right="10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Financial Institution</w:t>
      </w:r>
      <w:r>
        <w:rPr>
          <w:rFonts w:ascii="Times New Roman" w:cs="Times New Roman" w:eastAsia="Times New Roman" w:hAnsi="Times New Roman"/>
          <w:sz w:val="22"/>
          <w:szCs w:val="22"/>
          <w:color w:val="auto"/>
        </w:rPr>
        <w:t>” shall mean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1" w:lineRule="exact"/>
        <w:rPr>
          <w:sz w:val="20"/>
          <w:szCs w:val="20"/>
          <w:color w:val="auto"/>
        </w:rPr>
      </w:pPr>
    </w:p>
    <w:p>
      <w:pPr>
        <w:ind w:left="660" w:right="3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Resolution Authority</w:t>
      </w:r>
      <w:r>
        <w:rPr>
          <w:rFonts w:ascii="Times New Roman" w:cs="Times New Roman" w:eastAsia="Times New Roman" w:hAnsi="Times New Roman"/>
          <w:sz w:val="22"/>
          <w:szCs w:val="22"/>
          <w:color w:val="auto"/>
        </w:rPr>
        <w:t>” shall mean the Bank of England or any other public administrative authority having responsibility for the resolution of any UK Financial Institution.</w:t>
      </w:r>
    </w:p>
    <w:p>
      <w:pPr>
        <w:spacing w:after="0" w:line="158" w:lineRule="exact"/>
        <w:rPr>
          <w:sz w:val="20"/>
          <w:szCs w:val="20"/>
          <w:color w:val="auto"/>
        </w:rPr>
      </w:pPr>
    </w:p>
    <w:p>
      <w:pPr>
        <w:ind w:right="520" w:firstLine="1304"/>
        <w:spacing w:after="0" w:line="257" w:lineRule="auto"/>
        <w:tabs>
          <w:tab w:leader="none" w:pos="1602"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Credit Agreement is hereby amended by (i) replacing the text “Level IV” in the last paragraph of the definition of the term “Applicable Margin” with the text “Level V” and (ii) replacing the pricing grid in the definition of the term “Applicable Margin” with the following pricing grid:</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1060" w:type="dxa"/>
            <w:vAlign w:val="bottom"/>
            <w:tcBorders>
              <w:top w:val="single" w:sz="8" w:color="auto"/>
              <w:left w:val="single" w:sz="8" w:color="auto"/>
              <w:right w:val="single" w:sz="8" w:color="auto"/>
            </w:tcBorders>
          </w:tcPr>
          <w:p>
            <w:pPr>
              <w:spacing w:after="0"/>
              <w:rPr>
                <w:sz w:val="24"/>
                <w:szCs w:val="24"/>
                <w:color w:val="auto"/>
              </w:rPr>
            </w:pPr>
          </w:p>
        </w:tc>
        <w:tc>
          <w:tcPr>
            <w:tcW w:w="3280" w:type="dxa"/>
            <w:vAlign w:val="bottom"/>
            <w:tcBorders>
              <w:top w:val="single" w:sz="8" w:color="auto"/>
              <w:right w:val="single" w:sz="8" w:color="auto"/>
            </w:tcBorders>
          </w:tcPr>
          <w:p>
            <w:pPr>
              <w:spacing w:after="0"/>
              <w:rPr>
                <w:sz w:val="24"/>
                <w:szCs w:val="24"/>
                <w:color w:val="auto"/>
              </w:rPr>
            </w:pPr>
          </w:p>
        </w:tc>
        <w:tc>
          <w:tcPr>
            <w:tcW w:w="2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Eurocurrency Margin &amp;</w:t>
            </w:r>
          </w:p>
        </w:tc>
        <w:tc>
          <w:tcPr>
            <w:tcW w:w="2180" w:type="dxa"/>
            <w:vAlign w:val="bottom"/>
            <w:tcBorders>
              <w:top w:val="single" w:sz="8" w:color="auto"/>
              <w:right w:val="single" w:sz="8" w:color="auto"/>
            </w:tcBorders>
          </w:tcPr>
          <w:p>
            <w:pPr>
              <w:spacing w:after="0"/>
              <w:rPr>
                <w:sz w:val="24"/>
                <w:szCs w:val="24"/>
                <w:color w:val="auto"/>
              </w:rPr>
            </w:pPr>
          </w:p>
        </w:tc>
        <w:tc>
          <w:tcPr>
            <w:tcW w:w="22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06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22"/>
                <w:szCs w:val="22"/>
                <w:b w:val="1"/>
                <w:bCs w:val="1"/>
                <w:color w:val="auto"/>
              </w:rPr>
              <w:t>Level</w:t>
            </w:r>
          </w:p>
        </w:tc>
        <w:tc>
          <w:tcPr>
            <w:tcW w:w="3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Total Net Leverage Ratio</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LOC Fee</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Base Rate Margin</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Commitment Fee</w:t>
            </w:r>
          </w:p>
        </w:tc>
        <w:tc>
          <w:tcPr>
            <w:tcW w:w="0" w:type="dxa"/>
            <w:vAlign w:val="bottom"/>
          </w:tcPr>
          <w:p>
            <w:pPr>
              <w:spacing w:after="0"/>
              <w:rPr>
                <w:sz w:val="1"/>
                <w:szCs w:val="1"/>
                <w:color w:val="auto"/>
              </w:rPr>
            </w:pPr>
          </w:p>
        </w:tc>
      </w:tr>
      <w:tr>
        <w:trPr>
          <w:trHeight w:val="304"/>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w:t>
            </w:r>
          </w:p>
        </w:tc>
        <w:tc>
          <w:tcPr>
            <w:tcW w:w="3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Less than or equal to 2.00 to 1.00</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1.00%</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0.00%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0.150%</w:t>
            </w:r>
          </w:p>
        </w:tc>
        <w:tc>
          <w:tcPr>
            <w:tcW w:w="0" w:type="dxa"/>
            <w:vAlign w:val="bottom"/>
          </w:tcPr>
          <w:p>
            <w:pPr>
              <w:spacing w:after="0"/>
              <w:rPr>
                <w:sz w:val="1"/>
                <w:szCs w:val="1"/>
                <w:color w:val="auto"/>
              </w:rPr>
            </w:pPr>
          </w:p>
        </w:tc>
      </w:tr>
      <w:tr>
        <w:trPr>
          <w:trHeight w:val="270"/>
        </w:trPr>
        <w:tc>
          <w:tcPr>
            <w:tcW w:w="106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II</w:t>
            </w:r>
          </w:p>
        </w:tc>
        <w:tc>
          <w:tcPr>
            <w:tcW w:w="3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Greater than 2.00 to 1.00 but less</w:t>
            </w:r>
          </w:p>
        </w:tc>
        <w:tc>
          <w:tcPr>
            <w:tcW w:w="2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1.25%</w:t>
            </w:r>
          </w:p>
        </w:tc>
        <w:tc>
          <w:tcPr>
            <w:tcW w:w="2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0.25%</w:t>
            </w: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0.175%</w:t>
            </w:r>
          </w:p>
        </w:tc>
        <w:tc>
          <w:tcPr>
            <w:tcW w:w="0" w:type="dxa"/>
            <w:vAlign w:val="bottom"/>
          </w:tcPr>
          <w:p>
            <w:pPr>
              <w:spacing w:after="0"/>
              <w:rPr>
                <w:sz w:val="1"/>
                <w:szCs w:val="1"/>
                <w:color w:val="auto"/>
              </w:rPr>
            </w:pPr>
          </w:p>
        </w:tc>
      </w:tr>
      <w:tr>
        <w:trPr>
          <w:trHeight w:val="147"/>
        </w:trPr>
        <w:tc>
          <w:tcPr>
            <w:tcW w:w="1060" w:type="dxa"/>
            <w:vAlign w:val="bottom"/>
            <w:tcBorders>
              <w:left w:val="single" w:sz="8" w:color="auto"/>
              <w:right w:val="single" w:sz="8" w:color="auto"/>
            </w:tcBorders>
            <w:vMerge w:val="continue"/>
          </w:tcPr>
          <w:p>
            <w:pPr>
              <w:spacing w:after="0"/>
              <w:rPr>
                <w:sz w:val="12"/>
                <w:szCs w:val="12"/>
                <w:color w:val="auto"/>
              </w:rPr>
            </w:pPr>
          </w:p>
        </w:tc>
        <w:tc>
          <w:tcPr>
            <w:tcW w:w="3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than or equal to 2.50 to 1.00</w:t>
            </w:r>
          </w:p>
        </w:tc>
        <w:tc>
          <w:tcPr>
            <w:tcW w:w="2500" w:type="dxa"/>
            <w:vAlign w:val="bottom"/>
            <w:tcBorders>
              <w:right w:val="single" w:sz="8" w:color="auto"/>
            </w:tcBorders>
            <w:vMerge w:val="continue"/>
          </w:tcPr>
          <w:p>
            <w:pPr>
              <w:spacing w:after="0"/>
              <w:rPr>
                <w:sz w:val="12"/>
                <w:szCs w:val="12"/>
                <w:color w:val="auto"/>
              </w:rPr>
            </w:pPr>
          </w:p>
        </w:tc>
        <w:tc>
          <w:tcPr>
            <w:tcW w:w="2180" w:type="dxa"/>
            <w:vAlign w:val="bottom"/>
            <w:tcBorders>
              <w:right w:val="single" w:sz="8" w:color="auto"/>
            </w:tcBorders>
            <w:vMerge w:val="continue"/>
          </w:tcPr>
          <w:p>
            <w:pPr>
              <w:spacing w:after="0"/>
              <w:rPr>
                <w:sz w:val="12"/>
                <w:szCs w:val="12"/>
                <w:color w:val="auto"/>
              </w:rPr>
            </w:pPr>
          </w:p>
        </w:tc>
        <w:tc>
          <w:tcPr>
            <w:tcW w:w="22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60" w:type="dxa"/>
            <w:vAlign w:val="bottom"/>
            <w:tcBorders>
              <w:left w:val="single" w:sz="8" w:color="auto"/>
              <w:bottom w:val="single" w:sz="8" w:color="auto"/>
              <w:right w:val="single" w:sz="8" w:color="auto"/>
            </w:tcBorders>
          </w:tcPr>
          <w:p>
            <w:pPr>
              <w:spacing w:after="0"/>
              <w:rPr>
                <w:sz w:val="12"/>
                <w:szCs w:val="12"/>
                <w:color w:val="auto"/>
              </w:rPr>
            </w:pPr>
          </w:p>
        </w:tc>
        <w:tc>
          <w:tcPr>
            <w:tcW w:w="3280" w:type="dxa"/>
            <w:vAlign w:val="bottom"/>
            <w:tcBorders>
              <w:bottom w:val="single" w:sz="8" w:color="auto"/>
              <w:right w:val="single" w:sz="8" w:color="auto"/>
            </w:tcBorders>
            <w:vMerge w:val="continue"/>
          </w:tcPr>
          <w:p>
            <w:pPr>
              <w:spacing w:after="0"/>
              <w:rPr>
                <w:sz w:val="12"/>
                <w:szCs w:val="12"/>
                <w:color w:val="auto"/>
              </w:rPr>
            </w:pPr>
          </w:p>
        </w:tc>
        <w:tc>
          <w:tcPr>
            <w:tcW w:w="2500" w:type="dxa"/>
            <w:vAlign w:val="bottom"/>
            <w:tcBorders>
              <w:bottom w:val="single" w:sz="8" w:color="auto"/>
              <w:right w:val="single" w:sz="8" w:color="auto"/>
            </w:tcBorders>
          </w:tcPr>
          <w:p>
            <w:pPr>
              <w:spacing w:after="0"/>
              <w:rPr>
                <w:sz w:val="12"/>
                <w:szCs w:val="12"/>
                <w:color w:val="auto"/>
              </w:rPr>
            </w:pPr>
          </w:p>
        </w:tc>
        <w:tc>
          <w:tcPr>
            <w:tcW w:w="2180" w:type="dxa"/>
            <w:vAlign w:val="bottom"/>
            <w:tcBorders>
              <w:bottom w:val="single" w:sz="8" w:color="auto"/>
              <w:right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06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III</w:t>
            </w:r>
          </w:p>
        </w:tc>
        <w:tc>
          <w:tcPr>
            <w:tcW w:w="3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Greater than 2.50 to 1.00 but less</w:t>
            </w:r>
          </w:p>
        </w:tc>
        <w:tc>
          <w:tcPr>
            <w:tcW w:w="2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1.50%</w:t>
            </w:r>
          </w:p>
        </w:tc>
        <w:tc>
          <w:tcPr>
            <w:tcW w:w="2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0.50%</w:t>
            </w: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0.200%</w:t>
            </w:r>
          </w:p>
        </w:tc>
        <w:tc>
          <w:tcPr>
            <w:tcW w:w="0" w:type="dxa"/>
            <w:vAlign w:val="bottom"/>
          </w:tcPr>
          <w:p>
            <w:pPr>
              <w:spacing w:after="0"/>
              <w:rPr>
                <w:sz w:val="1"/>
                <w:szCs w:val="1"/>
                <w:color w:val="auto"/>
              </w:rPr>
            </w:pPr>
          </w:p>
        </w:tc>
      </w:tr>
      <w:tr>
        <w:trPr>
          <w:trHeight w:val="147"/>
        </w:trPr>
        <w:tc>
          <w:tcPr>
            <w:tcW w:w="1060" w:type="dxa"/>
            <w:vAlign w:val="bottom"/>
            <w:tcBorders>
              <w:left w:val="single" w:sz="8" w:color="auto"/>
              <w:right w:val="single" w:sz="8" w:color="auto"/>
            </w:tcBorders>
            <w:vMerge w:val="continue"/>
          </w:tcPr>
          <w:p>
            <w:pPr>
              <w:spacing w:after="0"/>
              <w:rPr>
                <w:sz w:val="12"/>
                <w:szCs w:val="12"/>
                <w:color w:val="auto"/>
              </w:rPr>
            </w:pPr>
          </w:p>
        </w:tc>
        <w:tc>
          <w:tcPr>
            <w:tcW w:w="3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than or equal to 3.50 to 1.00</w:t>
            </w:r>
          </w:p>
        </w:tc>
        <w:tc>
          <w:tcPr>
            <w:tcW w:w="2500" w:type="dxa"/>
            <w:vAlign w:val="bottom"/>
            <w:tcBorders>
              <w:right w:val="single" w:sz="8" w:color="auto"/>
            </w:tcBorders>
            <w:vMerge w:val="continue"/>
          </w:tcPr>
          <w:p>
            <w:pPr>
              <w:spacing w:after="0"/>
              <w:rPr>
                <w:sz w:val="12"/>
                <w:szCs w:val="12"/>
                <w:color w:val="auto"/>
              </w:rPr>
            </w:pPr>
          </w:p>
        </w:tc>
        <w:tc>
          <w:tcPr>
            <w:tcW w:w="2180" w:type="dxa"/>
            <w:vAlign w:val="bottom"/>
            <w:tcBorders>
              <w:right w:val="single" w:sz="8" w:color="auto"/>
            </w:tcBorders>
            <w:vMerge w:val="continue"/>
          </w:tcPr>
          <w:p>
            <w:pPr>
              <w:spacing w:after="0"/>
              <w:rPr>
                <w:sz w:val="12"/>
                <w:szCs w:val="12"/>
                <w:color w:val="auto"/>
              </w:rPr>
            </w:pPr>
          </w:p>
        </w:tc>
        <w:tc>
          <w:tcPr>
            <w:tcW w:w="22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60" w:type="dxa"/>
            <w:vAlign w:val="bottom"/>
            <w:tcBorders>
              <w:left w:val="single" w:sz="8" w:color="auto"/>
              <w:bottom w:val="single" w:sz="8" w:color="auto"/>
              <w:right w:val="single" w:sz="8" w:color="auto"/>
            </w:tcBorders>
          </w:tcPr>
          <w:p>
            <w:pPr>
              <w:spacing w:after="0"/>
              <w:rPr>
                <w:sz w:val="12"/>
                <w:szCs w:val="12"/>
                <w:color w:val="auto"/>
              </w:rPr>
            </w:pPr>
          </w:p>
        </w:tc>
        <w:tc>
          <w:tcPr>
            <w:tcW w:w="3280" w:type="dxa"/>
            <w:vAlign w:val="bottom"/>
            <w:tcBorders>
              <w:bottom w:val="single" w:sz="8" w:color="auto"/>
              <w:right w:val="single" w:sz="8" w:color="auto"/>
            </w:tcBorders>
            <w:vMerge w:val="continue"/>
          </w:tcPr>
          <w:p>
            <w:pPr>
              <w:spacing w:after="0"/>
              <w:rPr>
                <w:sz w:val="12"/>
                <w:szCs w:val="12"/>
                <w:color w:val="auto"/>
              </w:rPr>
            </w:pPr>
          </w:p>
        </w:tc>
        <w:tc>
          <w:tcPr>
            <w:tcW w:w="2500" w:type="dxa"/>
            <w:vAlign w:val="bottom"/>
            <w:tcBorders>
              <w:bottom w:val="single" w:sz="8" w:color="auto"/>
              <w:right w:val="single" w:sz="8" w:color="auto"/>
            </w:tcBorders>
          </w:tcPr>
          <w:p>
            <w:pPr>
              <w:spacing w:after="0"/>
              <w:rPr>
                <w:sz w:val="12"/>
                <w:szCs w:val="12"/>
                <w:color w:val="auto"/>
              </w:rPr>
            </w:pPr>
          </w:p>
        </w:tc>
        <w:tc>
          <w:tcPr>
            <w:tcW w:w="2180" w:type="dxa"/>
            <w:vAlign w:val="bottom"/>
            <w:tcBorders>
              <w:bottom w:val="single" w:sz="8" w:color="auto"/>
              <w:right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06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IV</w:t>
            </w:r>
          </w:p>
        </w:tc>
        <w:tc>
          <w:tcPr>
            <w:tcW w:w="3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Greater than 3.50 to 1.00 but less</w:t>
            </w:r>
          </w:p>
        </w:tc>
        <w:tc>
          <w:tcPr>
            <w:tcW w:w="2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1.75%</w:t>
            </w:r>
          </w:p>
        </w:tc>
        <w:tc>
          <w:tcPr>
            <w:tcW w:w="2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0.75%</w:t>
            </w: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0.250%</w:t>
            </w:r>
          </w:p>
        </w:tc>
        <w:tc>
          <w:tcPr>
            <w:tcW w:w="0" w:type="dxa"/>
            <w:vAlign w:val="bottom"/>
          </w:tcPr>
          <w:p>
            <w:pPr>
              <w:spacing w:after="0"/>
              <w:rPr>
                <w:sz w:val="1"/>
                <w:szCs w:val="1"/>
                <w:color w:val="auto"/>
              </w:rPr>
            </w:pPr>
          </w:p>
        </w:tc>
      </w:tr>
      <w:tr>
        <w:trPr>
          <w:trHeight w:val="147"/>
        </w:trPr>
        <w:tc>
          <w:tcPr>
            <w:tcW w:w="1060" w:type="dxa"/>
            <w:vAlign w:val="bottom"/>
            <w:tcBorders>
              <w:left w:val="single" w:sz="8" w:color="auto"/>
              <w:right w:val="single" w:sz="8" w:color="auto"/>
            </w:tcBorders>
            <w:vMerge w:val="continue"/>
          </w:tcPr>
          <w:p>
            <w:pPr>
              <w:spacing w:after="0"/>
              <w:rPr>
                <w:sz w:val="12"/>
                <w:szCs w:val="12"/>
                <w:color w:val="auto"/>
              </w:rPr>
            </w:pPr>
          </w:p>
        </w:tc>
        <w:tc>
          <w:tcPr>
            <w:tcW w:w="3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than or equal to 4.00 to 1.00</w:t>
            </w:r>
          </w:p>
        </w:tc>
        <w:tc>
          <w:tcPr>
            <w:tcW w:w="2500" w:type="dxa"/>
            <w:vAlign w:val="bottom"/>
            <w:tcBorders>
              <w:right w:val="single" w:sz="8" w:color="auto"/>
            </w:tcBorders>
            <w:vMerge w:val="continue"/>
          </w:tcPr>
          <w:p>
            <w:pPr>
              <w:spacing w:after="0"/>
              <w:rPr>
                <w:sz w:val="12"/>
                <w:szCs w:val="12"/>
                <w:color w:val="auto"/>
              </w:rPr>
            </w:pPr>
          </w:p>
        </w:tc>
        <w:tc>
          <w:tcPr>
            <w:tcW w:w="2180" w:type="dxa"/>
            <w:vAlign w:val="bottom"/>
            <w:tcBorders>
              <w:right w:val="single" w:sz="8" w:color="auto"/>
            </w:tcBorders>
            <w:vMerge w:val="continue"/>
          </w:tcPr>
          <w:p>
            <w:pPr>
              <w:spacing w:after="0"/>
              <w:rPr>
                <w:sz w:val="12"/>
                <w:szCs w:val="12"/>
                <w:color w:val="auto"/>
              </w:rPr>
            </w:pPr>
          </w:p>
        </w:tc>
        <w:tc>
          <w:tcPr>
            <w:tcW w:w="22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60" w:type="dxa"/>
            <w:vAlign w:val="bottom"/>
            <w:tcBorders>
              <w:left w:val="single" w:sz="8" w:color="auto"/>
              <w:bottom w:val="single" w:sz="8" w:color="auto"/>
              <w:right w:val="single" w:sz="8" w:color="auto"/>
            </w:tcBorders>
          </w:tcPr>
          <w:p>
            <w:pPr>
              <w:spacing w:after="0"/>
              <w:rPr>
                <w:sz w:val="12"/>
                <w:szCs w:val="12"/>
                <w:color w:val="auto"/>
              </w:rPr>
            </w:pPr>
          </w:p>
        </w:tc>
        <w:tc>
          <w:tcPr>
            <w:tcW w:w="3280" w:type="dxa"/>
            <w:vAlign w:val="bottom"/>
            <w:tcBorders>
              <w:bottom w:val="single" w:sz="8" w:color="auto"/>
              <w:right w:val="single" w:sz="8" w:color="auto"/>
            </w:tcBorders>
            <w:vMerge w:val="continue"/>
          </w:tcPr>
          <w:p>
            <w:pPr>
              <w:spacing w:after="0"/>
              <w:rPr>
                <w:sz w:val="12"/>
                <w:szCs w:val="12"/>
                <w:color w:val="auto"/>
              </w:rPr>
            </w:pPr>
          </w:p>
        </w:tc>
        <w:tc>
          <w:tcPr>
            <w:tcW w:w="2500" w:type="dxa"/>
            <w:vAlign w:val="bottom"/>
            <w:tcBorders>
              <w:bottom w:val="single" w:sz="8" w:color="auto"/>
              <w:right w:val="single" w:sz="8" w:color="auto"/>
            </w:tcBorders>
          </w:tcPr>
          <w:p>
            <w:pPr>
              <w:spacing w:after="0"/>
              <w:rPr>
                <w:sz w:val="12"/>
                <w:szCs w:val="12"/>
                <w:color w:val="auto"/>
              </w:rPr>
            </w:pPr>
          </w:p>
        </w:tc>
        <w:tc>
          <w:tcPr>
            <w:tcW w:w="2180" w:type="dxa"/>
            <w:vAlign w:val="bottom"/>
            <w:tcBorders>
              <w:bottom w:val="single" w:sz="8" w:color="auto"/>
              <w:right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V</w:t>
            </w:r>
          </w:p>
        </w:tc>
        <w:tc>
          <w:tcPr>
            <w:tcW w:w="3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Greater than 4.00 to 1.00</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2.00%</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1.00%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0.300%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right="200" w:firstLine="1304"/>
        <w:spacing w:after="0" w:line="271" w:lineRule="auto"/>
        <w:tabs>
          <w:tab w:leader="none" w:pos="159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Credit Agreement is hereby amended by restating the definition of “Bail-In Action” to read in its entirety as follows:</w:t>
      </w:r>
    </w:p>
    <w:p>
      <w:pPr>
        <w:spacing w:after="0" w:line="158" w:lineRule="exact"/>
        <w:rPr>
          <w:sz w:val="20"/>
          <w:szCs w:val="20"/>
          <w:color w:val="auto"/>
        </w:rPr>
      </w:pPr>
    </w:p>
    <w:p>
      <w:pPr>
        <w:ind w:left="660" w:right="8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shall mean the exercise of any Write-Down and Conversion Powers by the applicable Resolution Authority in respect of any liability of any Affected Financial Institution.</w:t>
      </w:r>
    </w:p>
    <w:p>
      <w:pPr>
        <w:sectPr>
          <w:pgSz w:w="11900" w:h="16838" w:orient="portrait"/>
          <w:cols w:equalWidth="0" w:num="1">
            <w:col w:w="11260"/>
          </w:cols>
          <w:pgMar w:left="320" w:top="126" w:right="319" w:bottom="1440" w:gutter="0" w:footer="0" w:header="0"/>
        </w:sectPr>
      </w:pPr>
    </w:p>
    <w:bookmarkStart w:id="56" w:name="page57"/>
    <w:bookmarkEnd w:id="56"/>
    <w:p>
      <w:pPr>
        <w:jc w:val="right"/>
        <w:ind w:right="20"/>
        <w:spacing w:after="0"/>
        <w:rPr>
          <w:sz w:val="20"/>
          <w:szCs w:val="20"/>
          <w:color w:val="auto"/>
        </w:rPr>
      </w:pPr>
      <w:r>
        <w:rPr>
          <w:rFonts w:ascii="Times New Roman" w:cs="Times New Roman" w:eastAsia="Times New Roman" w:hAnsi="Times New Roman"/>
          <w:sz w:val="22"/>
          <w:szCs w:val="2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20" w:firstLine="1304"/>
        <w:spacing w:after="0" w:line="271" w:lineRule="auto"/>
        <w:tabs>
          <w:tab w:leader="none" w:pos="1602"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Credit Agreement is hereby amended by restating the definition of “Bail-In Legislation” to read in its entirety as follows:</w:t>
      </w:r>
    </w:p>
    <w:p>
      <w:pPr>
        <w:spacing w:after="0" w:line="158" w:lineRule="exact"/>
        <w:rPr>
          <w:sz w:val="20"/>
          <w:szCs w:val="20"/>
          <w:color w:val="auto"/>
        </w:rPr>
      </w:pPr>
    </w:p>
    <w:p>
      <w:pPr>
        <w:ind w:left="660" w:right="60"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shall mean (a) with respect to any EEA Member Country which has implemented, or which at any time implements, Article 55 BRRD, the relevant implementing law or regulation as described in the EU Bail-In Legislation Schedule from time to time;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ind w:right="740" w:firstLine="1304"/>
        <w:spacing w:after="0" w:line="271" w:lineRule="auto"/>
        <w:tabs>
          <w:tab w:leader="none" w:pos="159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Credit Agreement is hereby amended by restating the definition of “Write-Down and Conversion Powers” to read in its entirety as follows:</w:t>
      </w:r>
    </w:p>
    <w:p>
      <w:pPr>
        <w:spacing w:after="0" w:line="158" w:lineRule="exact"/>
        <w:rPr>
          <w:sz w:val="20"/>
          <w:szCs w:val="20"/>
          <w:color w:val="auto"/>
        </w:rPr>
      </w:pPr>
    </w:p>
    <w:p>
      <w:pPr>
        <w:ind w:left="660" w:right="6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91" w:lineRule="exact"/>
        <w:rPr>
          <w:sz w:val="20"/>
          <w:szCs w:val="20"/>
          <w:color w:val="auto"/>
        </w:rPr>
      </w:pPr>
    </w:p>
    <w:p>
      <w:pPr>
        <w:ind w:right="40" w:firstLine="1304"/>
        <w:spacing w:after="0" w:line="271" w:lineRule="auto"/>
        <w:tabs>
          <w:tab w:leader="none" w:pos="156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6.13 of the Credit Agreement is hereby amended by replacing the table in paragraph (a) of such Section with the following table:</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7140" w:type="dxa"/>
            <w:vAlign w:val="bottom"/>
            <w:tcBorders>
              <w:top w:val="single" w:sz="8" w:color="auto"/>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2"/>
                <w:szCs w:val="22"/>
                <w:color w:val="auto"/>
              </w:rPr>
              <w:t>Date of Fiscal Quarter End</w:t>
            </w:r>
          </w:p>
        </w:tc>
        <w:tc>
          <w:tcPr>
            <w:tcW w:w="20" w:type="dxa"/>
            <w:vAlign w:val="bottom"/>
            <w:tcBorders>
              <w:top w:val="single" w:sz="8" w:color="auto"/>
            </w:tcBorders>
          </w:tcPr>
          <w:p>
            <w:pPr>
              <w:spacing w:after="0"/>
              <w:rPr>
                <w:sz w:val="22"/>
                <w:szCs w:val="22"/>
                <w:color w:val="auto"/>
              </w:rPr>
            </w:pPr>
          </w:p>
        </w:tc>
        <w:tc>
          <w:tcPr>
            <w:tcW w:w="410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Total Net Leverage Ratio</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2320" w:type="dxa"/>
            <w:vAlign w:val="bottom"/>
            <w:tcBorders>
              <w:top w:val="single" w:sz="8" w:color="auto"/>
              <w:bottom w:val="single" w:sz="8" w:color="auto"/>
            </w:tcBorders>
          </w:tcPr>
          <w:p>
            <w:pPr>
              <w:spacing w:after="0"/>
              <w:rPr>
                <w:sz w:val="4"/>
                <w:szCs w:val="4"/>
                <w:color w:val="auto"/>
              </w:rPr>
            </w:pPr>
          </w:p>
        </w:tc>
        <w:tc>
          <w:tcPr>
            <w:tcW w:w="478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180" w:type="dxa"/>
            <w:vAlign w:val="bottom"/>
            <w:tcBorders>
              <w:top w:val="single" w:sz="8" w:color="auto"/>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r>
      <w:tr>
        <w:trPr>
          <w:trHeight w:val="298"/>
        </w:trPr>
        <w:tc>
          <w:tcPr>
            <w:tcW w:w="71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2"/>
                <w:szCs w:val="22"/>
                <w:color w:val="auto"/>
              </w:rPr>
              <w:t>March 31, 2018 through June 30, 2019</w:t>
            </w:r>
          </w:p>
        </w:tc>
        <w:tc>
          <w:tcPr>
            <w:tcW w:w="20" w:type="dxa"/>
            <w:vAlign w:val="bottom"/>
            <w:tcBorders>
              <w:bottom w:val="single" w:sz="8" w:color="auto"/>
            </w:tcBorders>
          </w:tcPr>
          <w:p>
            <w:pPr>
              <w:spacing w:after="0"/>
              <w:rPr>
                <w:sz w:val="24"/>
                <w:szCs w:val="24"/>
                <w:color w:val="auto"/>
              </w:rPr>
            </w:pPr>
          </w:p>
        </w:tc>
        <w:tc>
          <w:tcPr>
            <w:tcW w:w="41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4.75 to 1.00</w:t>
            </w:r>
          </w:p>
        </w:tc>
      </w:tr>
      <w:tr>
        <w:trPr>
          <w:trHeight w:val="304"/>
        </w:trPr>
        <w:tc>
          <w:tcPr>
            <w:tcW w:w="71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2"/>
                <w:szCs w:val="22"/>
                <w:color w:val="auto"/>
              </w:rPr>
              <w:t>September 30, 2019 through June 30, 2020</w:t>
            </w:r>
          </w:p>
        </w:tc>
        <w:tc>
          <w:tcPr>
            <w:tcW w:w="20" w:type="dxa"/>
            <w:vAlign w:val="bottom"/>
            <w:tcBorders>
              <w:bottom w:val="single" w:sz="8" w:color="auto"/>
            </w:tcBorders>
          </w:tcPr>
          <w:p>
            <w:pPr>
              <w:spacing w:after="0"/>
              <w:rPr>
                <w:sz w:val="24"/>
                <w:szCs w:val="24"/>
                <w:color w:val="auto"/>
              </w:rPr>
            </w:pPr>
          </w:p>
        </w:tc>
        <w:tc>
          <w:tcPr>
            <w:tcW w:w="41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4.50 to 1.00</w:t>
            </w:r>
          </w:p>
        </w:tc>
      </w:tr>
      <w:tr>
        <w:trPr>
          <w:trHeight w:val="304"/>
        </w:trPr>
        <w:tc>
          <w:tcPr>
            <w:tcW w:w="71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2"/>
                <w:szCs w:val="22"/>
                <w:color w:val="auto"/>
              </w:rPr>
              <w:t>September 30, 2020</w:t>
            </w:r>
          </w:p>
        </w:tc>
        <w:tc>
          <w:tcPr>
            <w:tcW w:w="20" w:type="dxa"/>
            <w:vAlign w:val="bottom"/>
            <w:tcBorders>
              <w:bottom w:val="single" w:sz="8" w:color="auto"/>
            </w:tcBorders>
          </w:tcPr>
          <w:p>
            <w:pPr>
              <w:spacing w:after="0"/>
              <w:rPr>
                <w:sz w:val="24"/>
                <w:szCs w:val="24"/>
                <w:color w:val="auto"/>
              </w:rPr>
            </w:pPr>
          </w:p>
        </w:tc>
        <w:tc>
          <w:tcPr>
            <w:tcW w:w="41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4.25 to 1.00</w:t>
            </w:r>
          </w:p>
        </w:tc>
      </w:tr>
      <w:tr>
        <w:trPr>
          <w:trHeight w:val="304"/>
        </w:trPr>
        <w:tc>
          <w:tcPr>
            <w:tcW w:w="71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2"/>
                <w:szCs w:val="22"/>
                <w:color w:val="auto"/>
              </w:rPr>
              <w:t>December 31, 2020 through March 31, 2021</w:t>
            </w:r>
          </w:p>
        </w:tc>
        <w:tc>
          <w:tcPr>
            <w:tcW w:w="20" w:type="dxa"/>
            <w:vAlign w:val="bottom"/>
            <w:tcBorders>
              <w:bottom w:val="single" w:sz="8" w:color="auto"/>
            </w:tcBorders>
          </w:tcPr>
          <w:p>
            <w:pPr>
              <w:spacing w:after="0"/>
              <w:rPr>
                <w:sz w:val="24"/>
                <w:szCs w:val="24"/>
                <w:color w:val="auto"/>
              </w:rPr>
            </w:pPr>
          </w:p>
        </w:tc>
        <w:tc>
          <w:tcPr>
            <w:tcW w:w="41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4.75 to 1.00</w:t>
            </w:r>
          </w:p>
        </w:tc>
      </w:tr>
      <w:tr>
        <w:trPr>
          <w:trHeight w:val="304"/>
        </w:trPr>
        <w:tc>
          <w:tcPr>
            <w:tcW w:w="71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2"/>
                <w:szCs w:val="22"/>
                <w:color w:val="auto"/>
              </w:rPr>
              <w:t>June 30, 2021 through December 31, 2021</w:t>
            </w:r>
          </w:p>
        </w:tc>
        <w:tc>
          <w:tcPr>
            <w:tcW w:w="20" w:type="dxa"/>
            <w:vAlign w:val="bottom"/>
            <w:tcBorders>
              <w:bottom w:val="single" w:sz="8" w:color="auto"/>
            </w:tcBorders>
          </w:tcPr>
          <w:p>
            <w:pPr>
              <w:spacing w:after="0"/>
              <w:rPr>
                <w:sz w:val="24"/>
                <w:szCs w:val="24"/>
                <w:color w:val="auto"/>
              </w:rPr>
            </w:pPr>
          </w:p>
        </w:tc>
        <w:tc>
          <w:tcPr>
            <w:tcW w:w="41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4.50 to 1.00</w:t>
            </w:r>
          </w:p>
        </w:tc>
      </w:tr>
      <w:tr>
        <w:trPr>
          <w:trHeight w:val="304"/>
        </w:trPr>
        <w:tc>
          <w:tcPr>
            <w:tcW w:w="714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2"/>
                <w:szCs w:val="22"/>
                <w:color w:val="auto"/>
              </w:rPr>
              <w:t>March 31, 2022 through the Maturity Date</w:t>
            </w:r>
          </w:p>
        </w:tc>
        <w:tc>
          <w:tcPr>
            <w:tcW w:w="20" w:type="dxa"/>
            <w:vAlign w:val="bottom"/>
            <w:tcBorders>
              <w:bottom w:val="single" w:sz="8" w:color="auto"/>
            </w:tcBorders>
          </w:tcPr>
          <w:p>
            <w:pPr>
              <w:spacing w:after="0"/>
              <w:rPr>
                <w:sz w:val="24"/>
                <w:szCs w:val="24"/>
                <w:color w:val="auto"/>
              </w:rPr>
            </w:pPr>
          </w:p>
        </w:tc>
        <w:tc>
          <w:tcPr>
            <w:tcW w:w="41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4.00 to 1.00</w:t>
            </w:r>
          </w:p>
        </w:tc>
      </w:tr>
    </w:tbl>
    <w:p>
      <w:pPr>
        <w:sectPr>
          <w:pgSz w:w="11900" w:h="16838" w:orient="portrait"/>
          <w:cols w:equalWidth="0" w:num="1">
            <w:col w:w="11260"/>
          </w:cols>
          <w:pgMar w:left="320" w:top="126" w:right="31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firstLine="1304"/>
        <w:spacing w:after="0" w:line="271" w:lineRule="auto"/>
        <w:tabs>
          <w:tab w:leader="none" w:pos="1602"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10.27 of the Credit Agreement is hereby amended by adding the following text immediately before the proviso in such Section: “or the European Union’s blocking statute (Council Regulation (EC) 2271/96)”.</w:t>
      </w:r>
    </w:p>
    <w:p>
      <w:pPr>
        <w:spacing w:after="0" w:line="157" w:lineRule="exact"/>
        <w:rPr>
          <w:rFonts w:ascii="Times New Roman" w:cs="Times New Roman" w:eastAsia="Times New Roman" w:hAnsi="Times New Roman"/>
          <w:sz w:val="22"/>
          <w:szCs w:val="22"/>
          <w:color w:val="auto"/>
        </w:rPr>
      </w:pPr>
    </w:p>
    <w:p>
      <w:pPr>
        <w:ind w:firstLine="1304"/>
        <w:spacing w:after="0" w:line="260" w:lineRule="auto"/>
        <w:tabs>
          <w:tab w:leader="none" w:pos="1602"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10.28 of the Credit Agreement is hereby amended as follows: (i) replacing the text “any EEA Financial Institution” in the lead-in paragraph of such Section with the text “any Affected Financial Institution”, (ii) replacing the text “an EEA Resolution Authority” in the lead-in paragraph of such Section with the text “the applicable Resolution Authority”, (iii) replacing the text “an EEA Resolution Authority in clause (a) of such Section with the text “the applicable Resolution Authority”,</w:t>
      </w:r>
    </w:p>
    <w:p>
      <w:pPr>
        <w:spacing w:after="0" w:line="3" w:lineRule="exact"/>
        <w:rPr>
          <w:rFonts w:ascii="Times New Roman" w:cs="Times New Roman" w:eastAsia="Times New Roman" w:hAnsi="Times New Roman"/>
          <w:sz w:val="21"/>
          <w:szCs w:val="21"/>
          <w:color w:val="auto"/>
        </w:rPr>
      </w:pPr>
    </w:p>
    <w:p>
      <w:pPr>
        <w:ind w:right="160" w:firstLine="8"/>
        <w:spacing w:after="0" w:line="244" w:lineRule="auto"/>
        <w:tabs>
          <w:tab w:leader="none" w:pos="36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replacing the text “an EEA Financial Institution” in clause (a) of such Section with the text “an Affected Financial Institution”, (v) replacing the text “such EEA Financial Institution” in clause (b)(ii) of such Section with the text “such Affected Financial Institution”, (vi) replacing the text “or” at the end of clause (b)(ii) of such Section with the text “and” and (vii) replacing the text “any EEA Resolution Authority” in clause (b)(iii) of such Section with the text “the applicable Resolution Authority”.</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xml:space="preserve"> Each of the Credit Parties represents and warrants to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Administrative Agent and to each of the Lenders and Issuing Lenders that:</w:t>
      </w:r>
    </w:p>
    <w:p>
      <w:pPr>
        <w:spacing w:after="0" w:line="196" w:lineRule="exact"/>
        <w:rPr>
          <w:sz w:val="20"/>
          <w:szCs w:val="20"/>
          <w:color w:val="auto"/>
        </w:rPr>
      </w:pPr>
    </w:p>
    <w:p>
      <w:pPr>
        <w:ind w:right="100" w:firstLine="1304"/>
        <w:spacing w:after="0" w:line="246" w:lineRule="auto"/>
        <w:tabs>
          <w:tab w:leader="none" w:pos="159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by the Credit Parties of this Amendment, and the consummation of the transactions contemplated hereby, (i) are within each of the Credit Party’s company powers, (ii) require no consent or approval of (including any exchange control approval) or action by or in respect of, or registration or filing with, any Governmental Authority, agency or official, except such as have been obtained or made and are in full force and effect, (iii) do not contravene, or constitute a default under, any provision of applicable law, regulation or order of any Governmental Authority or the organizational documents of any Credit Party or of any judgment, injunction, order or decree binding upon any Credit Party, (iv) do not result in the creation or imposition of any Lien on any asset of a Credit Party except Liens in favor of the Administrative Agent and/or the Collateral Agent (for the benefit of the Secured Parties) and (v) will not violate or result in a default under any indenture, loan agreement or other material agreement or instrument binding upon any Credit Party or its assets, or give rise to a right thereunder to require any payment to be made by a Credit Party.</w:t>
      </w:r>
    </w:p>
    <w:p>
      <w:pPr>
        <w:spacing w:after="0" w:line="187" w:lineRule="exact"/>
        <w:rPr>
          <w:rFonts w:ascii="Times New Roman" w:cs="Times New Roman" w:eastAsia="Times New Roman" w:hAnsi="Times New Roman"/>
          <w:sz w:val="22"/>
          <w:szCs w:val="22"/>
          <w:color w:val="auto"/>
        </w:rPr>
      </w:pPr>
    </w:p>
    <w:p>
      <w:pPr>
        <w:ind w:right="60" w:firstLine="1304"/>
        <w:spacing w:after="0" w:line="250" w:lineRule="auto"/>
        <w:tabs>
          <w:tab w:leader="none" w:pos="160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has been duly authorized, executed and delivered by it and each of this Amendment and the Credit Agreement, as amended hereby, constitutes its legal, valid and binding obligation, enforceable against such Credit Party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ectPr>
          <w:pgSz w:w="11900" w:h="16838" w:orient="portrait"/>
          <w:cols w:equalWidth="0" w:num="1">
            <w:col w:w="11240"/>
          </w:cols>
          <w:pgMar w:left="320" w:top="126"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firstLine="1304"/>
        <w:spacing w:after="0" w:line="246" w:lineRule="auto"/>
        <w:tabs>
          <w:tab w:leader="none" w:pos="159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made by the Credit Parties in the Credit Agreement and the other Credit Documents shall (i) with respect to representations and warranties that contain a materiality qualification or are qualified by Material Adverse Effect, be true and correct and (ii) with respect to representations and warranties that do not contain a materiality qualification and are not qualified by Material Adverse Effect, be true and correct in all material respects, in each case as of the Amendment Effective Date as if made on and as of such date, except for any representation or warranty made as of an earlier date, which representation and warranty shall (x) with respect to representations and warranties that contain a materiality qualification or are qualified by Material Adverse Effect, be true and correct as of such earlier date and (y) with respect to representations and warranties that do not contain a materiality qualification and are not qualified by Material Adverse Effect, be true and correct in all material respects as of such earlier date.</w:t>
      </w:r>
    </w:p>
    <w:p>
      <w:pPr>
        <w:spacing w:after="0" w:line="190" w:lineRule="exact"/>
        <w:rPr>
          <w:rFonts w:ascii="Times New Roman" w:cs="Times New Roman" w:eastAsia="Times New Roman" w:hAnsi="Times New Roman"/>
          <w:sz w:val="22"/>
          <w:szCs w:val="22"/>
          <w:color w:val="auto"/>
        </w:rPr>
      </w:pPr>
    </w:p>
    <w:p>
      <w:pPr>
        <w:ind w:right="400" w:firstLine="1304"/>
        <w:spacing w:after="0" w:line="271" w:lineRule="auto"/>
        <w:tabs>
          <w:tab w:leader="none" w:pos="160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of and immediately after giving effect to this Amendment, no Default or Event of Default shall have occurred and be continuing on and as of the Amendment Effective Date.</w:t>
      </w:r>
    </w:p>
    <w:p>
      <w:pPr>
        <w:spacing w:after="0" w:line="157" w:lineRule="exact"/>
        <w:rPr>
          <w:rFonts w:ascii="Times New Roman" w:cs="Times New Roman" w:eastAsia="Times New Roman" w:hAnsi="Times New Roman"/>
          <w:sz w:val="22"/>
          <w:szCs w:val="22"/>
          <w:color w:val="auto"/>
        </w:rPr>
      </w:pPr>
    </w:p>
    <w:p>
      <w:pPr>
        <w:ind w:right="40" w:firstLine="1304"/>
        <w:spacing w:after="0" w:line="257" w:lineRule="auto"/>
        <w:tabs>
          <w:tab w:leader="none" w:pos="159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Amendment Effective Date, to the best knowledge of each Credit Party, the information included in the Beneficial Ownership Certification provided on or prior to the Amendment Effective Date to the Administrative Agent or any Lender as set forth herein is true and correct in all respects.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Effectiveness.</w:t>
      </w:r>
      <w:r>
        <w:rPr>
          <w:rFonts w:ascii="Times New Roman" w:cs="Times New Roman" w:eastAsia="Times New Roman" w:hAnsi="Times New Roman"/>
          <w:sz w:val="22"/>
          <w:szCs w:val="22"/>
          <w:color w:val="auto"/>
        </w:rPr>
        <w:t xml:space="preserve"> This Amendment shall become effective as of the date first above written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Amendment Effective Date</w:t>
      </w:r>
      <w:r>
        <w:rPr>
          <w:rFonts w:ascii="Times New Roman" w:cs="Times New Roman" w:eastAsia="Times New Roman" w:hAnsi="Times New Roman"/>
          <w:sz w:val="21"/>
          <w:szCs w:val="21"/>
          <w:color w:val="auto"/>
        </w:rPr>
        <w:t>”) when (a) the Administrative Agent shall have received counterparts of this Amendment that, when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taken together, bear the signatures of (i) the Company and each other Credit Party party hereto and (ii) Lenders comprising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Required Lenders immediately prior to the Amendment Effective Date, (b) each of the representations and warranties set forth in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4 hereof shall be true and correct, (c) the Administrative Agent shall have received such documents and certificates as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Administrative Agent or its counsel may reasonably request relating to the organization, existence and good standing of each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Credit Party, the authorization of this Amendment and the transactions contemplated hereby and any other legal matters relating</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the Credit Parties, the Credit Documents or the transactions contemplated hereby (including certified resolutions from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board of directors (or similar governing body) of each Credit Party authorizing the execution, delivery and performance of this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Amendment), all in form and substance reasonably satisfactory to the Administrative Agent, (d) the Administrative Agent and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Lenders shall have received all documentation and other information required by bank regulatory authorities under applicable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“know your customer” and anti-money laundering rules and regulations, including the USA PATRIOT Act and the Beneficial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Ownership Regulation, in each case to the extent requested in writing to the Company not later than five Business Days prior to</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proposed Amendment Effective Date, including, without limitation, a Beneficial Ownership Certification with respect to each</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Credit Party that qualifies as a “legal entity customer” under the Beneficial Ownership Regulation and (e)</w:t>
      </w:r>
    </w:p>
    <w:p>
      <w:pPr>
        <w:sectPr>
          <w:pgSz w:w="11900" w:h="16838" w:orient="portrait"/>
          <w:cols w:equalWidth="0" w:num="1">
            <w:col w:w="11240"/>
          </w:cols>
          <w:pgMar w:left="320" w:top="126"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Administrative Agent shall have received payment of all fees and expenses required to be paid or reimbursed by the Company under or in connection with this Amendment, including those fees and expenses set forth in Section 9 hereof.</w:t>
      </w:r>
    </w:p>
    <w:p>
      <w:pPr>
        <w:spacing w:after="0" w:line="158" w:lineRule="exact"/>
        <w:rPr>
          <w:sz w:val="20"/>
          <w:szCs w:val="20"/>
          <w:color w:val="auto"/>
        </w:rPr>
      </w:pPr>
    </w:p>
    <w:p>
      <w:pPr>
        <w:jc w:val="both"/>
        <w:ind w:right="100" w:firstLine="1296"/>
        <w:spacing w:after="0" w:line="266" w:lineRule="auto"/>
        <w:rPr>
          <w:sz w:val="20"/>
          <w:szCs w:val="20"/>
          <w:color w:val="auto"/>
        </w:rPr>
      </w:pPr>
      <w:r>
        <w:rPr>
          <w:rFonts w:ascii="Times New Roman" w:cs="Times New Roman" w:eastAsia="Times New Roman" w:hAnsi="Times New Roman"/>
          <w:sz w:val="21"/>
          <w:szCs w:val="21"/>
          <w:color w:val="auto"/>
        </w:rPr>
        <w:t xml:space="preserve">SECTION 5. </w:t>
      </w:r>
      <w:r>
        <w:rPr>
          <w:rFonts w:ascii="Times New Roman" w:cs="Times New Roman" w:eastAsia="Times New Roman" w:hAnsi="Times New Roman"/>
          <w:sz w:val="21"/>
          <w:szCs w:val="21"/>
          <w:u w:val="single" w:color="auto"/>
          <w:color w:val="auto"/>
        </w:rPr>
        <w:t>Reaffirmation.</w:t>
      </w:r>
      <w:r>
        <w:rPr>
          <w:rFonts w:ascii="Times New Roman" w:cs="Times New Roman" w:eastAsia="Times New Roman" w:hAnsi="Times New Roman"/>
          <w:sz w:val="21"/>
          <w:szCs w:val="21"/>
          <w:color w:val="auto"/>
        </w:rPr>
        <w:t xml:space="preserve"> Each of the Company and each other Credit Party hereby (a) reaffirms its obligations under the Credit Agreement and each other Credit Document to which it is a party, in each case as amended by this Amendment,</w:t>
      </w:r>
    </w:p>
    <w:p>
      <w:pPr>
        <w:spacing w:after="0" w:line="2" w:lineRule="exact"/>
        <w:rPr>
          <w:sz w:val="20"/>
          <w:szCs w:val="20"/>
          <w:color w:val="auto"/>
        </w:rPr>
      </w:pPr>
    </w:p>
    <w:p>
      <w:pPr>
        <w:jc w:val="both"/>
        <w:ind w:right="140" w:firstLine="8"/>
        <w:spacing w:after="0" w:line="245" w:lineRule="auto"/>
        <w:tabs>
          <w:tab w:leader="none" w:pos="30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reaffirms all Liens on the Collateral which have been granted by it in favor of the Administrative Agent and/or the Collateral Agent (for the benefit of the Secured Parties) pursuant to the Credit Documents and (c) acknowledges and agrees that the grants of security interests by and the guarantees of the Credit Parties contained in the Security Agreement and the other Security Documents are, and shall remain, in full force and effect immediately after giving effect to this Amendment.</w:t>
      </w:r>
    </w:p>
    <w:p>
      <w:pPr>
        <w:spacing w:after="0" w:line="185"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21"/>
          <w:szCs w:val="21"/>
          <w:color w:val="auto"/>
        </w:rPr>
        <w:t xml:space="preserve">SECTION 6.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 xml:space="preserve"> Except as expressly set forth herein, this Amendment (a) shall not by implication or otherwise limit, impair, constitute a waiver of or otherwise affect the rights and remedies of the Lenders, the Issuing Lenders, the Administrative Agent or any Credit Party under the Credit Agreement or any other Credit Document and (b) shall not alter, modify, amend or in any way affect any of the terms, conditions, obligations, covenants or agreements contained in the Credit Agreement or any other Credit Document, all of which are ratified and affirmed in all respects and shall continue in full force and effect. Nothing herein shall be deemed to entitle any Credit Party to any future consent to, or waiver, amendment, modification or other change of, any of the terms, conditions, obligations, covenants or agreements contained in the Credit Agreement or any other Credit Document in similar or different circumstances. After the Amendment Effective Date, each reference in the Credit Agreement to “this Agreement”, “hereunder”, “hereof” or words of like import referring to the Credit Agreement, and each reference in the other Credit Documents to “the Credit Agreement”, “thereunder”, “thereof” or words of like import referring to the Credit Agreement, shall mean and be a reference to the Credit Agreement as modified hereby. This Amendment shall constitute a “Credit Document” for all purposes of the Credit Agreement and the other Credit Documents.</w:t>
      </w:r>
    </w:p>
    <w:p>
      <w:pPr>
        <w:spacing w:after="0" w:line="17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Applicable Law; Waiver of Jury Trial.</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b w:val="1"/>
          <w:bCs w:val="1"/>
          <w:color w:val="auto"/>
        </w:rPr>
        <w:t>THIS AMENDMENT AND ANY CLAIM,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CONTROVERSY OR DISPUTE ARISING OUT OF OR RELATING TO THIS AMENDMENT AND THE TRANSACTIONS CONTEMPLATED HEREBY SHALL BE GOVERNED BY, AND CONSTRUED IN ACCORDANCE WITH, THE LAWS OF THE STATE OF NEW YORK.</w:t>
      </w:r>
    </w:p>
    <w:p>
      <w:pPr>
        <w:spacing w:after="0" w:line="175" w:lineRule="exact"/>
        <w:rPr>
          <w:sz w:val="20"/>
          <w:szCs w:val="20"/>
          <w:color w:val="auto"/>
        </w:rPr>
      </w:pPr>
    </w:p>
    <w:p>
      <w:pPr>
        <w:ind w:right="340" w:firstLine="1304"/>
        <w:spacing w:after="0" w:line="259" w:lineRule="auto"/>
        <w:tabs>
          <w:tab w:leader="none" w:pos="1614"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EACH PARTY HERETO HEREBY AGREES AS SET FORTH IN SECTIONS 10.13 AND 10.16 OF THE CREDIT AGREEMENT (AS IN EFFECT ON THE DATE HEREOF) AS IF SUCH SECTIONS WERE SET FORTH IN FULL HEREIN.</w:t>
      </w:r>
    </w:p>
    <w:p>
      <w:pPr>
        <w:sectPr>
          <w:pgSz w:w="11900" w:h="16838" w:orient="portrait"/>
          <w:cols w:equalWidth="0" w:num="1">
            <w:col w:w="11240"/>
          </w:cols>
          <w:pgMar w:left="320" w:top="126"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22"/>
          <w:szCs w:val="22"/>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firstLine="1296"/>
        <w:spacing w:after="0" w:line="258" w:lineRule="auto"/>
        <w:rPr>
          <w:sz w:val="20"/>
          <w:szCs w:val="20"/>
          <w:color w:val="auto"/>
        </w:rPr>
      </w:pPr>
      <w:r>
        <w:rPr>
          <w:rFonts w:ascii="Times New Roman" w:cs="Times New Roman" w:eastAsia="Times New Roman" w:hAnsi="Times New Roman"/>
          <w:sz w:val="21"/>
          <w:szCs w:val="21"/>
          <w:color w:val="auto"/>
        </w:rPr>
        <w:t xml:space="preserve">SECTION 8. </w:t>
      </w:r>
      <w:r>
        <w:rPr>
          <w:rFonts w:ascii="Times New Roman" w:cs="Times New Roman" w:eastAsia="Times New Roman" w:hAnsi="Times New Roman"/>
          <w:sz w:val="21"/>
          <w:szCs w:val="21"/>
          <w:u w:val="single" w:color="auto"/>
          <w:color w:val="auto"/>
        </w:rPr>
        <w:t>Counterparts; Amendment.</w:t>
      </w:r>
      <w:r>
        <w:rPr>
          <w:rFonts w:ascii="Times New Roman" w:cs="Times New Roman" w:eastAsia="Times New Roman" w:hAnsi="Times New Roman"/>
          <w:sz w:val="21"/>
          <w:szCs w:val="21"/>
          <w:color w:val="auto"/>
        </w:rPr>
        <w:t xml:space="preserve"> This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Amendment by facsimile transmission or other electronic imaging shall be effective as delivery of an original executed counterpart of this Amendment. This Amendment may not be amended nor may any provision hereof be waived except pursuant to a writing signed by the Credit Parties, the Administrative Agent, the Issuing Lenders and the Lenders party hereto. The words “execution”, “signed”, “signature”, “delivery” and words of like import in or relating to this Amendment and/or any documents to be signed in connection with this Amendment and the transactions contemplated hereby shall be deemed to include Electronic Signatures (as defined below), deliveries or the keeping of records in electronic form, each of which shall be of the same legal effect, validity or enforceability as a manually executed signature page, physical delivery thereof or the use of a paper-based recording system, as the case may be. As used herein, “</w:t>
      </w:r>
      <w:r>
        <w:rPr>
          <w:rFonts w:ascii="Times New Roman" w:cs="Times New Roman" w:eastAsia="Times New Roman" w:hAnsi="Times New Roman"/>
          <w:sz w:val="21"/>
          <w:szCs w:val="21"/>
          <w:u w:val="single" w:color="auto"/>
          <w:color w:val="auto"/>
        </w:rPr>
        <w:t>Electronic Signatures</w:t>
      </w:r>
      <w:r>
        <w:rPr>
          <w:rFonts w:ascii="Times New Roman" w:cs="Times New Roman" w:eastAsia="Times New Roman" w:hAnsi="Times New Roman"/>
          <w:sz w:val="21"/>
          <w:szCs w:val="21"/>
          <w:color w:val="auto"/>
        </w:rPr>
        <w:t>” means any electronic symbol or process attached to, or associated with, any contract or other record and adopted by a person with the intent to sign, authenticate or accept such contract or record.</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Fees and Expenses.</w:t>
      </w:r>
    </w:p>
    <w:p>
      <w:pPr>
        <w:spacing w:after="0" w:line="220" w:lineRule="exact"/>
        <w:rPr>
          <w:sz w:val="20"/>
          <w:szCs w:val="20"/>
          <w:color w:val="auto"/>
        </w:rPr>
      </w:pPr>
    </w:p>
    <w:p>
      <w:pPr>
        <w:ind w:right="20" w:firstLine="1304"/>
        <w:spacing w:after="0" w:line="257" w:lineRule="auto"/>
        <w:tabs>
          <w:tab w:leader="none" w:pos="159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hereby agrees to pay to the Administrative Agent on the Amendment Effective Date, for the account of each applicable party, all fees separately agreed to by the Company and Wells Fargo (or any of its Affiliates) in respect of this Amendment.</w:t>
      </w:r>
    </w:p>
    <w:p>
      <w:pPr>
        <w:spacing w:after="0" w:line="172" w:lineRule="exact"/>
        <w:rPr>
          <w:rFonts w:ascii="Times New Roman" w:cs="Times New Roman" w:eastAsia="Times New Roman" w:hAnsi="Times New Roman"/>
          <w:sz w:val="22"/>
          <w:szCs w:val="22"/>
          <w:color w:val="auto"/>
        </w:rPr>
      </w:pPr>
    </w:p>
    <w:p>
      <w:pPr>
        <w:ind w:right="580" w:firstLine="1304"/>
        <w:spacing w:after="0" w:line="271" w:lineRule="auto"/>
        <w:tabs>
          <w:tab w:leader="none" w:pos="160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to reimburse the Administrative Agent for its reasonable out-of-pocket expenses in connection with this Amendment to the extent required under Section 10.5(a) of the Credit Agreement.</w:t>
      </w:r>
    </w:p>
    <w:p>
      <w:pPr>
        <w:spacing w:after="0" w:line="158" w:lineRule="exact"/>
        <w:rPr>
          <w:sz w:val="20"/>
          <w:szCs w:val="20"/>
          <w:color w:val="auto"/>
        </w:rPr>
      </w:pPr>
    </w:p>
    <w:p>
      <w:pPr>
        <w:ind w:right="220" w:firstLine="1296"/>
        <w:spacing w:after="0" w:line="295" w:lineRule="auto"/>
        <w:rPr>
          <w:sz w:val="20"/>
          <w:szCs w:val="20"/>
          <w:color w:val="auto"/>
        </w:rPr>
      </w:pPr>
      <w:r>
        <w:rPr>
          <w:rFonts w:ascii="Times New Roman" w:cs="Times New Roman" w:eastAsia="Times New Roman" w:hAnsi="Times New Roman"/>
          <w:sz w:val="21"/>
          <w:szCs w:val="21"/>
          <w:color w:val="auto"/>
        </w:rPr>
        <w:t xml:space="preserve">SECTION 10. </w:t>
      </w: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xml:space="preserve"> The Section headings used herein are for convenience of reference only, are not part of this Amendment and are not to affect the construction of, or to be taken into consideration in interpreting, this Amendment.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Pages Follow]</w:t>
      </w:r>
    </w:p>
    <w:p>
      <w:pPr>
        <w:sectPr>
          <w:pgSz w:w="11900" w:h="16838" w:orient="portrait"/>
          <w:cols w:equalWidth="0" w:num="1">
            <w:col w:w="11240"/>
          </w:cols>
          <w:pgMar w:left="320" w:top="126" w:right="339" w:bottom="1440" w:gutter="0" w:footer="0" w:header="0"/>
        </w:sectPr>
      </w:pPr>
    </w:p>
    <w:bookmarkStart w:id="61" w:name="page62"/>
    <w:bookmarkEnd w:id="61"/>
    <w:p>
      <w:pPr>
        <w:ind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duly executed by their respective authorized officers as of the day and year first written above.</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ITRON, INC.</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 JOEL VACH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34290</wp:posOffset>
            </wp:positionV>
            <wp:extent cx="33261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Name: Joel Vach</w:t>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Title: VP Tax and Corporate Treasurer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ITRON NETWORKED SOLUTIONS, INC.</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 JOEL VACH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34290</wp:posOffset>
            </wp:positionV>
            <wp:extent cx="33261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Name: Joel Vach</w:t>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ITRON METERING SOLUTIONS LUXEMBOURG</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 CHRISTOPHER W. HARTMAN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34290</wp:posOffset>
            </wp:positionV>
            <wp:extent cx="33343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Christopher W. Hartman</w:t>
      </w:r>
    </w:p>
    <w:p>
      <w:pPr>
        <w:spacing w:after="0" w:line="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ITRON GLOBAL</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 CHRISTOPHER W. HARTMAN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34290</wp:posOffset>
            </wp:positionV>
            <wp:extent cx="33261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Name: Christopher W. Hartman</w:t>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[Amendment No. 2 to Second Amended and Restated Credit Agreement Signature Page]</w:t>
      </w:r>
    </w:p>
    <w:p>
      <w:pPr>
        <w:sectPr>
          <w:pgSz w:w="11900" w:h="16838" w:orient="portrait"/>
          <w:cols w:equalWidth="0" w:num="1">
            <w:col w:w="11180"/>
          </w:cols>
          <w:pgMar w:left="320" w:top="1422" w:right="399" w:bottom="1440" w:gutter="0" w:footer="0" w:header="0"/>
        </w:sectPr>
      </w:pPr>
    </w:p>
    <w:bookmarkStart w:id="62" w:name="page63"/>
    <w:bookmarkEnd w:id="62"/>
    <w:p>
      <w:pPr>
        <w:spacing w:after="0" w:line="279" w:lineRule="exact"/>
        <w:rPr>
          <w:sz w:val="20"/>
          <w:szCs w:val="20"/>
          <w:color w:val="auto"/>
        </w:rPr>
      </w:pPr>
    </w:p>
    <w:p>
      <w:pPr>
        <w:ind w:right="4999"/>
        <w:spacing w:after="0" w:line="271" w:lineRule="auto"/>
        <w:rPr>
          <w:sz w:val="20"/>
          <w:szCs w:val="20"/>
          <w:color w:val="auto"/>
        </w:rPr>
      </w:pPr>
      <w:r>
        <w:rPr>
          <w:rFonts w:ascii="Times New Roman" w:cs="Times New Roman" w:eastAsia="Times New Roman" w:hAnsi="Times New Roman"/>
          <w:sz w:val="22"/>
          <w:szCs w:val="22"/>
          <w:color w:val="auto"/>
        </w:rPr>
        <w:t>WELLS FARGO BANK, NATIONAL ASSOCIATION, as Administrative Agent and a Lender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 JESSY W. HUMMEL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34290</wp:posOffset>
            </wp:positionV>
            <wp:extent cx="33261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Jessy W. Hummel</w:t>
      </w:r>
    </w:p>
    <w:p>
      <w:pPr>
        <w:spacing w:after="0" w:line="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VP &amp; Relationship Manager/Commercial Banker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right="1119"/>
        <w:spacing w:after="0"/>
        <w:rPr>
          <w:sz w:val="20"/>
          <w:szCs w:val="20"/>
          <w:color w:val="auto"/>
        </w:rPr>
      </w:pPr>
      <w:r>
        <w:rPr>
          <w:rFonts w:ascii="Times New Roman" w:cs="Times New Roman" w:eastAsia="Times New Roman" w:hAnsi="Times New Roman"/>
          <w:sz w:val="18"/>
          <w:szCs w:val="18"/>
          <w:b w:val="1"/>
          <w:bCs w:val="1"/>
          <w:color w:val="auto"/>
        </w:rPr>
        <w:t>[Amendment No. 2 to Second Amended and Restated Credit Agreement Signature Page]</w:t>
      </w:r>
    </w:p>
    <w:p>
      <w:pPr>
        <w:sectPr>
          <w:pgSz w:w="11900" w:h="16838" w:orient="portrait"/>
          <w:cols w:equalWidth="0" w:num="1">
            <w:col w:w="10119"/>
          </w:cols>
          <w:pgMar w:left="340" w:top="1440" w:right="1440" w:bottom="1440" w:gutter="0" w:footer="0" w:header="0"/>
        </w:sectPr>
      </w:pPr>
    </w:p>
    <w:bookmarkStart w:id="63" w:name="page64"/>
    <w:bookmarkEnd w:id="63"/>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auto"/>
        </w:rPr>
        <w:t>LENDERS</w:t>
      </w:r>
    </w:p>
    <w:p>
      <w:pPr>
        <w:spacing w:after="0" w:line="247" w:lineRule="exact"/>
        <w:rPr>
          <w:sz w:val="20"/>
          <w:szCs w:val="20"/>
          <w:color w:val="auto"/>
        </w:rPr>
      </w:pPr>
    </w:p>
    <w:p>
      <w:pPr>
        <w:ind w:left="20" w:right="3619"/>
        <w:spacing w:after="0" w:line="248" w:lineRule="auto"/>
        <w:rPr>
          <w:sz w:val="20"/>
          <w:szCs w:val="20"/>
          <w:color w:val="auto"/>
        </w:rPr>
      </w:pPr>
      <w:r>
        <w:rPr>
          <w:rFonts w:ascii="Times New Roman" w:cs="Times New Roman" w:eastAsia="Times New Roman" w:hAnsi="Times New Roman"/>
          <w:sz w:val="22"/>
          <w:szCs w:val="22"/>
          <w:color w:val="auto"/>
        </w:rPr>
        <w:t>SIGNATURE PAGE TO AMENDMENT NO. 2 TO THE SECOND AMENDED AND RESTATED CREDIT AGREEMENT DATED AS OF JANUARY 5, 2018, AMONG ITRON, INC., THE FOREIGN BORROWERS AND GUARANTORS PARTY THERETO, THE LENDERS AND ISSUING LENDERS PARTY THERETO AND WELLS FARGO BANK, NATIONAL ASSOCIATION, AS ADMINISTRATIVE AGENT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 of Institution:</w:t>
      </w:r>
    </w:p>
    <w:p>
      <w:pPr>
        <w:spacing w:after="0" w:line="3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BANK OF THE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2519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 LENI PRECIADO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34290</wp:posOffset>
            </wp:positionV>
            <wp:extent cx="38576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57625" cy="8890"/>
                    </a:xfrm>
                    <a:prstGeom prst="rect">
                      <a:avLst/>
                    </a:prstGeom>
                    <a:noFill/>
                  </pic:spPr>
                </pic:pic>
              </a:graphicData>
            </a:graphic>
          </wp:anchor>
        </w:drawing>
      </w:r>
    </w:p>
    <w:p>
      <w:pPr>
        <w:spacing w:after="0" w:line="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Name: Leni Preciado</w:t>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Title: Director &amp; Market Manager</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institutions that require a second signature:</w:t>
      </w: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199390</wp:posOffset>
            </wp:positionV>
            <wp:extent cx="38576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3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b w:val="1"/>
          <w:bCs w:val="1"/>
          <w:color w:val="auto"/>
        </w:rPr>
        <w:t>[Amendment No. 2 to Second Amended and Restated Credit Agreement Signature Page]</w:t>
      </w:r>
    </w:p>
    <w:p>
      <w:pPr>
        <w:sectPr>
          <w:pgSz w:w="11900" w:h="16838" w:orient="portrait"/>
          <w:cols w:equalWidth="0" w:num="1">
            <w:col w:w="10139"/>
          </w:cols>
          <w:pgMar w:left="320" w:top="1440" w:right="1440" w:bottom="1440" w:gutter="0" w:footer="0" w:header="0"/>
          <w:type w:val="continuous"/>
        </w:sectPr>
      </w:pPr>
    </w:p>
    <w:bookmarkStart w:id="64" w:name="page65"/>
    <w:bookmarkEnd w:id="64"/>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LENDERS</w:t>
      </w:r>
    </w:p>
    <w:p>
      <w:pPr>
        <w:spacing w:after="0" w:line="247" w:lineRule="exact"/>
        <w:rPr>
          <w:sz w:val="20"/>
          <w:szCs w:val="20"/>
          <w:color w:val="auto"/>
        </w:rPr>
      </w:pPr>
    </w:p>
    <w:p>
      <w:pPr>
        <w:ind w:right="3619"/>
        <w:spacing w:after="0" w:line="248" w:lineRule="auto"/>
        <w:rPr>
          <w:sz w:val="20"/>
          <w:szCs w:val="20"/>
          <w:color w:val="auto"/>
        </w:rPr>
      </w:pPr>
      <w:r>
        <w:rPr>
          <w:rFonts w:ascii="Times New Roman" w:cs="Times New Roman" w:eastAsia="Times New Roman" w:hAnsi="Times New Roman"/>
          <w:sz w:val="22"/>
          <w:szCs w:val="22"/>
          <w:color w:val="auto"/>
        </w:rPr>
        <w:t>SIGNATURE PAGE TO AMENDMENT NO. 2 TO THE SECOND AMENDED AND RESTATED CREDIT AGREEMENT DATED AS OF JANUARY 5, 2018, AMONG ITRON, INC., THE FOREIGN BORROWERS AND GUARANTORS PARTY THERETO, THE LENDERS AND ISSUING LENDERS PARTY THERETO AND WELLS FARGO BANK, NATIONAL ASSOCIATION, AS ADMINISTRATIVE AGENT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Institution:</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BMO Harris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42519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 ANDREW BERRYMAN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34290</wp:posOffset>
            </wp:positionV>
            <wp:extent cx="38576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Andrew Berryman</w:t>
      </w:r>
    </w:p>
    <w:p>
      <w:pPr>
        <w:spacing w:after="0" w:line="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Vice President</w:t>
      </w:r>
    </w:p>
    <w:p>
      <w:pPr>
        <w:sectPr>
          <w:pgSz w:w="11900" w:h="16838" w:orient="portrait"/>
          <w:cols w:equalWidth="0" w:num="1">
            <w:col w:w="1011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7"/>
          <w:szCs w:val="17"/>
          <w:b w:val="1"/>
          <w:bCs w:val="1"/>
          <w:color w:val="auto"/>
        </w:rPr>
        <w:t>[Amendment No. 2 to Second Amended and Restated Credit Agreement Signature Page]</w:t>
      </w:r>
    </w:p>
    <w:p>
      <w:pPr>
        <w:sectPr>
          <w:pgSz w:w="11900" w:h="16838" w:orient="portrait"/>
          <w:cols w:equalWidth="0" w:num="1">
            <w:col w:w="10119"/>
          </w:cols>
          <w:pgMar w:left="340" w:top="1440" w:right="1440" w:bottom="1440" w:gutter="0" w:footer="0" w:header="0"/>
          <w:type w:val="continuous"/>
        </w:sectPr>
      </w:pPr>
    </w:p>
    <w:bookmarkStart w:id="65" w:name="page66"/>
    <w:bookmarkEnd w:id="65"/>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auto"/>
        </w:rPr>
        <w:t>LENDERS</w:t>
      </w:r>
    </w:p>
    <w:p>
      <w:pPr>
        <w:spacing w:after="0" w:line="247" w:lineRule="exact"/>
        <w:rPr>
          <w:sz w:val="20"/>
          <w:szCs w:val="20"/>
          <w:color w:val="auto"/>
        </w:rPr>
      </w:pPr>
    </w:p>
    <w:p>
      <w:pPr>
        <w:ind w:left="20" w:right="3619"/>
        <w:spacing w:after="0" w:line="248" w:lineRule="auto"/>
        <w:rPr>
          <w:sz w:val="20"/>
          <w:szCs w:val="20"/>
          <w:color w:val="auto"/>
        </w:rPr>
      </w:pPr>
      <w:r>
        <w:rPr>
          <w:rFonts w:ascii="Times New Roman" w:cs="Times New Roman" w:eastAsia="Times New Roman" w:hAnsi="Times New Roman"/>
          <w:sz w:val="22"/>
          <w:szCs w:val="22"/>
          <w:color w:val="auto"/>
        </w:rPr>
        <w:t>SIGNATURE PAGE TO AMENDMENT NO. 2 TO THE SECOND AMENDED AND RESTATED CREDIT AGREEMENT DATED AS OF JANUARY 5, 2018, AMONG ITRON, INC., THE FOREIGN BORROWERS AND GUARANTORS PARTY THERETO, THE LENDERS AND ISSUING LENDERS PARTY THERETO AND WELLS FARGO BANK, NATIONAL ASSOCIATION, AS ADMINISTRATIVE AGENT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 of Institution:</w:t>
      </w:r>
    </w:p>
    <w:p>
      <w:pPr>
        <w:spacing w:after="0" w:line="3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BNP PARIBAS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2519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25196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 GEORGE 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34290</wp:posOffset>
            </wp:positionV>
            <wp:extent cx="38576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Name: George Ko</w:t>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Title: Director</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institutions that require a second signature:</w:t>
      </w: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 DAVID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34290</wp:posOffset>
            </wp:positionV>
            <wp:extent cx="38576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57625" cy="8890"/>
                    </a:xfrm>
                    <a:prstGeom prst="rect">
                      <a:avLst/>
                    </a:prstGeom>
                    <a:noFill/>
                  </pic:spPr>
                </pic:pic>
              </a:graphicData>
            </a:graphic>
          </wp:anchor>
        </w:drawing>
      </w:r>
    </w:p>
    <w:p>
      <w:pPr>
        <w:spacing w:after="0" w:line="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Name: David Berger</w:t>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Title: Managing Director</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b w:val="1"/>
          <w:bCs w:val="1"/>
          <w:color w:val="auto"/>
        </w:rPr>
        <w:t>[Amendment No. 2 to Second Amended and Restated Credit Agreement Signature Page]</w:t>
      </w:r>
    </w:p>
    <w:p>
      <w:pPr>
        <w:sectPr>
          <w:pgSz w:w="11900" w:h="16838" w:orient="portrait"/>
          <w:cols w:equalWidth="0" w:num="1">
            <w:col w:w="10139"/>
          </w:cols>
          <w:pgMar w:left="320" w:top="1440" w:right="1440" w:bottom="1440" w:gutter="0" w:footer="0" w:header="0"/>
          <w:type w:val="continuous"/>
        </w:sectPr>
      </w:pPr>
    </w:p>
    <w:bookmarkStart w:id="66" w:name="page67"/>
    <w:bookmarkEnd w:id="66"/>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auto"/>
        </w:rPr>
        <w:t>LENDERS</w:t>
      </w:r>
    </w:p>
    <w:p>
      <w:pPr>
        <w:spacing w:after="0" w:line="247" w:lineRule="exact"/>
        <w:rPr>
          <w:sz w:val="20"/>
          <w:szCs w:val="20"/>
          <w:color w:val="auto"/>
        </w:rPr>
      </w:pPr>
    </w:p>
    <w:p>
      <w:pPr>
        <w:ind w:left="20" w:right="3619"/>
        <w:spacing w:after="0" w:line="248" w:lineRule="auto"/>
        <w:rPr>
          <w:sz w:val="20"/>
          <w:szCs w:val="20"/>
          <w:color w:val="auto"/>
        </w:rPr>
      </w:pPr>
      <w:r>
        <w:rPr>
          <w:rFonts w:ascii="Times New Roman" w:cs="Times New Roman" w:eastAsia="Times New Roman" w:hAnsi="Times New Roman"/>
          <w:sz w:val="22"/>
          <w:szCs w:val="22"/>
          <w:color w:val="auto"/>
        </w:rPr>
        <w:t>SIGNATURE PAGE TO AMENDMENT NO. 2 TO THE SECOND AMENDED AND RESTATED CREDIT AGREEMENT DATED AS OF JANUARY 5, 2018, AMONG ITRON, INC., THE FOREIGN BORROWERS AND GUARANTORS PARTY THERETO, THE LENDERS AND ISSUING LENDERS PARTY THERETO AND WELLS FARGO BANK, NATIONAL ASSOCIATION, AS ADMINISTRATIVE AGENT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 of Institution:</w:t>
      </w:r>
    </w:p>
    <w:p>
      <w:pPr>
        <w:spacing w:after="0" w:line="3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Citibank,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2519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25196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 HANS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34290</wp:posOffset>
            </wp:positionV>
            <wp:extent cx="38576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Name: Hans Lin</w:t>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Title: Director</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institutions that require a second signature:</w:t>
      </w: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199390</wp:posOffset>
            </wp:positionV>
            <wp:extent cx="38576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57625" cy="8890"/>
                    </a:xfrm>
                    <a:prstGeom prst="rect">
                      <a:avLst/>
                    </a:prstGeom>
                    <a:noFill/>
                  </pic:spPr>
                </pic:pic>
              </a:graphicData>
            </a:graphic>
          </wp:anchor>
        </w:drawing>
      </w:r>
    </w:p>
    <w:p>
      <w:pPr>
        <w:spacing w:after="0" w:line="3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Name:</w:t>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b w:val="1"/>
          <w:bCs w:val="1"/>
          <w:color w:val="auto"/>
        </w:rPr>
        <w:t>[Amendment No. 2 to Second Amended and Restated Credit Agreement Signature Page]</w:t>
      </w:r>
    </w:p>
    <w:p>
      <w:pPr>
        <w:sectPr>
          <w:pgSz w:w="11900" w:h="16838" w:orient="portrait"/>
          <w:cols w:equalWidth="0" w:num="1">
            <w:col w:w="10139"/>
          </w:cols>
          <w:pgMar w:left="320" w:top="1440" w:right="1440" w:bottom="1440" w:gutter="0" w:footer="0" w:header="0"/>
          <w:type w:val="continuous"/>
        </w:sectPr>
      </w:pPr>
    </w:p>
    <w:bookmarkStart w:id="67" w:name="page68"/>
    <w:bookmarkEnd w:id="67"/>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LENDERS</w:t>
      </w:r>
    </w:p>
    <w:p>
      <w:pPr>
        <w:spacing w:after="0" w:line="247" w:lineRule="exact"/>
        <w:rPr>
          <w:sz w:val="20"/>
          <w:szCs w:val="20"/>
          <w:color w:val="auto"/>
        </w:rPr>
      </w:pPr>
    </w:p>
    <w:p>
      <w:pPr>
        <w:ind w:right="3619"/>
        <w:spacing w:after="0" w:line="248" w:lineRule="auto"/>
        <w:rPr>
          <w:sz w:val="20"/>
          <w:szCs w:val="20"/>
          <w:color w:val="auto"/>
        </w:rPr>
      </w:pPr>
      <w:r>
        <w:rPr>
          <w:rFonts w:ascii="Times New Roman" w:cs="Times New Roman" w:eastAsia="Times New Roman" w:hAnsi="Times New Roman"/>
          <w:sz w:val="22"/>
          <w:szCs w:val="22"/>
          <w:color w:val="auto"/>
        </w:rPr>
        <w:t>SIGNATURE PAGE TO AMENDMENT NO. 2 TO THE SECOND AMENDED AND RESTATED CREDIT AGREEMENT DATED AS OF JANUARY 5, 2018, AMONG ITRON, INC., THE FOREIGN BORROWERS AND GUARANTORS PARTY THERETO, THE LENDERS AND ISSUING LENDERS PARTY THERETO AND WELLS FARGO BANK, NATIONAL ASSOCIATION, AS ADMINISTRATIVE AGENT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Institution:</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42519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25196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 A. PAUL DAWLEY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34290</wp:posOffset>
            </wp:positionV>
            <wp:extent cx="38576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A. Paul Dawley</w:t>
      </w:r>
    </w:p>
    <w:p>
      <w:pPr>
        <w:spacing w:after="0" w:line="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Senior Vice President</w:t>
      </w:r>
    </w:p>
    <w:p>
      <w:pPr>
        <w:sectPr>
          <w:pgSz w:w="11900" w:h="16838" w:orient="portrait"/>
          <w:cols w:equalWidth="0" w:num="1">
            <w:col w:w="1011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7"/>
          <w:szCs w:val="17"/>
          <w:b w:val="1"/>
          <w:bCs w:val="1"/>
          <w:color w:val="auto"/>
        </w:rPr>
        <w:t>[Amendment No. 2 to Second Amended and Restated Credit Agreement Signature Page]</w:t>
      </w:r>
    </w:p>
    <w:p>
      <w:pPr>
        <w:sectPr>
          <w:pgSz w:w="11900" w:h="16838" w:orient="portrait"/>
          <w:cols w:equalWidth="0" w:num="1">
            <w:col w:w="10119"/>
          </w:cols>
          <w:pgMar w:left="340" w:top="1440" w:right="1440" w:bottom="1440" w:gutter="0" w:footer="0" w:header="0"/>
          <w:type w:val="continuous"/>
        </w:sectPr>
      </w:pPr>
    </w:p>
    <w:bookmarkStart w:id="68" w:name="page69"/>
    <w:bookmarkEnd w:id="68"/>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LENDERS</w:t>
      </w:r>
    </w:p>
    <w:p>
      <w:pPr>
        <w:spacing w:after="0" w:line="247" w:lineRule="exact"/>
        <w:rPr>
          <w:sz w:val="20"/>
          <w:szCs w:val="20"/>
          <w:color w:val="auto"/>
        </w:rPr>
      </w:pPr>
    </w:p>
    <w:p>
      <w:pPr>
        <w:ind w:right="3619"/>
        <w:spacing w:after="0" w:line="248" w:lineRule="auto"/>
        <w:rPr>
          <w:sz w:val="20"/>
          <w:szCs w:val="20"/>
          <w:color w:val="auto"/>
        </w:rPr>
      </w:pPr>
      <w:r>
        <w:rPr>
          <w:rFonts w:ascii="Times New Roman" w:cs="Times New Roman" w:eastAsia="Times New Roman" w:hAnsi="Times New Roman"/>
          <w:sz w:val="22"/>
          <w:szCs w:val="22"/>
          <w:color w:val="auto"/>
        </w:rPr>
        <w:t>SIGNATURE PAGE TO AMENDMENT NO. 2 TO THE SECOND AMENDED AND RESTATED CREDIT AGREEMENT DATED AS OF JANUARY 5, 2018, AMONG ITRON, INC., THE FOREIGN BORROWERS AND GUARANTORS PARTY THERETO, THE LENDERS AND ISSUING LENDERS PARTY THERETO AND WELLS FARGO BANK, NATIONAL ASSOCIATION, AS ADMINISTRATIVE AGENT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Institution:</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Fifth Third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42519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25196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 YVONNE MONDRAGON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34290</wp:posOffset>
            </wp:positionV>
            <wp:extent cx="38576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Yvonne Mondragon</w:t>
      </w:r>
    </w:p>
    <w:p>
      <w:pPr>
        <w:spacing w:after="0" w:line="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Officer</w:t>
      </w:r>
    </w:p>
    <w:p>
      <w:pPr>
        <w:sectPr>
          <w:pgSz w:w="11900" w:h="16838" w:orient="portrait"/>
          <w:cols w:equalWidth="0" w:num="1">
            <w:col w:w="1011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7"/>
          <w:szCs w:val="17"/>
          <w:b w:val="1"/>
          <w:bCs w:val="1"/>
          <w:color w:val="auto"/>
        </w:rPr>
        <w:t>[Amendment No. 2 to Second Amended and Restated Credit Agreement Signature Page]</w:t>
      </w:r>
    </w:p>
    <w:p>
      <w:pPr>
        <w:sectPr>
          <w:pgSz w:w="11900" w:h="16838" w:orient="portrait"/>
          <w:cols w:equalWidth="0" w:num="1">
            <w:col w:w="10119"/>
          </w:cols>
          <w:pgMar w:left="340" w:top="1440" w:right="1440" w:bottom="1440" w:gutter="0" w:footer="0" w:header="0"/>
          <w:type w:val="continuous"/>
        </w:sectPr>
      </w:pPr>
    </w:p>
    <w:bookmarkStart w:id="69" w:name="page70"/>
    <w:bookmarkEnd w:id="69"/>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LENDERS</w:t>
      </w:r>
    </w:p>
    <w:p>
      <w:pPr>
        <w:spacing w:after="0" w:line="247" w:lineRule="exact"/>
        <w:rPr>
          <w:sz w:val="20"/>
          <w:szCs w:val="20"/>
          <w:color w:val="auto"/>
        </w:rPr>
      </w:pPr>
    </w:p>
    <w:p>
      <w:pPr>
        <w:ind w:right="3619"/>
        <w:spacing w:after="0" w:line="248" w:lineRule="auto"/>
        <w:rPr>
          <w:sz w:val="20"/>
          <w:szCs w:val="20"/>
          <w:color w:val="auto"/>
        </w:rPr>
      </w:pPr>
      <w:r>
        <w:rPr>
          <w:rFonts w:ascii="Times New Roman" w:cs="Times New Roman" w:eastAsia="Times New Roman" w:hAnsi="Times New Roman"/>
          <w:sz w:val="22"/>
          <w:szCs w:val="22"/>
          <w:color w:val="auto"/>
        </w:rPr>
        <w:t>SIGNATURE PAGE TO AMENDMENT NO. 2 TO THE SECOND AMENDED AND RESTATED CREDIT AGREEMENT DATED AS OF JANUARY 5, 2018, AMONG ITRON, INC., THE FOREIGN BORROWERS AND GUARANTORS PARTY THERETO, THE LENDERS AND ISSUING LENDERS PARTY THERETO AND WELLS FARGO BANK, NATIONAL ASSOCIATION, AS ADMINISTRATIVE AGENT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Institution:</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HSBC Bank USA,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42519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25196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 CHRIS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34290</wp:posOffset>
            </wp:positionV>
            <wp:extent cx="38576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Chris Burns</w:t>
      </w:r>
    </w:p>
    <w:p>
      <w:pPr>
        <w:spacing w:after="0" w:line="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Senior Vice President</w:t>
      </w:r>
    </w:p>
    <w:p>
      <w:pPr>
        <w:sectPr>
          <w:pgSz w:w="11900" w:h="16838" w:orient="portrait"/>
          <w:cols w:equalWidth="0" w:num="1">
            <w:col w:w="1011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7"/>
          <w:szCs w:val="17"/>
          <w:b w:val="1"/>
          <w:bCs w:val="1"/>
          <w:color w:val="auto"/>
        </w:rPr>
        <w:t>[Amendment No. 2 to Second Amended and Restated Credit Agreement Signature Page]</w:t>
      </w:r>
    </w:p>
    <w:p>
      <w:pPr>
        <w:sectPr>
          <w:pgSz w:w="11900" w:h="16838" w:orient="portrait"/>
          <w:cols w:equalWidth="0" w:num="1">
            <w:col w:w="10119"/>
          </w:cols>
          <w:pgMar w:left="340" w:top="1440" w:right="1440" w:bottom="1440" w:gutter="0" w:footer="0" w:header="0"/>
          <w:type w:val="continuous"/>
        </w:sectPr>
      </w:pPr>
    </w:p>
    <w:bookmarkStart w:id="70" w:name="page71"/>
    <w:bookmarkEnd w:id="70"/>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auto"/>
        </w:rPr>
        <w:t>LENDERS</w:t>
      </w:r>
    </w:p>
    <w:p>
      <w:pPr>
        <w:spacing w:after="0" w:line="247" w:lineRule="exact"/>
        <w:rPr>
          <w:sz w:val="20"/>
          <w:szCs w:val="20"/>
          <w:color w:val="auto"/>
        </w:rPr>
      </w:pPr>
    </w:p>
    <w:p>
      <w:pPr>
        <w:ind w:left="20" w:right="3619"/>
        <w:spacing w:after="0" w:line="248" w:lineRule="auto"/>
        <w:rPr>
          <w:sz w:val="20"/>
          <w:szCs w:val="20"/>
          <w:color w:val="auto"/>
        </w:rPr>
      </w:pPr>
      <w:r>
        <w:rPr>
          <w:rFonts w:ascii="Times New Roman" w:cs="Times New Roman" w:eastAsia="Times New Roman" w:hAnsi="Times New Roman"/>
          <w:sz w:val="22"/>
          <w:szCs w:val="22"/>
          <w:color w:val="auto"/>
        </w:rPr>
        <w:t>SIGNATURE PAGE TO AMENDMENT NO. 2 TO THE SECOND AMENDED AND RESTATED CREDIT AGREEMENT DATED AS OF JANUARY 5, 2018, AMONG ITRON, INC., THE FOREIGN BORROWERS AND GUARANTORS PARTY THERETO, THE LENDERS AND ISSUING LENDERS PARTY THERETO AND WELLS FARGO BANK, NATIONAL ASSOCIATION, AS ADMINISTRATIVE AGENT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 of Institution:</w:t>
      </w:r>
    </w:p>
    <w:p>
      <w:pPr>
        <w:spacing w:after="0" w:line="3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2519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25196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 WOUTER JANSEN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34290</wp:posOffset>
            </wp:positionV>
            <wp:extent cx="38576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Name: Wouter Jansen</w:t>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Title: Director</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institutions that require a second signature:</w:t>
      </w: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 MAXIMILIAN CUPRIAK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34290</wp:posOffset>
            </wp:positionV>
            <wp:extent cx="38576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Name: Maximilian Cupriak</w:t>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Title: Vice President</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b w:val="1"/>
          <w:bCs w:val="1"/>
          <w:color w:val="auto"/>
        </w:rPr>
        <w:t>[Amendment No. 2 to Second Amended and Restated Credit Agreement Signature Page]</w:t>
      </w:r>
    </w:p>
    <w:p>
      <w:pPr>
        <w:sectPr>
          <w:pgSz w:w="11900" w:h="16838" w:orient="portrait"/>
          <w:cols w:equalWidth="0" w:num="1">
            <w:col w:w="10139"/>
          </w:cols>
          <w:pgMar w:left="320" w:top="1440" w:right="1440" w:bottom="1440" w:gutter="0" w:footer="0" w:header="0"/>
          <w:type w:val="continuous"/>
        </w:sectPr>
      </w:pPr>
    </w:p>
    <w:bookmarkStart w:id="71" w:name="page72"/>
    <w:bookmarkEnd w:id="71"/>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auto"/>
        </w:rPr>
        <w:t>LENDERS</w:t>
      </w:r>
    </w:p>
    <w:p>
      <w:pPr>
        <w:spacing w:after="0" w:line="247" w:lineRule="exact"/>
        <w:rPr>
          <w:sz w:val="20"/>
          <w:szCs w:val="20"/>
          <w:color w:val="auto"/>
        </w:rPr>
      </w:pPr>
    </w:p>
    <w:p>
      <w:pPr>
        <w:ind w:left="20" w:right="3619"/>
        <w:spacing w:after="0" w:line="248" w:lineRule="auto"/>
        <w:rPr>
          <w:sz w:val="20"/>
          <w:szCs w:val="20"/>
          <w:color w:val="auto"/>
        </w:rPr>
      </w:pPr>
      <w:r>
        <w:rPr>
          <w:rFonts w:ascii="Times New Roman" w:cs="Times New Roman" w:eastAsia="Times New Roman" w:hAnsi="Times New Roman"/>
          <w:sz w:val="22"/>
          <w:szCs w:val="22"/>
          <w:color w:val="auto"/>
        </w:rPr>
        <w:t>SIGNATURE PAGE TO AMENDMENT NO. 2 TO THE SECOND AMENDED AND RESTATED CREDIT AGREEMENT DATED AS OF JANUARY 5, 2018, AMONG ITRON, INC., THE FOREIGN BORROWERS AND GUARANTORS PARTY THERETO, THE LENDERS AND ISSUING LENDERS PARTY THERETO AND WELLS FARGO BANK, NATIONAL ASSOCIATION, AS ADMINISTRATIVE AGENT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 of Institution:</w:t>
      </w:r>
    </w:p>
    <w:p>
      <w:pPr>
        <w:spacing w:after="0" w:line="3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ING Bank N.V., Dublin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2519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 SEAN HASSETT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34290</wp:posOffset>
            </wp:positionV>
            <wp:extent cx="38576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Name: Sean Hassett</w:t>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Title: Director</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institutions that require a second signature:</w:t>
      </w: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 PADRAIG MATTHEWS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34290</wp:posOffset>
            </wp:positionV>
            <wp:extent cx="38576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Name: Padraig Matthews</w:t>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Title: Director</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b w:val="1"/>
          <w:bCs w:val="1"/>
          <w:color w:val="auto"/>
        </w:rPr>
        <w:t>[Amendment No. 2 to Second Amended and Restated Credit Agreement Signature Page]</w:t>
      </w:r>
    </w:p>
    <w:p>
      <w:pPr>
        <w:sectPr>
          <w:pgSz w:w="11900" w:h="16838" w:orient="portrait"/>
          <w:cols w:equalWidth="0" w:num="1">
            <w:col w:w="10139"/>
          </w:cols>
          <w:pgMar w:left="320" w:top="1440" w:right="1440" w:bottom="1440" w:gutter="0" w:footer="0" w:header="0"/>
          <w:type w:val="continuous"/>
        </w:sectPr>
      </w:pPr>
    </w:p>
    <w:bookmarkStart w:id="72" w:name="page73"/>
    <w:bookmarkEnd w:id="72"/>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LENDERS</w:t>
      </w:r>
    </w:p>
    <w:p>
      <w:pPr>
        <w:spacing w:after="0" w:line="247" w:lineRule="exact"/>
        <w:rPr>
          <w:sz w:val="20"/>
          <w:szCs w:val="20"/>
          <w:color w:val="auto"/>
        </w:rPr>
      </w:pPr>
    </w:p>
    <w:p>
      <w:pPr>
        <w:ind w:right="3619"/>
        <w:spacing w:after="0" w:line="248" w:lineRule="auto"/>
        <w:rPr>
          <w:sz w:val="20"/>
          <w:szCs w:val="20"/>
          <w:color w:val="auto"/>
        </w:rPr>
      </w:pPr>
      <w:r>
        <w:rPr>
          <w:rFonts w:ascii="Times New Roman" w:cs="Times New Roman" w:eastAsia="Times New Roman" w:hAnsi="Times New Roman"/>
          <w:sz w:val="22"/>
          <w:szCs w:val="22"/>
          <w:color w:val="auto"/>
        </w:rPr>
        <w:t>SIGNATURE PAGE TO AMENDMENT NO. 2 TO THE SECOND AMENDED AND RESTATED CREDIT AGREEMENT DATED AS OF JANUARY 5, 2018, AMONG ITRON, INC., THE FOREIGN BORROWERS AND GUARANTORS PARTY THERETO, THE LENDERS AND ISSUING LENDERS PARTY THERETO AND WELLS FARGO BANK, NATIONAL ASSOCIATION, AS ADMINISTRATIVE AGENT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Institution:</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Chase,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42519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 LYNN BRAUN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34290</wp:posOffset>
            </wp:positionV>
            <wp:extent cx="38576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Lynn Braun</w:t>
      </w:r>
    </w:p>
    <w:p>
      <w:pPr>
        <w:spacing w:after="0" w:line="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Executive Director</w:t>
      </w:r>
    </w:p>
    <w:p>
      <w:pPr>
        <w:sectPr>
          <w:pgSz w:w="11900" w:h="16838" w:orient="portrait"/>
          <w:cols w:equalWidth="0" w:num="1">
            <w:col w:w="1011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7"/>
          <w:szCs w:val="17"/>
          <w:b w:val="1"/>
          <w:bCs w:val="1"/>
          <w:color w:val="auto"/>
        </w:rPr>
        <w:t>[Amendment No. 2 to Second Amended and Restated Credit Agreement Signature Page]</w:t>
      </w:r>
    </w:p>
    <w:p>
      <w:pPr>
        <w:sectPr>
          <w:pgSz w:w="11900" w:h="16838" w:orient="portrait"/>
          <w:cols w:equalWidth="0" w:num="1">
            <w:col w:w="10119"/>
          </w:cols>
          <w:pgMar w:left="340" w:top="1440" w:right="1440" w:bottom="1440" w:gutter="0" w:footer="0" w:header="0"/>
          <w:type w:val="continuous"/>
        </w:sectPr>
      </w:pPr>
    </w:p>
    <w:bookmarkStart w:id="73" w:name="page74"/>
    <w:bookmarkEnd w:id="73"/>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LENDERS</w:t>
      </w:r>
    </w:p>
    <w:p>
      <w:pPr>
        <w:spacing w:after="0" w:line="247" w:lineRule="exact"/>
        <w:rPr>
          <w:sz w:val="20"/>
          <w:szCs w:val="20"/>
          <w:color w:val="auto"/>
        </w:rPr>
      </w:pPr>
    </w:p>
    <w:p>
      <w:pPr>
        <w:ind w:right="3619"/>
        <w:spacing w:after="0" w:line="248" w:lineRule="auto"/>
        <w:rPr>
          <w:sz w:val="20"/>
          <w:szCs w:val="20"/>
          <w:color w:val="auto"/>
        </w:rPr>
      </w:pPr>
      <w:r>
        <w:rPr>
          <w:rFonts w:ascii="Times New Roman" w:cs="Times New Roman" w:eastAsia="Times New Roman" w:hAnsi="Times New Roman"/>
          <w:sz w:val="22"/>
          <w:szCs w:val="22"/>
          <w:color w:val="auto"/>
        </w:rPr>
        <w:t>SIGNATURE PAGE TO AMENDMENT NO. 2 TO THE SECOND AMENDED AND RESTATED CREDIT AGREEMENT DATED AS OF JANUARY 5, 2018, AMONG ITRON, INC., THE FOREIGN BORROWERS AND GUARANTORS PARTY THERETO, THE LENDERS AND ISSUING LENDERS PARTY THERETO AND WELLS FARGO BANK, NATIONAL ASSOCIATION, AS ADMINISTRATIVE AGENT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Institution:</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42519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 TAD L. STAINBROOK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34290</wp:posOffset>
            </wp:positionV>
            <wp:extent cx="38576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57625" cy="8890"/>
                    </a:xfrm>
                    <a:prstGeom prst="rect">
                      <a:avLst/>
                    </a:prstGeom>
                    <a:noFill/>
                  </pic:spPr>
                </pic:pic>
              </a:graphicData>
            </a:graphic>
          </wp:anchor>
        </w:drawing>
      </w:r>
    </w:p>
    <w:p>
      <w:pPr>
        <w:spacing w:after="0" w:line="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Tad L. Stainbrook</w:t>
      </w:r>
    </w:p>
    <w:p>
      <w:pPr>
        <w:spacing w:after="0" w:line="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Vice President</w:t>
      </w:r>
    </w:p>
    <w:p>
      <w:pPr>
        <w:sectPr>
          <w:pgSz w:w="11900" w:h="16838" w:orient="portrait"/>
          <w:cols w:equalWidth="0" w:num="1">
            <w:col w:w="1011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7"/>
          <w:szCs w:val="17"/>
          <w:b w:val="1"/>
          <w:bCs w:val="1"/>
          <w:color w:val="auto"/>
        </w:rPr>
        <w:t>[Amendment No. 2 to Second Amended and Restated Credit Agreement Signature Page]</w:t>
      </w:r>
    </w:p>
    <w:p>
      <w:pPr>
        <w:sectPr>
          <w:pgSz w:w="11900" w:h="16838" w:orient="portrait"/>
          <w:cols w:equalWidth="0" w:num="1">
            <w:col w:w="10119"/>
          </w:cols>
          <w:pgMar w:left="340" w:top="1440" w:right="1440" w:bottom="1440" w:gutter="0" w:footer="0" w:header="0"/>
          <w:type w:val="continuous"/>
        </w:sectPr>
      </w:pPr>
    </w:p>
    <w:bookmarkStart w:id="74" w:name="page75"/>
    <w:bookmarkEnd w:id="74"/>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LENDERS</w:t>
      </w:r>
    </w:p>
    <w:p>
      <w:pPr>
        <w:spacing w:after="0" w:line="247" w:lineRule="exact"/>
        <w:rPr>
          <w:sz w:val="20"/>
          <w:szCs w:val="20"/>
          <w:color w:val="auto"/>
        </w:rPr>
      </w:pPr>
    </w:p>
    <w:p>
      <w:pPr>
        <w:ind w:right="3619"/>
        <w:spacing w:after="0" w:line="248" w:lineRule="auto"/>
        <w:rPr>
          <w:sz w:val="20"/>
          <w:szCs w:val="20"/>
          <w:color w:val="auto"/>
        </w:rPr>
      </w:pPr>
      <w:r>
        <w:rPr>
          <w:rFonts w:ascii="Times New Roman" w:cs="Times New Roman" w:eastAsia="Times New Roman" w:hAnsi="Times New Roman"/>
          <w:sz w:val="22"/>
          <w:szCs w:val="22"/>
          <w:color w:val="auto"/>
        </w:rPr>
        <w:t>SIGNATURE PAGE TO AMENDMENT NO. 2 TO THE SECOND AMENDED AND RESTATED CREDIT AGREEMENT DATED AS OF JANUARY 5, 2018, AMONG ITRON, INC., THE FOREIGN BORROWERS AND GUARANTORS PARTY THERETO, THE LENDERS AND ISSUING LENDERS PARTY THERETO AND WELLS FARGO BANK, NATIONAL ASSOCIATION, AS ADMINISTRATIVE AGENT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Institution:</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MUFG Union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42519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 MENG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34290</wp:posOffset>
            </wp:positionV>
            <wp:extent cx="38576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57625" cy="8890"/>
                    </a:xfrm>
                    <a:prstGeom prst="rect">
                      <a:avLst/>
                    </a:prstGeom>
                    <a:noFill/>
                  </pic:spPr>
                </pic:pic>
              </a:graphicData>
            </a:graphic>
          </wp:anchor>
        </w:drawing>
      </w:r>
    </w:p>
    <w:p>
      <w:pPr>
        <w:spacing w:after="0" w:line="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Meng Zhang</w:t>
      </w:r>
    </w:p>
    <w:p>
      <w:pPr>
        <w:spacing w:after="0" w:line="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Vice President</w:t>
      </w:r>
    </w:p>
    <w:p>
      <w:pPr>
        <w:sectPr>
          <w:pgSz w:w="11900" w:h="16838" w:orient="portrait"/>
          <w:cols w:equalWidth="0" w:num="1">
            <w:col w:w="1011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7"/>
          <w:szCs w:val="17"/>
          <w:b w:val="1"/>
          <w:bCs w:val="1"/>
          <w:color w:val="auto"/>
        </w:rPr>
        <w:t>[Amendment No. 2 to Second Amended and Restated Credit Agreement Signature Page]</w:t>
      </w:r>
    </w:p>
    <w:p>
      <w:pPr>
        <w:sectPr>
          <w:pgSz w:w="11900" w:h="16838" w:orient="portrait"/>
          <w:cols w:equalWidth="0" w:num="1">
            <w:col w:w="10119"/>
          </w:cols>
          <w:pgMar w:left="340" w:top="1440" w:right="1440" w:bottom="1440" w:gutter="0" w:footer="0" w:header="0"/>
          <w:type w:val="continuous"/>
        </w:sectPr>
      </w:pPr>
    </w:p>
    <w:bookmarkStart w:id="75" w:name="page76"/>
    <w:bookmarkEnd w:id="75"/>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LENDERS</w:t>
      </w:r>
    </w:p>
    <w:p>
      <w:pPr>
        <w:spacing w:after="0" w:line="247" w:lineRule="exact"/>
        <w:rPr>
          <w:sz w:val="20"/>
          <w:szCs w:val="20"/>
          <w:color w:val="auto"/>
        </w:rPr>
      </w:pPr>
    </w:p>
    <w:p>
      <w:pPr>
        <w:ind w:right="3619"/>
        <w:spacing w:after="0" w:line="248" w:lineRule="auto"/>
        <w:rPr>
          <w:sz w:val="20"/>
          <w:szCs w:val="20"/>
          <w:color w:val="auto"/>
        </w:rPr>
      </w:pPr>
      <w:r>
        <w:rPr>
          <w:rFonts w:ascii="Times New Roman" w:cs="Times New Roman" w:eastAsia="Times New Roman" w:hAnsi="Times New Roman"/>
          <w:sz w:val="22"/>
          <w:szCs w:val="22"/>
          <w:color w:val="auto"/>
        </w:rPr>
        <w:t>SIGNATURE PAGE TO AMENDMENT NO. 2 TO THE SECOND AMENDED AND RESTATED CREDIT AGREEMENT DATED AS OF JANUARY 5, 2018, AMONG ITRON, INC., THE FOREIGN BORROWERS AND GUARANTORS PARTY THERETO, THE LENDERS AND ISSUING LENDERS PARTY THERETO AND WELLS FARGO BANK, NATIONAL ASSOCIATION, AS ADMINISTRATIVE AGENT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Institution:</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42519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 ANA GAYTAN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34290</wp:posOffset>
            </wp:positionV>
            <wp:extent cx="38576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57625" cy="8890"/>
                    </a:xfrm>
                    <a:prstGeom prst="rect">
                      <a:avLst/>
                    </a:prstGeom>
                    <a:noFill/>
                  </pic:spPr>
                </pic:pic>
              </a:graphicData>
            </a:graphic>
          </wp:anchor>
        </w:drawing>
      </w:r>
    </w:p>
    <w:p>
      <w:pPr>
        <w:spacing w:after="0" w:line="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Ana Gaytan</w:t>
      </w:r>
    </w:p>
    <w:p>
      <w:pPr>
        <w:spacing w:after="0" w:line="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Assistant Vice President</w:t>
      </w:r>
    </w:p>
    <w:p>
      <w:pPr>
        <w:sectPr>
          <w:pgSz w:w="11900" w:h="16838" w:orient="portrait"/>
          <w:cols w:equalWidth="0" w:num="1">
            <w:col w:w="1011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7"/>
          <w:szCs w:val="17"/>
          <w:b w:val="1"/>
          <w:bCs w:val="1"/>
          <w:color w:val="auto"/>
        </w:rPr>
        <w:t>[Amendment No. 2 to Second Amended and Restated Credit Agreement Signature Page]</w:t>
      </w:r>
    </w:p>
    <w:p>
      <w:pPr>
        <w:sectPr>
          <w:pgSz w:w="11900" w:h="16838" w:orient="portrait"/>
          <w:cols w:equalWidth="0" w:num="1">
            <w:col w:w="10119"/>
          </w:cols>
          <w:pgMar w:left="340" w:top="1440" w:right="1440" w:bottom="1440" w:gutter="0" w:footer="0" w:header="0"/>
          <w:type w:val="continuous"/>
        </w:sectPr>
      </w:pPr>
    </w:p>
    <w:bookmarkStart w:id="76" w:name="page77"/>
    <w:bookmarkEnd w:id="76"/>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LENDERS</w:t>
      </w:r>
    </w:p>
    <w:p>
      <w:pPr>
        <w:spacing w:after="0" w:line="247" w:lineRule="exact"/>
        <w:rPr>
          <w:sz w:val="20"/>
          <w:szCs w:val="20"/>
          <w:color w:val="auto"/>
        </w:rPr>
      </w:pPr>
    </w:p>
    <w:p>
      <w:pPr>
        <w:ind w:right="3619"/>
        <w:spacing w:after="0" w:line="248" w:lineRule="auto"/>
        <w:rPr>
          <w:sz w:val="20"/>
          <w:szCs w:val="20"/>
          <w:color w:val="auto"/>
        </w:rPr>
      </w:pPr>
      <w:r>
        <w:rPr>
          <w:rFonts w:ascii="Times New Roman" w:cs="Times New Roman" w:eastAsia="Times New Roman" w:hAnsi="Times New Roman"/>
          <w:sz w:val="22"/>
          <w:szCs w:val="22"/>
          <w:color w:val="auto"/>
        </w:rPr>
        <w:t>SIGNATURE PAGE TO AMENDMENT NO. 2 TO THE SECOND AMENDED AND RESTATED CREDIT AGREEMENT DATED AS OF JANUARY 5, 2018, AMONG ITRON, INC., THE FOREIGN BORROWERS AND GUARANTORS PARTY THERETO, THE LENDERS AND ISSUING LENDERS PARTY THERETO AND WELLS FARGO BANK, NATIONAL ASSOCIATION, AS ADMINISTRATIVE AGENT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Institution:</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Silicon Valley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42519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 JACKSON 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34290</wp:posOffset>
            </wp:positionV>
            <wp:extent cx="38576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57625" cy="8890"/>
                    </a:xfrm>
                    <a:prstGeom prst="rect">
                      <a:avLst/>
                    </a:prstGeom>
                    <a:noFill/>
                  </pic:spPr>
                </pic:pic>
              </a:graphicData>
            </a:graphic>
          </wp:anchor>
        </w:drawing>
      </w:r>
    </w:p>
    <w:p>
      <w:pPr>
        <w:spacing w:after="0" w:line="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Jackson Morrow</w:t>
      </w:r>
    </w:p>
    <w:p>
      <w:pPr>
        <w:spacing w:after="0" w:line="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Vice President</w:t>
      </w:r>
    </w:p>
    <w:p>
      <w:pPr>
        <w:sectPr>
          <w:pgSz w:w="11900" w:h="16838" w:orient="portrait"/>
          <w:cols w:equalWidth="0" w:num="1">
            <w:col w:w="1011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7"/>
          <w:szCs w:val="17"/>
          <w:b w:val="1"/>
          <w:bCs w:val="1"/>
          <w:color w:val="auto"/>
        </w:rPr>
        <w:t>[Amendment No. 2 to Second Amended and Restated Credit Agreement Signature Page]</w:t>
      </w:r>
    </w:p>
    <w:p>
      <w:pPr>
        <w:sectPr>
          <w:pgSz w:w="11900" w:h="16838" w:orient="portrait"/>
          <w:cols w:equalWidth="0" w:num="1">
            <w:col w:w="10119"/>
          </w:cols>
          <w:pgMar w:left="340" w:top="1440" w:right="1440" w:bottom="1440" w:gutter="0" w:footer="0" w:header="0"/>
          <w:type w:val="continuous"/>
        </w:sectPr>
      </w:pPr>
    </w:p>
    <w:bookmarkStart w:id="77" w:name="page78"/>
    <w:bookmarkEnd w:id="77"/>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auto"/>
        </w:rPr>
        <w:t>LENDERS</w:t>
      </w:r>
    </w:p>
    <w:p>
      <w:pPr>
        <w:spacing w:after="0" w:line="247" w:lineRule="exact"/>
        <w:rPr>
          <w:sz w:val="20"/>
          <w:szCs w:val="20"/>
          <w:color w:val="auto"/>
        </w:rPr>
      </w:pPr>
    </w:p>
    <w:p>
      <w:pPr>
        <w:ind w:left="20" w:right="3619"/>
        <w:spacing w:after="0" w:line="248" w:lineRule="auto"/>
        <w:rPr>
          <w:sz w:val="20"/>
          <w:szCs w:val="20"/>
          <w:color w:val="auto"/>
        </w:rPr>
      </w:pPr>
      <w:r>
        <w:rPr>
          <w:rFonts w:ascii="Times New Roman" w:cs="Times New Roman" w:eastAsia="Times New Roman" w:hAnsi="Times New Roman"/>
          <w:sz w:val="22"/>
          <w:szCs w:val="22"/>
          <w:color w:val="auto"/>
        </w:rPr>
        <w:t>SIGNATURE PAGE TO AMENDMENT NO. 2 TO THE SECOND AMENDED AND RESTATED CREDIT AGREEMENT DATED AS OF JANUARY 5, 2018, AMONG ITRON, INC., THE FOREIGN BORROWERS AND GUARANTORS PARTY THERETO, THE LENDERS AND ISSUING LENDERS PARTY THERETO AND WELLS FARGO BANK, NATIONAL ASSOCIATION, AS ADMINISTRATIVE AGENT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 of Institution:</w:t>
      </w:r>
    </w:p>
    <w:p>
      <w:pPr>
        <w:spacing w:after="0" w:line="3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TD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2519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 MATT WASZMER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34290</wp:posOffset>
            </wp:positionV>
            <wp:extent cx="38576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57625" cy="8890"/>
                    </a:xfrm>
                    <a:prstGeom prst="rect">
                      <a:avLst/>
                    </a:prstGeom>
                    <a:noFill/>
                  </pic:spPr>
                </pic:pic>
              </a:graphicData>
            </a:graphic>
          </wp:anchor>
        </w:drawing>
      </w:r>
    </w:p>
    <w:p>
      <w:pPr>
        <w:spacing w:after="0" w:line="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Name: Matt Waszmer</w:t>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institutions that require a second signature:</w:t>
      </w: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TD BANK USA, N.A.</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 MATT WASZMER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34290</wp:posOffset>
            </wp:positionV>
            <wp:extent cx="38576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Name: Matt Waszmer</w:t>
      </w:r>
    </w:p>
    <w:p>
      <w:pPr>
        <w:spacing w:after="0" w:line="58" w:lineRule="exact"/>
        <w:rPr>
          <w:sz w:val="20"/>
          <w:szCs w:val="20"/>
          <w:color w:val="auto"/>
        </w:rPr>
      </w:pPr>
    </w:p>
    <w:p>
      <w:pPr>
        <w:ind w:left="640" w:right="3499"/>
        <w:spacing w:after="0" w:line="271" w:lineRule="auto"/>
        <w:rPr>
          <w:sz w:val="20"/>
          <w:szCs w:val="20"/>
          <w:color w:val="auto"/>
        </w:rPr>
      </w:pPr>
      <w:r>
        <w:rPr>
          <w:rFonts w:ascii="Times New Roman" w:cs="Times New Roman" w:eastAsia="Times New Roman" w:hAnsi="Times New Roman"/>
          <w:sz w:val="22"/>
          <w:szCs w:val="22"/>
          <w:color w:val="auto"/>
        </w:rPr>
        <w:t>Title: Senior Vice President of TD Bank, N.A. as Servicing Agent for TD Bank USA, N.A.</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b w:val="1"/>
          <w:bCs w:val="1"/>
          <w:color w:val="auto"/>
        </w:rPr>
        <w:t>[Amendment No. 2 to Second Amended and Restated Credit Agreement Signature Page]</w:t>
      </w:r>
    </w:p>
    <w:p>
      <w:pPr>
        <w:sectPr>
          <w:pgSz w:w="11900" w:h="16838" w:orient="portrait"/>
          <w:cols w:equalWidth="0" w:num="1">
            <w:col w:w="10139"/>
          </w:cols>
          <w:pgMar w:left="320" w:top="1440" w:right="1440" w:bottom="1440" w:gutter="0" w:footer="0" w:header="0"/>
          <w:type w:val="continuous"/>
        </w:sectPr>
      </w:pPr>
    </w:p>
    <w:bookmarkStart w:id="78" w:name="page79"/>
    <w:bookmarkEnd w:id="78"/>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LENDERS</w:t>
      </w:r>
    </w:p>
    <w:p>
      <w:pPr>
        <w:spacing w:after="0" w:line="247" w:lineRule="exact"/>
        <w:rPr>
          <w:sz w:val="20"/>
          <w:szCs w:val="20"/>
          <w:color w:val="auto"/>
        </w:rPr>
      </w:pPr>
    </w:p>
    <w:p>
      <w:pPr>
        <w:ind w:right="3619"/>
        <w:spacing w:after="0" w:line="248" w:lineRule="auto"/>
        <w:rPr>
          <w:sz w:val="20"/>
          <w:szCs w:val="20"/>
          <w:color w:val="auto"/>
        </w:rPr>
      </w:pPr>
      <w:r>
        <w:rPr>
          <w:rFonts w:ascii="Times New Roman" w:cs="Times New Roman" w:eastAsia="Times New Roman" w:hAnsi="Times New Roman"/>
          <w:sz w:val="22"/>
          <w:szCs w:val="22"/>
          <w:color w:val="auto"/>
        </w:rPr>
        <w:t>SIGNATURE PAGE TO AMENDMENT NO. 2 TO THE SECOND AMENDED AND RESTATED CREDIT AGREEMENT DATED AS OF JANUARY 5, 2018, AMONG ITRON, INC., THE FOREIGN BORROWERS AND GUARANTORS PARTY THERETO, THE LENDERS AND ISSUING LENDERS PARTY THERETO AND WELLS FARGO BANK, NATIONAL ASSOCIATION, AS ADMINISTRATIVE AGENT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Institution:</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42519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25196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 EDWARD B. HANSON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34290</wp:posOffset>
            </wp:positionV>
            <wp:extent cx="38576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Edward B. Hanson</w:t>
      </w:r>
    </w:p>
    <w:p>
      <w:pPr>
        <w:spacing w:after="0" w:line="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ind w:right="1119"/>
        <w:spacing w:after="0"/>
        <w:rPr>
          <w:sz w:val="20"/>
          <w:szCs w:val="20"/>
          <w:color w:val="auto"/>
        </w:rPr>
      </w:pPr>
      <w:r>
        <w:rPr>
          <w:rFonts w:ascii="Times New Roman" w:cs="Times New Roman" w:eastAsia="Times New Roman" w:hAnsi="Times New Roman"/>
          <w:sz w:val="18"/>
          <w:szCs w:val="18"/>
          <w:b w:val="1"/>
          <w:bCs w:val="1"/>
          <w:color w:val="auto"/>
        </w:rPr>
        <w:t>[Amendment No. 2 to Second Amended and Restated Credit Agreement Signature Page]</w:t>
      </w:r>
    </w:p>
    <w:p>
      <w:pPr>
        <w:sectPr>
          <w:pgSz w:w="11900" w:h="16838" w:orient="portrait"/>
          <w:cols w:equalWidth="0" w:num="1">
            <w:col w:w="10119"/>
          </w:cols>
          <w:pgMar w:left="340" w:top="1440" w:right="1440"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L. Deitrich, certify that:</w:t>
      </w:r>
    </w:p>
    <w:p>
      <w:pPr>
        <w:spacing w:after="0" w:line="252"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Itron,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6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6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ITRON, INC.</w:t>
      </w:r>
    </w:p>
    <w:p>
      <w:pPr>
        <w:spacing w:after="0" w:line="131" w:lineRule="exact"/>
        <w:rPr>
          <w:sz w:val="20"/>
          <w:szCs w:val="20"/>
          <w:color w:val="auto"/>
        </w:rPr>
      </w:pPr>
    </w:p>
    <w:p>
      <w:pPr>
        <w:ind w:left="5400"/>
        <w:spacing w:after="0"/>
        <w:tabs>
          <w:tab w:leader="none" w:pos="7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L. DEITRICH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Thomas L. Deitrich</w:t>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 2020</w:t>
      </w:r>
    </w:p>
    <w:p>
      <w:pPr>
        <w:sectPr>
          <w:pgSz w:w="11900" w:h="16838" w:orient="portrait"/>
          <w:cols w:equalWidth="0" w:num="1">
            <w:col w:w="11240"/>
          </w:cols>
          <w:pgMar w:left="320" w:top="117"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Joan S. Hooper, certify that:</w:t>
      </w:r>
    </w:p>
    <w:p>
      <w:pPr>
        <w:spacing w:after="0" w:line="25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Itron,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6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56"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ITRON, INC.</w:t>
      </w:r>
    </w:p>
    <w:p>
      <w:pPr>
        <w:spacing w:after="0" w:line="131" w:lineRule="exact"/>
        <w:rPr>
          <w:sz w:val="20"/>
          <w:szCs w:val="20"/>
          <w:color w:val="auto"/>
        </w:rPr>
      </w:pPr>
    </w:p>
    <w:p>
      <w:pPr>
        <w:ind w:left="5400"/>
        <w:spacing w:after="0"/>
        <w:tabs>
          <w:tab w:leader="none" w:pos="7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Joan S. Hooper</w:t>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 2020</w:t>
      </w:r>
    </w:p>
    <w:p>
      <w:pPr>
        <w:sectPr>
          <w:pgSz w:w="11900" w:h="16838" w:orient="portrait"/>
          <w:cols w:equalWidth="0" w:num="1">
            <w:col w:w="11240"/>
          </w:cols>
          <w:pgMar w:left="320" w:top="117"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Quarterly Report of Itron, Inc. (the Company) on Form 10-Q for the quarterly period ended September 30, 2020 (the Report) for the purpose of complying with Rule 13a-14(b) or Rule 15d-14(b) of the Securities Exchange Act of 1934 and Section 1350 of Chapter 63 of Title 18 of the United States Code.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Thomas L. Deitrich, the Chief Executive Officer and Joan S. Hooper, the Chief Financial Officer of the Company, each certifies that to the best of his or her knowledge:</w:t>
      </w:r>
    </w:p>
    <w:p>
      <w:pPr>
        <w:spacing w:after="0" w:line="162" w:lineRule="exact"/>
        <w:rPr>
          <w:sz w:val="20"/>
          <w:szCs w:val="20"/>
          <w:color w:val="auto"/>
        </w:rPr>
      </w:pPr>
    </w:p>
    <w:p>
      <w:pPr>
        <w:ind w:left="840" w:hanging="387"/>
        <w:spacing w:after="0"/>
        <w:tabs>
          <w:tab w:leader="none" w:pos="8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60" w:right="740" w:hanging="407"/>
        <w:spacing w:after="0" w:line="282" w:lineRule="auto"/>
        <w:tabs>
          <w:tab w:leader="none" w:pos="84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/s/ THOMAS L. DEITRICH</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 2020</w:t>
            </w:r>
          </w:p>
        </w:tc>
        <w:tc>
          <w:tcPr>
            <w:tcW w:w="0" w:type="dxa"/>
            <w:vAlign w:val="bottom"/>
          </w:tcPr>
          <w:p>
            <w:pPr>
              <w:spacing w:after="0"/>
              <w:rPr>
                <w:sz w:val="1"/>
                <w:szCs w:val="1"/>
                <w:color w:val="auto"/>
              </w:rPr>
            </w:pPr>
          </w:p>
        </w:tc>
      </w:tr>
      <w:tr>
        <w:trPr>
          <w:trHeight w:val="169"/>
        </w:trPr>
        <w:tc>
          <w:tcPr>
            <w:tcW w:w="54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Thomas L. Deitrich</w:t>
            </w:r>
          </w:p>
        </w:tc>
        <w:tc>
          <w:tcPr>
            <w:tcW w:w="540" w:type="dxa"/>
            <w:vAlign w:val="bottom"/>
          </w:tcPr>
          <w:p>
            <w:pPr>
              <w:spacing w:after="0"/>
              <w:rPr>
                <w:sz w:val="14"/>
                <w:szCs w:val="14"/>
                <w:color w:val="auto"/>
              </w:rPr>
            </w:pPr>
          </w:p>
        </w:tc>
        <w:tc>
          <w:tcPr>
            <w:tcW w:w="33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38"/>
        </w:trPr>
        <w:tc>
          <w:tcPr>
            <w:tcW w:w="60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3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/s/ JOAN S. HOOPER</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 2020</w:t>
            </w:r>
          </w:p>
        </w:tc>
        <w:tc>
          <w:tcPr>
            <w:tcW w:w="0" w:type="dxa"/>
            <w:vAlign w:val="bottom"/>
          </w:tcPr>
          <w:p>
            <w:pPr>
              <w:spacing w:after="0"/>
              <w:rPr>
                <w:sz w:val="1"/>
                <w:szCs w:val="1"/>
                <w:color w:val="auto"/>
              </w:rPr>
            </w:pPr>
          </w:p>
        </w:tc>
      </w:tr>
      <w:tr>
        <w:trPr>
          <w:trHeight w:val="169"/>
        </w:trPr>
        <w:tc>
          <w:tcPr>
            <w:tcW w:w="54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Joan S. Hooper</w:t>
            </w:r>
          </w:p>
        </w:tc>
        <w:tc>
          <w:tcPr>
            <w:tcW w:w="540" w:type="dxa"/>
            <w:vAlign w:val="bottom"/>
          </w:tcPr>
          <w:p>
            <w:pPr>
              <w:spacing w:after="0"/>
              <w:rPr>
                <w:sz w:val="14"/>
                <w:szCs w:val="14"/>
                <w:color w:val="auto"/>
              </w:rPr>
            </w:pPr>
          </w:p>
        </w:tc>
        <w:tc>
          <w:tcPr>
            <w:tcW w:w="33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135"/>
        </w:trPr>
        <w:tc>
          <w:tcPr>
            <w:tcW w:w="602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Senior Vice President and Chief Financial Officer</w:t>
            </w:r>
          </w:p>
        </w:tc>
        <w:tc>
          <w:tcPr>
            <w:tcW w:w="3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6020" w:type="dxa"/>
            <w:vAlign w:val="bottom"/>
            <w:gridSpan w:val="2"/>
            <w:vMerge w:val="continue"/>
          </w:tcPr>
          <w:p>
            <w:pPr>
              <w:spacing w:after="0"/>
              <w:rPr>
                <w:sz w:val="8"/>
                <w:szCs w:val="8"/>
                <w:color w:val="auto"/>
              </w:rPr>
            </w:pPr>
          </w:p>
        </w:tc>
        <w:tc>
          <w:tcPr>
            <w:tcW w:w="3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1)"/>
      <w:numFmt w:val="lowerLetter"/>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lowerLetter"/>
      <w:start w:val="1"/>
    </w:lvl>
  </w:abstractNum>
  <w:abstractNum w:abstractNumId="12">
    <w:nsid w:val="333AB105"/>
    <w:multiLevelType w:val="hybridMultilevel"/>
    <w:lvl w:ilvl="0">
      <w:lvlJc w:val="left"/>
      <w:lvlText w:val="%1"/>
      <w:numFmt w:val="decimal"/>
      <w:start w:val="101"/>
    </w:lvl>
  </w:abstractNum>
  <w:abstractNum w:abstractNumId="13">
    <w:nsid w:val="721DA317"/>
    <w:multiLevelType w:val="hybridMultilevel"/>
    <w:lvl w:ilvl="0">
      <w:lvlJc w:val="left"/>
      <w:lvlText w:val="%1"/>
      <w:numFmt w:val="decimal"/>
      <w:start w:val="104"/>
    </w:lvl>
  </w:abstractNum>
  <w:abstractNum w:abstractNumId="14">
    <w:nsid w:val="2443A858"/>
    <w:multiLevelType w:val="hybridMultilevel"/>
    <w:lvl w:ilvl="0">
      <w:lvlJc w:val="left"/>
      <w:lvlText w:val="(%1)"/>
      <w:numFmt w:val="lowerLetter"/>
      <w:start w:val="1"/>
    </w:lvl>
  </w:abstractNum>
  <w:abstractNum w:abstractNumId="15">
    <w:nsid w:val="2D1D5AE9"/>
    <w:multiLevelType w:val="hybridMultilevel"/>
    <w:lvl w:ilvl="0">
      <w:lvlJc w:val="left"/>
      <w:lvlText w:val="(%1)"/>
      <w:numFmt w:val="lowerLetter"/>
      <w:start w:val="2"/>
    </w:lvl>
  </w:abstractNum>
  <w:abstractNum w:abstractNumId="16">
    <w:nsid w:val="6763845E"/>
    <w:multiLevelType w:val="hybridMultilevel"/>
    <w:lvl w:ilvl="0">
      <w:lvlJc w:val="left"/>
      <w:lvlText w:val="(%1)"/>
      <w:numFmt w:val="lowerLetter"/>
      <w:start w:val="3"/>
    </w:lvl>
  </w:abstractNum>
  <w:abstractNum w:abstractNumId="17">
    <w:nsid w:val="75A2A8D4"/>
    <w:multiLevelType w:val="hybridMultilevel"/>
    <w:lvl w:ilvl="0">
      <w:lvlJc w:val="left"/>
      <w:lvlText w:val="(%1)"/>
      <w:numFmt w:val="lowerLetter"/>
      <w:start w:val="4"/>
    </w:lvl>
  </w:abstractNum>
  <w:abstractNum w:abstractNumId="18">
    <w:nsid w:val="8EDBDAB"/>
    <w:multiLevelType w:val="hybridMultilevel"/>
    <w:lvl w:ilvl="0">
      <w:lvlJc w:val="left"/>
      <w:lvlText w:val="(%1)"/>
      <w:numFmt w:val="lowerLetter"/>
      <w:start w:val="5"/>
    </w:lvl>
  </w:abstractNum>
  <w:abstractNum w:abstractNumId="19">
    <w:nsid w:val="79838CB2"/>
    <w:multiLevelType w:val="hybridMultilevel"/>
    <w:lvl w:ilvl="0">
      <w:lvlJc w:val="left"/>
      <w:lvlText w:val="(%1)"/>
      <w:numFmt w:val="lowerLetter"/>
      <w:start w:val="6"/>
    </w:lvl>
  </w:abstractNum>
  <w:abstractNum w:abstractNumId="20">
    <w:nsid w:val="4353D0CD"/>
    <w:multiLevelType w:val="hybridMultilevel"/>
    <w:lvl w:ilvl="0">
      <w:lvlJc w:val="left"/>
      <w:lvlText w:val="%1"/>
      <w:numFmt w:val="lowerRoman"/>
      <w:start w:val="1"/>
    </w:lvl>
    <w:lvl w:ilvl="1">
      <w:lvlJc w:val="left"/>
      <w:lvlText w:val="(%2)"/>
      <w:numFmt w:val="lowerLetter"/>
      <w:start w:val="7"/>
    </w:lvl>
  </w:abstractNum>
  <w:abstractNum w:abstractNumId="21">
    <w:nsid w:val="B03E0C6"/>
    <w:multiLevelType w:val="hybridMultilevel"/>
    <w:lvl w:ilvl="0">
      <w:lvlJc w:val="left"/>
      <w:lvlText w:val="(%1)"/>
      <w:numFmt w:val="lowerRoman"/>
      <w:start w:val="4"/>
    </w:lvl>
    <w:lvl w:ilvl="1">
      <w:lvlJc w:val="left"/>
      <w:lvlText w:val="%2"/>
      <w:numFmt w:val="lowerLetter"/>
      <w:start w:val="1"/>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1)"/>
      <w:numFmt w:val="lowerLetter"/>
      <w:start w:val="3"/>
    </w:lvl>
  </w:abstractNum>
  <w:abstractNum w:abstractNumId="24">
    <w:nsid w:val="71F32454"/>
    <w:multiLevelType w:val="hybridMultilevel"/>
    <w:lvl w:ilvl="0">
      <w:lvlJc w:val="left"/>
      <w:lvlText w:val="(%1)"/>
      <w:numFmt w:val="lowerLetter"/>
      <w:start w:val="2"/>
    </w:lvl>
  </w:abstractNum>
  <w:abstractNum w:abstractNumId="25">
    <w:nsid w:val="2CA88611"/>
    <w:multiLevelType w:val="hybridMultilevel"/>
    <w:lvl w:ilvl="0">
      <w:lvlJc w:val="left"/>
      <w:lvlText w:val="(%1)"/>
      <w:numFmt w:val="lowerLetter"/>
      <w:start w:val="2"/>
    </w:lvl>
  </w:abstractNum>
  <w:abstractNum w:abstractNumId="26">
    <w:nsid w:val="836C40E"/>
    <w:multiLevelType w:val="hybridMultilevel"/>
    <w:lvl w:ilvl="0">
      <w:lvlJc w:val="left"/>
      <w:lvlText w:val="(%1)"/>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2020-11-02T11:40:37Z</dcterms:created>
  <dcterms:modified xsi:type="dcterms:W3CDTF">2020-11-02T11:40:37Z</dcterms:modified>
</cp:coreProperties>
</file>