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462280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13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 Pursuant to Section 13 or 15(d) of the</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May 9, 2019</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ITRON, INC.</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7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5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Washington</w:t>
            </w:r>
          </w:p>
        </w:tc>
        <w:tc>
          <w:tcPr>
            <w:tcW w:w="3360" w:type="dxa"/>
            <w:vAlign w:val="bottom"/>
          </w:tcPr>
          <w:p>
            <w:pPr>
              <w:jc w:val="right"/>
              <w:ind w:right="1190"/>
              <w:spacing w:after="0"/>
              <w:rPr>
                <w:sz w:val="20"/>
                <w:szCs w:val="20"/>
                <w:color w:val="auto"/>
              </w:rPr>
            </w:pPr>
            <w:r>
              <w:rPr>
                <w:rFonts w:ascii="Arial" w:cs="Arial" w:eastAsia="Arial" w:hAnsi="Arial"/>
                <w:sz w:val="18"/>
                <w:szCs w:val="18"/>
                <w:b w:val="1"/>
                <w:bCs w:val="1"/>
                <w:color w:val="auto"/>
              </w:rPr>
              <w:t>000-22418</w:t>
            </w:r>
          </w:p>
        </w:tc>
        <w:tc>
          <w:tcPr>
            <w:tcW w:w="300" w:type="dxa"/>
            <w:vAlign w:val="bottom"/>
          </w:tcPr>
          <w:p>
            <w:pPr>
              <w:spacing w:after="0"/>
              <w:rPr>
                <w:sz w:val="20"/>
                <w:szCs w:val="20"/>
                <w:color w:val="auto"/>
              </w:rPr>
            </w:pPr>
          </w:p>
        </w:tc>
        <w:tc>
          <w:tcPr>
            <w:tcW w:w="3360" w:type="dxa"/>
            <w:vAlign w:val="bottom"/>
          </w:tcPr>
          <w:p>
            <w:pPr>
              <w:jc w:val="right"/>
              <w:ind w:right="1150"/>
              <w:spacing w:after="0"/>
              <w:rPr>
                <w:sz w:val="20"/>
                <w:szCs w:val="20"/>
                <w:color w:val="auto"/>
              </w:rPr>
            </w:pPr>
            <w:r>
              <w:rPr>
                <w:rFonts w:ascii="Arial" w:cs="Arial" w:eastAsia="Arial" w:hAnsi="Arial"/>
                <w:sz w:val="18"/>
                <w:szCs w:val="18"/>
                <w:b w:val="1"/>
                <w:bCs w:val="1"/>
                <w:color w:val="auto"/>
              </w:rPr>
              <w:t>91-1011792</w:t>
            </w:r>
          </w:p>
        </w:tc>
      </w:tr>
      <w:tr>
        <w:trPr>
          <w:trHeight w:val="27"/>
        </w:trPr>
        <w:tc>
          <w:tcPr>
            <w:tcW w:w="31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r>
      <w:tr>
        <w:trPr>
          <w:trHeight w:val="222"/>
        </w:trPr>
        <w:tc>
          <w:tcPr>
            <w:tcW w:w="3500" w:type="dxa"/>
            <w:vAlign w:val="bottom"/>
            <w:gridSpan w:val="2"/>
          </w:tcPr>
          <w:p>
            <w:pPr>
              <w:jc w:val="center"/>
              <w:ind w:right="320"/>
              <w:spacing w:after="0"/>
              <w:rPr>
                <w:sz w:val="20"/>
                <w:szCs w:val="20"/>
                <w:color w:val="auto"/>
              </w:rPr>
            </w:pPr>
            <w:r>
              <w:rPr>
                <w:rFonts w:ascii="Arial" w:cs="Arial" w:eastAsia="Arial" w:hAnsi="Arial"/>
                <w:sz w:val="18"/>
                <w:szCs w:val="18"/>
                <w:i w:val="1"/>
                <w:iCs w:val="1"/>
                <w:color w:val="auto"/>
                <w:w w:val="93"/>
              </w:rPr>
              <w:t>(State or Other Jurisdiction of</w:t>
            </w:r>
          </w:p>
        </w:tc>
        <w:tc>
          <w:tcPr>
            <w:tcW w:w="3660" w:type="dxa"/>
            <w:vAlign w:val="bottom"/>
            <w:gridSpan w:val="2"/>
          </w:tcPr>
          <w:p>
            <w:pPr>
              <w:jc w:val="center"/>
              <w:ind w:right="320"/>
              <w:spacing w:after="0"/>
              <w:rPr>
                <w:sz w:val="20"/>
                <w:szCs w:val="20"/>
                <w:color w:val="auto"/>
              </w:rPr>
            </w:pPr>
            <w:r>
              <w:rPr>
                <w:rFonts w:ascii="Arial" w:cs="Arial" w:eastAsia="Arial" w:hAnsi="Arial"/>
                <w:sz w:val="18"/>
                <w:szCs w:val="18"/>
                <w:i w:val="1"/>
                <w:iCs w:val="1"/>
                <w:color w:val="auto"/>
                <w:w w:val="92"/>
              </w:rPr>
              <w:t>(Commission File Number)</w:t>
            </w:r>
          </w:p>
        </w:tc>
        <w:tc>
          <w:tcPr>
            <w:tcW w:w="3360" w:type="dxa"/>
            <w:vAlign w:val="bottom"/>
          </w:tcPr>
          <w:p>
            <w:pPr>
              <w:jc w:val="center"/>
              <w:spacing w:after="0"/>
              <w:rPr>
                <w:sz w:val="20"/>
                <w:szCs w:val="20"/>
                <w:color w:val="auto"/>
              </w:rPr>
            </w:pPr>
            <w:r>
              <w:rPr>
                <w:rFonts w:ascii="Arial" w:cs="Arial" w:eastAsia="Arial" w:hAnsi="Arial"/>
                <w:sz w:val="18"/>
                <w:szCs w:val="18"/>
                <w:i w:val="1"/>
                <w:iCs w:val="1"/>
                <w:color w:val="auto"/>
                <w:w w:val="92"/>
              </w:rPr>
              <w:t>(IRS Employer Identification Number)</w:t>
            </w:r>
          </w:p>
        </w:tc>
      </w:tr>
      <w:tr>
        <w:trPr>
          <w:trHeight w:val="230"/>
        </w:trPr>
        <w:tc>
          <w:tcPr>
            <w:tcW w:w="3500" w:type="dxa"/>
            <w:vAlign w:val="bottom"/>
            <w:gridSpan w:val="2"/>
          </w:tcPr>
          <w:p>
            <w:pPr>
              <w:jc w:val="center"/>
              <w:ind w:right="320"/>
              <w:spacing w:after="0"/>
              <w:rPr>
                <w:sz w:val="20"/>
                <w:szCs w:val="20"/>
                <w:color w:val="auto"/>
              </w:rPr>
            </w:pPr>
            <w:r>
              <w:rPr>
                <w:rFonts w:ascii="Arial" w:cs="Arial" w:eastAsia="Arial" w:hAnsi="Arial"/>
                <w:sz w:val="18"/>
                <w:szCs w:val="18"/>
                <w:i w:val="1"/>
                <w:iCs w:val="1"/>
                <w:color w:val="auto"/>
                <w:w w:val="95"/>
              </w:rPr>
              <w:t>Incorporation)</w:t>
            </w:r>
          </w:p>
        </w:tc>
        <w:tc>
          <w:tcPr>
            <w:tcW w:w="3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200" w:lineRule="exact"/>
        <w:rPr>
          <w:sz w:val="24"/>
          <w:szCs w:val="24"/>
          <w:color w:val="auto"/>
        </w:rPr>
      </w:pPr>
    </w:p>
    <w:p>
      <w:pPr>
        <w:spacing w:after="0" w:line="241" w:lineRule="exact"/>
        <w:rPr>
          <w:sz w:val="24"/>
          <w:szCs w:val="24"/>
          <w:color w:val="auto"/>
        </w:rPr>
      </w:pPr>
    </w:p>
    <w:p>
      <w:pPr>
        <w:ind w:left="3900"/>
        <w:spacing w:after="0"/>
        <w:rPr>
          <w:sz w:val="20"/>
          <w:szCs w:val="20"/>
          <w:color w:val="auto"/>
        </w:rPr>
      </w:pPr>
      <w:r>
        <w:rPr>
          <w:rFonts w:ascii="Arial" w:cs="Arial" w:eastAsia="Arial" w:hAnsi="Arial"/>
          <w:sz w:val="18"/>
          <w:szCs w:val="18"/>
          <w:b w:val="1"/>
          <w:bCs w:val="1"/>
          <w:color w:val="auto"/>
        </w:rPr>
        <w:t>2111 N. Molter Road, Liberty Lake, WA 99019</w:t>
      </w:r>
    </w:p>
    <w:p>
      <w:pPr>
        <w:spacing w:after="0" w:line="27" w:lineRule="exact"/>
        <w:rPr>
          <w:sz w:val="24"/>
          <w:szCs w:val="24"/>
          <w:color w:val="auto"/>
        </w:rPr>
      </w:pPr>
    </w:p>
    <w:p>
      <w:pPr>
        <w:ind w:left="3620"/>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9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(509) 924-9900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00" w:lineRule="exact"/>
        <w:rPr>
          <w:sz w:val="24"/>
          <w:szCs w:val="24"/>
          <w:color w:val="auto"/>
        </w:rPr>
      </w:pPr>
    </w:p>
    <w:p>
      <w:pPr>
        <w:spacing w:after="0" w:line="227"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22" w:lineRule="exact"/>
        <w:rPr>
          <w:sz w:val="24"/>
          <w:szCs w:val="24"/>
          <w:color w:val="auto"/>
        </w:rPr>
      </w:pPr>
    </w:p>
    <w:p>
      <w:pPr>
        <w:ind w:left="160" w:hanging="111"/>
        <w:spacing w:after="0"/>
        <w:tabs>
          <w:tab w:leader="none" w:pos="160" w:val="left"/>
        </w:tabs>
        <w:numPr>
          <w:ilvl w:val="0"/>
          <w:numId w:val="1"/>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16"/>
          <w:szCs w:val="16"/>
          <w:color w:val="auto"/>
        </w:rPr>
        <w:t>Written communications pursuant to Rule 425 under the Securities Act (17 CFR 230.425)</w:t>
      </w:r>
    </w:p>
    <w:p>
      <w:pPr>
        <w:spacing w:after="0" w:line="229" w:lineRule="exact"/>
        <w:rPr>
          <w:sz w:val="24"/>
          <w:szCs w:val="24"/>
          <w:color w:val="auto"/>
        </w:rPr>
      </w:pPr>
    </w:p>
    <w:p>
      <w:pPr>
        <w:ind w:left="160" w:hanging="111"/>
        <w:spacing w:after="0"/>
        <w:tabs>
          <w:tab w:leader="none" w:pos="160" w:val="left"/>
        </w:tabs>
        <w:numPr>
          <w:ilvl w:val="0"/>
          <w:numId w:val="2"/>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16"/>
          <w:szCs w:val="16"/>
          <w:color w:val="auto"/>
        </w:rPr>
        <w:t>Soliciting material pursuant to Rule 14a-12 under the Exchange Act (17 CFR 240.14a-12)</w:t>
      </w:r>
    </w:p>
    <w:p>
      <w:pPr>
        <w:spacing w:after="0" w:line="229" w:lineRule="exact"/>
        <w:rPr>
          <w:sz w:val="24"/>
          <w:szCs w:val="24"/>
          <w:color w:val="auto"/>
        </w:rPr>
      </w:pPr>
    </w:p>
    <w:p>
      <w:pPr>
        <w:ind w:left="160" w:hanging="111"/>
        <w:spacing w:after="0"/>
        <w:tabs>
          <w:tab w:leader="none" w:pos="160" w:val="left"/>
        </w:tabs>
        <w:numPr>
          <w:ilvl w:val="0"/>
          <w:numId w:val="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16"/>
          <w:szCs w:val="16"/>
          <w:color w:val="auto"/>
        </w:rPr>
        <w:t>Pre-commencement communications pursuant to Rule 14d-2(b) under the Exchange Act (17 CFR 240.14d-2(b))</w:t>
      </w:r>
    </w:p>
    <w:p>
      <w:pPr>
        <w:spacing w:after="0" w:line="229" w:lineRule="exact"/>
        <w:rPr>
          <w:sz w:val="24"/>
          <w:szCs w:val="24"/>
          <w:color w:val="auto"/>
        </w:rPr>
      </w:pPr>
    </w:p>
    <w:p>
      <w:pPr>
        <w:ind w:left="160" w:hanging="111"/>
        <w:spacing w:after="0"/>
        <w:tabs>
          <w:tab w:leader="none" w:pos="160" w:val="left"/>
        </w:tabs>
        <w:numPr>
          <w:ilvl w:val="0"/>
          <w:numId w:val="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16"/>
          <w:szCs w:val="16"/>
          <w:color w:val="auto"/>
        </w:rPr>
        <w:t>Pre-commencement communications pursuant to Rule 13e-4(c) under the Exchange Act (17 CFR 240.13e-4(c))</w:t>
      </w:r>
    </w:p>
    <w:p>
      <w:pPr>
        <w:spacing w:after="0" w:line="35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3"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172" w:lineRule="exact"/>
        <w:rPr>
          <w:sz w:val="24"/>
          <w:szCs w:val="24"/>
          <w:color w:val="auto"/>
        </w:rPr>
      </w:pPr>
    </w:p>
    <w:p>
      <w:pPr>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ectPr>
          <w:pgSz w:w="11900" w:h="16838" w:orient="portrait"/>
          <w:cols w:equalWidth="0" w:num="1">
            <w:col w:w="11400"/>
          </w:cols>
          <w:pgMar w:left="240" w:top="913" w:right="25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Itron, Inc. (the Company) held its 2019 Annual Meeting of Shareholders (the Annual Meeting) on May 9, 2019. Three proposals were voted upon at the Annual Meeting. The proposals are described in detail in the Company's proxy statement filed with the Securities and Exchange Commission on March 22, 2019. Each of the proposals passed. The final results for the votes regarding each proposal are set forth below.</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Proposal One: The following nominees for Director were elected until their successors are duly elected and qualified: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jc w:val="right"/>
              <w:ind w:right="510"/>
              <w:spacing w:after="0"/>
              <w:rPr>
                <w:sz w:val="20"/>
                <w:szCs w:val="20"/>
                <w:color w:val="auto"/>
              </w:rPr>
            </w:pPr>
            <w:r>
              <w:rPr>
                <w:rFonts w:ascii="Arial" w:cs="Arial" w:eastAsia="Arial" w:hAnsi="Arial"/>
                <w:sz w:val="18"/>
                <w:szCs w:val="18"/>
                <w:b w:val="1"/>
                <w:bCs w:val="1"/>
                <w:color w:val="auto"/>
              </w:rPr>
              <w:t>BROKER</w:t>
            </w:r>
          </w:p>
        </w:tc>
      </w:tr>
      <w:tr>
        <w:trPr>
          <w:trHeight w:val="234"/>
        </w:trPr>
        <w:tc>
          <w:tcPr>
            <w:tcW w:w="2760" w:type="dxa"/>
            <w:vAlign w:val="bottom"/>
            <w:gridSpan w:val="2"/>
          </w:tcPr>
          <w:p>
            <w:pPr>
              <w:ind w:left="80"/>
              <w:spacing w:after="0"/>
              <w:rPr>
                <w:sz w:val="20"/>
                <w:szCs w:val="20"/>
                <w:color w:val="auto"/>
              </w:rPr>
            </w:pPr>
            <w:r>
              <w:rPr>
                <w:rFonts w:ascii="Arial" w:cs="Arial" w:eastAsia="Arial" w:hAnsi="Arial"/>
                <w:sz w:val="18"/>
                <w:szCs w:val="18"/>
                <w:b w:val="1"/>
                <w:bCs w:val="1"/>
                <w:color w:val="auto"/>
              </w:rPr>
              <w:t>NOMINEE</w:t>
            </w:r>
          </w:p>
        </w:tc>
        <w:tc>
          <w:tcPr>
            <w:tcW w:w="2200" w:type="dxa"/>
            <w:vAlign w:val="bottom"/>
            <w:gridSpan w:val="2"/>
          </w:tcPr>
          <w:p>
            <w:pPr>
              <w:ind w:left="540"/>
              <w:spacing w:after="0"/>
              <w:rPr>
                <w:sz w:val="20"/>
                <w:szCs w:val="20"/>
                <w:color w:val="auto"/>
              </w:rPr>
            </w:pPr>
            <w:r>
              <w:rPr>
                <w:rFonts w:ascii="Arial" w:cs="Arial" w:eastAsia="Arial" w:hAnsi="Arial"/>
                <w:sz w:val="18"/>
                <w:szCs w:val="18"/>
                <w:b w:val="1"/>
                <w:bCs w:val="1"/>
                <w:color w:val="auto"/>
              </w:rPr>
              <w:t>VOTES FOR</w:t>
            </w:r>
          </w:p>
        </w:tc>
        <w:tc>
          <w:tcPr>
            <w:tcW w:w="2160" w:type="dxa"/>
            <w:vAlign w:val="bottom"/>
            <w:gridSpan w:val="2"/>
          </w:tcPr>
          <w:p>
            <w:pPr>
              <w:ind w:left="300"/>
              <w:spacing w:after="0"/>
              <w:rPr>
                <w:sz w:val="20"/>
                <w:szCs w:val="20"/>
                <w:color w:val="auto"/>
              </w:rPr>
            </w:pPr>
            <w:r>
              <w:rPr>
                <w:rFonts w:ascii="Arial" w:cs="Arial" w:eastAsia="Arial" w:hAnsi="Arial"/>
                <w:sz w:val="18"/>
                <w:szCs w:val="18"/>
                <w:b w:val="1"/>
                <w:bCs w:val="1"/>
                <w:color w:val="auto"/>
              </w:rPr>
              <w:t>VOTES AGAINST</w:t>
            </w:r>
          </w:p>
        </w:tc>
        <w:tc>
          <w:tcPr>
            <w:tcW w:w="2260" w:type="dxa"/>
            <w:vAlign w:val="bottom"/>
            <w:gridSpan w:val="2"/>
          </w:tcPr>
          <w:p>
            <w:pPr>
              <w:ind w:left="460"/>
              <w:spacing w:after="0"/>
              <w:rPr>
                <w:sz w:val="20"/>
                <w:szCs w:val="20"/>
                <w:color w:val="auto"/>
              </w:rPr>
            </w:pPr>
            <w:r>
              <w:rPr>
                <w:rFonts w:ascii="Arial" w:cs="Arial" w:eastAsia="Arial" w:hAnsi="Arial"/>
                <w:sz w:val="18"/>
                <w:szCs w:val="18"/>
                <w:b w:val="1"/>
                <w:bCs w:val="1"/>
                <w:color w:val="auto"/>
              </w:rPr>
              <w:t>ABSTENTIONS</w:t>
            </w:r>
          </w:p>
        </w:tc>
        <w:tc>
          <w:tcPr>
            <w:tcW w:w="2040" w:type="dxa"/>
            <w:vAlign w:val="bottom"/>
          </w:tcPr>
          <w:p>
            <w:pPr>
              <w:jc w:val="right"/>
              <w:ind w:right="370"/>
              <w:spacing w:after="0"/>
              <w:rPr>
                <w:sz w:val="20"/>
                <w:szCs w:val="20"/>
                <w:color w:val="auto"/>
              </w:rPr>
            </w:pPr>
            <w:r>
              <w:rPr>
                <w:rFonts w:ascii="Arial" w:cs="Arial" w:eastAsia="Arial" w:hAnsi="Arial"/>
                <w:sz w:val="18"/>
                <w:szCs w:val="18"/>
                <w:b w:val="1"/>
                <w:bCs w:val="1"/>
                <w:color w:val="auto"/>
              </w:rPr>
              <w:t>NON-VOTES</w:t>
            </w:r>
          </w:p>
        </w:tc>
      </w:tr>
      <w:tr>
        <w:trPr>
          <w:trHeight w:val="54"/>
        </w:trPr>
        <w:tc>
          <w:tcPr>
            <w:tcW w:w="26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r>
      <w:tr>
        <w:trPr>
          <w:trHeight w:val="264"/>
        </w:trPr>
        <w:tc>
          <w:tcPr>
            <w:tcW w:w="2760" w:type="dxa"/>
            <w:vAlign w:val="bottom"/>
            <w:gridSpan w:val="2"/>
          </w:tcPr>
          <w:p>
            <w:pPr>
              <w:ind w:left="80"/>
              <w:spacing w:after="0"/>
              <w:rPr>
                <w:sz w:val="20"/>
                <w:szCs w:val="20"/>
                <w:color w:val="auto"/>
              </w:rPr>
            </w:pPr>
            <w:r>
              <w:rPr>
                <w:rFonts w:ascii="Arial" w:cs="Arial" w:eastAsia="Arial" w:hAnsi="Arial"/>
                <w:sz w:val="18"/>
                <w:szCs w:val="18"/>
                <w:color w:val="auto"/>
              </w:rPr>
              <w:t>Lynda L. Ziegler</w:t>
            </w: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35,086,387</w:t>
            </w:r>
          </w:p>
        </w:tc>
        <w:tc>
          <w:tcPr>
            <w:tcW w:w="140" w:type="dxa"/>
            <w:vAlign w:val="bottom"/>
          </w:tcPr>
          <w:p>
            <w:pPr>
              <w:spacing w:after="0"/>
              <w:rPr>
                <w:sz w:val="22"/>
                <w:szCs w:val="22"/>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331,267</w:t>
            </w:r>
          </w:p>
        </w:tc>
        <w:tc>
          <w:tcPr>
            <w:tcW w:w="120" w:type="dxa"/>
            <w:vAlign w:val="bottom"/>
          </w:tcPr>
          <w:p>
            <w:pPr>
              <w:spacing w:after="0"/>
              <w:rPr>
                <w:sz w:val="22"/>
                <w:szCs w:val="22"/>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96,100</w:t>
            </w:r>
          </w:p>
        </w:tc>
        <w:tc>
          <w:tcPr>
            <w:tcW w:w="100" w:type="dxa"/>
            <w:vAlign w:val="bottom"/>
          </w:tcPr>
          <w:p>
            <w:pPr>
              <w:spacing w:after="0"/>
              <w:rPr>
                <w:sz w:val="22"/>
                <w:szCs w:val="22"/>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2,030,188</w:t>
            </w:r>
          </w:p>
        </w:tc>
      </w:tr>
      <w:tr>
        <w:trPr>
          <w:trHeight w:val="297"/>
        </w:trPr>
        <w:tc>
          <w:tcPr>
            <w:tcW w:w="2760" w:type="dxa"/>
            <w:vAlign w:val="bottom"/>
            <w:gridSpan w:val="2"/>
          </w:tcPr>
          <w:p>
            <w:pPr>
              <w:ind w:left="80"/>
              <w:spacing w:after="0"/>
              <w:rPr>
                <w:sz w:val="20"/>
                <w:szCs w:val="20"/>
                <w:color w:val="auto"/>
              </w:rPr>
            </w:pPr>
            <w:r>
              <w:rPr>
                <w:rFonts w:ascii="Arial" w:cs="Arial" w:eastAsia="Arial" w:hAnsi="Arial"/>
                <w:sz w:val="18"/>
                <w:szCs w:val="18"/>
                <w:color w:val="auto"/>
              </w:rPr>
              <w:t>Thomas S. Glanville</w:t>
            </w: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33,285,758</w:t>
            </w:r>
          </w:p>
        </w:tc>
        <w:tc>
          <w:tcPr>
            <w:tcW w:w="140" w:type="dxa"/>
            <w:vAlign w:val="bottom"/>
          </w:tcPr>
          <w:p>
            <w:pPr>
              <w:spacing w:after="0"/>
              <w:rPr>
                <w:sz w:val="24"/>
                <w:szCs w:val="24"/>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2,130,422</w:t>
            </w:r>
          </w:p>
        </w:tc>
        <w:tc>
          <w:tcPr>
            <w:tcW w:w="120" w:type="dxa"/>
            <w:vAlign w:val="bottom"/>
          </w:tcPr>
          <w:p>
            <w:pPr>
              <w:spacing w:after="0"/>
              <w:rPr>
                <w:sz w:val="24"/>
                <w:szCs w:val="24"/>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97,574</w:t>
            </w:r>
          </w:p>
        </w:tc>
        <w:tc>
          <w:tcPr>
            <w:tcW w:w="100" w:type="dxa"/>
            <w:vAlign w:val="bottom"/>
          </w:tcPr>
          <w:p>
            <w:pPr>
              <w:spacing w:after="0"/>
              <w:rPr>
                <w:sz w:val="24"/>
                <w:szCs w:val="24"/>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2,030,188</w:t>
            </w:r>
          </w:p>
        </w:tc>
      </w:tr>
      <w:tr>
        <w:trPr>
          <w:trHeight w:val="297"/>
        </w:trPr>
        <w:tc>
          <w:tcPr>
            <w:tcW w:w="2760" w:type="dxa"/>
            <w:vAlign w:val="bottom"/>
            <w:gridSpan w:val="2"/>
          </w:tcPr>
          <w:p>
            <w:pPr>
              <w:ind w:left="80"/>
              <w:spacing w:after="0"/>
              <w:rPr>
                <w:sz w:val="20"/>
                <w:szCs w:val="20"/>
                <w:color w:val="auto"/>
              </w:rPr>
            </w:pPr>
            <w:r>
              <w:rPr>
                <w:rFonts w:ascii="Arial" w:cs="Arial" w:eastAsia="Arial" w:hAnsi="Arial"/>
                <w:sz w:val="18"/>
                <w:szCs w:val="18"/>
                <w:color w:val="auto"/>
              </w:rPr>
              <w:t>Diana D. Tremblay</w:t>
            </w:r>
          </w:p>
        </w:tc>
        <w:tc>
          <w:tcPr>
            <w:tcW w:w="2060" w:type="dxa"/>
            <w:vAlign w:val="bottom"/>
          </w:tcPr>
          <w:p>
            <w:pPr>
              <w:jc w:val="right"/>
              <w:ind w:right="30"/>
              <w:spacing w:after="0"/>
              <w:rPr>
                <w:sz w:val="20"/>
                <w:szCs w:val="20"/>
                <w:color w:val="auto"/>
              </w:rPr>
            </w:pPr>
            <w:r>
              <w:rPr>
                <w:rFonts w:ascii="Arial" w:cs="Arial" w:eastAsia="Arial" w:hAnsi="Arial"/>
                <w:sz w:val="18"/>
                <w:szCs w:val="18"/>
                <w:color w:val="auto"/>
              </w:rPr>
              <w:t>34,804,371</w:t>
            </w:r>
          </w:p>
        </w:tc>
        <w:tc>
          <w:tcPr>
            <w:tcW w:w="140" w:type="dxa"/>
            <w:vAlign w:val="bottom"/>
          </w:tcPr>
          <w:p>
            <w:pPr>
              <w:spacing w:after="0"/>
              <w:rPr>
                <w:sz w:val="24"/>
                <w:szCs w:val="24"/>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612,701</w:t>
            </w:r>
          </w:p>
        </w:tc>
        <w:tc>
          <w:tcPr>
            <w:tcW w:w="120" w:type="dxa"/>
            <w:vAlign w:val="bottom"/>
          </w:tcPr>
          <w:p>
            <w:pPr>
              <w:spacing w:after="0"/>
              <w:rPr>
                <w:sz w:val="24"/>
                <w:szCs w:val="24"/>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96,682</w:t>
            </w:r>
          </w:p>
        </w:tc>
        <w:tc>
          <w:tcPr>
            <w:tcW w:w="100" w:type="dxa"/>
            <w:vAlign w:val="bottom"/>
          </w:tcPr>
          <w:p>
            <w:pPr>
              <w:spacing w:after="0"/>
              <w:rPr>
                <w:sz w:val="24"/>
                <w:szCs w:val="24"/>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2,030,188</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All nominees are to hold office in Class 3 for a term of three years until the Company’s 2022 Annual Meeting.</w:t>
      </w:r>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independent Director serves on at least one committee of the Board of Directors. For further information regarding the composition of such committees, refer to Itron's investor relations website, at http://investors.itron.com/committees.cfm.</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Proposal Two: Approval of the advisory (non-binding) resolution on executive compensation.</w:t>
      </w:r>
    </w:p>
    <w:p>
      <w:pPr>
        <w:spacing w:after="0" w:line="302" w:lineRule="exact"/>
        <w:rPr>
          <w:sz w:val="20"/>
          <w:szCs w:val="20"/>
          <w:color w:val="auto"/>
        </w:rPr>
      </w:pPr>
    </w:p>
    <w:tbl>
      <w:tblPr>
        <w:tblLayout w:type="fixed"/>
        <w:tblInd w:w="264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9"/>
              </w:rPr>
              <w:t>BROKER</w:t>
            </w:r>
          </w:p>
        </w:tc>
      </w:tr>
      <w:tr>
        <w:trPr>
          <w:trHeight w:val="234"/>
        </w:trPr>
        <w:tc>
          <w:tcPr>
            <w:tcW w:w="2180" w:type="dxa"/>
            <w:vAlign w:val="bottom"/>
            <w:gridSpan w:val="2"/>
          </w:tcPr>
          <w:p>
            <w:pPr>
              <w:ind w:left="560"/>
              <w:spacing w:after="0"/>
              <w:rPr>
                <w:sz w:val="20"/>
                <w:szCs w:val="20"/>
                <w:color w:val="auto"/>
              </w:rPr>
            </w:pPr>
            <w:r>
              <w:rPr>
                <w:rFonts w:ascii="Arial" w:cs="Arial" w:eastAsia="Arial" w:hAnsi="Arial"/>
                <w:sz w:val="18"/>
                <w:szCs w:val="18"/>
                <w:b w:val="1"/>
                <w:bCs w:val="1"/>
                <w:color w:val="auto"/>
              </w:rPr>
              <w:t>VOTES FOR</w:t>
            </w:r>
          </w:p>
        </w:tc>
        <w:tc>
          <w:tcPr>
            <w:tcW w:w="2200" w:type="dxa"/>
            <w:vAlign w:val="bottom"/>
            <w:gridSpan w:val="2"/>
          </w:tcPr>
          <w:p>
            <w:pPr>
              <w:ind w:left="340"/>
              <w:spacing w:after="0"/>
              <w:rPr>
                <w:sz w:val="20"/>
                <w:szCs w:val="20"/>
                <w:color w:val="auto"/>
              </w:rPr>
            </w:pPr>
            <w:r>
              <w:rPr>
                <w:rFonts w:ascii="Arial" w:cs="Arial" w:eastAsia="Arial" w:hAnsi="Arial"/>
                <w:sz w:val="18"/>
                <w:szCs w:val="18"/>
                <w:b w:val="1"/>
                <w:bCs w:val="1"/>
                <w:color w:val="auto"/>
              </w:rPr>
              <w:t>VOTES AGAINST</w:t>
            </w:r>
          </w:p>
        </w:tc>
        <w:tc>
          <w:tcPr>
            <w:tcW w:w="2360" w:type="dxa"/>
            <w:vAlign w:val="bottom"/>
            <w:gridSpan w:val="2"/>
          </w:tcPr>
          <w:p>
            <w:pPr>
              <w:ind w:left="520"/>
              <w:spacing w:after="0"/>
              <w:rPr>
                <w:sz w:val="20"/>
                <w:szCs w:val="20"/>
                <w:color w:val="auto"/>
              </w:rPr>
            </w:pPr>
            <w:r>
              <w:rPr>
                <w:rFonts w:ascii="Arial" w:cs="Arial" w:eastAsia="Arial" w:hAnsi="Arial"/>
                <w:sz w:val="18"/>
                <w:szCs w:val="18"/>
                <w:b w:val="1"/>
                <w:bCs w:val="1"/>
                <w:color w:val="auto"/>
              </w:rPr>
              <w:t>ABSTENTIONS</w:t>
            </w: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9"/>
              </w:rPr>
              <w:t>NON-VOTES</w:t>
            </w:r>
          </w:p>
        </w:tc>
      </w:tr>
      <w:tr>
        <w:trPr>
          <w:trHeight w:val="54"/>
        </w:trPr>
        <w:tc>
          <w:tcPr>
            <w:tcW w:w="20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r>
      <w:tr>
        <w:trPr>
          <w:trHeight w:val="237"/>
        </w:trPr>
        <w:tc>
          <w:tcPr>
            <w:tcW w:w="2060" w:type="dxa"/>
            <w:vAlign w:val="bottom"/>
          </w:tcPr>
          <w:p>
            <w:pPr>
              <w:jc w:val="right"/>
              <w:ind w:right="150"/>
              <w:spacing w:after="0"/>
              <w:rPr>
                <w:sz w:val="20"/>
                <w:szCs w:val="20"/>
                <w:color w:val="auto"/>
              </w:rPr>
            </w:pPr>
            <w:r>
              <w:rPr>
                <w:rFonts w:ascii="Arial" w:cs="Arial" w:eastAsia="Arial" w:hAnsi="Arial"/>
                <w:sz w:val="18"/>
                <w:szCs w:val="18"/>
                <w:color w:val="auto"/>
              </w:rPr>
              <w:t>33,468,861</w:t>
            </w:r>
          </w:p>
        </w:tc>
        <w:tc>
          <w:tcPr>
            <w:tcW w:w="120" w:type="dxa"/>
            <w:vAlign w:val="bottom"/>
          </w:tcPr>
          <w:p>
            <w:pPr>
              <w:spacing w:after="0"/>
              <w:rPr>
                <w:sz w:val="20"/>
                <w:szCs w:val="20"/>
                <w:color w:val="auto"/>
              </w:rPr>
            </w:pPr>
          </w:p>
        </w:tc>
        <w:tc>
          <w:tcPr>
            <w:tcW w:w="2080" w:type="dxa"/>
            <w:vAlign w:val="bottom"/>
          </w:tcPr>
          <w:p>
            <w:pPr>
              <w:jc w:val="right"/>
              <w:ind w:right="150"/>
              <w:spacing w:after="0"/>
              <w:rPr>
                <w:sz w:val="20"/>
                <w:szCs w:val="20"/>
                <w:color w:val="auto"/>
              </w:rPr>
            </w:pPr>
            <w:r>
              <w:rPr>
                <w:rFonts w:ascii="Arial" w:cs="Arial" w:eastAsia="Arial" w:hAnsi="Arial"/>
                <w:sz w:val="18"/>
                <w:szCs w:val="18"/>
                <w:color w:val="auto"/>
              </w:rPr>
              <w:t>1,988,747</w:t>
            </w:r>
          </w:p>
        </w:tc>
        <w:tc>
          <w:tcPr>
            <w:tcW w:w="120" w:type="dxa"/>
            <w:vAlign w:val="bottom"/>
          </w:tcPr>
          <w:p>
            <w:pPr>
              <w:spacing w:after="0"/>
              <w:rPr>
                <w:sz w:val="20"/>
                <w:szCs w:val="20"/>
                <w:color w:val="auto"/>
              </w:rPr>
            </w:pPr>
          </w:p>
        </w:tc>
        <w:tc>
          <w:tcPr>
            <w:tcW w:w="2260" w:type="dxa"/>
            <w:vAlign w:val="bottom"/>
          </w:tcPr>
          <w:p>
            <w:pPr>
              <w:jc w:val="right"/>
              <w:ind w:right="30"/>
              <w:spacing w:after="0"/>
              <w:rPr>
                <w:sz w:val="20"/>
                <w:szCs w:val="20"/>
                <w:color w:val="auto"/>
              </w:rPr>
            </w:pPr>
            <w:r>
              <w:rPr>
                <w:rFonts w:ascii="Arial" w:cs="Arial" w:eastAsia="Arial" w:hAnsi="Arial"/>
                <w:sz w:val="18"/>
                <w:szCs w:val="18"/>
                <w:color w:val="auto"/>
              </w:rPr>
              <w:t>56,146</w:t>
            </w:r>
          </w:p>
        </w:tc>
        <w:tc>
          <w:tcPr>
            <w:tcW w:w="100" w:type="dxa"/>
            <w:vAlign w:val="bottom"/>
          </w:tcPr>
          <w:p>
            <w:pPr>
              <w:spacing w:after="0"/>
              <w:rPr>
                <w:sz w:val="20"/>
                <w:szCs w:val="20"/>
                <w:color w:val="auto"/>
              </w:rPr>
            </w:pPr>
          </w:p>
        </w:tc>
        <w:tc>
          <w:tcPr>
            <w:tcW w:w="2020" w:type="dxa"/>
            <w:vAlign w:val="bottom"/>
          </w:tcPr>
          <w:p>
            <w:pPr>
              <w:jc w:val="right"/>
              <w:ind w:right="110"/>
              <w:spacing w:after="0"/>
              <w:rPr>
                <w:sz w:val="20"/>
                <w:szCs w:val="20"/>
                <w:color w:val="auto"/>
              </w:rPr>
            </w:pPr>
            <w:r>
              <w:rPr>
                <w:rFonts w:ascii="Arial" w:cs="Arial" w:eastAsia="Arial" w:hAnsi="Arial"/>
                <w:sz w:val="18"/>
                <w:szCs w:val="18"/>
                <w:color w:val="auto"/>
              </w:rPr>
              <w:t>2,030,188</w:t>
            </w:r>
          </w:p>
        </w:tc>
      </w:tr>
    </w:tbl>
    <w:p>
      <w:pPr>
        <w:spacing w:after="0" w:line="200" w:lineRule="exact"/>
        <w:rPr>
          <w:sz w:val="20"/>
          <w:szCs w:val="20"/>
          <w:color w:val="auto"/>
        </w:rPr>
      </w:pPr>
    </w:p>
    <w:p>
      <w:pPr>
        <w:spacing w:after="0" w:line="24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Proposal Three: Ratification of the appointment of Deloitte &amp; Touche LLP as the Company's independent registered public accounting firm for the 2019 fiscal year.</w:t>
      </w:r>
    </w:p>
    <w:p>
      <w:pPr>
        <w:spacing w:after="0" w:line="247" w:lineRule="exact"/>
        <w:rPr>
          <w:sz w:val="20"/>
          <w:szCs w:val="20"/>
          <w:color w:val="auto"/>
        </w:rPr>
      </w:pPr>
    </w:p>
    <w:tbl>
      <w:tblPr>
        <w:tblLayout w:type="fixed"/>
        <w:tblInd w:w="2640" w:type="dxa"/>
        <w:tblCellMar>
          <w:top w:w="0" w:type="dxa"/>
          <w:left w:w="0" w:type="dxa"/>
          <w:bottom w:w="0" w:type="dxa"/>
          <w:right w:w="0" w:type="dxa"/>
        </w:tblCellMar>
      </w:tblPr>
      <w:tr>
        <w:trPr>
          <w:trHeight w:val="216"/>
        </w:trPr>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jc w:val="center"/>
              <w:ind w:left="10"/>
              <w:spacing w:after="0"/>
              <w:rPr>
                <w:sz w:val="20"/>
                <w:szCs w:val="20"/>
                <w:color w:val="auto"/>
              </w:rPr>
            </w:pPr>
            <w:r>
              <w:rPr>
                <w:rFonts w:ascii="Arial" w:cs="Arial" w:eastAsia="Arial" w:hAnsi="Arial"/>
                <w:sz w:val="18"/>
                <w:szCs w:val="18"/>
                <w:b w:val="1"/>
                <w:bCs w:val="1"/>
                <w:color w:val="auto"/>
                <w:w w:val="99"/>
              </w:rPr>
              <w:t>BROKER</w:t>
            </w:r>
          </w:p>
        </w:tc>
      </w:tr>
      <w:tr>
        <w:trPr>
          <w:trHeight w:val="234"/>
        </w:trPr>
        <w:tc>
          <w:tcPr>
            <w:tcW w:w="2200" w:type="dxa"/>
            <w:vAlign w:val="bottom"/>
            <w:gridSpan w:val="2"/>
          </w:tcPr>
          <w:p>
            <w:pPr>
              <w:ind w:left="560"/>
              <w:spacing w:after="0"/>
              <w:rPr>
                <w:sz w:val="20"/>
                <w:szCs w:val="20"/>
                <w:color w:val="auto"/>
              </w:rPr>
            </w:pPr>
            <w:r>
              <w:rPr>
                <w:rFonts w:ascii="Arial" w:cs="Arial" w:eastAsia="Arial" w:hAnsi="Arial"/>
                <w:sz w:val="18"/>
                <w:szCs w:val="18"/>
                <w:b w:val="1"/>
                <w:bCs w:val="1"/>
                <w:color w:val="auto"/>
              </w:rPr>
              <w:t>VOTES FOR</w:t>
            </w:r>
          </w:p>
        </w:tc>
        <w:tc>
          <w:tcPr>
            <w:tcW w:w="2160" w:type="dxa"/>
            <w:vAlign w:val="bottom"/>
            <w:gridSpan w:val="2"/>
          </w:tcPr>
          <w:p>
            <w:pPr>
              <w:ind w:left="340"/>
              <w:spacing w:after="0"/>
              <w:rPr>
                <w:sz w:val="20"/>
                <w:szCs w:val="20"/>
                <w:color w:val="auto"/>
              </w:rPr>
            </w:pPr>
            <w:r>
              <w:rPr>
                <w:rFonts w:ascii="Arial" w:cs="Arial" w:eastAsia="Arial" w:hAnsi="Arial"/>
                <w:sz w:val="18"/>
                <w:szCs w:val="18"/>
                <w:b w:val="1"/>
                <w:bCs w:val="1"/>
                <w:color w:val="auto"/>
              </w:rPr>
              <w:t>VOTES AGAINST</w:t>
            </w:r>
          </w:p>
        </w:tc>
        <w:tc>
          <w:tcPr>
            <w:tcW w:w="2380" w:type="dxa"/>
            <w:vAlign w:val="bottom"/>
            <w:gridSpan w:val="2"/>
          </w:tcPr>
          <w:p>
            <w:pPr>
              <w:ind w:left="540"/>
              <w:spacing w:after="0"/>
              <w:rPr>
                <w:sz w:val="20"/>
                <w:szCs w:val="20"/>
                <w:color w:val="auto"/>
              </w:rPr>
            </w:pPr>
            <w:r>
              <w:rPr>
                <w:rFonts w:ascii="Arial" w:cs="Arial" w:eastAsia="Arial" w:hAnsi="Arial"/>
                <w:sz w:val="18"/>
                <w:szCs w:val="18"/>
                <w:b w:val="1"/>
                <w:bCs w:val="1"/>
                <w:color w:val="auto"/>
              </w:rPr>
              <w:t>ABSTENTIONS</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rPr>
              <w:t>NON-VOTES</w:t>
            </w:r>
          </w:p>
        </w:tc>
      </w:tr>
      <w:tr>
        <w:trPr>
          <w:trHeight w:val="54"/>
        </w:trPr>
        <w:tc>
          <w:tcPr>
            <w:tcW w:w="2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r>
      <w:tr>
        <w:trPr>
          <w:trHeight w:val="237"/>
        </w:trPr>
        <w:tc>
          <w:tcPr>
            <w:tcW w:w="2080" w:type="dxa"/>
            <w:vAlign w:val="bottom"/>
          </w:tcPr>
          <w:p>
            <w:pPr>
              <w:jc w:val="right"/>
              <w:ind w:right="150"/>
              <w:spacing w:after="0"/>
              <w:rPr>
                <w:sz w:val="20"/>
                <w:szCs w:val="20"/>
                <w:color w:val="auto"/>
              </w:rPr>
            </w:pPr>
            <w:r>
              <w:rPr>
                <w:rFonts w:ascii="Arial" w:cs="Arial" w:eastAsia="Arial" w:hAnsi="Arial"/>
                <w:sz w:val="18"/>
                <w:szCs w:val="18"/>
                <w:color w:val="auto"/>
              </w:rPr>
              <w:t>37,449,329</w:t>
            </w:r>
          </w:p>
        </w:tc>
        <w:tc>
          <w:tcPr>
            <w:tcW w:w="120" w:type="dxa"/>
            <w:vAlign w:val="bottom"/>
          </w:tcPr>
          <w:p>
            <w:pPr>
              <w:spacing w:after="0"/>
              <w:rPr>
                <w:sz w:val="20"/>
                <w:szCs w:val="20"/>
                <w:color w:val="auto"/>
              </w:rPr>
            </w:pPr>
          </w:p>
        </w:tc>
        <w:tc>
          <w:tcPr>
            <w:tcW w:w="2060" w:type="dxa"/>
            <w:vAlign w:val="bottom"/>
          </w:tcPr>
          <w:p>
            <w:pPr>
              <w:jc w:val="right"/>
              <w:ind w:right="130"/>
              <w:spacing w:after="0"/>
              <w:rPr>
                <w:sz w:val="20"/>
                <w:szCs w:val="20"/>
                <w:color w:val="auto"/>
              </w:rPr>
            </w:pPr>
            <w:r>
              <w:rPr>
                <w:rFonts w:ascii="Arial" w:cs="Arial" w:eastAsia="Arial" w:hAnsi="Arial"/>
                <w:sz w:val="18"/>
                <w:szCs w:val="18"/>
                <w:color w:val="auto"/>
              </w:rPr>
              <w:t>41,632</w:t>
            </w:r>
          </w:p>
        </w:tc>
        <w:tc>
          <w:tcPr>
            <w:tcW w:w="100" w:type="dxa"/>
            <w:vAlign w:val="bottom"/>
          </w:tcPr>
          <w:p>
            <w:pPr>
              <w:spacing w:after="0"/>
              <w:rPr>
                <w:sz w:val="20"/>
                <w:szCs w:val="20"/>
                <w:color w:val="auto"/>
              </w:rPr>
            </w:pPr>
          </w:p>
        </w:tc>
        <w:tc>
          <w:tcPr>
            <w:tcW w:w="2280" w:type="dxa"/>
            <w:vAlign w:val="bottom"/>
          </w:tcPr>
          <w:p>
            <w:pPr>
              <w:jc w:val="right"/>
              <w:ind w:right="130"/>
              <w:spacing w:after="0"/>
              <w:rPr>
                <w:sz w:val="20"/>
                <w:szCs w:val="20"/>
                <w:color w:val="auto"/>
              </w:rPr>
            </w:pPr>
            <w:r>
              <w:rPr>
                <w:rFonts w:ascii="Arial" w:cs="Arial" w:eastAsia="Arial" w:hAnsi="Arial"/>
                <w:sz w:val="18"/>
                <w:szCs w:val="18"/>
                <w:color w:val="auto"/>
              </w:rPr>
              <w:t>52,981</w:t>
            </w:r>
          </w:p>
        </w:tc>
        <w:tc>
          <w:tcPr>
            <w:tcW w:w="100" w:type="dxa"/>
            <w:vAlign w:val="bottom"/>
          </w:tcPr>
          <w:p>
            <w:pPr>
              <w:spacing w:after="0"/>
              <w:rPr>
                <w:sz w:val="20"/>
                <w:szCs w:val="20"/>
                <w:color w:val="auto"/>
              </w:rPr>
            </w:pPr>
          </w:p>
        </w:tc>
        <w:tc>
          <w:tcPr>
            <w:tcW w:w="2040" w:type="dxa"/>
            <w:vAlign w:val="bottom"/>
          </w:tcPr>
          <w:p>
            <w:pPr>
              <w:ind w:left="164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420"/>
          </w:cols>
          <w:pgMar w:left="240" w:top="1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7420" w:type="dxa"/>
            <w:vAlign w:val="bottom"/>
            <w:gridSpan w:val="2"/>
          </w:tcPr>
          <w:p>
            <w:pPr>
              <w:ind w:left="2200"/>
              <w:spacing w:after="0"/>
              <w:rPr>
                <w:sz w:val="20"/>
                <w:szCs w:val="20"/>
                <w:color w:val="auto"/>
              </w:rPr>
            </w:pPr>
            <w:r>
              <w:rPr>
                <w:rFonts w:ascii="Arial" w:cs="Arial" w:eastAsia="Arial" w:hAnsi="Arial"/>
                <w:sz w:val="18"/>
                <w:szCs w:val="18"/>
                <w:color w:val="auto"/>
              </w:rPr>
              <w:t>ITRON, INC.</w:t>
            </w:r>
          </w:p>
        </w:tc>
        <w:tc>
          <w:tcPr>
            <w:tcW w:w="0" w:type="dxa"/>
            <w:vAlign w:val="bottom"/>
          </w:tcPr>
          <w:p>
            <w:pPr>
              <w:spacing w:after="0"/>
              <w:rPr>
                <w:sz w:val="1"/>
                <w:szCs w:val="1"/>
                <w:color w:val="auto"/>
              </w:rPr>
            </w:pPr>
          </w:p>
        </w:tc>
      </w:tr>
      <w:tr>
        <w:trPr>
          <w:trHeight w:val="270"/>
        </w:trPr>
        <w:tc>
          <w:tcPr>
            <w:tcW w:w="3620" w:type="dxa"/>
            <w:vAlign w:val="bottom"/>
            <w:vMerge w:val="restart"/>
          </w:tcPr>
          <w:p>
            <w:pPr>
              <w:spacing w:after="0"/>
              <w:rPr>
                <w:sz w:val="20"/>
                <w:szCs w:val="20"/>
                <w:color w:val="auto"/>
              </w:rPr>
            </w:pPr>
            <w:r>
              <w:rPr>
                <w:rFonts w:ascii="Arial" w:cs="Arial" w:eastAsia="Arial" w:hAnsi="Arial"/>
                <w:sz w:val="18"/>
                <w:szCs w:val="18"/>
                <w:color w:val="auto"/>
              </w:rPr>
              <w:t>Date: May 10, 2019</w:t>
            </w:r>
          </w:p>
        </w:tc>
        <w:tc>
          <w:tcPr>
            <w:tcW w:w="7420" w:type="dxa"/>
            <w:vAlign w:val="bottom"/>
            <w:gridSpan w:val="2"/>
          </w:tcPr>
          <w:p>
            <w:pPr>
              <w:ind w:left="220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108"/>
        </w:trPr>
        <w:tc>
          <w:tcPr>
            <w:tcW w:w="3620" w:type="dxa"/>
            <w:vAlign w:val="bottom"/>
            <w:vMerge w:val="continue"/>
          </w:tcPr>
          <w:p>
            <w:pPr>
              <w:spacing w:after="0"/>
              <w:rPr>
                <w:sz w:val="9"/>
                <w:szCs w:val="9"/>
                <w:color w:val="auto"/>
              </w:rPr>
            </w:pPr>
          </w:p>
        </w:tc>
        <w:tc>
          <w:tcPr>
            <w:tcW w:w="3080" w:type="dxa"/>
            <w:vAlign w:val="bottom"/>
          </w:tcPr>
          <w:p>
            <w:pPr>
              <w:spacing w:after="0"/>
              <w:rPr>
                <w:sz w:val="9"/>
                <w:szCs w:val="9"/>
                <w:color w:val="auto"/>
              </w:rPr>
            </w:pPr>
          </w:p>
        </w:tc>
        <w:tc>
          <w:tcPr>
            <w:tcW w:w="4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62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43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6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340" w:type="dxa"/>
            <w:vAlign w:val="bottom"/>
          </w:tcPr>
          <w:p>
            <w:pPr>
              <w:ind w:left="40"/>
              <w:spacing w:after="0"/>
              <w:rPr>
                <w:sz w:val="20"/>
                <w:szCs w:val="20"/>
                <w:color w:val="auto"/>
              </w:rPr>
            </w:pPr>
            <w:r>
              <w:rPr>
                <w:rFonts w:ascii="Arial" w:cs="Arial" w:eastAsia="Arial" w:hAnsi="Arial"/>
                <w:sz w:val="18"/>
                <w:szCs w:val="18"/>
                <w:color w:val="auto"/>
              </w:rPr>
              <w:t>Sarah E. Hlavinka</w:t>
            </w:r>
          </w:p>
        </w:tc>
        <w:tc>
          <w:tcPr>
            <w:tcW w:w="0" w:type="dxa"/>
            <w:vAlign w:val="bottom"/>
          </w:tcPr>
          <w:p>
            <w:pPr>
              <w:spacing w:after="0"/>
              <w:rPr>
                <w:sz w:val="1"/>
                <w:szCs w:val="1"/>
                <w:color w:val="auto"/>
              </w:rPr>
            </w:pPr>
          </w:p>
        </w:tc>
      </w:tr>
      <w:tr>
        <w:trPr>
          <w:trHeight w:val="216"/>
        </w:trPr>
        <w:tc>
          <w:tcPr>
            <w:tcW w:w="36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4340" w:type="dxa"/>
            <w:vAlign w:val="bottom"/>
          </w:tcPr>
          <w:p>
            <w:pPr>
              <w:ind w:left="40"/>
              <w:spacing w:after="0"/>
              <w:rPr>
                <w:sz w:val="20"/>
                <w:szCs w:val="20"/>
                <w:color w:val="auto"/>
              </w:rPr>
            </w:pPr>
            <w:r>
              <w:rPr>
                <w:rFonts w:ascii="Arial" w:cs="Arial" w:eastAsia="Arial" w:hAnsi="Arial"/>
                <w:sz w:val="18"/>
                <w:szCs w:val="18"/>
                <w:color w:val="auto"/>
                <w:w w:val="97"/>
              </w:rPr>
              <w:t>Senior Vice President, General Counsel and Corporate</w:t>
            </w: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340" w:type="dxa"/>
            <w:vAlign w:val="bottom"/>
          </w:tcPr>
          <w:p>
            <w:pPr>
              <w:ind w:left="40"/>
              <w:spacing w:after="0"/>
              <w:rPr>
                <w:sz w:val="20"/>
                <w:szCs w:val="20"/>
                <w:color w:val="auto"/>
              </w:rPr>
            </w:pPr>
            <w:r>
              <w:rPr>
                <w:rFonts w:ascii="Arial" w:cs="Arial" w:eastAsia="Arial" w:hAnsi="Arial"/>
                <w:sz w:val="18"/>
                <w:szCs w:val="18"/>
                <w:color w:val="auto"/>
              </w:rPr>
              <w:t>Secretary</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7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2019-12-02T20:36:42Z</dcterms:created>
  <dcterms:modified xsi:type="dcterms:W3CDTF">2019-12-02T20:36:42Z</dcterms:modified>
</cp:coreProperties>
</file>