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9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April 19, 2004</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18" w:right="1440" w:bottom="1440" w:gutter="0" w:footer="0" w:header="0"/>
        </w:sectPr>
      </w:pPr>
    </w:p>
    <w:p>
      <w:pPr>
        <w:spacing w:after="0" w:line="37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Washington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640"/>
        <w:spacing w:after="0"/>
        <w:tabs>
          <w:tab w:leader="none" w:pos="3140" w:val="left"/>
        </w:tabs>
        <w:rPr>
          <w:sz w:val="20"/>
          <w:szCs w:val="20"/>
          <w:color w:val="auto"/>
        </w:rPr>
      </w:pPr>
      <w:r>
        <w:rPr>
          <w:rFonts w:ascii="Courier New" w:cs="Courier New" w:eastAsia="Courier New" w:hAnsi="Courier New"/>
          <w:sz w:val="18"/>
          <w:szCs w:val="18"/>
          <w:color w:val="auto"/>
        </w:rPr>
        <w:t>000-22418</w:t>
      </w:r>
      <w:r>
        <w:rPr>
          <w:sz w:val="20"/>
          <w:szCs w:val="20"/>
          <w:color w:val="auto"/>
        </w:rPr>
        <w:tab/>
      </w:r>
      <w:r>
        <w:rPr>
          <w:rFonts w:ascii="Courier New" w:cs="Courier New" w:eastAsia="Courier New" w:hAnsi="Courier New"/>
          <w:sz w:val="16"/>
          <w:szCs w:val="16"/>
          <w:color w:val="auto"/>
        </w:rPr>
        <w:t>91-1011792</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(Commission File No.)</w:t>
      </w:r>
      <w:r>
        <w:rPr>
          <w:sz w:val="20"/>
          <w:szCs w:val="20"/>
          <w:color w:val="auto"/>
        </w:rPr>
        <w:tab/>
      </w:r>
      <w:r>
        <w:rPr>
          <w:rFonts w:ascii="Courier New" w:cs="Courier New" w:eastAsia="Courier New" w:hAnsi="Courier New"/>
          <w:sz w:val="16"/>
          <w:szCs w:val="16"/>
          <w:color w:val="auto"/>
        </w:rPr>
        <w:t>(IRS Employer</w:t>
      </w:r>
    </w:p>
    <w:p>
      <w:pPr>
        <w:ind w:left="2640"/>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3700" w:space="100"/>
            <w:col w:w="6419"/>
          </w:cols>
          <w:pgMar w:left="240" w:top="218" w:right="1440" w:bottom="1440" w:gutter="0" w:footer="0" w:header="0"/>
          <w:type w:val="continuous"/>
        </w:sectPr>
      </w:pPr>
    </w:p>
    <w:p>
      <w:pPr>
        <w:spacing w:after="0" w:line="1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169"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30"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Item 7. Financial Statements and Exhibits. The following item is attached as an exhibit hereto:</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No. 99.1</w:t>
      </w:r>
      <w:r>
        <w:rPr>
          <w:sz w:val="20"/>
          <w:szCs w:val="20"/>
          <w:color w:val="auto"/>
        </w:rPr>
        <w:tab/>
      </w:r>
      <w:r>
        <w:rPr>
          <w:rFonts w:ascii="Courier New" w:cs="Courier New" w:eastAsia="Courier New" w:hAnsi="Courier New"/>
          <w:sz w:val="16"/>
          <w:szCs w:val="16"/>
          <w:color w:val="auto"/>
        </w:rPr>
        <w:t>Press Release dated April 19, 2004</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1" w:lineRule="exact"/>
        <w:rPr>
          <w:sz w:val="24"/>
          <w:szCs w:val="24"/>
          <w:color w:val="auto"/>
        </w:rPr>
      </w:pPr>
    </w:p>
    <w:p>
      <w:pPr>
        <w:ind w:right="1779" w:firstLine="1475"/>
        <w:spacing w:after="0" w:line="274" w:lineRule="auto"/>
        <w:rPr>
          <w:sz w:val="20"/>
          <w:szCs w:val="20"/>
          <w:color w:val="auto"/>
        </w:rPr>
      </w:pPr>
      <w:r>
        <w:rPr>
          <w:rFonts w:ascii="Courier New" w:cs="Courier New" w:eastAsia="Courier New" w:hAnsi="Courier New"/>
          <w:sz w:val="18"/>
          <w:szCs w:val="18"/>
          <w:color w:val="auto"/>
        </w:rPr>
        <w:t>On April 19, 2004, Itron, Inc. issued a press release announcing the financial results for the first quarter ending March 31, 2004. A copy of this press release and accompanying financial statements are attached as Exhibit 99.1.</w:t>
      </w:r>
    </w:p>
    <w:p>
      <w:pPr>
        <w:sectPr>
          <w:pgSz w:w="11900" w:h="16838" w:orient="portrait"/>
          <w:cols w:equalWidth="0" w:num="1">
            <w:col w:w="10219"/>
          </w:cols>
          <w:pgMar w:left="240" w:top="218"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44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19, 2004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G. REMINGTON</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David G. Remington</w:t>
      </w: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3">
            <w:col w:w="640" w:space="220"/>
            <w:col w:w="2220" w:space="720"/>
            <w:col w:w="6419"/>
          </w:cols>
          <w:pgMar w:left="240" w:top="1440" w:right="1440" w:bottom="1440" w:gutter="0" w:footer="0" w:header="0"/>
          <w:type w:val="continuous"/>
        </w:sectPr>
      </w:pPr>
    </w:p>
    <w:bookmarkStart w:id="2" w:name="page3"/>
    <w:bookmarkEnd w:id="2"/>
    <w:p>
      <w:pPr>
        <w:spacing w:after="0" w:line="2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Itron Reports Financial Results for First Quarter 2004</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SPOKANE, Wash.--(BUSINESS WIRE)--April 19, 2004--Itron, Inc. (Nasdaq:ITRI), today reported its financial results for the quarter ended March 31, 2004.</w:t>
      </w:r>
    </w:p>
    <w:p>
      <w:pPr>
        <w:spacing w:after="0" w:line="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First quarter revenues were $65.6 million compared with $74.6 million in the first quarter of 2003, with most of the decline in 2004 coming from lower sales of automatic and handheld meter reading systems to electric market customers. Electric market revenues for the quarter were $24.3 million, compared to $39.2 million in the first quarter of 2003.</w:t>
      </w:r>
    </w:p>
    <w:p>
      <w:pPr>
        <w:spacing w:after="0" w:line="96" w:lineRule="exact"/>
        <w:rPr>
          <w:sz w:val="20"/>
          <w:szCs w:val="20"/>
          <w:color w:val="auto"/>
        </w:rPr>
      </w:pPr>
    </w:p>
    <w:p>
      <w:pPr>
        <w:ind w:left="1060" w:right="1879" w:hanging="525"/>
        <w:spacing w:after="0" w:line="34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Across all markets, we shipped approximately 830,000 AMR endpoints in the first quarter of 2004 compared with 940,000 in 2003.</w:t>
      </w:r>
    </w:p>
    <w:p>
      <w:pPr>
        <w:spacing w:after="0" w:line="18" w:lineRule="exact"/>
        <w:rPr>
          <w:rFonts w:ascii="Courier New" w:cs="Courier New" w:eastAsia="Courier New" w:hAnsi="Courier New"/>
          <w:sz w:val="18"/>
          <w:szCs w:val="18"/>
          <w:color w:val="auto"/>
        </w:rPr>
      </w:pPr>
    </w:p>
    <w:p>
      <w:pPr>
        <w:ind w:left="1060" w:right="1879" w:hanging="525"/>
        <w:spacing w:after="0" w:line="34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Handheld systems were $6 million lower in 2004 compared with 2003 due to fewer handheld system upgrades in the current quarter.</w:t>
      </w:r>
    </w:p>
    <w:p>
      <w:pPr>
        <w:spacing w:after="0" w:line="1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expected, first quarter revenues are down primarily due to order push outs during 2003 by several large customers in our electric market," commented LeRoy Nosbaum, Itron's chairman and CEO. "However, we are encouraged that order activity in this market is beginning to increase as those utilities get past the issues that overwhelmed them in 2003. Our bookings and backlog were both up this quarter and we continue to look for a good second half performance in 2004."</w:t>
      </w:r>
    </w:p>
    <w:p>
      <w:pPr>
        <w:spacing w:after="0" w:line="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 GAAP basis, we had a net loss of $738,000 for the first quarter, or 4 cents per diluted share, compared to net income of $2.9 million, or 14 cents per diluted share, in the first quarter of 2003.</w:t>
      </w:r>
    </w:p>
    <w:p>
      <w:pPr>
        <w:spacing w:after="0" w:line="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 forma net income for the first quarter was $2.0 million, or 9 cents per diluted share, compared to $6.3 million, or 29 cents per diluted share in the first quarter of 2003. Pro forma results exclude intangible amortization expenses, restructuring charges and in-process R&amp;D charges. A reconciliation between GAAP and pro forma income and earnings per share is attached to this release.</w:t>
      </w:r>
    </w:p>
    <w:p>
      <w:pPr>
        <w:spacing w:after="0" w:line="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Gross margin for the quarter was 46% compared to 49% in the first quarter of 2003. Changes in hardware product mix as well as a decrease in software license sales in 2004 contributed to lower gross margin in 2004, while lower warranty costs in 2004 had a favorable impact on gross margin.</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Increased sales and marketing expenses and product development expenses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 compared to 2003 result primarily from the acquisition of Silicon Energy 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4, 2003. General and administrative expenses in the quarter decreased</w:t>
      </w:r>
    </w:p>
    <w:p>
      <w:pPr>
        <w:spacing w:after="0"/>
        <w:rPr>
          <w:sz w:val="20"/>
          <w:szCs w:val="20"/>
          <w:color w:val="auto"/>
        </w:rPr>
      </w:pPr>
      <w:r>
        <w:rPr>
          <w:rFonts w:ascii="Courier New" w:cs="Courier New" w:eastAsia="Courier New" w:hAnsi="Courier New"/>
          <w:sz w:val="16"/>
          <w:szCs w:val="16"/>
          <w:color w:val="auto"/>
        </w:rPr>
        <w:t>$859,000 from the first quarter of 2003 as increased expenses in 2004 related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Silicon Energy acquisition were offset by lower legal fees and no incentive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accruals in 2004.</w:t>
      </w:r>
    </w:p>
    <w:p>
      <w:pPr>
        <w:ind w:right="1779" w:firstLine="527"/>
        <w:spacing w:after="0" w:line="238" w:lineRule="auto"/>
        <w:rPr>
          <w:sz w:val="20"/>
          <w:szCs w:val="20"/>
          <w:color w:val="auto"/>
        </w:rPr>
      </w:pPr>
      <w:r>
        <w:rPr>
          <w:rFonts w:ascii="Courier New" w:cs="Courier New" w:eastAsia="Courier New" w:hAnsi="Courier New"/>
          <w:sz w:val="18"/>
          <w:szCs w:val="18"/>
          <w:color w:val="auto"/>
        </w:rPr>
        <w:t>In January 2004, we implemented a new organizational structure. In order to better align expenses with revenues, and in connection with our new organizational structure, we reduced our workforce by approximately 5% resulting in a restructuring charge during the quarter of $2.4 million. In the first quarter of 2003, we had $2.2 million in restructuring charges primarily related to a reorganization of our Energy Information Solutions (EIS) product group in Raleigh, NC.</w:t>
      </w:r>
    </w:p>
    <w:p>
      <w:pPr>
        <w:spacing w:after="0" w:line="3"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Net interest expense for the first quarter of 2004 was $737,000 compared with $287,000 in the first quarter of 2003. Interest expense in both periods results primarily from the $50.0 million in term bank debt issued in March 2003 to fund the acquisition of Silicon Energy, of which $33.3 million was outstanding at March 31, 2004.</w:t>
      </w:r>
    </w:p>
    <w:p>
      <w:pPr>
        <w:spacing w:after="0" w:line="9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highlights for the first quarter include:</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cash flow for the quarter was $14.0 million compared with</w:t>
      </w:r>
    </w:p>
    <w:p>
      <w:pPr>
        <w:spacing w:after="0" w:line="30" w:lineRule="exact"/>
        <w:rPr>
          <w:rFonts w:ascii="Courier New" w:cs="Courier New" w:eastAsia="Courier New" w:hAnsi="Courier New"/>
          <w:sz w:val="18"/>
          <w:szCs w:val="18"/>
          <w:color w:val="auto"/>
        </w:rPr>
      </w:pPr>
    </w:p>
    <w:p>
      <w:pPr>
        <w:ind w:left="1060" w:right="17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 million in the first quarter of 2003, with the increase resulting primarily from higher accounts receivable collections in 2004.</w:t>
      </w:r>
    </w:p>
    <w:p>
      <w:pPr>
        <w:spacing w:after="0" w:line="4" w:lineRule="exact"/>
        <w:rPr>
          <w:rFonts w:ascii="Courier New" w:cs="Courier New" w:eastAsia="Courier New" w:hAnsi="Courier New"/>
          <w:sz w:val="18"/>
          <w:szCs w:val="18"/>
          <w:color w:val="auto"/>
        </w:rPr>
      </w:pPr>
    </w:p>
    <w:p>
      <w:pPr>
        <w:ind w:left="1060" w:right="1779" w:hanging="525"/>
        <w:spacing w:after="0" w:line="292"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order bookings were $66 million during the quarter compared to $45 million in the previous quarter and $60 million in the first quarter of last year.</w:t>
      </w:r>
    </w:p>
    <w:p>
      <w:pPr>
        <w:spacing w:after="0" w:line="66" w:lineRule="exact"/>
        <w:rPr>
          <w:rFonts w:ascii="Courier New" w:cs="Courier New" w:eastAsia="Courier New" w:hAnsi="Courier New"/>
          <w:sz w:val="18"/>
          <w:szCs w:val="18"/>
          <w:color w:val="auto"/>
        </w:rPr>
      </w:pPr>
    </w:p>
    <w:p>
      <w:pPr>
        <w:ind w:left="1060" w:right="2199" w:hanging="525"/>
        <w:spacing w:after="0" w:line="292"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backlog increased by $10 million during the quarter, after declining for the three previous quarters, and was $155 million at March 31, 2004.</w:t>
      </w:r>
    </w:p>
    <w:p>
      <w:pPr>
        <w:spacing w:after="0" w:line="66" w:lineRule="exact"/>
        <w:rPr>
          <w:rFonts w:ascii="Courier New" w:cs="Courier New" w:eastAsia="Courier New" w:hAnsi="Courier New"/>
          <w:sz w:val="18"/>
          <w:szCs w:val="18"/>
          <w:color w:val="auto"/>
        </w:rPr>
      </w:pPr>
    </w:p>
    <w:p>
      <w:pPr>
        <w:ind w:left="1060" w:right="1999" w:hanging="525"/>
        <w:spacing w:after="0" w:line="292"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Twelve-month backlog, which represents the portion of backlog that will be earned over the next twelve months, was $79 million at March 31, 2004, up from $62 million at December 31, 2003.</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SEM Acquisition Update:</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 July 2003, we announced an agreement to acquire Schlumberger Electricity Metering, Inc. (SEM) for a purchase price of $255 million, and filed a notification with the Federal Trade Commission (FTC) under the Hart-Scott-Rodino Antitrust Improvements Act of 1976 (HSR) regarding our intent to acquire SEM. We have been negotiating a consent decree with the FTC and believe there are no</w:t>
      </w:r>
    </w:p>
    <w:p>
      <w:pPr>
        <w:sectPr>
          <w:pgSz w:w="11900" w:h="16862" w:orient="portrait"/>
          <w:cols w:equalWidth="0" w:num="1">
            <w:col w:w="10219"/>
          </w:cols>
          <w:pgMar w:left="240" w:top="110" w:right="1440" w:bottom="0" w:gutter="0" w:footer="0" w:header="0"/>
        </w:sectPr>
      </w:pPr>
    </w:p>
    <w:bookmarkStart w:id="3" w:name="page4"/>
    <w:bookmarkEnd w:id="3"/>
    <w:p>
      <w:pPr>
        <w:ind w:right="1779"/>
        <w:spacing w:after="0" w:line="244" w:lineRule="auto"/>
        <w:rPr>
          <w:sz w:val="20"/>
          <w:szCs w:val="20"/>
          <w:color w:val="auto"/>
        </w:rPr>
      </w:pPr>
      <w:r>
        <w:rPr>
          <w:rFonts w:ascii="Courier New" w:cs="Courier New" w:eastAsia="Courier New" w:hAnsi="Courier New"/>
          <w:sz w:val="18"/>
          <w:szCs w:val="18"/>
          <w:color w:val="auto"/>
        </w:rPr>
        <w:t>material issues remaining with respect to completing negotiations and a related license of certain AMR technology to a third party. We expect that both of these documents will be executed or approved shortly and that the FTC staff will make a favorable recommendation to the Commission soon thereafter. The formal Commission approval process typically takes 2 to 3 weeks from the time they receive the staff recommendation.</w:t>
      </w:r>
    </w:p>
    <w:p>
      <w:pPr>
        <w:spacing w:after="0" w:line="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a result of several issues that have recently developed concerning the sale of certain other assets of Schlumberger, we are currently working to amend certain terms and conditions related to the acquisition, none of which we expect to materially alter the terms of the acquisition. However, the documentation and other work necessary may extend the closing of the acquisition beyond FTC clearance.</w:t>
      </w:r>
    </w:p>
    <w:p>
      <w:pPr>
        <w:spacing w:after="0" w:line="2"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"While our acquisition of SEM has taken significantly more time and FTC scrutiny than we had anticipated, we believe we are close to the end of the process," said Nosbaum. "The acquisition of SEM enhances our ability to execute on our growth strategies, deliver valuable knowledge to our customers and improves both our net income and earnings per share. We look forward to having them be a part of Itron."</w:t>
      </w:r>
    </w:p>
    <w:p>
      <w:pPr>
        <w:spacing w:after="0" w:line="1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Business Outlook:</w:t>
      </w:r>
    </w:p>
    <w:p>
      <w:pPr>
        <w:spacing w:after="0" w:line="201" w:lineRule="exact"/>
        <w:rPr>
          <w:sz w:val="20"/>
          <w:szCs w:val="20"/>
          <w:color w:val="auto"/>
        </w:rPr>
      </w:pPr>
    </w:p>
    <w:p>
      <w:pPr>
        <w:ind w:right="1999" w:firstLine="527"/>
        <w:spacing w:after="0" w:line="245" w:lineRule="auto"/>
        <w:rPr>
          <w:sz w:val="20"/>
          <w:szCs w:val="20"/>
          <w:color w:val="auto"/>
        </w:rPr>
      </w:pPr>
      <w:r>
        <w:rPr>
          <w:rFonts w:ascii="Courier New" w:cs="Courier New" w:eastAsia="Courier New" w:hAnsi="Courier New"/>
          <w:sz w:val="18"/>
          <w:szCs w:val="18"/>
          <w:color w:val="auto"/>
        </w:rPr>
        <w:t>The following statements are based on management's current expectations. These statements are forward-looking and are made as of the date of this press release. Actual results may differ materially due to a number of risks and uncertainties. Itron undertakes no obligation to update publicly or revise any forward-looking statements.</w:t>
      </w:r>
    </w:p>
    <w:p>
      <w:pPr>
        <w:spacing w:after="0" w:line="4" w:lineRule="exact"/>
        <w:rPr>
          <w:sz w:val="20"/>
          <w:szCs w:val="20"/>
          <w:color w:val="auto"/>
        </w:rPr>
      </w:pPr>
    </w:p>
    <w:p>
      <w:pPr>
        <w:jc w:val="both"/>
        <w:ind w:right="1779" w:firstLine="527"/>
        <w:spacing w:after="0" w:line="262" w:lineRule="auto"/>
        <w:rPr>
          <w:sz w:val="20"/>
          <w:szCs w:val="20"/>
          <w:color w:val="auto"/>
        </w:rPr>
      </w:pPr>
      <w:r>
        <w:rPr>
          <w:rFonts w:ascii="Courier New" w:cs="Courier New" w:eastAsia="Courier New" w:hAnsi="Courier New"/>
          <w:sz w:val="18"/>
          <w:szCs w:val="18"/>
          <w:color w:val="auto"/>
        </w:rPr>
        <w:t>For 2004, our guidance remains unchanged. Excluding the acquisition of SEM, our outlook is for revenue growth of 8% to 10% and pro forma EPS in the range of $1.25 to $1.30. The SEM acquisition is expected to be accretive to 2004 revenues and earnings.</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Use of Pro Forma Financial Information:</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To supplement our consolidated financial statements presented in accordance with GAAP, we use pro forma measures of operating results, net income and earnings per share. Pro forma results are adjusted from GAAP-based results to exclude certain costs, expenses and expense reversals that we believe are not indicative of our core operating results. Pro forma results are one of the primary indicators management uses for evaluating historical results and for planning and forecasting future periods. We believe the pro forma results provide useful information to investors in terms of enhancing their overall understanding of our current financial performance as well as our future prospects. We have historically provided pro forma results and believe the inclusion of them provides investors with consistency in our financial reporting. Pro forma results should be viewed in addition to, and not in lieu of, GAAP results.</w:t>
      </w:r>
    </w:p>
    <w:p>
      <w:pPr>
        <w:spacing w:after="0" w:line="1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Earnings Conference Call:</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Itron will host a conference call to discuss the financial results for the quarter at 1:45 p.m. Pacific Time on April 19, 2004. The call will be webcast live in a listen only mode, and later archived. The call will be hosted by CCBN. The webcast will be accessible online at www.itron.com, "About Itron - Investor Events." Investors may also listen to the call through CCBN's investor centers at www.companyboardroom.com or www.streetevents.com. The live webcast will begin at 1:45 p.m. (PT) and webcast replays will begin shortly after the conclusion of the call and will be available for approximately two weeks. A telephone replay of the call will also be available approximately one hour after the conclusion of the live call, for 48 hours, and is accessible by dialing 800-428-6051 (Domestic) or 973-709-2089 (International) and entering passcode #348888.</w:t>
      </w:r>
    </w:p>
    <w:p>
      <w:pPr>
        <w:spacing w:after="0" w:line="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Forward Looking Statements:</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release contains forward-looking statements concerning Itron's operations, economic performance, sales, earnings growth and cost reduction programs.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1) FTC clearance and the timing of the SEM acquisition, including completion of, or satisfactory credit arrangements for that acquisition, 2) the rate and timing of customer demand for the Company's products, 3) rescheduling of current customer orders, 4) changes in estimated liabilities for product warranties, 5) changes in law and regulation (including FCC licensing actions) and 6) other factors which are more fully described in our Annual Report on Form 10-K for the year ended December 31, 2003 on file with the Securities and Exchange Commission. Itron undertakes no obligation to update publicly or revise any forward-looking statements.</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Itron:</w:t>
      </w:r>
    </w:p>
    <w:p>
      <w:pPr>
        <w:sectPr>
          <w:pgSz w:w="11900" w:h="16838" w:orient="portrait"/>
          <w:cols w:equalWidth="0" w:num="1">
            <w:col w:w="10219"/>
          </w:cols>
          <w:pgMar w:left="240" w:top="110" w:right="1440" w:bottom="0" w:gutter="0" w:footer="0" w:header="0"/>
        </w:sectPr>
      </w:pPr>
    </w:p>
    <w:bookmarkStart w:id="4" w:name="page5"/>
    <w:bookmarkEnd w:id="4"/>
    <w:p>
      <w:pPr>
        <w:ind w:right="1779" w:firstLine="527"/>
        <w:spacing w:after="0" w:line="242" w:lineRule="auto"/>
        <w:rPr>
          <w:sz w:val="20"/>
          <w:szCs w:val="20"/>
          <w:color w:val="auto"/>
        </w:rPr>
      </w:pPr>
      <w:r>
        <w:rPr>
          <w:rFonts w:ascii="Courier New" w:cs="Courier New" w:eastAsia="Courier New" w:hAnsi="Courier New"/>
          <w:sz w:val="18"/>
          <w:szCs w:val="18"/>
          <w:color w:val="auto"/>
        </w:rPr>
        <w:t>Itron is a leading technology provider and critical source of knowledge to the global energy and water industries. More than 2,800 utilities worldwide rely on Itron technology to deliver the knowledge they require to optimize the delivery and use of energy and water. Itron delivers value to its clients by providing industry-leading solutions for meter data collection, energy information management, demand side management and response, load forecasting, analysis and consulting services, transmission and distribution system design and optimization, Web-based workforce automation, commercial and industrial customer care and residential energy management. To know more, start here: www.itron.com.</w:t>
      </w:r>
    </w:p>
    <w:p>
      <w:pPr>
        <w:spacing w:after="0" w:line="2" w:lineRule="exact"/>
        <w:rPr>
          <w:sz w:val="20"/>
          <w:szCs w:val="20"/>
          <w:color w:val="auto"/>
        </w:rPr>
      </w:pPr>
    </w:p>
    <w:p>
      <w:pPr>
        <w:ind w:right="2199" w:firstLine="527"/>
        <w:spacing w:after="0" w:line="309" w:lineRule="auto"/>
        <w:rPr>
          <w:sz w:val="20"/>
          <w:szCs w:val="20"/>
          <w:color w:val="auto"/>
        </w:rPr>
      </w:pPr>
      <w:r>
        <w:rPr>
          <w:rFonts w:ascii="Courier New" w:cs="Courier New" w:eastAsia="Courier New" w:hAnsi="Courier New"/>
          <w:sz w:val="18"/>
          <w:szCs w:val="18"/>
          <w:color w:val="auto"/>
        </w:rPr>
        <w:t>Statements of operations, reconciliation between reported and pro forma income and EPS, balance sheets and segment information follow.</w:t>
      </w:r>
    </w:p>
    <w:p>
      <w:pPr>
        <w:spacing w:after="0" w:line="5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160" w:type="dxa"/>
            <w:vAlign w:val="bottom"/>
            <w:gridSpan w:val="2"/>
          </w:tcPr>
          <w:p>
            <w:pPr>
              <w:spacing w:after="0"/>
              <w:rPr>
                <w:sz w:val="20"/>
                <w:szCs w:val="20"/>
                <w:color w:val="auto"/>
              </w:rPr>
            </w:pPr>
            <w:r>
              <w:rPr>
                <w:rFonts w:ascii="Courier New" w:cs="Courier New" w:eastAsia="Courier New" w:hAnsi="Courier New"/>
                <w:sz w:val="18"/>
                <w:szCs w:val="18"/>
                <w:color w:val="auto"/>
                <w:w w:val="99"/>
              </w:rPr>
              <w:t>(Unaudited, in thousands, except per share data)</w:t>
            </w:r>
          </w:p>
        </w:tc>
        <w:tc>
          <w:tcPr>
            <w:tcW w:w="2220" w:type="dxa"/>
            <w:vAlign w:val="bottom"/>
            <w:gridSpan w:val="3"/>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Three Months Ended</w:t>
            </w: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Revenues</w:t>
            </w:r>
          </w:p>
        </w:tc>
        <w:tc>
          <w:tcPr>
            <w:tcW w:w="3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Sales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55,016</w:t>
            </w:r>
          </w:p>
        </w:tc>
        <w:tc>
          <w:tcPr>
            <w:tcW w:w="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63,917</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10,586</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10,728</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revenues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65,602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74,645</w:t>
            </w:r>
          </w:p>
        </w:tc>
        <w:tc>
          <w:tcPr>
            <w:tcW w:w="0" w:type="dxa"/>
            <w:vAlign w:val="bottom"/>
          </w:tcPr>
          <w:p>
            <w:pPr>
              <w:spacing w:after="0"/>
              <w:rPr>
                <w:sz w:val="1"/>
                <w:szCs w:val="1"/>
                <w:color w:val="auto"/>
              </w:rPr>
            </w:pPr>
          </w:p>
        </w:tc>
      </w:tr>
      <w:tr>
        <w:trPr>
          <w:trHeight w:val="296"/>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Cost of revenues</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8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29,223</w:t>
            </w:r>
          </w:p>
        </w:tc>
        <w:tc>
          <w:tcPr>
            <w:tcW w:w="460" w:type="dxa"/>
            <w:vAlign w:val="bottom"/>
          </w:tcPr>
          <w:p>
            <w:pPr>
              <w:spacing w:after="0"/>
              <w:rPr>
                <w:sz w:val="9"/>
                <w:szCs w:val="9"/>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29,861</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6,507</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7,922</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cost of revenues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35,730</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37,783</w:t>
            </w: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29,872</w:t>
            </w:r>
          </w:p>
        </w:tc>
        <w:tc>
          <w:tcPr>
            <w:tcW w:w="4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36,862</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24"/>
                <w:szCs w:val="24"/>
                <w:color w:val="auto"/>
              </w:rPr>
            </w:pP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9,073</w:t>
            </w:r>
          </w:p>
        </w:tc>
        <w:tc>
          <w:tcPr>
            <w:tcW w:w="460" w:type="dxa"/>
            <w:vAlign w:val="bottom"/>
          </w:tcPr>
          <w:p>
            <w:pPr>
              <w:spacing w:after="0"/>
              <w:rPr>
                <w:sz w:val="24"/>
                <w:szCs w:val="24"/>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8,437</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10,515</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10,158</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6,914</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7,773</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2,027</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1,888</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Restructurings</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2,382</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2,165</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 development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operating expenses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30,911</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31,321</w:t>
            </w: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 (loss)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5,541</w:t>
            </w: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60" w:type="dxa"/>
            <w:vAlign w:val="bottom"/>
          </w:tcPr>
          <w:p>
            <w:pPr>
              <w:spacing w:after="0"/>
              <w:rPr>
                <w:sz w:val="17"/>
                <w:szCs w:val="17"/>
                <w:color w:val="auto"/>
              </w:rPr>
            </w:pPr>
          </w:p>
        </w:tc>
        <w:tc>
          <w:tcPr>
            <w:tcW w:w="10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46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affiliates</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(754)</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274</w:t>
            </w:r>
          </w:p>
        </w:tc>
        <w:tc>
          <w:tcPr>
            <w:tcW w:w="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4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other income (expense)</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36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(1,510)</w:t>
            </w:r>
          </w:p>
        </w:tc>
        <w:tc>
          <w:tcPr>
            <w:tcW w:w="4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5,301</w:t>
            </w: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 (provision)</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772</w:t>
            </w:r>
          </w:p>
        </w:tc>
        <w:tc>
          <w:tcPr>
            <w:tcW w:w="4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(2,385)</w:t>
            </w: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(loss)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w:t>
            </w:r>
          </w:p>
        </w:tc>
        <w:tc>
          <w:tcPr>
            <w:tcW w:w="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2,916</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(0.04)</w:t>
            </w:r>
          </w:p>
        </w:tc>
        <w:tc>
          <w:tcPr>
            <w:tcW w:w="4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0.14</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net income (loss) per share</w:t>
            </w: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ind w:left="320"/>
              <w:spacing w:after="0"/>
              <w:rPr>
                <w:sz w:val="20"/>
                <w:szCs w:val="20"/>
                <w:color w:val="auto"/>
              </w:rPr>
            </w:pPr>
            <w:r>
              <w:rPr>
                <w:rFonts w:ascii="Courier New" w:cs="Courier New" w:eastAsia="Courier New" w:hAnsi="Courier New"/>
                <w:sz w:val="18"/>
                <w:szCs w:val="18"/>
                <w:color w:val="auto"/>
              </w:rPr>
              <w:t>Diluted net income (loss) per share</w:t>
            </w:r>
          </w:p>
        </w:tc>
        <w:tc>
          <w:tcPr>
            <w:tcW w:w="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(0.04)</w:t>
            </w:r>
          </w:p>
        </w:tc>
        <w:tc>
          <w:tcPr>
            <w:tcW w:w="4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0.14</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w w:val="98"/>
              </w:rPr>
              <w:t>Weighted average number of shares outstanding</w:t>
            </w:r>
          </w:p>
        </w:tc>
        <w:tc>
          <w:tcPr>
            <w:tcW w:w="360" w:type="dxa"/>
            <w:vAlign w:val="bottom"/>
          </w:tcPr>
          <w:p>
            <w:pPr>
              <w:spacing w:after="0"/>
              <w:rPr>
                <w:sz w:val="24"/>
                <w:szCs w:val="24"/>
                <w:color w:val="auto"/>
              </w:rPr>
            </w:pPr>
          </w:p>
        </w:tc>
        <w:tc>
          <w:tcPr>
            <w:tcW w:w="10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20,656</w:t>
            </w:r>
          </w:p>
        </w:tc>
        <w:tc>
          <w:tcPr>
            <w:tcW w:w="460" w:type="dxa"/>
            <w:vAlign w:val="bottom"/>
          </w:tcPr>
          <w:p>
            <w:pPr>
              <w:spacing w:after="0"/>
              <w:rPr>
                <w:sz w:val="24"/>
                <w:szCs w:val="24"/>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20,239</w:t>
            </w: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0" w:type="dxa"/>
            <w:vAlign w:val="bottom"/>
          </w:tcPr>
          <w:p>
            <w:pPr>
              <w:ind w:left="320"/>
              <w:spacing w:after="0"/>
              <w:rPr>
                <w:sz w:val="20"/>
                <w:szCs w:val="20"/>
                <w:color w:val="auto"/>
              </w:rPr>
            </w:pPr>
            <w:r>
              <w:rPr>
                <w:rFonts w:ascii="Courier New" w:cs="Courier New" w:eastAsia="Courier New" w:hAnsi="Courier New"/>
                <w:sz w:val="18"/>
                <w:szCs w:val="18"/>
                <w:color w:val="auto"/>
              </w:rPr>
              <w:t>Diluted</w:t>
            </w:r>
          </w:p>
        </w:tc>
        <w:tc>
          <w:tcPr>
            <w:tcW w:w="36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20,656</w:t>
            </w:r>
          </w:p>
        </w:tc>
        <w:tc>
          <w:tcPr>
            <w:tcW w:w="4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21,428</w:t>
            </w:r>
          </w:p>
        </w:tc>
        <w:tc>
          <w:tcPr>
            <w:tcW w:w="0" w:type="dxa"/>
            <w:vAlign w:val="bottom"/>
          </w:tcPr>
          <w:p>
            <w:pPr>
              <w:spacing w:after="0"/>
              <w:rPr>
                <w:sz w:val="1"/>
                <w:szCs w:val="1"/>
                <w:color w:val="auto"/>
              </w:rPr>
            </w:pPr>
          </w:p>
        </w:tc>
      </w:tr>
      <w:tr>
        <w:trPr>
          <w:trHeight w:val="514"/>
        </w:trPr>
        <w:tc>
          <w:tcPr>
            <w:tcW w:w="4800" w:type="dxa"/>
            <w:vAlign w:val="bottom"/>
          </w:tcPr>
          <w:p>
            <w:pPr>
              <w:ind w:left="3060"/>
              <w:spacing w:after="0"/>
              <w:rPr>
                <w:sz w:val="20"/>
                <w:szCs w:val="20"/>
                <w:color w:val="auto"/>
              </w:rPr>
            </w:pPr>
            <w:r>
              <w:rPr>
                <w:rFonts w:ascii="Courier New" w:cs="Courier New" w:eastAsia="Courier New" w:hAnsi="Courier New"/>
                <w:sz w:val="18"/>
                <w:szCs w:val="18"/>
                <w:color w:val="auto"/>
              </w:rPr>
              <w:t>ITRON, INC.</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6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RECONCILIATION BETWEEN GAAP AND PRO FORMA INCOME AND EPS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60" w:type="dxa"/>
            <w:vAlign w:val="bottom"/>
            <w:gridSpan w:val="2"/>
          </w:tcPr>
          <w:p>
            <w:pPr>
              <w:spacing w:after="0"/>
              <w:rPr>
                <w:sz w:val="20"/>
                <w:szCs w:val="20"/>
                <w:color w:val="auto"/>
              </w:rPr>
            </w:pPr>
            <w:r>
              <w:rPr>
                <w:rFonts w:ascii="Courier New" w:cs="Courier New" w:eastAsia="Courier New" w:hAnsi="Courier New"/>
                <w:sz w:val="18"/>
                <w:szCs w:val="18"/>
                <w:color w:val="auto"/>
                <w:w w:val="99"/>
              </w:rPr>
              <w:t>(Unaudited, in thousands, except per share data)</w:t>
            </w:r>
          </w:p>
        </w:tc>
        <w:tc>
          <w:tcPr>
            <w:tcW w:w="2220" w:type="dxa"/>
            <w:vAlign w:val="bottom"/>
            <w:gridSpan w:val="3"/>
            <w:vMerge w:val="restart"/>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PRO FORMA NET INCOME</w:t>
            </w:r>
          </w:p>
        </w:tc>
        <w:tc>
          <w:tcPr>
            <w:tcW w:w="3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7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2"/>
              </w:rPr>
              <w:t>2003</w:t>
            </w:r>
          </w:p>
        </w:tc>
        <w:tc>
          <w:tcPr>
            <w:tcW w:w="0" w:type="dxa"/>
            <w:vAlign w:val="bottom"/>
          </w:tcPr>
          <w:p>
            <w:pPr>
              <w:spacing w:after="0"/>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2004</w:t>
            </w:r>
          </w:p>
        </w:tc>
        <w:tc>
          <w:tcPr>
            <w:tcW w:w="4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Courier New" w:cs="Courier New" w:eastAsia="Courier New" w:hAnsi="Courier New"/>
                <w:sz w:val="18"/>
                <w:szCs w:val="18"/>
                <w:color w:val="auto"/>
              </w:rPr>
              <w:t>GAAP basis income (loss) before income taxes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80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(1,510)</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5,301</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Adjustments to net income (loss)</w:t>
            </w:r>
          </w:p>
        </w:tc>
        <w:tc>
          <w:tcPr>
            <w:tcW w:w="620" w:type="dxa"/>
            <w:vAlign w:val="bottom"/>
          </w:tcPr>
          <w:p>
            <w:pPr>
              <w:spacing w:after="0"/>
              <w:rPr>
                <w:sz w:val="17"/>
                <w:szCs w:val="17"/>
                <w:color w:val="auto"/>
              </w:rPr>
            </w:pPr>
          </w:p>
        </w:tc>
        <w:tc>
          <w:tcPr>
            <w:tcW w:w="84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w w:val="96"/>
              </w:rPr>
              <w:t>2,027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1,888</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6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Restructurings</w:t>
            </w:r>
          </w:p>
        </w:tc>
        <w:tc>
          <w:tcPr>
            <w:tcW w:w="6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2,382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2,165</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In-process research and development</w:t>
            </w:r>
          </w:p>
        </w:tc>
        <w:tc>
          <w:tcPr>
            <w:tcW w:w="6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c>
          <w:tcPr>
            <w:tcW w:w="0" w:type="dxa"/>
            <w:vAlign w:val="bottom"/>
          </w:tcPr>
          <w:p>
            <w:pPr>
              <w:spacing w:after="0"/>
              <w:rPr>
                <w:sz w:val="1"/>
                <w:szCs w:val="1"/>
                <w:color w:val="auto"/>
              </w:rPr>
            </w:pPr>
          </w:p>
        </w:tc>
      </w:tr>
      <w:tr>
        <w:trPr>
          <w:trHeight w:val="203"/>
        </w:trPr>
        <w:tc>
          <w:tcPr>
            <w:tcW w:w="48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adjustments</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48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4,409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4,953</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Adjusted income before income taxes</w:t>
            </w:r>
          </w:p>
        </w:tc>
        <w:tc>
          <w:tcPr>
            <w:tcW w:w="620" w:type="dxa"/>
            <w:vAlign w:val="bottom"/>
          </w:tcPr>
          <w:p>
            <w:pPr>
              <w:spacing w:after="0"/>
              <w:rPr>
                <w:sz w:val="24"/>
                <w:szCs w:val="24"/>
                <w:color w:val="auto"/>
              </w:rPr>
            </w:pP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2,899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10,254</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6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(3,944)</w:t>
            </w:r>
          </w:p>
        </w:tc>
        <w:tc>
          <w:tcPr>
            <w:tcW w:w="0" w:type="dxa"/>
            <w:vAlign w:val="bottom"/>
          </w:tcPr>
          <w:p>
            <w:pPr>
              <w:spacing w:after="0"/>
              <w:rPr>
                <w:sz w:val="1"/>
                <w:szCs w:val="1"/>
                <w:color w:val="auto"/>
              </w:rPr>
            </w:pPr>
          </w:p>
        </w:tc>
      </w:tr>
      <w:tr>
        <w:trPr>
          <w:trHeight w:val="203"/>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Pro forma net income</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1,977</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6,310</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 FORMA EARNINGS PER SHARE</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basic shares</w:t>
            </w:r>
          </w:p>
        </w:tc>
        <w:tc>
          <w:tcPr>
            <w:tcW w:w="1460" w:type="dxa"/>
            <w:vAlign w:val="bottom"/>
            <w:gridSpan w:val="2"/>
            <w:vMerge w:val="restart"/>
          </w:tcPr>
          <w:p>
            <w:pPr>
              <w:jc w:val="right"/>
              <w:ind w:right="212"/>
              <w:spacing w:after="0"/>
              <w:rPr>
                <w:sz w:val="20"/>
                <w:szCs w:val="20"/>
                <w:color w:val="auto"/>
              </w:rPr>
            </w:pPr>
            <w:r>
              <w:rPr>
                <w:rFonts w:ascii="Courier New" w:cs="Courier New" w:eastAsia="Courier New" w:hAnsi="Courier New"/>
                <w:sz w:val="18"/>
                <w:szCs w:val="18"/>
                <w:color w:val="auto"/>
              </w:rPr>
              <w:t>20,656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20,239</w:t>
            </w:r>
          </w:p>
        </w:tc>
        <w:tc>
          <w:tcPr>
            <w:tcW w:w="0" w:type="dxa"/>
            <w:vAlign w:val="bottom"/>
          </w:tcPr>
          <w:p>
            <w:pPr>
              <w:spacing w:after="0"/>
              <w:rPr>
                <w:sz w:val="1"/>
                <w:szCs w:val="1"/>
                <w:color w:val="auto"/>
              </w:rPr>
            </w:pPr>
          </w:p>
        </w:tc>
      </w:tr>
      <w:tr>
        <w:trPr>
          <w:trHeight w:val="296"/>
        </w:trPr>
        <w:tc>
          <w:tcPr>
            <w:tcW w:w="4860" w:type="dxa"/>
            <w:vAlign w:val="bottom"/>
          </w:tcPr>
          <w:p>
            <w:pPr>
              <w:ind w:left="120"/>
              <w:spacing w:after="0"/>
              <w:rPr>
                <w:sz w:val="20"/>
                <w:szCs w:val="20"/>
                <w:color w:val="auto"/>
              </w:rPr>
            </w:pPr>
            <w:r>
              <w:rPr>
                <w:rFonts w:ascii="Courier New" w:cs="Courier New" w:eastAsia="Courier New" w:hAnsi="Courier New"/>
                <w:sz w:val="18"/>
                <w:szCs w:val="18"/>
                <w:color w:val="auto"/>
              </w:rPr>
              <w:t>outstanding</w:t>
            </w:r>
          </w:p>
        </w:tc>
        <w:tc>
          <w:tcPr>
            <w:tcW w:w="1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Basic pro forma net income per share</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0.10</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0.31</w:t>
            </w:r>
          </w:p>
        </w:tc>
        <w:tc>
          <w:tcPr>
            <w:tcW w:w="0" w:type="dxa"/>
            <w:vAlign w:val="bottom"/>
          </w:tcPr>
          <w:p>
            <w:pPr>
              <w:spacing w:after="0"/>
              <w:rPr>
                <w:sz w:val="1"/>
                <w:szCs w:val="1"/>
                <w:color w:val="auto"/>
              </w:rPr>
            </w:pPr>
          </w:p>
        </w:tc>
      </w:tr>
      <w:tr>
        <w:trPr>
          <w:trHeight w:val="296"/>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Diluted</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8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basic shares</w:t>
            </w:r>
          </w:p>
        </w:tc>
        <w:tc>
          <w:tcPr>
            <w:tcW w:w="1460" w:type="dxa"/>
            <w:vAlign w:val="bottom"/>
            <w:gridSpan w:val="2"/>
            <w:vMerge w:val="restart"/>
          </w:tcPr>
          <w:p>
            <w:pPr>
              <w:jc w:val="right"/>
              <w:ind w:right="212"/>
              <w:spacing w:after="0"/>
              <w:rPr>
                <w:sz w:val="20"/>
                <w:szCs w:val="20"/>
                <w:color w:val="auto"/>
              </w:rPr>
            </w:pPr>
            <w:r>
              <w:rPr>
                <w:rFonts w:ascii="Courier New" w:cs="Courier New" w:eastAsia="Courier New" w:hAnsi="Courier New"/>
                <w:sz w:val="18"/>
                <w:szCs w:val="18"/>
                <w:color w:val="auto"/>
              </w:rPr>
              <w:t>20,656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20,239</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stock option shares</w:t>
            </w:r>
          </w:p>
        </w:tc>
        <w:tc>
          <w:tcPr>
            <w:tcW w:w="6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1,184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1,189</w:t>
            </w:r>
          </w:p>
        </w:tc>
        <w:tc>
          <w:tcPr>
            <w:tcW w:w="0" w:type="dxa"/>
            <w:vAlign w:val="bottom"/>
          </w:tcPr>
          <w:p>
            <w:pPr>
              <w:spacing w:after="0"/>
              <w:rPr>
                <w:sz w:val="1"/>
                <w:szCs w:val="1"/>
                <w:color w:val="auto"/>
              </w:rPr>
            </w:pPr>
          </w:p>
        </w:tc>
      </w:tr>
      <w:tr>
        <w:trPr>
          <w:trHeight w:val="296"/>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 diluted shares</w:t>
            </w: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860" w:type="dxa"/>
            <w:vAlign w:val="bottom"/>
            <w:vMerge w:val="continue"/>
          </w:tcPr>
          <w:p>
            <w:pPr>
              <w:spacing w:after="0"/>
              <w:rPr>
                <w:sz w:val="9"/>
                <w:szCs w:val="9"/>
                <w:color w:val="auto"/>
              </w:rPr>
            </w:pPr>
          </w:p>
        </w:tc>
        <w:tc>
          <w:tcPr>
            <w:tcW w:w="1460" w:type="dxa"/>
            <w:vAlign w:val="bottom"/>
            <w:gridSpan w:val="2"/>
            <w:vMerge w:val="restart"/>
          </w:tcPr>
          <w:p>
            <w:pPr>
              <w:jc w:val="right"/>
              <w:ind w:right="212"/>
              <w:spacing w:after="0"/>
              <w:rPr>
                <w:sz w:val="20"/>
                <w:szCs w:val="20"/>
                <w:color w:val="auto"/>
              </w:rPr>
            </w:pPr>
            <w:r>
              <w:rPr>
                <w:rFonts w:ascii="Courier New" w:cs="Courier New" w:eastAsia="Courier New" w:hAnsi="Courier New"/>
                <w:sz w:val="18"/>
                <w:szCs w:val="18"/>
                <w:color w:val="auto"/>
              </w:rPr>
              <w:t>21,840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21,428</w:t>
            </w:r>
          </w:p>
        </w:tc>
        <w:tc>
          <w:tcPr>
            <w:tcW w:w="0" w:type="dxa"/>
            <w:vAlign w:val="bottom"/>
          </w:tcPr>
          <w:p>
            <w:pPr>
              <w:spacing w:after="0"/>
              <w:rPr>
                <w:sz w:val="1"/>
                <w:szCs w:val="1"/>
                <w:color w:val="auto"/>
              </w:rPr>
            </w:pPr>
          </w:p>
        </w:tc>
      </w:tr>
      <w:tr>
        <w:trPr>
          <w:trHeight w:val="296"/>
        </w:trPr>
        <w:tc>
          <w:tcPr>
            <w:tcW w:w="4860" w:type="dxa"/>
            <w:vAlign w:val="bottom"/>
          </w:tcPr>
          <w:p>
            <w:pPr>
              <w:ind w:left="120"/>
              <w:spacing w:after="0"/>
              <w:rPr>
                <w:sz w:val="20"/>
                <w:szCs w:val="20"/>
                <w:color w:val="auto"/>
              </w:rPr>
            </w:pPr>
            <w:r>
              <w:rPr>
                <w:rFonts w:ascii="Courier New" w:cs="Courier New" w:eastAsia="Courier New" w:hAnsi="Courier New"/>
                <w:sz w:val="18"/>
                <w:szCs w:val="18"/>
                <w:color w:val="auto"/>
              </w:rPr>
              <w:t>outstanding</w:t>
            </w:r>
          </w:p>
        </w:tc>
        <w:tc>
          <w:tcPr>
            <w:tcW w:w="1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 forma net income</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1,977</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6,310</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Diluted pro forma net income per share</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0.09</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0.29</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1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860" w:type="dxa"/>
            <w:vAlign w:val="bottom"/>
          </w:tcPr>
          <w:p>
            <w:pPr>
              <w:ind w:left="3060"/>
              <w:spacing w:after="0"/>
              <w:rPr>
                <w:sz w:val="20"/>
                <w:szCs w:val="20"/>
                <w:color w:val="auto"/>
              </w:rPr>
            </w:pPr>
            <w:r>
              <w:rPr>
                <w:rFonts w:ascii="Courier New" w:cs="Courier New" w:eastAsia="Courier New" w:hAnsi="Courier New"/>
                <w:sz w:val="18"/>
                <w:szCs w:val="18"/>
                <w:color w:val="auto"/>
              </w:rPr>
              <w:t>ITRON, INC.</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60" w:type="dxa"/>
            <w:vAlign w:val="bottom"/>
          </w:tcPr>
          <w:p>
            <w:pPr>
              <w:ind w:left="2640"/>
              <w:spacing w:after="0"/>
              <w:rPr>
                <w:sz w:val="20"/>
                <w:szCs w:val="20"/>
                <w:color w:val="auto"/>
              </w:rPr>
            </w:pPr>
            <w:r>
              <w:rPr>
                <w:rFonts w:ascii="Courier New" w:cs="Courier New" w:eastAsia="Courier New" w:hAnsi="Courier New"/>
                <w:sz w:val="18"/>
                <w:szCs w:val="18"/>
                <w:color w:val="auto"/>
              </w:rPr>
              <w:t>SEGMENT INFORMATION</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2520" w:type="dxa"/>
            <w:vAlign w:val="bottom"/>
            <w:gridSpan w:val="5"/>
          </w:tcPr>
          <w:p>
            <w:pPr>
              <w:ind w:left="520"/>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gridSpan w:val="4"/>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96"/>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Revenues</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860" w:type="dxa"/>
            <w:vAlign w:val="bottom"/>
            <w:vMerge w:val="continue"/>
          </w:tcPr>
          <w:p>
            <w:pPr>
              <w:spacing w:after="0"/>
              <w:rPr>
                <w:sz w:val="9"/>
                <w:szCs w:val="9"/>
                <w:color w:val="auto"/>
              </w:rPr>
            </w:pPr>
          </w:p>
        </w:tc>
        <w:tc>
          <w:tcPr>
            <w:tcW w:w="14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$ 24,344</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39,203</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Electric</w:t>
            </w:r>
          </w:p>
        </w:tc>
        <w:tc>
          <w:tcPr>
            <w:tcW w:w="1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Natural Gas</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14,505</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Water and Public Power</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18,103</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2,716</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User Solutions</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c>
          <w:tcPr>
            <w:tcW w:w="0" w:type="dxa"/>
            <w:vAlign w:val="bottom"/>
          </w:tcPr>
          <w:p>
            <w:pPr>
              <w:spacing w:after="0"/>
              <w:rPr>
                <w:sz w:val="1"/>
                <w:szCs w:val="1"/>
                <w:color w:val="auto"/>
              </w:rPr>
            </w:pPr>
          </w:p>
        </w:tc>
      </w:tr>
      <w:tr>
        <w:trPr>
          <w:trHeight w:val="203"/>
        </w:trPr>
        <w:tc>
          <w:tcPr>
            <w:tcW w:w="48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revenues</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$ 65,602</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74,645</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6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8,767</w:t>
            </w:r>
          </w:p>
        </w:tc>
        <w:tc>
          <w:tcPr>
            <w:tcW w:w="1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20,595</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Electric</w:t>
            </w:r>
          </w:p>
        </w:tc>
        <w:tc>
          <w:tcPr>
            <w:tcW w:w="6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Natural Gas</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9,141</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Water and Public Power</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7,766</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User Solutions</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w:t>
            </w:r>
          </w:p>
        </w:tc>
        <w:tc>
          <w:tcPr>
            <w:tcW w:w="0" w:type="dxa"/>
            <w:vAlign w:val="bottom"/>
          </w:tcPr>
          <w:p>
            <w:pPr>
              <w:spacing w:after="0"/>
              <w:rPr>
                <w:sz w:val="1"/>
                <w:szCs w:val="1"/>
                <w:color w:val="auto"/>
              </w:rPr>
            </w:pPr>
          </w:p>
        </w:tc>
      </w:tr>
      <w:tr>
        <w:trPr>
          <w:trHeight w:val="203"/>
        </w:trPr>
        <w:tc>
          <w:tcPr>
            <w:tcW w:w="48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gross profit</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$ 29,872</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36,862</w:t>
            </w:r>
          </w:p>
        </w:tc>
        <w:tc>
          <w:tcPr>
            <w:tcW w:w="0" w:type="dxa"/>
            <w:vAlign w:val="bottom"/>
          </w:tcPr>
          <w:p>
            <w:pPr>
              <w:spacing w:after="0"/>
              <w:rPr>
                <w:sz w:val="1"/>
                <w:szCs w:val="1"/>
                <w:color w:val="auto"/>
              </w:rPr>
            </w:pPr>
          </w:p>
        </w:tc>
      </w:tr>
      <w:tr>
        <w:trPr>
          <w:trHeight w:val="296"/>
        </w:trPr>
        <w:tc>
          <w:tcPr>
            <w:tcW w:w="4860" w:type="dxa"/>
            <w:vAlign w:val="bottom"/>
            <w:vMerge w:val="restart"/>
          </w:tcPr>
          <w:p>
            <w:pPr>
              <w:spacing w:after="0"/>
              <w:rPr>
                <w:sz w:val="20"/>
                <w:szCs w:val="20"/>
                <w:color w:val="auto"/>
              </w:rPr>
            </w:pPr>
            <w:r>
              <w:rPr>
                <w:rFonts w:ascii="Courier New" w:cs="Courier New" w:eastAsia="Courier New" w:hAnsi="Courier New"/>
                <w:sz w:val="18"/>
                <w:szCs w:val="18"/>
                <w:color w:val="auto"/>
              </w:rPr>
              <w:t>Operating income (loss)</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109"/>
        </w:trPr>
        <w:tc>
          <w:tcPr>
            <w:tcW w:w="4860" w:type="dxa"/>
            <w:vAlign w:val="bottom"/>
            <w:vMerge w:val="continue"/>
          </w:tcPr>
          <w:p>
            <w:pPr>
              <w:spacing w:after="0"/>
              <w:rPr>
                <w:sz w:val="9"/>
                <w:szCs w:val="9"/>
                <w:color w:val="auto"/>
              </w:rPr>
            </w:pPr>
          </w:p>
        </w:tc>
        <w:tc>
          <w:tcPr>
            <w:tcW w:w="6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6,381</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17,994</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Electric</w:t>
            </w:r>
          </w:p>
        </w:tc>
        <w:tc>
          <w:tcPr>
            <w:tcW w:w="6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Natural Gas</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8,386</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Water and Public Power</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6,529</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6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(1,787)</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User Solutions</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(24,485)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(25,396)</w:t>
            </w:r>
          </w:p>
        </w:tc>
        <w:tc>
          <w:tcPr>
            <w:tcW w:w="0" w:type="dxa"/>
            <w:vAlign w:val="bottom"/>
          </w:tcPr>
          <w:p>
            <w:pPr>
              <w:spacing w:after="0"/>
              <w:rPr>
                <w:sz w:val="1"/>
                <w:szCs w:val="1"/>
                <w:color w:val="auto"/>
              </w:rPr>
            </w:pPr>
          </w:p>
        </w:tc>
      </w:tr>
      <w:tr>
        <w:trPr>
          <w:trHeight w:val="203"/>
        </w:trPr>
        <w:tc>
          <w:tcPr>
            <w:tcW w:w="48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operating income (loss)</w:t>
            </w:r>
          </w:p>
        </w:tc>
        <w:tc>
          <w:tcPr>
            <w:tcW w:w="6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(1,039)</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5,541</w:t>
            </w:r>
          </w:p>
        </w:tc>
        <w:tc>
          <w:tcPr>
            <w:tcW w:w="0" w:type="dxa"/>
            <w:vAlign w:val="bottom"/>
          </w:tcPr>
          <w:p>
            <w:pPr>
              <w:spacing w:after="0"/>
              <w:rPr>
                <w:sz w:val="1"/>
                <w:szCs w:val="1"/>
                <w:color w:val="auto"/>
              </w:rPr>
            </w:pPr>
          </w:p>
        </w:tc>
      </w:tr>
      <w:tr>
        <w:trPr>
          <w:trHeight w:val="296"/>
        </w:trPr>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CONSOLIDATED BALANCE SHEETS</w:t>
      </w:r>
    </w:p>
    <w:p>
      <w:pPr>
        <w:sectPr>
          <w:pgSz w:w="11900" w:h="16838" w:orient="portrait"/>
          <w:cols w:equalWidth="0" w:num="1">
            <w:col w:w="10219"/>
          </w:cols>
          <w:pgMar w:left="240" w:top="311"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in thousands)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w:t>
      </w:r>
    </w:p>
    <w:p>
      <w:pPr>
        <w:spacing w:after="0" w:line="29"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2004</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w:t>
      </w:r>
    </w:p>
    <w:p>
      <w:pPr>
        <w:spacing w:after="0" w:line="5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2003</w:t>
      </w:r>
    </w:p>
    <w:p>
      <w:pPr>
        <w:ind w:left="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4140" w:space="720"/>
            <w:col w:w="1160" w:space="100"/>
            <w:col w:w="4099"/>
          </w:cols>
          <w:pgMar w:left="240" w:top="311"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640" w:type="dxa"/>
            <w:vAlign w:val="bottom"/>
          </w:tcPr>
          <w:p>
            <w:pPr>
              <w:ind w:left="2320"/>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5,289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6,240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47,417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70,782</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19,416</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16,037</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11,673</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4,557</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96"/>
        </w:trPr>
        <w:tc>
          <w:tcPr>
            <w:tcW w:w="4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88,535</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109,289</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44,684</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42,818</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20,952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22,979</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90,626</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90,385</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32,586</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31,755</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7,818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6,263</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285,201</w:t>
            </w:r>
          </w:p>
        </w:tc>
        <w:tc>
          <w:tcPr>
            <w:tcW w:w="160" w:type="dxa"/>
            <w:vAlign w:val="bottom"/>
            <w:vMerge w:val="continue"/>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303,489</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4640" w:type="dxa"/>
            <w:vAlign w:val="bottom"/>
          </w:tcPr>
          <w:p>
            <w:pPr>
              <w:ind w:left="740"/>
              <w:spacing w:after="0"/>
              <w:rPr>
                <w:sz w:val="20"/>
                <w:szCs w:val="20"/>
                <w:color w:val="auto"/>
              </w:rPr>
            </w:pPr>
            <w:r>
              <w:rPr>
                <w:rFonts w:ascii="Courier New" w:cs="Courier New" w:eastAsia="Courier New" w:hAnsi="Courier New"/>
                <w:sz w:val="18"/>
                <w:szCs w:val="18"/>
                <w:color w:val="auto"/>
                <w:w w:val="99"/>
              </w:rPr>
              <w:t>LIABILITIES AND SHAREHOLDERS' EQUITY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21,823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26,236</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10,179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10,711</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debt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34,088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38,245</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warranty</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13,939</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Unearned revenue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10,558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12,004</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96"/>
        </w:trPr>
        <w:tc>
          <w:tcPr>
            <w:tcW w:w="4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92,090</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111,135</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Project financing debt</w:t>
            </w: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3,830</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4,024</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Warranty</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3,536</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7,335</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7,550</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96"/>
        </w:trPr>
        <w:tc>
          <w:tcPr>
            <w:tcW w:w="4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106,988</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126,245</w:t>
            </w: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20" w:type="dxa"/>
            <w:vAlign w:val="bottom"/>
          </w:tcPr>
          <w:p>
            <w:pPr>
              <w:spacing w:after="0"/>
              <w:rPr>
                <w:sz w:val="24"/>
                <w:szCs w:val="24"/>
                <w:color w:val="auto"/>
              </w:rPr>
            </w:pP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202,502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200,567</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loss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(23,925)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(23,187)</w:t>
            </w:r>
          </w:p>
        </w:tc>
        <w:tc>
          <w:tcPr>
            <w:tcW w:w="0" w:type="dxa"/>
            <w:vAlign w:val="bottom"/>
          </w:tcPr>
          <w:p>
            <w:pPr>
              <w:spacing w:after="0"/>
              <w:rPr>
                <w:sz w:val="1"/>
                <w:szCs w:val="1"/>
                <w:color w:val="auto"/>
              </w:rPr>
            </w:pPr>
          </w:p>
        </w:tc>
      </w:tr>
      <w:tr>
        <w:trPr>
          <w:trHeight w:val="203"/>
        </w:trPr>
        <w:tc>
          <w:tcPr>
            <w:tcW w:w="4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shareholders' equity</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178,213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177,244</w:t>
            </w:r>
          </w:p>
        </w:tc>
        <w:tc>
          <w:tcPr>
            <w:tcW w:w="0" w:type="dxa"/>
            <w:vAlign w:val="bottom"/>
          </w:tcPr>
          <w:p>
            <w:pPr>
              <w:spacing w:after="0"/>
              <w:rPr>
                <w:sz w:val="1"/>
                <w:szCs w:val="1"/>
                <w:color w:val="auto"/>
              </w:rPr>
            </w:pPr>
          </w:p>
        </w:tc>
      </w:tr>
      <w:tr>
        <w:trPr>
          <w:trHeight w:val="296"/>
        </w:trPr>
        <w:tc>
          <w:tcPr>
            <w:tcW w:w="4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Total liabilities and shareholders'</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285,201</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303,489</w:t>
            </w:r>
          </w:p>
        </w:tc>
        <w:tc>
          <w:tcPr>
            <w:tcW w:w="0" w:type="dxa"/>
            <w:vAlign w:val="bottom"/>
          </w:tcPr>
          <w:p>
            <w:pPr>
              <w:spacing w:after="0"/>
              <w:rPr>
                <w:sz w:val="1"/>
                <w:szCs w:val="1"/>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w:t>
            </w: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Itron, Inc.</w:t>
      </w:r>
    </w:p>
    <w:p>
      <w:pPr>
        <w:spacing w:after="0" w:line="2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Mima Scarpelli, 509-891-3565</w:t>
      </w:r>
    </w:p>
    <w:p>
      <w:pPr>
        <w:ind w:left="1380"/>
        <w:spacing w:after="0"/>
        <w:rPr>
          <w:sz w:val="20"/>
          <w:szCs w:val="20"/>
          <w:color w:val="auto"/>
        </w:rPr>
      </w:pPr>
      <w:r>
        <w:rPr>
          <w:rFonts w:ascii="Courier New" w:cs="Courier New" w:eastAsia="Courier New" w:hAnsi="Courier New"/>
          <w:sz w:val="18"/>
          <w:szCs w:val="18"/>
          <w:color w:val="auto"/>
        </w:rPr>
        <w:t>mima.scarpelli@itron.com</w:t>
      </w:r>
    </w:p>
    <w:sectPr>
      <w:pgSz w:w="11900" w:h="16838" w:orient="portrait"/>
      <w:cols w:equalWidth="0" w:num="1">
        <w:col w:w="10219"/>
      </w:cols>
      <w:pgMar w:left="2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09"/>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2019-12-13T15:40:33Z</dcterms:created>
  <dcterms:modified xsi:type="dcterms:W3CDTF">2019-12-13T15:40:33Z</dcterms:modified>
</cp:coreProperties>
</file>