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24, 2012.</w:t>
      </w:r>
    </w:p>
    <w:p>
      <w:pPr>
        <w:spacing w:after="0" w:line="21" w:lineRule="exact"/>
        <w:rPr>
          <w:sz w:val="24"/>
          <w:szCs w:val="24"/>
          <w:color w:val="auto"/>
        </w:rPr>
      </w:pPr>
    </w:p>
    <w:p>
      <w:pPr>
        <w:ind w:left="948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900" w:orient="portrait"/>
          <w:cols w:equalWidth="0" w:num="1">
            <w:col w:w="11420"/>
          </w:cols>
          <w:pgMar w:left="240" w:top="230" w:right="239" w:bottom="0" w:gutter="0" w:footer="0" w:header="0"/>
        </w:sectPr>
      </w:pPr>
    </w:p>
    <w:p>
      <w:pPr>
        <w:spacing w:after="0" w:line="273" w:lineRule="exact"/>
        <w:rPr>
          <w:sz w:val="24"/>
          <w:szCs w:val="24"/>
          <w:color w:val="auto"/>
        </w:rPr>
      </w:pPr>
    </w:p>
    <w:p>
      <w:pPr>
        <w:ind w:left="2420"/>
        <w:spacing w:after="0"/>
        <w:rPr>
          <w:sz w:val="20"/>
          <w:szCs w:val="20"/>
          <w:color w:val="auto"/>
        </w:rPr>
      </w:pPr>
      <w:r>
        <w:rPr>
          <w:rFonts w:ascii="Arial" w:cs="Arial" w:eastAsia="Arial" w:hAnsi="Arial"/>
          <w:sz w:val="15"/>
          <w:szCs w:val="15"/>
          <w:b w:val="1"/>
          <w:bCs w:val="1"/>
          <w:color w:val="auto"/>
        </w:rPr>
        <w:t>Washington</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91-1011792</w:t>
      </w:r>
    </w:p>
    <w:p>
      <w:pPr>
        <w:spacing w:after="0" w:line="47" w:lineRule="exact"/>
        <w:rPr>
          <w:sz w:val="24"/>
          <w:szCs w:val="24"/>
          <w:color w:val="auto"/>
        </w:rPr>
      </w:pPr>
    </w:p>
    <w:p>
      <w:pPr>
        <w:sectPr>
          <w:pgSz w:w="11900" w:h="16900" w:orient="portrait"/>
          <w:cols w:equalWidth="0" w:num="2">
            <w:col w:w="7540" w:space="720"/>
            <w:col w:w="3160"/>
          </w:cols>
          <w:pgMar w:left="240" w:top="230" w:right="239" w:bottom="0" w:gutter="0" w:footer="0" w:header="0"/>
          <w:type w:val="continuous"/>
        </w:sectPr>
      </w:pPr>
    </w:p>
    <w:p>
      <w:pPr>
        <w:spacing w:after="0" w:line="9" w:lineRule="exact"/>
        <w:rPr>
          <w:sz w:val="24"/>
          <w:szCs w:val="24"/>
          <w:color w:val="auto"/>
        </w:rPr>
      </w:pPr>
    </w:p>
    <w:p>
      <w:pPr>
        <w:ind w:left="20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Arial" w:cs="Arial" w:eastAsia="Arial" w:hAnsi="Arial"/>
          <w:sz w:val="14"/>
          <w:szCs w:val="14"/>
          <w:b w:val="1"/>
          <w:bCs w:val="1"/>
          <w:color w:val="auto"/>
        </w:rPr>
        <w:t>(I.R.S. Employer</w:t>
      </w:r>
    </w:p>
    <w:p>
      <w:pPr>
        <w:jc w:val="center"/>
        <w:ind w:right="2060"/>
        <w:spacing w:after="0"/>
        <w:rPr>
          <w:sz w:val="20"/>
          <w:szCs w:val="20"/>
          <w:color w:val="auto"/>
        </w:rPr>
      </w:pPr>
      <w:r>
        <w:rPr>
          <w:rFonts w:ascii="Arial" w:cs="Arial" w:eastAsia="Arial" w:hAnsi="Arial"/>
          <w:sz w:val="12"/>
          <w:szCs w:val="12"/>
          <w:b w:val="1"/>
          <w:bCs w:val="1"/>
          <w:color w:val="auto"/>
        </w:rPr>
        <w:t>Identification Number)</w:t>
      </w:r>
    </w:p>
    <w:p>
      <w:pPr>
        <w:spacing w:after="0" w:line="22" w:lineRule="exact"/>
        <w:rPr>
          <w:sz w:val="24"/>
          <w:szCs w:val="24"/>
          <w:color w:val="auto"/>
        </w:rPr>
      </w:pPr>
    </w:p>
    <w:p>
      <w:pPr>
        <w:sectPr>
          <w:pgSz w:w="11900" w:h="16900" w:orient="portrait"/>
          <w:cols w:equalWidth="0" w:num="2">
            <w:col w:w="7300" w:space="720"/>
            <w:col w:w="3400"/>
          </w:cols>
          <w:pgMar w:left="240" w:top="230"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2111 N. Molter Road</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Liberty Lake, Washington 99019</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ectPr>
          <w:pgSz w:w="11900" w:h="16900" w:orient="portrait"/>
          <w:cols w:equalWidth="0" w:num="1">
            <w:col w:w="11420"/>
          </w:cols>
          <w:pgMar w:left="240" w:top="230" w:right="239" w:bottom="0" w:gutter="0" w:footer="0" w:header="0"/>
          <w:type w:val="continuous"/>
        </w:sectPr>
      </w:pP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Steven M. Helmbrecht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Andrew Bor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Perkins Coie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1201 Third Avenue, Suite 4900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Seattle, Washington 98101-3099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(206) 359-8000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p>
      <w:pPr>
        <w:ind w:right="780" w:firstLine="456"/>
        <w:spacing w:after="0" w:line="275"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From time to time after this Registration Statement becomes effective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market conditions and other factors.</w:t>
      </w:r>
    </w:p>
    <w:p>
      <w:pPr>
        <w:spacing w:after="0" w:line="93" w:lineRule="exact"/>
        <w:rPr>
          <w:sz w:val="24"/>
          <w:szCs w:val="24"/>
          <w:color w:val="auto"/>
        </w:rPr>
      </w:pPr>
    </w:p>
    <w:p>
      <w:pPr>
        <w:ind w:left="460"/>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27" w:lineRule="exact"/>
        <w:rPr>
          <w:sz w:val="24"/>
          <w:szCs w:val="24"/>
          <w:color w:val="auto"/>
        </w:rPr>
      </w:pPr>
    </w:p>
    <w:p>
      <w:pPr>
        <w:ind w:right="340" w:firstLine="456"/>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36" w:lineRule="exact"/>
        <w:rPr>
          <w:sz w:val="24"/>
          <w:szCs w:val="24"/>
          <w:color w:val="auto"/>
        </w:rPr>
      </w:pPr>
    </w:p>
    <w:p>
      <w:pPr>
        <w:ind w:right="60" w:firstLine="456"/>
        <w:spacing w:after="0" w:line="230"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36" w:lineRule="exact"/>
        <w:rPr>
          <w:sz w:val="24"/>
          <w:szCs w:val="24"/>
          <w:color w:val="auto"/>
        </w:rPr>
      </w:pPr>
    </w:p>
    <w:p>
      <w:pPr>
        <w:ind w:right="56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ind w:right="260" w:firstLine="456"/>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420" w:firstLine="456"/>
        <w:spacing w:after="0" w:line="230" w:lineRule="exact"/>
        <w:rPr>
          <w:sz w:val="20"/>
          <w:szCs w:val="20"/>
          <w:color w:val="auto"/>
        </w:rPr>
      </w:pPr>
      <w:r>
        <w:rPr>
          <w:rFonts w:ascii="Arial" w:cs="Arial" w:eastAsia="Arial" w:hAnsi="Arial"/>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of 1933, check the following box. </w:t>
      </w:r>
      <w:r>
        <w:rPr>
          <w:rFonts w:ascii="MS PGothic" w:cs="MS PGothic" w:eastAsia="MS PGothic" w:hAnsi="MS PGothic"/>
          <w:sz w:val="16"/>
          <w:szCs w:val="16"/>
          <w:color w:val="auto"/>
        </w:rPr>
        <w:t>☐</w:t>
      </w:r>
    </w:p>
    <w:p>
      <w:pPr>
        <w:spacing w:after="0" w:line="136"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900" w:type="dxa"/>
            <w:vAlign w:val="bottom"/>
            <w:gridSpan w:val="2"/>
          </w:tcPr>
          <w:p>
            <w:pPr>
              <w:spacing w:after="0"/>
              <w:rPr>
                <w:sz w:val="20"/>
                <w:szCs w:val="20"/>
                <w:color w:val="auto"/>
              </w:rPr>
            </w:pPr>
            <w:r>
              <w:rPr>
                <w:rFonts w:ascii="Arial" w:cs="Arial" w:eastAsia="Arial" w:hAnsi="Arial"/>
                <w:sz w:val="18"/>
                <w:szCs w:val="18"/>
                <w:color w:val="auto"/>
              </w:rPr>
              <w:t>Large accelerated filer</w:t>
            </w:r>
          </w:p>
        </w:tc>
        <w:tc>
          <w:tcPr>
            <w:tcW w:w="20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980" w:type="dxa"/>
            <w:vAlign w:val="bottom"/>
            <w:gridSpan w:val="2"/>
          </w:tcPr>
          <w:p>
            <w:pPr>
              <w:ind w:left="760"/>
              <w:spacing w:after="0"/>
              <w:rPr>
                <w:sz w:val="20"/>
                <w:szCs w:val="20"/>
                <w:color w:val="auto"/>
              </w:rPr>
            </w:pPr>
            <w:r>
              <w:rPr>
                <w:rFonts w:ascii="Arial" w:cs="Arial" w:eastAsia="Arial" w:hAnsi="Arial"/>
                <w:sz w:val="18"/>
                <w:szCs w:val="18"/>
                <w:color w:val="auto"/>
                <w:w w:val="92"/>
              </w:rPr>
              <w:t>Accelerated filer</w:t>
            </w:r>
          </w:p>
        </w:tc>
        <w:tc>
          <w:tcPr>
            <w:tcW w:w="1180" w:type="dxa"/>
            <w:vAlign w:val="bottom"/>
          </w:tcPr>
          <w:p>
            <w:pPr>
              <w:spacing w:after="0"/>
              <w:rPr>
                <w:sz w:val="23"/>
                <w:szCs w:val="23"/>
                <w:color w:val="auto"/>
              </w:rPr>
            </w:pPr>
          </w:p>
        </w:tc>
        <w:tc>
          <w:tcPr>
            <w:tcW w:w="160" w:type="dxa"/>
            <w:vAlign w:val="bottom"/>
          </w:tcPr>
          <w:p>
            <w:pP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0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4540" w:type="dxa"/>
            <w:vAlign w:val="bottom"/>
            <w:gridSpan w:val="4"/>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160" w:type="dxa"/>
            <w:vAlign w:val="bottom"/>
            <w:gridSpan w:val="3"/>
          </w:tcPr>
          <w:p>
            <w:pPr>
              <w:ind w:left="760"/>
              <w:spacing w:after="0"/>
              <w:rPr>
                <w:sz w:val="20"/>
                <w:szCs w:val="20"/>
                <w:color w:val="auto"/>
              </w:rPr>
            </w:pPr>
            <w:r>
              <w:rPr>
                <w:rFonts w:ascii="Arial" w:cs="Arial" w:eastAsia="Arial" w:hAnsi="Arial"/>
                <w:sz w:val="18"/>
                <w:szCs w:val="18"/>
                <w:color w:val="auto"/>
              </w:rPr>
              <w:t>Smaller reporting company</w:t>
            </w:r>
          </w:p>
        </w:tc>
        <w:tc>
          <w:tcPr>
            <w:tcW w:w="160" w:type="dxa"/>
            <w:vAlign w:val="bottom"/>
          </w:tcPr>
          <w:p>
            <w:pP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58"/>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90"/>
        </w:trPr>
        <w:tc>
          <w:tcPr>
            <w:tcW w:w="20" w:type="dxa"/>
            <w:vAlign w:val="bottom"/>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5"/>
          </w:tcPr>
          <w:p>
            <w:pPr>
              <w:jc w:val="center"/>
              <w:ind w:right="600"/>
              <w:spacing w:after="0"/>
              <w:rPr>
                <w:sz w:val="20"/>
                <w:szCs w:val="20"/>
                <w:color w:val="auto"/>
              </w:rPr>
            </w:pPr>
            <w:r>
              <w:rPr>
                <w:rFonts w:ascii="Arial" w:cs="Arial" w:eastAsia="Arial" w:hAnsi="Arial"/>
                <w:sz w:val="18"/>
                <w:szCs w:val="18"/>
                <w:b w:val="1"/>
                <w:bCs w:val="1"/>
                <w:color w:val="auto"/>
                <w:w w:val="99"/>
              </w:rPr>
              <w:t>CALCULATION OF REGISTRATION FEE</w:t>
            </w:r>
          </w:p>
        </w:tc>
        <w:tc>
          <w:tcPr>
            <w:tcW w:w="1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980" w:type="dxa"/>
            <w:vAlign w:val="bottom"/>
            <w:tcBorders>
              <w:bottom w:val="single" w:sz="8" w:color="auto"/>
            </w:tcBorders>
            <w:gridSpan w:val="2"/>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1560" w:type="dxa"/>
            <w:vAlign w:val="bottom"/>
            <w:tcBorders>
              <w:right w:val="single" w:sz="8" w:color="auto"/>
            </w:tcBorders>
          </w:tcPr>
          <w:p>
            <w:pPr>
              <w:jc w:val="center"/>
              <w:ind w:left="15"/>
              <w:spacing w:after="0" w:line="118" w:lineRule="exact"/>
              <w:rPr>
                <w:sz w:val="20"/>
                <w:szCs w:val="20"/>
                <w:color w:val="auto"/>
              </w:rPr>
            </w:pPr>
            <w:r>
              <w:rPr>
                <w:rFonts w:ascii="Arial" w:cs="Arial" w:eastAsia="Arial" w:hAnsi="Arial"/>
                <w:sz w:val="12"/>
                <w:szCs w:val="12"/>
                <w:b w:val="1"/>
                <w:bCs w:val="1"/>
                <w:color w:val="auto"/>
              </w:rPr>
              <w:t>Amount to Be</w:t>
            </w:r>
          </w:p>
        </w:tc>
        <w:tc>
          <w:tcPr>
            <w:tcW w:w="1660" w:type="dxa"/>
            <w:vAlign w:val="bottom"/>
            <w:tcBorders>
              <w:right w:val="single" w:sz="8" w:color="auto"/>
            </w:tcBorders>
            <w:gridSpan w:val="2"/>
          </w:tcPr>
          <w:p>
            <w:pPr>
              <w:jc w:val="center"/>
              <w:ind w:left="8"/>
              <w:spacing w:after="0" w:line="118" w:lineRule="exact"/>
              <w:rPr>
                <w:sz w:val="20"/>
                <w:szCs w:val="20"/>
                <w:color w:val="auto"/>
              </w:rPr>
            </w:pPr>
            <w:r>
              <w:rPr>
                <w:rFonts w:ascii="Arial" w:cs="Arial" w:eastAsia="Arial" w:hAnsi="Arial"/>
                <w:sz w:val="12"/>
                <w:szCs w:val="12"/>
                <w:b w:val="1"/>
                <w:bCs w:val="1"/>
                <w:color w:val="auto"/>
              </w:rPr>
              <w:t>Proposed Maximum</w:t>
            </w:r>
          </w:p>
        </w:tc>
        <w:tc>
          <w:tcPr>
            <w:tcW w:w="1760" w:type="dxa"/>
            <w:vAlign w:val="bottom"/>
            <w:tcBorders>
              <w:right w:val="single" w:sz="8" w:color="auto"/>
            </w:tcBorders>
          </w:tcPr>
          <w:p>
            <w:pPr>
              <w:jc w:val="center"/>
              <w:ind w:left="1"/>
              <w:spacing w:after="0" w:line="118" w:lineRule="exact"/>
              <w:rPr>
                <w:sz w:val="20"/>
                <w:szCs w:val="20"/>
                <w:color w:val="auto"/>
              </w:rPr>
            </w:pPr>
            <w:r>
              <w:rPr>
                <w:rFonts w:ascii="Arial" w:cs="Arial" w:eastAsia="Arial" w:hAnsi="Arial"/>
                <w:sz w:val="12"/>
                <w:szCs w:val="12"/>
                <w:b w:val="1"/>
                <w:bCs w:val="1"/>
                <w:color w:val="auto"/>
              </w:rPr>
              <w:t>Proposed Maximum</w:t>
            </w:r>
          </w:p>
        </w:tc>
        <w:tc>
          <w:tcPr>
            <w:tcW w:w="220" w:type="dxa"/>
            <w:vAlign w:val="bottom"/>
          </w:tcPr>
          <w:p>
            <w:pPr>
              <w:spacing w:after="0"/>
              <w:rPr>
                <w:sz w:val="10"/>
                <w:szCs w:val="10"/>
                <w:color w:val="auto"/>
              </w:rPr>
            </w:pPr>
          </w:p>
        </w:tc>
        <w:tc>
          <w:tcPr>
            <w:tcW w:w="11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0"/>
                <w:szCs w:val="10"/>
                <w:color w:val="auto"/>
              </w:rPr>
            </w:pPr>
          </w:p>
        </w:tc>
      </w:tr>
      <w:tr>
        <w:trPr>
          <w:trHeight w:val="175"/>
        </w:trPr>
        <w:tc>
          <w:tcPr>
            <w:tcW w:w="20" w:type="dxa"/>
            <w:vAlign w:val="bottom"/>
          </w:tcPr>
          <w:p>
            <w:pPr>
              <w:spacing w:after="0"/>
              <w:rPr>
                <w:sz w:val="15"/>
                <w:szCs w:val="15"/>
                <w:color w:val="auto"/>
              </w:rPr>
            </w:pPr>
          </w:p>
        </w:tc>
        <w:tc>
          <w:tcPr>
            <w:tcW w:w="390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w w:val="87"/>
              </w:rPr>
              <w:t>Title of Each Class of Securities to Be Registered</w:t>
            </w:r>
          </w:p>
        </w:tc>
        <w:tc>
          <w:tcPr>
            <w:tcW w:w="60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4"/>
                <w:szCs w:val="14"/>
                <w:b w:val="1"/>
                <w:bCs w:val="1"/>
                <w:color w:val="auto"/>
                <w:w w:val="85"/>
              </w:rPr>
              <w:t>Registered (2)</w:t>
            </w:r>
          </w:p>
        </w:tc>
        <w:tc>
          <w:tcPr>
            <w:tcW w:w="1660" w:type="dxa"/>
            <w:vAlign w:val="bottom"/>
            <w:tcBorders>
              <w:bottom w:val="single" w:sz="8" w:color="auto"/>
              <w:right w:val="single" w:sz="8" w:color="auto"/>
            </w:tcBorders>
            <w:gridSpan w:val="2"/>
          </w:tcPr>
          <w:p>
            <w:pPr>
              <w:jc w:val="center"/>
              <w:ind w:left="8"/>
              <w:spacing w:after="0"/>
              <w:rPr>
                <w:sz w:val="20"/>
                <w:szCs w:val="20"/>
                <w:color w:val="auto"/>
              </w:rPr>
            </w:pPr>
            <w:r>
              <w:rPr>
                <w:rFonts w:ascii="Arial" w:cs="Arial" w:eastAsia="Arial" w:hAnsi="Arial"/>
                <w:sz w:val="14"/>
                <w:szCs w:val="14"/>
                <w:b w:val="1"/>
                <w:bCs w:val="1"/>
                <w:color w:val="auto"/>
                <w:w w:val="89"/>
              </w:rPr>
              <w:t>Offering Price Per Unit (2)</w:t>
            </w:r>
          </w:p>
        </w:tc>
        <w:tc>
          <w:tcPr>
            <w:tcW w:w="176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4"/>
                <w:szCs w:val="14"/>
                <w:b w:val="1"/>
                <w:bCs w:val="1"/>
                <w:color w:val="auto"/>
                <w:w w:val="87"/>
              </w:rPr>
              <w:t>Aggregate Offering Price (2)</w:t>
            </w: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Registration Fee (1)</w:t>
            </w:r>
          </w:p>
        </w:tc>
        <w:tc>
          <w:tcPr>
            <w:tcW w:w="160" w:type="dxa"/>
            <w:vAlign w:val="bottom"/>
            <w:tcBorders>
              <w:bottom w:val="single" w:sz="8" w:color="auto"/>
            </w:tcBorders>
          </w:tcPr>
          <w:p>
            <w:pPr>
              <w:spacing w:after="0"/>
              <w:rPr>
                <w:sz w:val="15"/>
                <w:szCs w:val="15"/>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Common stock, no par value</w:t>
            </w:r>
          </w:p>
        </w:tc>
        <w:tc>
          <w:tcPr>
            <w:tcW w:w="60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gridSpan w:val="2"/>
          </w:tcPr>
          <w:p>
            <w:pPr>
              <w:jc w:val="center"/>
              <w:ind w:left="8"/>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8"/>
                <w:szCs w:val="18"/>
                <w:color w:val="auto"/>
              </w:rPr>
            </w:pPr>
          </w:p>
        </w:tc>
      </w:tr>
      <w:tr>
        <w:trPr>
          <w:trHeight w:val="210"/>
        </w:trPr>
        <w:tc>
          <w:tcPr>
            <w:tcW w:w="3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Preferred stock, no par value</w:t>
            </w:r>
          </w:p>
        </w:tc>
        <w:tc>
          <w:tcPr>
            <w:tcW w:w="60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r>
      <w:tr>
        <w:trPr>
          <w:trHeight w:val="210"/>
        </w:trPr>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Debt securities</w:t>
            </w:r>
          </w:p>
        </w:tc>
        <w:tc>
          <w:tcPr>
            <w:tcW w:w="2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r>
      <w:tr>
        <w:trPr>
          <w:trHeight w:val="210"/>
        </w:trPr>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Convertible debt securities</w:t>
            </w:r>
          </w:p>
        </w:tc>
        <w:tc>
          <w:tcPr>
            <w:tcW w:w="2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r>
      <w:tr>
        <w:trPr>
          <w:trHeight w:val="118"/>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156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7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r>
    </w:tbl>
    <w:p>
      <w:pPr>
        <w:sectPr>
          <w:pgSz w:w="11900" w:h="16900" w:orient="portrait"/>
          <w:cols w:equalWidth="0" w:num="1">
            <w:col w:w="11420"/>
          </w:cols>
          <w:pgMar w:left="240" w:top="230"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Preferred share purchase rights to purchase shares of Series R Junior</w:t>
            </w:r>
          </w:p>
        </w:tc>
        <w:tc>
          <w:tcPr>
            <w:tcW w:w="2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2"/>
        </w:trPr>
        <w:tc>
          <w:tcPr>
            <w:tcW w:w="6040" w:type="dxa"/>
            <w:vAlign w:val="bottom"/>
          </w:tcPr>
          <w:p>
            <w:pPr>
              <w:ind w:left="220"/>
              <w:spacing w:after="0"/>
              <w:rPr>
                <w:sz w:val="20"/>
                <w:szCs w:val="20"/>
                <w:color w:val="auto"/>
              </w:rPr>
            </w:pPr>
            <w:r>
              <w:rPr>
                <w:rFonts w:ascii="Arial" w:cs="Arial" w:eastAsia="Arial" w:hAnsi="Arial"/>
                <w:sz w:val="18"/>
                <w:szCs w:val="18"/>
                <w:color w:val="auto"/>
              </w:rPr>
              <w:t>Participating Preferred Stock (3)</w:t>
            </w:r>
          </w:p>
        </w:tc>
        <w:tc>
          <w:tcPr>
            <w:tcW w:w="2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040" w:type="dxa"/>
            <w:vAlign w:val="bottom"/>
          </w:tcPr>
          <w:p>
            <w:pPr>
              <w:ind w:left="440"/>
              <w:spacing w:after="0"/>
              <w:rPr>
                <w:sz w:val="20"/>
                <w:szCs w:val="20"/>
                <w:color w:val="auto"/>
              </w:rPr>
            </w:pPr>
            <w:r>
              <w:rPr>
                <w:rFonts w:ascii="Arial" w:cs="Arial" w:eastAsia="Arial" w:hAnsi="Arial"/>
                <w:sz w:val="18"/>
                <w:szCs w:val="18"/>
                <w:color w:val="auto"/>
              </w:rPr>
              <w:t>Total</w:t>
            </w:r>
          </w:p>
        </w:tc>
        <w:tc>
          <w:tcPr>
            <w:tcW w:w="2120" w:type="dxa"/>
            <w:vAlign w:val="bottom"/>
          </w:tcPr>
          <w:p>
            <w:pPr>
              <w:jc w:val="right"/>
              <w:ind w:right="71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71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4546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5466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is deferring payment of the registration fee in accordance with Rules 456(b) and 457(r) under the Securities Act of 1933.</w:t>
      </w:r>
    </w:p>
    <w:p>
      <w:pPr>
        <w:spacing w:after="0" w:line="15" w:lineRule="exact"/>
        <w:rPr>
          <w:rFonts w:ascii="Arial" w:cs="Arial" w:eastAsia="Arial" w:hAnsi="Arial"/>
          <w:sz w:val="18"/>
          <w:szCs w:val="18"/>
          <w:color w:val="auto"/>
        </w:rPr>
      </w:pPr>
    </w:p>
    <w:p>
      <w:pPr>
        <w:ind w:left="460" w:right="60" w:hanging="452"/>
        <w:spacing w:after="0" w:line="281"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An indeterminate aggregate initial offering price or number of the securities of each identified class is being registered as may from time to time be offered at indeterminate prices. Separate consideration may or may not be received for securities that are issuable on exercise, conversion or exchange of other securities or that are issued in units. No separate consideration for the preferred share purchase rights will be received.</w:t>
      </w:r>
    </w:p>
    <w:p>
      <w:pPr>
        <w:spacing w:after="0" w:line="2" w:lineRule="exact"/>
        <w:rPr>
          <w:rFonts w:ascii="Arial" w:cs="Arial" w:eastAsia="Arial" w:hAnsi="Arial"/>
          <w:sz w:val="16"/>
          <w:szCs w:val="16"/>
          <w:color w:val="auto"/>
        </w:rPr>
      </w:pPr>
    </w:p>
    <w:p>
      <w:pPr>
        <w:ind w:left="460" w:hanging="452"/>
        <w:spacing w:after="0" w:line="25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indeterminate number of preferred share purchase rights to purchase shares of our Series R Junior Participating Preferred Stock that attached to our common stock under Rights Agreement between Itron, Inc. and Mellon Investor Services LLC, as Rights Agent, dated as of December 11, 2002, as amended by Amendment To Rights Agreement between Itron, Inc. and Mellon Investor Services LLC, as Rights Agent, dated September 22, 2010, is being registered as may from time to time be attached to an offering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246380</wp:posOffset>
            </wp:positionV>
            <wp:extent cx="960755" cy="394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6075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Itron,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Common Stock</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Preferred Stock</w:t>
      </w:r>
    </w:p>
    <w:p>
      <w:pPr>
        <w:jc w:val="center"/>
        <w:ind w:right="-39"/>
        <w:spacing w:after="0" w:line="237" w:lineRule="auto"/>
        <w:rPr>
          <w:sz w:val="20"/>
          <w:szCs w:val="20"/>
          <w:color w:val="auto"/>
        </w:rPr>
      </w:pPr>
      <w:r>
        <w:rPr>
          <w:rFonts w:ascii="Arial" w:cs="Arial" w:eastAsia="Arial" w:hAnsi="Arial"/>
          <w:sz w:val="32"/>
          <w:szCs w:val="32"/>
          <w:b w:val="1"/>
          <w:bCs w:val="1"/>
          <w:color w:val="auto"/>
        </w:rPr>
        <w:t>Debt Securities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Convertible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We may, from time to time, offer to sell common stock, preferred stock, debt securities, or convertible debt securities. We refer to our common stock, preferred stock, debt securities, and convertible debt securities collectively as the “securities.” The securities we may offer may be convertible into or exercisable or exchangeable for our other securities. We may offer the securities separately or together, in separate series or classes and in amounts, at prices and on terms that will be determined at the time the securities are offered. In addition, this prospectus may be used to offer securities for the account of persons other than us.</w:t>
      </w:r>
    </w:p>
    <w:p>
      <w:pPr>
        <w:spacing w:after="0" w:line="9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or any selling securityholder may offer and sell these securities to or through one or more underwriters, dealers and agents, or directly to purchasers, on a continuous or delayed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88900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Global Select Market under the symbol “ITRI.”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0" w:lineRule="exact"/>
        <w:rPr>
          <w:sz w:val="20"/>
          <w:szCs w:val="20"/>
          <w:color w:val="auto"/>
        </w:rPr>
      </w:pPr>
    </w:p>
    <w:p>
      <w:pPr>
        <w:ind w:right="820" w:firstLine="571"/>
        <w:spacing w:after="0" w:line="280"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securities involves risks. See “</w:t>
      </w:r>
      <w:hyperlink w:anchor="page5">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on page 1 of this prospectus, and any applicable prospectus supplement, and in the documents which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71120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2" w:lineRule="exact"/>
        <w:rPr>
          <w:sz w:val="20"/>
          <w:szCs w:val="20"/>
          <w:color w:val="auto"/>
        </w:rPr>
      </w:pPr>
    </w:p>
    <w:p>
      <w:pPr>
        <w:ind w:right="22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or other regulatory body has approved or disapproved of these securities or determined if this prospectus is truthful or complete. Any representation to the contrary is a criminal offense.</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May 24, 2012.</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960" w:type="dxa"/>
            <w:vAlign w:val="bottom"/>
            <w:gridSpan w:val="2"/>
          </w:tcPr>
          <w:p>
            <w:pPr>
              <w:jc w:val="right"/>
              <w:ind w:right="4585"/>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4360" w:type="dxa"/>
            <w:vAlign w:val="bottom"/>
            <w:gridSpan w:val="13"/>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66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4360" w:type="dxa"/>
            <w:vAlign w:val="bottom"/>
            <w:gridSpan w:val="13"/>
            <w:vMerge w:val="continue"/>
          </w:tcPr>
          <w:p>
            <w:pPr>
              <w:spacing w:after="0"/>
              <w:rPr>
                <w:sz w:val="13"/>
                <w:szCs w:val="13"/>
                <w:color w:val="auto"/>
              </w:rPr>
            </w:pPr>
          </w:p>
        </w:tc>
        <w:tc>
          <w:tcPr>
            <w:tcW w:w="6680" w:type="dxa"/>
            <w:vAlign w:val="bottom"/>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FORWARD-LOOKING INFORMATION</w:t>
              </w:r>
            </w:hyperlink>
          </w:p>
        </w:tc>
        <w:tc>
          <w:tcPr>
            <w:tcW w:w="69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9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RISK FACTORS</w:t>
              </w:r>
            </w:hyperlink>
          </w:p>
        </w:tc>
        <w:tc>
          <w:tcPr>
            <w:tcW w:w="1400" w:type="dxa"/>
            <w:vAlign w:val="bottom"/>
            <w:gridSpan w:val="3"/>
          </w:tcPr>
          <w:p>
            <w:pPr>
              <w:spacing w:after="0"/>
              <w:rPr>
                <w:sz w:val="17"/>
                <w:szCs w:val="17"/>
                <w:color w:val="auto"/>
              </w:rPr>
            </w:pPr>
          </w:p>
        </w:tc>
        <w:tc>
          <w:tcPr>
            <w:tcW w:w="6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gridSpan w:val="13"/>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WHERE YOU CAN FIND MORE INFORMATION</w:t>
              </w:r>
            </w:hyperlink>
          </w:p>
        </w:tc>
        <w:tc>
          <w:tcPr>
            <w:tcW w:w="6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8">
              <w:r>
                <w:rPr>
                  <w:rFonts w:ascii="Arial" w:cs="Arial" w:eastAsia="Arial" w:hAnsi="Arial"/>
                  <w:sz w:val="18"/>
                  <w:szCs w:val="18"/>
                  <w:color w:val="0000EE"/>
                  <w:w w:val="93"/>
                </w:rPr>
                <w:t>INFORMATION INCORPORATED BY REFERENCE</w:t>
              </w:r>
            </w:hyperlink>
          </w:p>
        </w:tc>
        <w:tc>
          <w:tcPr>
            <w:tcW w:w="420" w:type="dxa"/>
            <w:vAlign w:val="bottom"/>
          </w:tcPr>
          <w:p>
            <w:pPr>
              <w:spacing w:after="0"/>
              <w:rPr>
                <w:sz w:val="17"/>
                <w:szCs w:val="17"/>
                <w:color w:val="auto"/>
              </w:rPr>
            </w:pPr>
          </w:p>
        </w:tc>
        <w:tc>
          <w:tcPr>
            <w:tcW w:w="6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9">
              <w:r>
                <w:rPr>
                  <w:rFonts w:ascii="Arial" w:cs="Arial" w:eastAsia="Arial" w:hAnsi="Arial"/>
                  <w:sz w:val="18"/>
                  <w:szCs w:val="18"/>
                  <w:color w:val="0000EE"/>
                  <w:w w:val="94"/>
                </w:rPr>
                <w:t>ITRON, INC.</w:t>
              </w:r>
            </w:hyperlink>
          </w:p>
        </w:tc>
        <w:tc>
          <w:tcPr>
            <w:tcW w:w="3380" w:type="dxa"/>
            <w:vAlign w:val="bottom"/>
            <w:gridSpan w:val="11"/>
          </w:tcPr>
          <w:p>
            <w:pPr>
              <w:spacing w:after="0"/>
              <w:rPr>
                <w:sz w:val="17"/>
                <w:szCs w:val="17"/>
                <w:color w:val="auto"/>
              </w:rPr>
            </w:pPr>
          </w:p>
        </w:tc>
        <w:tc>
          <w:tcPr>
            <w:tcW w:w="6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360" w:type="dxa"/>
            <w:vAlign w:val="bottom"/>
            <w:gridSpan w:val="13"/>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6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9">
              <w:r>
                <w:rPr>
                  <w:rFonts w:ascii="Arial" w:cs="Arial" w:eastAsia="Arial" w:hAnsi="Arial"/>
                  <w:sz w:val="18"/>
                  <w:szCs w:val="18"/>
                  <w:color w:val="0000EE"/>
                  <w:w w:val="92"/>
                </w:rPr>
                <w:t>DESCRIPTION OF SECURITIES</w:t>
              </w:r>
            </w:hyperlink>
          </w:p>
        </w:tc>
        <w:tc>
          <w:tcPr>
            <w:tcW w:w="1880" w:type="dxa"/>
            <w:vAlign w:val="bottom"/>
            <w:gridSpan w:val="4"/>
          </w:tcPr>
          <w:p>
            <w:pPr>
              <w:spacing w:after="0"/>
              <w:rPr>
                <w:sz w:val="17"/>
                <w:szCs w:val="17"/>
                <w:color w:val="auto"/>
              </w:rPr>
            </w:pPr>
          </w:p>
        </w:tc>
        <w:tc>
          <w:tcPr>
            <w:tcW w:w="6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8"/>
          </w:tcPr>
          <w:p>
            <w:pPr>
              <w:spacing w:after="0" w:line="196" w:lineRule="exact"/>
              <w:rPr>
                <w:rFonts w:ascii="Arial" w:cs="Arial" w:eastAsia="Arial" w:hAnsi="Arial"/>
                <w:sz w:val="18"/>
                <w:szCs w:val="18"/>
                <w:color w:val="0000EE"/>
                <w:w w:val="94"/>
              </w:rPr>
            </w:pPr>
            <w:hyperlink w:anchor="page9">
              <w:r>
                <w:rPr>
                  <w:rFonts w:ascii="Arial" w:cs="Arial" w:eastAsia="Arial" w:hAnsi="Arial"/>
                  <w:sz w:val="18"/>
                  <w:szCs w:val="18"/>
                  <w:color w:val="0000EE"/>
                  <w:w w:val="94"/>
                </w:rPr>
                <w:t>SELLING SECURITYHOLDERS</w:t>
              </w:r>
            </w:hyperlink>
          </w:p>
        </w:tc>
        <w:tc>
          <w:tcPr>
            <w:tcW w:w="1900" w:type="dxa"/>
            <w:vAlign w:val="bottom"/>
            <w:gridSpan w:val="5"/>
          </w:tcPr>
          <w:p>
            <w:pPr>
              <w:spacing w:after="0"/>
              <w:rPr>
                <w:sz w:val="17"/>
                <w:szCs w:val="17"/>
                <w:color w:val="auto"/>
              </w:rPr>
            </w:pPr>
          </w:p>
        </w:tc>
        <w:tc>
          <w:tcPr>
            <w:tcW w:w="6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360" w:type="dxa"/>
            <w:vAlign w:val="bottom"/>
            <w:gridSpan w:val="13"/>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PLAN OF DISTRIBUTION</w:t>
              </w:r>
            </w:hyperlink>
          </w:p>
        </w:tc>
        <w:tc>
          <w:tcPr>
            <w:tcW w:w="6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LEGAL MATTERS</w:t>
              </w:r>
            </w:hyperlink>
          </w:p>
        </w:tc>
        <w:tc>
          <w:tcPr>
            <w:tcW w:w="2360" w:type="dxa"/>
            <w:vAlign w:val="bottom"/>
            <w:gridSpan w:val="7"/>
          </w:tcPr>
          <w:p>
            <w:pPr>
              <w:spacing w:after="0"/>
              <w:rPr>
                <w:sz w:val="17"/>
                <w:szCs w:val="17"/>
                <w:color w:val="auto"/>
              </w:rPr>
            </w:pPr>
          </w:p>
        </w:tc>
        <w:tc>
          <w:tcPr>
            <w:tcW w:w="6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EXPERTS</w:t>
              </w:r>
            </w:hyperlink>
          </w:p>
        </w:tc>
        <w:tc>
          <w:tcPr>
            <w:tcW w:w="660" w:type="dxa"/>
            <w:vAlign w:val="bottom"/>
            <w:tcBorders>
              <w:top w:val="single" w:sz="8" w:color="0000EE"/>
            </w:tcBorders>
            <w:gridSpan w:val="3"/>
          </w:tcPr>
          <w:p>
            <w:pPr>
              <w:spacing w:after="0"/>
              <w:rPr>
                <w:sz w:val="17"/>
                <w:szCs w:val="17"/>
                <w:color w:val="auto"/>
              </w:rPr>
            </w:pPr>
          </w:p>
        </w:tc>
        <w:tc>
          <w:tcPr>
            <w:tcW w:w="2940" w:type="dxa"/>
            <w:vAlign w:val="bottom"/>
            <w:gridSpan w:val="9"/>
          </w:tcPr>
          <w:p>
            <w:pPr>
              <w:spacing w:after="0"/>
              <w:rPr>
                <w:sz w:val="17"/>
                <w:szCs w:val="17"/>
                <w:color w:val="auto"/>
              </w:rPr>
            </w:pPr>
          </w:p>
        </w:tc>
        <w:tc>
          <w:tcPr>
            <w:tcW w:w="6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This prospectus is part of a Registration Statement on Form S-3 that we filed with the U.S. Securities and Exchange Commission, or SEC, using the “shelf” registration process. By using a shelf registration statement, we and/or certain selling securityholders may offer and sell, from time to time, in one or more offerings, the securities described in this prospectus. No limit exists on the aggregate amount of the securities we may sell pursuant to the Registration Statement. This prospectus describes some of the general terms that may apply to these securities. The specific terms of any securities to be offered, and any other information relating to a specific offering, will be set forth in a supplement to this prospectus.</w:t>
      </w:r>
    </w:p>
    <w:p>
      <w:pPr>
        <w:spacing w:after="0" w:line="1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You should rely only on the information contained in or incorporated by reference into this prospectus or any applicable prospectus supplement. We have not authorized anyone to provide you with different information. This document may only be used where it is legal to sell these securities. You should not assume that the information contained in this prospectus, or in any prospectus supplement, is accurate as of any date other than their respective dates.</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urge you to read carefully both this prospectus and the applicable prospectus supplement accompanying this prospectus, together with the information incorporated herein by reference as described under the heading “Where You Can Find More Information,” before deciding whether to invest in any of the securities being offered.</w:t>
      </w:r>
    </w:p>
    <w:p>
      <w:pPr>
        <w:spacing w:after="0" w:line="14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References in this prospectus to “Itron,” “we,” “us” and “our” are to Itron, Inc. and its subsidiaries. The term “you” refers to a prospective investor. Our principal executive offices are located at 2111 N. Molter Road, Liberty Lake, Washington 99019. Our phone number is (509) 924-9900.</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INFORMATION</w:t>
      </w:r>
    </w:p>
    <w:p>
      <w:pPr>
        <w:spacing w:after="0" w:line="177" w:lineRule="exact"/>
        <w:rPr>
          <w:sz w:val="20"/>
          <w:szCs w:val="20"/>
          <w:color w:val="auto"/>
        </w:rPr>
      </w:pPr>
    </w:p>
    <w:p>
      <w:pPr>
        <w:ind w:right="200" w:firstLine="456"/>
        <w:spacing w:after="0" w:line="253" w:lineRule="auto"/>
        <w:rPr>
          <w:sz w:val="20"/>
          <w:szCs w:val="20"/>
          <w:color w:val="auto"/>
        </w:rPr>
      </w:pPr>
      <w:r>
        <w:rPr>
          <w:rFonts w:ascii="Arial" w:cs="Arial" w:eastAsia="Arial" w:hAnsi="Arial"/>
          <w:sz w:val="18"/>
          <w:szCs w:val="18"/>
          <w:color w:val="auto"/>
        </w:rPr>
        <w:t>Our disclosure and analysis in this prospectus, in any prospectus supplement, in the documents incorporated by reference and in some of our other public statements contain “forward-looking statements” within the meaning of the Private Securities Litigation Reform Act of 1995, as amended. This Act provides a “safe harbor” for forward-looking statements to encourage companies to provide prospective information about themselves so long as they identify these statements as forward-looking and provide meaningful cautionary statements identifying important factors that could cause actual results to differ from the projected results. In some cases, you can identify forward-looking statements by terminology such as “anticipate,” “believe,” “continue,” “could,” “estimate,” “expect,” “future,” “intend,” “may,” “might,” “objective,” “plan,” “potential,” “predict,” “project,” “should,” “will,” or “will continue,” or the negative of those terms, or comparable terminology.</w:t>
      </w:r>
    </w:p>
    <w:p>
      <w:pPr>
        <w:spacing w:after="0" w:line="147"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Any or all of our forward-looking statements in this prospectus, in any prospectus supplement, in the documents incorporated by reference, and in any other public statements we make may turn out to be inaccurate. Forward-looking statements reflect our current expectations or forecasts of future events or results and are inherently uncertain. Inaccurate assumptions we might make and known or unknown risks and uncertainties can affect the accuracy of our forward-looking statements. Accordingly, no forward-looking statement can be guaranteed and future events and actual or suggested results may differ materially.</w:t>
      </w:r>
    </w:p>
    <w:p>
      <w:pPr>
        <w:spacing w:after="0" w:line="9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undertake no obligation to publicly update any forward-looking statements, whether as a result of new information, future events, or otherwise. You are advised, however, to consult any further disclosures we make in our annual reports on Form 10-K, quarterly reports on Form 10-Q, and current reports on Form 8-K, as well as in any prospectus supplement relating to this prospectus and other public filings with the SEC.</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Please carefully consider the risk factors described in our periodic reports filed with the SEC, which are included or incorporated by reference in this prospectus and any applicable prospectus supplement. Before making an investment decision, you should carefully consider these risks as well as other information we include or incorporate by reference in this prospectus or in any applicable prospectus supplement. Additional risks and uncertainties not presently known to us or that we currently deem immaterial may also impair our business operations.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Common Stock</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i w:val="1"/>
          <w:iCs w:val="1"/>
          <w:color w:val="auto"/>
        </w:rPr>
        <w:t>The price of our common stock may fluctuate significantly, and this may make it difficult for you to sell the common stock when you want or at prices you find attractive.</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price of our common stock on the Nasdaq Global Select Market has been, and is likely to remain, highly volatile. We expect that the market price of our common stock will continue to fluctuate.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stock price may fluctuate as a result of a variety of factors, many of which are beyond our control. These factors may include:</w:t>
      </w:r>
    </w:p>
    <w:p>
      <w:pPr>
        <w:spacing w:after="0" w:line="90"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variations in our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results that vary from the expectations of management, securities analysts, and investors;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foreign currency rates;</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announcements of innovations, new products and technology, strategic developments, significant contracts, acquisitions, and other material events by us or our competitors;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operating and securities price performance of other companies that investors believe are comparable to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sales of our equity or equity-related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general conditions in our industry and in the economy, the financial markets, and the domestic or international political environment;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legal developments or disputes;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departures of key personnel;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considerations.</w:t>
      </w:r>
    </w:p>
    <w:p>
      <w:pPr>
        <w:spacing w:after="0" w:line="171"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addition, in recent years, the stock market in general has experienced significant price and volume fluctuations. This volatility has had a significant effect on the market price of securities issued by many companies for reasons often unrelated to their operating performance. These broad market fluctuations may adversely affect our stock price, regardless of our operating results.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sales of shares by existing shareholders could affect our stock price.</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Shares of common stock held by our shareholders, including our executive officers and directors, may be sold in the public market at any time and from time to time subject in certain cases to volume limitations under Rule 144 of the Securities Act of 1933 (the Securities Act) and various vesting agreements. If any of these shareholders sell substantial amounts of our common stock in the public market, the market price of our common stock could decline. In addition, shares subject to outstanding options and shares reserved for future issuance under our stock option plan will continue to become eligible for sale in the public market to the extent permitted by the provisions of the various vesting agreements and the securities rules and regulations applicable to these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shareholders’ interests may be diluted in various ways, which may reduce their returns.</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board of directors is authorized, without shareholder approval, to authorize us to issue additional shares of our common stock or to raise capital through the issuance of preferred stock, debt securities, and other rights, on terms and for consideration as our board of directors in its sole discretion may determine. Any such issuance could result in dilution of the equity of our shareholders. If our revenues are lower than anticipated or our expenses are higher than anticipated, we will require additional capital to service our indebtedness and finance our operations. We cannot assure you that any additional sources of financing or new capital will be available to us, available on acceptable terms, or permitted by the terms of our current debt.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rights plan and our ability to issue preferred stock could harm the rights of our common shareholders.</w:t>
      </w:r>
    </w:p>
    <w:p>
      <w:pPr>
        <w:spacing w:after="0" w:line="171"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Each share of our outstanding common stock is associated with one right to acquire one one-hundredth (1/100) of a share of our Series R Participating Cumulative Preferred Stock, without par value, at a purchase price of $160.00 per share. The rights plan expires on December 11, 2012.</w:t>
      </w:r>
    </w:p>
    <w:p>
      <w:pPr>
        <w:spacing w:after="0" w:line="8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rights only become exercisable in certain limited circumstances on the distribution date, which is the earlier of: (1) the close of business on the tenth business day after a public announcement that a person has acquired beneficial ownership of 15% or more of our outstanding shares of common stock; and (2) a date that our Board of Directors designates following the commencement of, or first public disclosure of an intent to commence, a tender or exchange offer for outstanding shares of common stock that could result in the offeror becoming the beneficial owner of 15% or more of our outstanding shares of common stock. Prior to the earlier of the December 11, 2012 expiration date of the rights and a person becoming the beneficial owner of 15% or more of our outstanding shares of common stock, the rights are redeemable by us at a price of $0.01 per right. If the rights are not redeemed, each right will then entitle the holder to purchase for the purchase price, common stock having the value of twice the then-current purchase price. After a person becomes the beneficial owner of 15% or more of our outstanding shares of common stock, but before a person becomes the beneficial owner of more than 50% of these shares, our Board of Directors may elect to exchange each preferred share purchase right, other than those that have become null and void and nontransferable as described above, for shares of our common stock, without payment of the purchase price. The exchange rate in this situation would be one-half of the number of shares of common stock that would otherwise be issuable at that time upon the exercise of one preferred share purchase right.</w:t>
      </w:r>
    </w:p>
    <w:p>
      <w:pPr>
        <w:spacing w:after="0" w:line="127"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Some provisions in the rights plan may have the effect of discouraging a third party from making an acquisition proposal for us and may thereby inhibit a change in control. For example, such provisions may deter tender offers for shares of our common stock, which offers may be attractive to shareholders, or deter purchases of large blocks of our common stock, thereby limiting the opportunity for shareholders to receive a premium for their shares of common stock over the then-prevailing market prices.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Some anti-takeover provisions contained in our charter and bylaws and under Washington laws could hinder a takeover attempt.</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Board of Directors has the authority to issue up to 10 million shares of preferred stock (1 million of which have been designated Series R Participating Cumulative Preferred Stock under our shareholder rights plan and the remainder of which have not yet been designated) and to determine the powers, preferences and rights and the qualifications, limitations or restrictions granted to or imposed upon any wholly unissued shares of undesignated preferred stock and to fix the number of shares constituting any series and the designation of such series, without the consent of our shareholders. The preferred stock could be issued with voting, liquidation, dividend, and other rights superior to those of the holders of our common stock. The issuance of the Series R Participating Cumulative Preferred Stock with respect to our shareholder rights plan or any preferred stock subsequently issued by our Board of Directors, under some circumstances, could have the effect of delaying, deferring, or preventing a change in control.</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Further, certain provisions of our charter documents, including provisions relating to limitations of liability and indemnification of our directors and officers, dividing our Board of Directors into three classes of directors serving three-year terms, majority voting for directors, and limiting the ability of shareholders to raise matters at a meeting of shareholders without giving advance notice, may have the effect of delaying or preventing changes in our control or management, which could have an adverse effect on the market price of our common stock.</w:t>
      </w:r>
    </w:p>
    <w:p>
      <w:pPr>
        <w:spacing w:after="0" w:line="143"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Chapter 23B.19 of the Washington Business Corporation Act, with limited exceptions, prohibits a “target corporation” from engaging in specified “significant business transactions” for a period of five years after the share acquisition by an acquiring person, unless (i) the prohibited transaction or the acquiring person’s purchase of shares was approved by a majority of the members of the target corporation’s board of directors prior to the acquiring person’s share acquisition or (ii) the prohibited transaction was both approved by the majority of the members of the target corporation’s board and authorized at a shareholder meeting by at least two-thirds of the outstanding voting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shares (excluding the acquiring person’s shares) at or subsequent to the acquiring person’s share acquisition. An acquiring person is defined as a person or group of persons that beneficially own 10% or more of the voting securities of the target corporation. Such prohibited transactions include, among other things:</w:t>
      </w:r>
    </w:p>
    <w:p>
      <w:pPr>
        <w:spacing w:after="0" w:line="4"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certain mergers, or consolidations with, disposition of assets to, or issuances of stock to or redemption of stock from, the acquiring person;</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termination of 5% or more of the employees of the target corporation as a result of the acquiring person’s acquisition of 10% or more of the shares;</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allowing the acquiring person to receive any disproportionate benefit as a shareholder;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liquidating or dissolving the target corporation.</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After the five-year period, certain “significant business transactions” are permitted, as long they comply with certain “fair price” provisions of the statute or are approved by a majority of the outstanding shares other than those of which the acquiring person has beneficial ownership. A corporation may not “opt out” of this statute.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We file annual, quarterly, and special reports, as well as registration and proxy statements and other information, with the SEC. These documents may be read and copied at the Public Reference Room at 100 F. Street, N.E., Washington, D.C. 20549. You can get further information about the SEC’s Public Reference Room by calling 1-800-SEC-0330. The SEC also maintains a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reports, registration statements and other information regarding registrants like us that file electronically with the SEC.</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17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SEC allows us to “incorporate by reference” into this prospectus the information we file with the SEC. This means that we can disclose important information to you by referring you to those documents where the information resides. The information we incorporate by reference is considered a part of this prospectus, and later information we file with the SEC will automatically update and supersede this information. We incorporate by reference the documents listed below and any future filings we make with the SEC under Section 13(a), 13(c), 14, or 15(d) of the Securities Exchange Act of 1934 (the “Exchange Act”) until this offering is completed:</w:t>
      </w:r>
    </w:p>
    <w:p>
      <w:pPr>
        <w:spacing w:after="0" w:line="62" w:lineRule="exact"/>
        <w:rPr>
          <w:sz w:val="20"/>
          <w:szCs w:val="20"/>
          <w:color w:val="auto"/>
        </w:rPr>
      </w:pPr>
    </w:p>
    <w:p>
      <w:pPr>
        <w:ind w:left="900" w:right="1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2011, filed on February 17, 2012, as amended by Amendment No. 1 to Annual Report on Form 10-K/A for the year ended December 31, 2011, filed on February 22, 2012;</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2012, filed on May 4,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Current Reports on Form 8-K filed on February 15, 2012, March 5, 2012, April 2, 2012, April 4, 2012, May 1, 2012, and May 4, 2012;</w:t>
      </w:r>
    </w:p>
    <w:p>
      <w:pPr>
        <w:spacing w:after="0" w:line="113" w:lineRule="exact"/>
        <w:rPr>
          <w:rFonts w:ascii="Arial" w:cs="Arial" w:eastAsia="Arial" w:hAnsi="Arial"/>
          <w:sz w:val="16"/>
          <w:szCs w:val="16"/>
          <w:color w:val="auto"/>
        </w:rPr>
      </w:pPr>
    </w:p>
    <w:p>
      <w:pPr>
        <w:ind w:left="900" w:right="6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Report on Form 8-K filed on May 24, 2012 updating Items 1, 2, 7, and 8 of our Annual Report on Form 10-K for the year ended December 31, 2011;</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Definitive Proxy Statement on Schedule 14A, filed on March 16, 2012 in connection with our 2012 Annual Meeting of Shareholders;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description of our common stock as set forth in our registration statement on Form 8-A, which was filed on September 18, 1993; and</w:t>
      </w:r>
    </w:p>
    <w:p>
      <w:pPr>
        <w:spacing w:after="0" w:line="113" w:lineRule="exact"/>
        <w:rPr>
          <w:rFonts w:ascii="Arial" w:cs="Arial" w:eastAsia="Arial" w:hAnsi="Arial"/>
          <w:sz w:val="16"/>
          <w:szCs w:val="16"/>
          <w:color w:val="auto"/>
        </w:rPr>
      </w:pPr>
    </w:p>
    <w:p>
      <w:pPr>
        <w:ind w:left="900" w:right="4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description of the preferred share purchase rights in our registration statement on Form 8-A, filed on December 16, 2002, under Section 12(b) of the Exchange Act, File No. 00-22418, including any amendments or reports filed for the purpose of updating such description.</w:t>
      </w:r>
    </w:p>
    <w:p>
      <w:pPr>
        <w:spacing w:after="0" w:line="8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are not incorporating by reference any information furnished under Items 2.02 or 7.01 (or corresponding information furnished under Item 9.01 or included as an exhibit) in any past or future current report on Form 8-K that we file with the SEC, unless otherwise specified in such report. In accordance with Rule 402 of Regulation S-T, the XBRL related information in Exhibit 101 to our Annual Report on Form 10-K and our Quarterly Reports on Form 10-Q will not be deemed to be incorporated by reference into any registration statement or other document filed under the Securities Act, except as will be expressly set forth by specific reference in such filing.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You may obtain any of the documents incorporated by reference through the SEC or the SEC’s website as described above. You may also obtain copies of these documents, other than exhibits, free of charge by contacting our investor relations department at our principal offices, which are located at 2111 N. Molter Road, Liberty Lake, Washington, 99019, and our telephone number is (509) 924-9900.</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ITRON, INC.</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a technology company dedicated to delivering end-to-end smart metering solutions to electric, natural gas, and water utilities around the world. Our smart metering solutions, meter data management software, and knowledge application solutions bring additional value to a utility’s metering and grid systems. Our professional services help our customers install, implement, operate, and maintain their systems.</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will set forth in the applicable prospectus supplement our intended use for the net proceeds received by us from our sale of securities under this prospectus. We will not receive the net proceeds of any sales by selling securityholders.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SECURITIES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offer shares of common stock, preferred stock, debt securities, and convertible debt securities. We will set forth in the applicable prospectus supplement a description of the common stock, preferred stock, debt securities, or convertible debt securities that may be offered under this prospectus. The terms of the offering of securities, the initial offering price, and the net proceeds to us will be contained in the prospectus supplement and other offering material, relating to such offering.</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SELLING SECURITYHOLDERS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post-effective amendment, or in filings we make with the SEC under the Exchange Act, which are incorporated by reference.</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We may sell the securities through underwriters or dealers, through agents, or directly to one or more purchasers, or through a combination of these methods. The applicable prospectus supplement will describe the terms of the offering of the securities, including:</w:t>
      </w:r>
    </w:p>
    <w:p>
      <w:pPr>
        <w:spacing w:after="0" w:line="51" w:lineRule="exact"/>
        <w:rPr>
          <w:sz w:val="20"/>
          <w:szCs w:val="20"/>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name or names of any underwriters, if any, and if required, any dealers or agents;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we will receive from the sale;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underwriting discounts and other items constituting underwriters’ compensation;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underwriters named in the prospectus supplement are underwriters of the securities offered by the prospectus supplement.</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we use underwriters in the sale, they will acquire the securities for their own account and may resell them from time to time in one or more transactions at a fixed public offering price or at varying prices. We may offer the securities to the public through underwriting syndicates represented by managing underwriters or by underwriters without a syndicate. Subject to specific limited conditions, the underwriters will be obligated to purchase all the securities of the series offered by the prospectus supplement. Any public offering price and any discounts or concessions allowed or reallowed or paid to dealers may change from time to time.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may authorize agents or underwriters to solicit offers by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connection with the sale of the securities, underwriters, dealers, or agents may receive compensation from us or from purchasers of the securities for whom they act as agents in the form of discounts, concessions, or commissions. Underwriters may sell the securities to or through dealers, and those dealers may receive compensation in the form of discounts, concessions, or commissions from the underwriters or commissions from the purchasers for whom they may act as agents. Underwriters, dealers, and agents that participate in the distribution of the securities, and any institutional investors or others that purchase securities directly and then resell the securities, may be deemed to be underwriters, and any discounts or commissions received by them from us and any profit on the resale of the securities by them may be deemed to be underwriting discounts and commissions under the Securities Act.</w:t>
      </w:r>
    </w:p>
    <w:p>
      <w:pPr>
        <w:spacing w:after="0" w:line="120" w:lineRule="exact"/>
        <w:rPr>
          <w:sz w:val="20"/>
          <w:szCs w:val="20"/>
          <w:color w:val="auto"/>
        </w:rPr>
      </w:pPr>
    </w:p>
    <w:p>
      <w:pPr>
        <w:jc w:val="both"/>
        <w:ind w:right="780" w:firstLine="456"/>
        <w:spacing w:after="0" w:line="259" w:lineRule="auto"/>
        <w:rPr>
          <w:sz w:val="20"/>
          <w:szCs w:val="20"/>
          <w:color w:val="auto"/>
        </w:rPr>
      </w:pPr>
      <w:r>
        <w:rPr>
          <w:rFonts w:ascii="Arial" w:cs="Arial" w:eastAsia="Arial" w:hAnsi="Arial"/>
          <w:sz w:val="18"/>
          <w:szCs w:val="18"/>
          <w:color w:val="auto"/>
        </w:rPr>
        <w:t>We may provide agents and underwriters with indemnification against particular civil liabilities, including liabilities under the Securities Act, or contribution with respect to payments that the agents or underwriters may make with respect to such liabilities. Agents and underwriters may engage in transactions with, or perform services for, us in the ordinary course of business.</w:t>
      </w:r>
    </w:p>
    <w:p>
      <w:pPr>
        <w:spacing w:after="0" w:line="14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addition, we may enter into derivative transactions with third parties (including the writing of options), or sell securities not covered by this prospectus to third parties in privately negotiated transactions. In connection with such a transaction the third parties may, pursuant to this prospectus and the applicable prospectus supplement, sell securities covered by this prospectus and the applicable prospectus supplement. If so, the third parties may use securities borrowed from us or others to settle such sales and may use securities received from us to close out any related short positions. We may also loan or pledge securities covered by this prospectus and the applicable prospectus supplement to third parties, who may sell the loaned securities or, in an event of default in the case of a pledge, sell the pledged securities pursuant to this prospectus and the applicable prospectus supplement.</w:t>
      </w:r>
    </w:p>
    <w:p>
      <w:pPr>
        <w:spacing w:after="0" w:line="12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All securities we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Underwriters may engage in stabilizing and syndicate covering transactions in accordance with Rule 104 of Regulation M under the Exchange Act. Rule 104 of Regulation M permits stabilizing bids to purchase the securities being offered as long as the stabilizing bids do not exceed a specified maximum. Underwriters may over-allot the offered securities in connection with the offering, thus creating a short position in their account. Syndicate covering transactions involve purchases of the offered securities by underwriters in the open market after the distribution has been completed in order to cover syndicate short positions. Stabilizing and syndicate covering transactions may cause the price of the offered securities to be higher than it would otherwise be in the absence of these transactions. These transactions, if commenced, may be discontinued at any time.</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Perkins Coie LLP, Seattle, Washington, will provide Itron with an opinion as to the legality of the securities we are offering. Counsel representing any underwriters will be named in the applicable prospectus supplement.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consolidated financial statements of Itron, Inc. appearing in Itron, Inc.’s Current Report (Form 8-K) filed on May 24, 2012 and the financial statement schedule appearing in Itron, Inc.’s Annual Report (Form 10-K) for the year ended December 31, 2011 and the effectiveness of internal control over financial reporting as of December 31, 2011, have been audited by Ernst &amp; Young LLP, independent registered public accounting firm, as set forth in their reports thereon included therein, and incorporated herein by reference. Such consolidated financial statements are, and audited consolidated financial statements to be included in subsequently filed documents will be, incorporated herein in reliance upon the reports of Ernst &amp; Young LLP pertaining to such consolidated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391795</wp:posOffset>
            </wp:positionV>
            <wp:extent cx="960755" cy="394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60755" cy="39433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Itron, Inc.</w:t>
      </w:r>
    </w:p>
    <w:p>
      <w:pPr>
        <w:spacing w:after="0" w:line="183"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Common Stock</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Preferred Stock</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Debt Securities</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Convertible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135890</wp:posOffset>
            </wp:positionV>
            <wp:extent cx="15176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1"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0"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May 24,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sets forth the estimated costs and expenses, other than underwriting discounts, payable by the registrant in connection with the offering of the securities being registered.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National Association of Securities Dealers filing fee</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Nasdaq Market Exchange listing fee</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Transfer Agent and registrar fee</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Accounting expenses</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Printing fees</w:t>
            </w:r>
          </w:p>
        </w:tc>
        <w:tc>
          <w:tcPr>
            <w:tcW w:w="3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7420" w:type="dxa"/>
            <w:vAlign w:val="bottom"/>
          </w:tcPr>
          <w:p>
            <w:pPr>
              <w:ind w:left="440"/>
              <w:spacing w:after="0"/>
              <w:rPr>
                <w:sz w:val="20"/>
                <w:szCs w:val="20"/>
                <w:color w:val="auto"/>
              </w:rPr>
            </w:pPr>
            <w:r>
              <w:rPr>
                <w:rFonts w:ascii="Arial" w:cs="Arial" w:eastAsia="Arial" w:hAnsi="Arial"/>
                <w:sz w:val="18"/>
                <w:szCs w:val="18"/>
                <w:color w:val="auto"/>
              </w:rPr>
              <w:t>Total</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3" w:lineRule="exact"/>
        <w:rPr>
          <w:sz w:val="20"/>
          <w:szCs w:val="20"/>
          <w:color w:val="auto"/>
        </w:rPr>
      </w:pPr>
    </w:p>
    <w:p>
      <w:pPr>
        <w:ind w:left="460" w:right="440" w:hanging="452"/>
        <w:spacing w:after="0" w:line="253"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 is registering an unspecified amount of securities under this registration statement and, in accordance with Rules 456(b) and 457(r), the registrant is deferring payment of any additional registration fee until the time that the securities are offered under this registration statement, as contemplated by Rule 456(b), pursuant to a prospectus supplement.</w:t>
      </w: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be provided by amendment or as an exhibit to a filing with the SEC under Section 13(a), 13(c) or 15(d) of the Securities Exchange Act, as amended.</w:t>
      </w:r>
    </w:p>
    <w:p>
      <w:pPr>
        <w:spacing w:after="0" w:line="30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Under the Washington Business Corporation Act, a corporation may indemnify directors against reasonable expenses for liability incurred in the defense of any proceeding to which such individuals were a party because of their position with the corporation. The director must have acted in good faith and reasonably believed that the conduct in the individual’s official capacity was in the best interests of the corporation and in all other cases that the conduct at least was not opposed to the corporation’s best interests. Indemnity is available for criminal proceedings if the individual had no reasonable cause to believe the conduct was unlawful. The Washington Business Corporation Act prohibits indemnification, however, in connection with any proceeding by or in the right of the corporation in which the individual is adjudged liable to the corporation or in connection with any other proceeding in which the individual was charged with and found liable for receiving an improper personal benefit. Washington law also provides for discretionary indemnification of officers. Under no circumstances, however, may any director or officer be indemnified for:</w:t>
      </w:r>
    </w:p>
    <w:p>
      <w:pPr>
        <w:spacing w:after="0" w:line="37"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acts or omissions finally adjudged to be intentional misconduct or a knowing violation of the law;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conduct of a director or officer finally adjudged to be an unlawful distribution; or</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transaction with respect to which it was finally adjudged that the director or officer personally received a benefit in money, property, or services to which the director or officer was not legally entitled.</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Section 10 of Itron’s amended and restated bylaws provides this indemnification to directors and officers to the full extent of the law. This right to indemnification includes the right to advancement of expenses upon an undertaking by the director or officer to repay the expenses if it is later determined that such indemnitee was not entitled to indemnification. Under Itron’s amended and restated bylaws, this right to indemnification is a contract right. Itron’s amended and restated bylaws provide that it may maintain insurance to protect any director or officer against any loss, liability, or expense whether or not Itron would have the power to indemnify such person against such loss, liability, or expense under the Washington Business Corporation Act.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Itron’s amended and restated bylaws also authorize Itron to enter into contracts with any director or officer in furtherance of the provisions of the restated bylaws regarding indemnification and to create a trust fund, grant a security interest, or use other means to ensure the payment of amounts necessary to effect this indemnification.</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Unless limited by the corporation’s articles of incorporation, Washington law requires indemnification if the director or officer is wholly successful on the merits of the action or otherwise. Any indemnification of a director in a derivative action must be reported to the shareholders in writing with or before notice of the next shareholders’ meeting. Article 9 of Itron’s amended and restated articles of incorporation provides that a director will not be liable to Itron or its shareholders for monetary damages for conduct as a director to the full extent of Washington law.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16.</w:t>
            </w:r>
          </w:p>
        </w:tc>
        <w:tc>
          <w:tcPr>
            <w:tcW w:w="10540" w:type="dxa"/>
            <w:vAlign w:val="bottom"/>
            <w:gridSpan w:val="2"/>
          </w:tcPr>
          <w:p>
            <w:pPr>
              <w:ind w:left="16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24"/>
                <w:szCs w:val="24"/>
                <w:color w:val="auto"/>
              </w:rPr>
            </w:pPr>
          </w:p>
        </w:tc>
        <w:tc>
          <w:tcPr>
            <w:tcW w:w="10140" w:type="dxa"/>
            <w:vAlign w:val="bottom"/>
          </w:tcPr>
          <w:p>
            <w:pPr>
              <w:spacing w:after="0"/>
              <w:rPr>
                <w:sz w:val="24"/>
                <w:szCs w:val="24"/>
                <w:color w:val="auto"/>
              </w:rPr>
            </w:pPr>
          </w:p>
        </w:tc>
      </w:tr>
      <w:tr>
        <w:trPr>
          <w:trHeight w:val="168"/>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4"/>
                <w:szCs w:val="14"/>
                <w:color w:val="auto"/>
              </w:rPr>
            </w:pPr>
          </w:p>
        </w:tc>
        <w:tc>
          <w:tcPr>
            <w:tcW w:w="10140" w:type="dxa"/>
            <w:vAlign w:val="bottom"/>
          </w:tcPr>
          <w:p>
            <w:pPr>
              <w:ind w:left="4740"/>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 Underwriting Agreement.</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0"/>
              </w:rPr>
              <w:t>Amended and Restated Articles of Incorporation of Itron, Inc. (Filed as Exhibit 3.1 to Itron, Inc.’s Annual Report on Form 10-K, filed on March</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27, 2003, File No. 0-22418)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0"/>
              </w:rPr>
              <w:t>Amended and Restated Bylaws of Itron, Inc. (Filed as Exhibit 3.2 to Itron, Inc.’s Annual Report on Form 8-K, filed on September 7, 2011, File</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No. 0-22418)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0"/>
              </w:rPr>
              <w:t>Rights Agreement between Itron, Inc. and Mellon Investor Services LLC, as Rights Agent, dated December 11, 2002. (Filed as Exhibit 4.1 to</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Itron, Inc.’s Registration of Securities on Form 8-A, filed on December 16, 2002, File No. 0-22418)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3"/>
              </w:rPr>
              <w:t>Amendment To Rights Agreement (originally dated December 11, 2002) between Itron, Inc. and Mellon Investor Services LLC, as Rights</w:t>
            </w: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0"/>
              </w:rPr>
              <w:t>Agent, dated September 22, 2010. (Filed as Exhibit 4.1 to Itron, Inc.’s Current Report on Form 8-K, filed on September 22, 2010 - File No. 0-</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540" w:type="dxa"/>
            <w:vAlign w:val="bottom"/>
            <w:gridSpan w:val="2"/>
          </w:tcPr>
          <w:p>
            <w:pPr>
              <w:ind w:left="400"/>
              <w:spacing w:after="0"/>
              <w:rPr>
                <w:sz w:val="20"/>
                <w:szCs w:val="20"/>
                <w:color w:val="auto"/>
              </w:rPr>
            </w:pPr>
            <w:r>
              <w:rPr>
                <w:rFonts w:ascii="Arial" w:cs="Arial" w:eastAsia="Arial" w:hAnsi="Arial"/>
                <w:sz w:val="18"/>
                <w:szCs w:val="18"/>
                <w:color w:val="auto"/>
              </w:rPr>
              <w:t>22418)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Form of Debt Indenture. (attached hereto)</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Form of Convertible Debt Indenture. (attached hereto)</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Form of Debt Security. (included in Exhibit 4.3)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Form of Convertible Debt Security. (included in Exhibit 4.4)</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Opinion of Perkins Coie LLP. (attached hereto)</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12.1*</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 - Ernst &amp; Young LLP. (attached hereto)</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Consent of Perkins Coie LLP. (included in its opinion filed as Exhibit 5.1 hereto)</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Power of Attorney. (included on signature page)</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7"/>
              </w:rPr>
              <w:t>25.1**</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Form T-1 Statement of Eligibility of Trustee under Debt Indenture.</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7"/>
              </w:rPr>
              <w:t>25.2**</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Form T-1 Statement of Eligibility of Trustee under Convertible Debt 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480" w:hanging="452"/>
        <w:spacing w:after="0" w:line="25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be filed by amendment or as an exhibit to a report on Form 8-K under the Exchange Act, subsequent to effectiveness, pursuant to Regulation S-K, Item 601(b)(1) under the Exchange Act.</w:t>
      </w: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be filed in accordance with the requirements of Section 305(b)(2) of the Trust Indenture Act of 1939 and Rule 5b-3 thereunder.</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The undersigned registrant hereby undertakes:</w:t>
      </w:r>
    </w:p>
    <w:p>
      <w:pPr>
        <w:spacing w:after="0" w:line="171" w:lineRule="exact"/>
        <w:rPr>
          <w:sz w:val="20"/>
          <w:szCs w:val="20"/>
          <w:color w:val="auto"/>
        </w:rPr>
      </w:pPr>
    </w:p>
    <w:p>
      <w:pPr>
        <w:ind w:left="720" w:hanging="256"/>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the Registration Statement;</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921"/>
        <w:spacing w:after="0" w:line="291" w:lineRule="auto"/>
        <w:tabs>
          <w:tab w:leader="none" w:pos="1171" w:val="left"/>
        </w:tabs>
        <w:numPr>
          <w:ilvl w:val="2"/>
          <w:numId w:val="12"/>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and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20" w:lineRule="exact"/>
        <w:rPr>
          <w:rFonts w:ascii="Arial" w:cs="Arial" w:eastAsia="Arial" w:hAnsi="Arial"/>
          <w:sz w:val="16"/>
          <w:szCs w:val="16"/>
          <w:color w:val="auto"/>
        </w:rPr>
      </w:pPr>
    </w:p>
    <w:p>
      <w:pPr>
        <w:ind w:right="100" w:firstLine="921"/>
        <w:spacing w:after="0" w:line="298" w:lineRule="auto"/>
        <w:tabs>
          <w:tab w:leader="none" w:pos="1220" w:val="left"/>
        </w:tabs>
        <w:numPr>
          <w:ilvl w:val="2"/>
          <w:numId w:val="12"/>
        </w:numPr>
        <w:rPr>
          <w:rFonts w:ascii="Arial" w:cs="Arial" w:eastAsia="Arial" w:hAnsi="Arial"/>
          <w:sz w:val="16"/>
          <w:szCs w:val="16"/>
          <w:color w:val="auto"/>
        </w:rPr>
      </w:pPr>
      <w:r>
        <w:rPr>
          <w:rFonts w:ascii="Arial" w:cs="Arial" w:eastAsia="Arial" w:hAnsi="Arial"/>
          <w:sz w:val="16"/>
          <w:szCs w:val="16"/>
          <w:color w:val="auto"/>
        </w:rPr>
        <w:t>To include any material information with respect to the plan of distribution not previously disclosed in the Registration Statement or any material change to such information in the Registration Statement; provided, however, that paragraphs (i) and (ii) above do not apply if the information required to be included in a post-effective amendment by those paragraphs is contained in periodic reports filed with or furnished to the SEC by the registrant pursuant to Section 13 or Section 15(d) of the Exchange Act that are incorporated by reference into the Registration Statement.</w:t>
      </w:r>
    </w:p>
    <w:p>
      <w:pPr>
        <w:spacing w:after="0" w:line="112" w:lineRule="exact"/>
        <w:rPr>
          <w:rFonts w:ascii="Arial" w:cs="Arial" w:eastAsia="Arial" w:hAnsi="Arial"/>
          <w:sz w:val="16"/>
          <w:szCs w:val="16"/>
          <w:color w:val="auto"/>
        </w:rPr>
      </w:pPr>
    </w:p>
    <w:p>
      <w:pPr>
        <w:ind w:right="80" w:firstLine="464"/>
        <w:spacing w:after="0" w:line="259" w:lineRule="auto"/>
        <w:tabs>
          <w:tab w:leader="none" w:pos="705"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To remove from registration by means of a post-effective amendment any of the securities being registered that remain unsold at the termination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offering.</w:t>
      </w:r>
    </w:p>
    <w:p>
      <w:pPr>
        <w:spacing w:after="0" w:line="164" w:lineRule="exact"/>
        <w:rPr>
          <w:rFonts w:ascii="Arial" w:cs="Arial" w:eastAsia="Arial" w:hAnsi="Arial"/>
          <w:sz w:val="16"/>
          <w:szCs w:val="16"/>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71" w:lineRule="exact"/>
        <w:rPr>
          <w:rFonts w:ascii="Arial" w:cs="Arial" w:eastAsia="Arial" w:hAnsi="Arial"/>
          <w:sz w:val="18"/>
          <w:szCs w:val="18"/>
          <w:color w:val="auto"/>
        </w:rPr>
      </w:pPr>
    </w:p>
    <w:p>
      <w:pPr>
        <w:ind w:right="480" w:firstLine="464"/>
        <w:spacing w:after="0" w:line="268" w:lineRule="auto"/>
        <w:tabs>
          <w:tab w:leader="none" w:pos="705" w:val="left"/>
        </w:tabs>
        <w:numPr>
          <w:ilvl w:val="1"/>
          <w:numId w:val="14"/>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31" w:lineRule="exact"/>
        <w:rPr>
          <w:rFonts w:ascii="Arial" w:cs="Arial" w:eastAsia="Arial" w:hAnsi="Arial"/>
          <w:sz w:val="18"/>
          <w:szCs w:val="18"/>
          <w:color w:val="auto"/>
        </w:rPr>
      </w:pPr>
    </w:p>
    <w:p>
      <w:pPr>
        <w:ind w:firstLine="464"/>
        <w:spacing w:after="0" w:line="287" w:lineRule="auto"/>
        <w:tabs>
          <w:tab w:leader="none" w:pos="705" w:val="left"/>
        </w:tabs>
        <w:numPr>
          <w:ilvl w:val="1"/>
          <w:numId w:val="14"/>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22" w:lineRule="exact"/>
        <w:rPr>
          <w:rFonts w:ascii="Arial" w:cs="Arial" w:eastAsia="Arial" w:hAnsi="Arial"/>
          <w:sz w:val="16"/>
          <w:szCs w:val="16"/>
          <w:color w:val="auto"/>
        </w:rPr>
      </w:pPr>
    </w:p>
    <w:p>
      <w:pPr>
        <w:ind w:right="200" w:firstLine="8"/>
        <w:spacing w:after="0" w:line="298" w:lineRule="auto"/>
        <w:tabs>
          <w:tab w:leader="none" w:pos="20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94" w:lineRule="exact"/>
        <w:rPr>
          <w:rFonts w:ascii="Arial" w:cs="Arial" w:eastAsia="Arial" w:hAnsi="Arial"/>
          <w:sz w:val="16"/>
          <w:szCs w:val="16"/>
          <w:color w:val="auto"/>
        </w:rPr>
      </w:pPr>
    </w:p>
    <w:p>
      <w:pPr>
        <w:ind w:right="340" w:firstLine="464"/>
        <w:spacing w:after="0" w:line="268" w:lineRule="auto"/>
        <w:tabs>
          <w:tab w:leader="none" w:pos="70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64"/>
        <w:spacing w:after="0" w:line="268" w:lineRule="auto"/>
        <w:tabs>
          <w:tab w:leader="none" w:pos="705"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other communication that is an offer under the offering made by the undersigned registrant to the purchaser.</w:t>
      </w:r>
    </w:p>
    <w:p>
      <w:pPr>
        <w:spacing w:after="0" w:line="171" w:lineRule="exact"/>
        <w:rPr>
          <w:rFonts w:ascii="Arial" w:cs="Arial" w:eastAsia="Arial" w:hAnsi="Arial"/>
          <w:sz w:val="18"/>
          <w:szCs w:val="18"/>
          <w:color w:val="auto"/>
        </w:rPr>
      </w:pPr>
    </w:p>
    <w:p>
      <w:pPr>
        <w:jc w:val="both"/>
        <w:ind w:right="100" w:firstLine="8"/>
        <w:spacing w:after="0" w:line="256" w:lineRule="auto"/>
        <w:tabs>
          <w:tab w:leader="none" w:pos="2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43" w:lineRule="exact"/>
        <w:rPr>
          <w:rFonts w:ascii="Arial" w:cs="Arial" w:eastAsia="Arial" w:hAnsi="Arial"/>
          <w:sz w:val="18"/>
          <w:szCs w:val="18"/>
          <w:color w:val="auto"/>
        </w:rPr>
      </w:pPr>
    </w:p>
    <w:p>
      <w:pPr>
        <w:ind w:right="20" w:firstLine="8"/>
        <w:spacing w:after="0" w:line="290" w:lineRule="auto"/>
        <w:tabs>
          <w:tab w:leader="none" w:pos="19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That,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If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8" w:lineRule="exact"/>
        <w:rPr>
          <w:rFonts w:ascii="Arial" w:cs="Arial" w:eastAsia="Arial" w:hAnsi="Arial"/>
          <w:sz w:val="16"/>
          <w:szCs w:val="16"/>
          <w:color w:val="auto"/>
        </w:rPr>
      </w:pPr>
    </w:p>
    <w:p>
      <w:pPr>
        <w:ind w:right="120" w:firstLine="8"/>
        <w:spacing w:after="0" w:line="332" w:lineRule="auto"/>
        <w:tabs>
          <w:tab w:leader="none" w:pos="171"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That the undersigned registrant will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the requirements for filing on Form S-3 and has duly caused this Registration Statement to be signed on its behalf by the undersigned, thereunto duly authorized, in the City of Liberty Lake, State of Washington, on May 24, 2012.</w:t>
      </w:r>
    </w:p>
    <w:p>
      <w:pPr>
        <w:spacing w:after="0" w:line="17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ITRON, INC.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STEVEN M. HELMBRECHT</w:t>
            </w:r>
          </w:p>
        </w:tc>
      </w:tr>
      <w:tr>
        <w:trPr>
          <w:trHeight w:val="202"/>
        </w:trPr>
        <w:tc>
          <w:tcPr>
            <w:tcW w:w="280" w:type="dxa"/>
            <w:vAlign w:val="bottom"/>
          </w:tcPr>
          <w:p>
            <w:pPr>
              <w:spacing w:after="0"/>
              <w:rPr>
                <w:sz w:val="17"/>
                <w:szCs w:val="17"/>
                <w:color w:val="auto"/>
              </w:rPr>
            </w:pPr>
          </w:p>
        </w:tc>
        <w:tc>
          <w:tcPr>
            <w:tcW w:w="4280" w:type="dxa"/>
            <w:vAlign w:val="bottom"/>
          </w:tcPr>
          <w:p>
            <w:pPr>
              <w:jc w:val="center"/>
              <w:spacing w:after="0" w:line="202" w:lineRule="exact"/>
              <w:rPr>
                <w:sz w:val="20"/>
                <w:szCs w:val="20"/>
                <w:color w:val="auto"/>
              </w:rPr>
            </w:pPr>
            <w:r>
              <w:rPr>
                <w:rFonts w:ascii="Arial" w:cs="Arial" w:eastAsia="Arial" w:hAnsi="Arial"/>
                <w:sz w:val="18"/>
                <w:szCs w:val="18"/>
                <w:color w:val="auto"/>
                <w:w w:val="89"/>
              </w:rPr>
              <w:t>Steven M. Helmbrecht</w:t>
            </w:r>
          </w:p>
        </w:tc>
      </w:tr>
      <w:tr>
        <w:trPr>
          <w:trHeight w:val="222"/>
        </w:trPr>
        <w:tc>
          <w:tcPr>
            <w:tcW w:w="280" w:type="dxa"/>
            <w:vAlign w:val="bottom"/>
          </w:tcPr>
          <w:p>
            <w:pPr>
              <w:spacing w:after="0"/>
              <w:rPr>
                <w:sz w:val="19"/>
                <w:szCs w:val="19"/>
                <w:color w:val="auto"/>
              </w:rPr>
            </w:pPr>
          </w:p>
        </w:tc>
        <w:tc>
          <w:tcPr>
            <w:tcW w:w="4280" w:type="dxa"/>
            <w:vAlign w:val="bottom"/>
          </w:tcPr>
          <w:p>
            <w:pPr>
              <w:jc w:val="center"/>
              <w:ind w:left="12"/>
              <w:spacing w:after="0"/>
              <w:rPr>
                <w:sz w:val="20"/>
                <w:szCs w:val="20"/>
                <w:color w:val="auto"/>
              </w:rPr>
            </w:pPr>
            <w:r>
              <w:rPr>
                <w:rFonts w:ascii="Arial" w:cs="Arial" w:eastAsia="Arial" w:hAnsi="Arial"/>
                <w:sz w:val="18"/>
                <w:szCs w:val="18"/>
                <w:color w:val="auto"/>
                <w:w w:val="89"/>
              </w:rPr>
              <w:t>Sr. Vice President and Chief Financial Officer</w:t>
            </w:r>
          </w:p>
        </w:tc>
      </w:tr>
    </w:tbl>
    <w:p>
      <w:pPr>
        <w:spacing w:after="0" w:line="30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Each person whose individual signature appears below hereby authorizes LeRoy D. Nosbaum and Steven M. Helmbrecht, or either of them, as attorneys-in-fact with full power of substitution, to execute in the name and on the behalf of each person, individually and in each capacity stated below, and to file, any and all amendments to this Registration Statement, including any and all post-effective amendments.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below on the 24</w:t>
      </w:r>
      <w:r>
        <w:rPr>
          <w:rFonts w:ascii="Arial" w:cs="Arial" w:eastAsia="Arial" w:hAnsi="Arial"/>
          <w:sz w:val="11"/>
          <w:szCs w:val="11"/>
          <w:color w:val="auto"/>
        </w:rPr>
        <w:t>th</w:t>
      </w:r>
      <w:r>
        <w:rPr>
          <w:rFonts w:ascii="Arial" w:cs="Arial" w:eastAsia="Arial" w:hAnsi="Arial"/>
          <w:sz w:val="18"/>
          <w:szCs w:val="18"/>
          <w:color w:val="auto"/>
        </w:rPr>
        <w:t xml:space="preserve"> day of May, 2012.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2"/>
              </w:rPr>
              <w:t>Signatures</w:t>
            </w:r>
          </w:p>
        </w:tc>
        <w:tc>
          <w:tcPr>
            <w:tcW w:w="2580" w:type="dxa"/>
            <w:vAlign w:val="bottom"/>
          </w:tcPr>
          <w:p>
            <w:pPr>
              <w:spacing w:after="0"/>
              <w:rPr>
                <w:sz w:val="14"/>
                <w:szCs w:val="14"/>
                <w:color w:val="auto"/>
              </w:rPr>
            </w:pPr>
          </w:p>
        </w:tc>
        <w:tc>
          <w:tcPr>
            <w:tcW w:w="3580" w:type="dxa"/>
            <w:vAlign w:val="bottom"/>
            <w:gridSpan w:val="3"/>
          </w:tcPr>
          <w:p>
            <w:pPr>
              <w:ind w:left="2780"/>
              <w:spacing w:after="0"/>
              <w:rPr>
                <w:sz w:val="20"/>
                <w:szCs w:val="20"/>
                <w:color w:val="auto"/>
              </w:rPr>
            </w:pPr>
            <w:r>
              <w:rPr>
                <w:rFonts w:ascii="Arial" w:cs="Arial" w:eastAsia="Arial" w:hAnsi="Arial"/>
                <w:sz w:val="14"/>
                <w:szCs w:val="14"/>
                <w:b w:val="1"/>
                <w:bCs w:val="1"/>
                <w:color w:val="auto"/>
              </w:rPr>
              <w:t>Title</w:t>
            </w:r>
          </w:p>
        </w:tc>
      </w:tr>
      <w:tr>
        <w:trPr>
          <w:trHeight w:val="20"/>
        </w:trPr>
        <w:tc>
          <w:tcPr>
            <w:tcW w:w="2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24"/>
        </w:trPr>
        <w:tc>
          <w:tcPr>
            <w:tcW w:w="5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LEROY D. NOSBAUM</w:t>
            </w:r>
          </w:p>
        </w:tc>
        <w:tc>
          <w:tcPr>
            <w:tcW w:w="3580" w:type="dxa"/>
            <w:vAlign w:val="bottom"/>
            <w:gridSpan w:val="3"/>
          </w:tcPr>
          <w:p>
            <w:pPr>
              <w:ind w:left="240"/>
              <w:spacing w:after="0"/>
              <w:rPr>
                <w:sz w:val="20"/>
                <w:szCs w:val="20"/>
                <w:color w:val="auto"/>
              </w:rPr>
            </w:pPr>
            <w:r>
              <w:rPr>
                <w:rFonts w:ascii="Arial" w:cs="Arial" w:eastAsia="Arial" w:hAnsi="Arial"/>
                <w:sz w:val="18"/>
                <w:szCs w:val="18"/>
                <w:color w:val="auto"/>
                <w:w w:val="89"/>
              </w:rPr>
              <w:t>President and Chief Executive Officer, Director</w:t>
            </w:r>
          </w:p>
        </w:tc>
      </w:tr>
      <w:tr>
        <w:trPr>
          <w:trHeight w:val="218"/>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89"/>
              </w:rPr>
              <w:t>LeRoy D. Nosbaum</w:t>
            </w:r>
          </w:p>
        </w:tc>
        <w:tc>
          <w:tcPr>
            <w:tcW w:w="3580" w:type="dxa"/>
            <w:vAlign w:val="bottom"/>
            <w:gridSpan w:val="3"/>
          </w:tcPr>
          <w:p>
            <w:pPr>
              <w:ind w:left="420"/>
              <w:spacing w:after="0"/>
              <w:rPr>
                <w:sz w:val="20"/>
                <w:szCs w:val="20"/>
                <w:color w:val="auto"/>
              </w:rPr>
            </w:pPr>
            <w:r>
              <w:rPr>
                <w:rFonts w:ascii="Arial" w:cs="Arial" w:eastAsia="Arial" w:hAnsi="Arial"/>
                <w:sz w:val="18"/>
                <w:szCs w:val="18"/>
                <w:color w:val="auto"/>
              </w:rPr>
              <w:t>(Principal Executive Officer)</w:t>
            </w:r>
          </w:p>
        </w:tc>
      </w:tr>
      <w:tr>
        <w:trPr>
          <w:trHeight w:val="424"/>
        </w:trPr>
        <w:tc>
          <w:tcPr>
            <w:tcW w:w="5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STEVEN M. HELMBRECHT</w:t>
            </w:r>
          </w:p>
        </w:tc>
        <w:tc>
          <w:tcPr>
            <w:tcW w:w="3580" w:type="dxa"/>
            <w:vAlign w:val="bottom"/>
            <w:gridSpan w:val="3"/>
          </w:tcPr>
          <w:p>
            <w:pPr>
              <w:ind w:left="240"/>
              <w:spacing w:after="0"/>
              <w:rPr>
                <w:sz w:val="20"/>
                <w:szCs w:val="20"/>
                <w:color w:val="auto"/>
              </w:rPr>
            </w:pPr>
            <w:r>
              <w:rPr>
                <w:rFonts w:ascii="Arial" w:cs="Arial" w:eastAsia="Arial" w:hAnsi="Arial"/>
                <w:sz w:val="18"/>
                <w:szCs w:val="18"/>
                <w:color w:val="auto"/>
                <w:w w:val="91"/>
              </w:rPr>
              <w:t>Sr. Vice President and Chief Financial Officer</w:t>
            </w:r>
          </w:p>
        </w:tc>
      </w:tr>
      <w:tr>
        <w:trPr>
          <w:trHeight w:val="218"/>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89"/>
              </w:rPr>
              <w:t>Steven M. Helmbrecht</w:t>
            </w:r>
          </w:p>
        </w:tc>
        <w:tc>
          <w:tcPr>
            <w:tcW w:w="3580" w:type="dxa"/>
            <w:vAlign w:val="bottom"/>
            <w:gridSpan w:val="3"/>
          </w:tcPr>
          <w:p>
            <w:pPr>
              <w:ind w:left="420"/>
              <w:spacing w:after="0"/>
              <w:rPr>
                <w:sz w:val="20"/>
                <w:szCs w:val="20"/>
                <w:color w:val="auto"/>
              </w:rPr>
            </w:pPr>
            <w:r>
              <w:rPr>
                <w:rFonts w:ascii="Arial" w:cs="Arial" w:eastAsia="Arial" w:hAnsi="Arial"/>
                <w:sz w:val="18"/>
                <w:szCs w:val="18"/>
                <w:color w:val="auto"/>
                <w:w w:val="90"/>
              </w:rPr>
              <w:t>(Principal Financial and Accounting Officer)</w:t>
            </w:r>
          </w:p>
        </w:tc>
      </w:tr>
      <w:tr>
        <w:trPr>
          <w:trHeight w:val="425"/>
        </w:trPr>
        <w:tc>
          <w:tcPr>
            <w:tcW w:w="5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KIRBY A. DYESS</w:t>
            </w:r>
          </w:p>
        </w:tc>
        <w:tc>
          <w:tcPr>
            <w:tcW w:w="35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r>
      <w:tr>
        <w:trPr>
          <w:trHeight w:val="217"/>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93"/>
              </w:rPr>
              <w:t>Kirby A. Dyess</w:t>
            </w: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425"/>
        </w:trPr>
        <w:tc>
          <w:tcPr>
            <w:tcW w:w="5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JON E. ELIASSEN</w:t>
            </w:r>
          </w:p>
        </w:tc>
        <w:tc>
          <w:tcPr>
            <w:tcW w:w="3580" w:type="dxa"/>
            <w:vAlign w:val="bottom"/>
            <w:gridSpan w:val="3"/>
          </w:tcPr>
          <w:p>
            <w:pPr>
              <w:ind w:left="240"/>
              <w:spacing w:after="0"/>
              <w:rPr>
                <w:sz w:val="20"/>
                <w:szCs w:val="20"/>
                <w:color w:val="auto"/>
              </w:rPr>
            </w:pPr>
            <w:r>
              <w:rPr>
                <w:rFonts w:ascii="Arial" w:cs="Arial" w:eastAsia="Arial" w:hAnsi="Arial"/>
                <w:sz w:val="18"/>
                <w:szCs w:val="18"/>
                <w:color w:val="auto"/>
              </w:rPr>
              <w:t>Director and Chairman of the Board</w:t>
            </w:r>
          </w:p>
        </w:tc>
      </w:tr>
      <w:tr>
        <w:trPr>
          <w:trHeight w:val="217"/>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87"/>
              </w:rPr>
              <w:t>Jon E. Eliassen</w:t>
            </w: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425"/>
        </w:trPr>
        <w:tc>
          <w:tcPr>
            <w:tcW w:w="5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CHARLES H. GAYLORD, JR.</w:t>
            </w:r>
          </w:p>
        </w:tc>
        <w:tc>
          <w:tcPr>
            <w:tcW w:w="35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r>
      <w:tr>
        <w:trPr>
          <w:trHeight w:val="217"/>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88"/>
              </w:rPr>
              <w:t>Charles H. Gaylord, Jr.</w:t>
            </w: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425"/>
        </w:trPr>
        <w:tc>
          <w:tcPr>
            <w:tcW w:w="5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THOMAS S. GLANVILLE</w:t>
            </w:r>
          </w:p>
        </w:tc>
        <w:tc>
          <w:tcPr>
            <w:tcW w:w="35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r>
      <w:tr>
        <w:trPr>
          <w:trHeight w:val="217"/>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89"/>
              </w:rPr>
              <w:t>Thomas S. Glanville</w:t>
            </w: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425"/>
        </w:trPr>
        <w:tc>
          <w:tcPr>
            <w:tcW w:w="5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SHARON L. NELSON</w:t>
            </w:r>
          </w:p>
        </w:tc>
        <w:tc>
          <w:tcPr>
            <w:tcW w:w="35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r>
      <w:tr>
        <w:trPr>
          <w:trHeight w:val="217"/>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89"/>
              </w:rPr>
              <w:t>Sharon L. Nelson</w:t>
            </w: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425"/>
        </w:trPr>
        <w:tc>
          <w:tcPr>
            <w:tcW w:w="5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GARY E. PRUITT</w:t>
            </w:r>
          </w:p>
        </w:tc>
        <w:tc>
          <w:tcPr>
            <w:tcW w:w="35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r>
      <w:tr>
        <w:trPr>
          <w:trHeight w:val="217"/>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90"/>
              </w:rPr>
              <w:t>Gary E. Pruitt</w:t>
            </w: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425"/>
        </w:trPr>
        <w:tc>
          <w:tcPr>
            <w:tcW w:w="5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/s/ GRAHAM M. WILSON</w:t>
            </w:r>
          </w:p>
        </w:tc>
        <w:tc>
          <w:tcPr>
            <w:tcW w:w="35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r>
      <w:tr>
        <w:trPr>
          <w:trHeight w:val="217"/>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91"/>
              </w:rPr>
              <w:t>Graham M. Wilson</w:t>
            </w: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ind w:left="376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780" w:type="dxa"/>
            <w:vAlign w:val="bottom"/>
          </w:tcPr>
          <w:p>
            <w:pPr>
              <w:spacing w:after="0"/>
              <w:rPr>
                <w:sz w:val="24"/>
                <w:szCs w:val="24"/>
                <w:color w:val="auto"/>
              </w:rPr>
            </w:pPr>
          </w:p>
        </w:tc>
        <w:tc>
          <w:tcPr>
            <w:tcW w:w="10140" w:type="dxa"/>
            <w:vAlign w:val="bottom"/>
          </w:tcPr>
          <w:p>
            <w:pPr>
              <w:spacing w:after="0"/>
              <w:rPr>
                <w:sz w:val="24"/>
                <w:szCs w:val="2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780" w:type="dxa"/>
            <w:vAlign w:val="bottom"/>
          </w:tcPr>
          <w:p>
            <w:pPr>
              <w:spacing w:after="0"/>
              <w:rPr>
                <w:sz w:val="14"/>
                <w:szCs w:val="14"/>
                <w:color w:val="auto"/>
              </w:rPr>
            </w:pPr>
          </w:p>
        </w:tc>
        <w:tc>
          <w:tcPr>
            <w:tcW w:w="10140" w:type="dxa"/>
            <w:vAlign w:val="bottom"/>
            <w:tcBorders>
              <w:bottom w:val="single" w:sz="8" w:color="auto"/>
            </w:tcBorders>
          </w:tcPr>
          <w:p>
            <w:pPr>
              <w:ind w:left="4740"/>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rPr>
              <w:t>1.1*</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Form of Underwriting Agreement.</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0"/>
              </w:rPr>
              <w:t>Amended and Restated Articles of Incorporation of Itron, Inc. (Filed as Exhibit 3.1 to Itron, Inc.’s Annual Report on Form 10-K, filed on March</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27, 2003, File No. 0-22418)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0"/>
              </w:rPr>
              <w:t>Amended and Restated Bylaws of Itron, Inc. (Filed as Exhibit 3.2 to Itron, Inc.’s Annual Report on Form 8-K, filed on September 7, 2011, File</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No. 0-22418)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0"/>
              </w:rPr>
              <w:t>Rights Agreement between Itron, Inc. and Mellon Investor Services LLC, as Rights Agent, dated December 11, 2002. (Filed as Exhibit 4.1 to</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Itron, Inc.’s Registration of Securities on Form 8-A, filed on December 16, 2002, File No. 0-22418)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3"/>
              </w:rPr>
              <w:t>Amendment To Rights Agreement (originally dated December 11, 2002) between Itron, Inc. and Mellon Investor Services LLC, as Rights</w:t>
            </w:r>
          </w:p>
        </w:tc>
      </w:tr>
      <w:tr>
        <w:trPr>
          <w:trHeight w:val="216"/>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0"/>
              </w:rPr>
              <w:t>Agent, dated September 22, 2010. (Filed as Exhibit 4.1 to Itron, Inc.’s Current Report on Form 8-K, filed on September 22, 2010 - File No. 0-</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780"/>
              <w:spacing w:after="0"/>
              <w:rPr>
                <w:sz w:val="20"/>
                <w:szCs w:val="20"/>
                <w:color w:val="auto"/>
              </w:rPr>
            </w:pPr>
            <w:r>
              <w:rPr>
                <w:rFonts w:ascii="Arial" w:cs="Arial" w:eastAsia="Arial" w:hAnsi="Arial"/>
                <w:sz w:val="18"/>
                <w:szCs w:val="18"/>
                <w:color w:val="auto"/>
              </w:rPr>
              <w:t>22418)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Form of Debt Indenture. (attached hereto)</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4.4</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Form of Convertible Debt Indenture. (attached hereto)</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4.5</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Form of Debt Security. (included in Exhibit 4.3)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4.6</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Form of Convertible Debt Security. (included in Exhibit 4.4)</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Opinion of Perkins Coie LLP. (attached hereto)</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12.1*</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 - Ernst &amp; Young LLP. (attached hereto)</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Consent of Perkins Coie LLP. (included in its opinion filed as Exhibit 5.1 hereto)</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Power of Attorney. (included on signature page)</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7"/>
              </w:rPr>
              <w:t>25.1**</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Form T-1 Statement of Eligibility of Trustee under Debt Indenture.</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7"/>
              </w:rPr>
              <w:t>25.2**</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Form T-1 Statement of Eligibility of Trustee under Convertible Debt 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480" w:hanging="452"/>
        <w:spacing w:after="0" w:line="25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be filed by amendment or as an exhibit to a report on Form 8-K under the Exchange Act, subsequent to effectiveness, pursuant to Regulation S-K, Item 601(b)(1) under the Exchange Act.</w:t>
      </w: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be filed in accordance with the requirements of Section 305(b)(2) of the Trust Indenture Act of 1939 and Rule 5b-3 thereunder.</w:t>
      </w:r>
    </w:p>
    <w:p>
      <w:pPr>
        <w:sectPr>
          <w:pgSz w:w="11900" w:h="16838" w:orient="portrait"/>
          <w:cols w:equalWidth="0" w:num="1">
            <w:col w:w="11420"/>
          </w:cols>
          <w:pgMar w:left="240" w:top="459"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165735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ITRON, INC., Issuer</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to</w:t>
      </w:r>
    </w:p>
    <w:p>
      <w:pPr>
        <w:spacing w:after="0" w:line="171" w:lineRule="exact"/>
        <w:rPr>
          <w:sz w:val="20"/>
          <w:szCs w:val="20"/>
          <w:color w:val="auto"/>
        </w:rPr>
      </w:pPr>
    </w:p>
    <w:p>
      <w:pPr>
        <w:ind w:left="4540" w:hanging="88"/>
        <w:spacing w:after="0"/>
        <w:tabs>
          <w:tab w:leader="none" w:pos="45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Trustee</w:t>
      </w:r>
    </w:p>
    <w:p>
      <w:pPr>
        <w:spacing w:after="0" w:line="171" w:lineRule="exact"/>
        <w:rPr>
          <w:rFonts w:ascii="Arial" w:cs="Arial" w:eastAsia="Arial" w:hAnsi="Arial"/>
          <w:sz w:val="18"/>
          <w:szCs w:val="18"/>
          <w:b w:val="1"/>
          <w:bCs w:val="1"/>
          <w:color w:val="auto"/>
        </w:rPr>
      </w:pPr>
    </w:p>
    <w:p>
      <w:pPr>
        <w:ind w:left="39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INDENTURE</w:t>
      </w:r>
    </w:p>
    <w:p>
      <w:pPr>
        <w:spacing w:after="0" w:line="171" w:lineRule="exact"/>
        <w:rPr>
          <w:sz w:val="20"/>
          <w:szCs w:val="20"/>
          <w:color w:val="auto"/>
        </w:rPr>
      </w:pPr>
    </w:p>
    <w:tbl>
      <w:tblPr>
        <w:tblLayout w:type="fixed"/>
        <w:tblInd w:w="3460" w:type="dxa"/>
        <w:tblCellMar>
          <w:top w:w="0" w:type="dxa"/>
          <w:left w:w="0" w:type="dxa"/>
          <w:bottom w:w="0" w:type="dxa"/>
          <w:right w:w="0" w:type="dxa"/>
        </w:tblCellMar>
      </w:tblPr>
      <w:tr>
        <w:trPr>
          <w:trHeight w:val="228"/>
        </w:trPr>
        <w:tc>
          <w:tcPr>
            <w:tcW w:w="1120" w:type="dxa"/>
            <w:vAlign w:val="bottom"/>
          </w:tcPr>
          <w:p>
            <w:pPr>
              <w:spacing w:after="0"/>
              <w:rPr>
                <w:sz w:val="20"/>
                <w:szCs w:val="20"/>
                <w:color w:val="auto"/>
              </w:rPr>
            </w:pPr>
            <w:r>
              <w:rPr>
                <w:rFonts w:ascii="Arial" w:cs="Arial" w:eastAsia="Arial" w:hAnsi="Arial"/>
                <w:sz w:val="18"/>
                <w:szCs w:val="18"/>
                <w:b w:val="1"/>
                <w:bCs w:val="1"/>
                <w:color w:val="auto"/>
              </w:rPr>
              <w:t>Dated as of</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 201</w:t>
            </w:r>
          </w:p>
        </w:tc>
      </w:tr>
    </w:tbl>
    <w:p>
      <w:pPr>
        <w:spacing w:after="0" w:line="150"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2"/>
        </w:trPr>
        <w:tc>
          <w:tcPr>
            <w:tcW w:w="12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260" w:type="dxa"/>
            <w:vAlign w:val="bottom"/>
          </w:tcPr>
          <w:p>
            <w:pPr>
              <w:ind w:left="480"/>
              <w:spacing w:after="0"/>
              <w:rPr>
                <w:sz w:val="20"/>
                <w:szCs w:val="20"/>
                <w:color w:val="auto"/>
              </w:rPr>
            </w:pPr>
            <w:r>
              <w:rPr>
                <w:rFonts w:ascii="Arial" w:cs="Arial" w:eastAsia="Arial" w:hAnsi="Arial"/>
                <w:sz w:val="18"/>
                <w:szCs w:val="18"/>
                <w:color w:val="auto"/>
                <w:w w:val="90"/>
              </w:rPr>
              <w:t>Exhibit 4.3</w:t>
            </w:r>
          </w:p>
        </w:tc>
      </w:tr>
      <w:tr>
        <w:trPr>
          <w:trHeight w:val="378"/>
        </w:trPr>
        <w:tc>
          <w:tcPr>
            <w:tcW w:w="4020" w:type="dxa"/>
            <w:vAlign w:val="bottom"/>
            <w:gridSpan w:val="2"/>
          </w:tcPr>
          <w:p>
            <w:pPr>
              <w:spacing w:after="0"/>
              <w:rPr>
                <w:sz w:val="20"/>
                <w:szCs w:val="20"/>
                <w:color w:val="auto"/>
              </w:rPr>
            </w:pPr>
            <w:r>
              <w:rPr>
                <w:rFonts w:ascii="Arial" w:cs="Arial" w:eastAsia="Arial" w:hAnsi="Arial"/>
                <w:sz w:val="18"/>
                <w:szCs w:val="18"/>
                <w:color w:val="auto"/>
                <w:w w:val="94"/>
              </w:rPr>
              <w:t>Reconciliation and tie between Indenture, dated as of</w:t>
            </w:r>
          </w:p>
        </w:tc>
        <w:tc>
          <w:tcPr>
            <w:tcW w:w="7400" w:type="dxa"/>
            <w:vAlign w:val="bottom"/>
            <w:gridSpan w:val="2"/>
          </w:tcPr>
          <w:p>
            <w:pPr>
              <w:ind w:left="300"/>
              <w:spacing w:after="0"/>
              <w:rPr>
                <w:sz w:val="20"/>
                <w:szCs w:val="20"/>
                <w:color w:val="auto"/>
              </w:rPr>
            </w:pPr>
            <w:r>
              <w:rPr>
                <w:rFonts w:ascii="Arial" w:cs="Arial" w:eastAsia="Arial" w:hAnsi="Arial"/>
                <w:sz w:val="18"/>
                <w:szCs w:val="18"/>
                <w:color w:val="auto"/>
              </w:rPr>
              <w:t>, 201  , and the Trust Indenture Act of 1939, as amended.</w:t>
            </w:r>
          </w:p>
        </w:tc>
      </w:tr>
      <w:tr>
        <w:trPr>
          <w:trHeight w:val="340"/>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Trust Indenture Act</w:t>
            </w:r>
          </w:p>
        </w:tc>
        <w:tc>
          <w:tcPr>
            <w:tcW w:w="61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0"/>
              </w:rPr>
              <w:t>Indenture</w:t>
            </w:r>
          </w:p>
        </w:tc>
      </w:tr>
      <w:tr>
        <w:trPr>
          <w:trHeight w:val="181"/>
        </w:trPr>
        <w:tc>
          <w:tcPr>
            <w:tcW w:w="4020" w:type="dxa"/>
            <w:vAlign w:val="bottom"/>
            <w:gridSpan w:val="2"/>
          </w:tcPr>
          <w:p>
            <w:pPr>
              <w:ind w:left="140"/>
              <w:spacing w:after="0"/>
              <w:rPr>
                <w:sz w:val="20"/>
                <w:szCs w:val="20"/>
                <w:color w:val="auto"/>
              </w:rPr>
            </w:pPr>
            <w:r>
              <w:rPr>
                <w:rFonts w:ascii="Arial" w:cs="Arial" w:eastAsia="Arial" w:hAnsi="Arial"/>
                <w:sz w:val="14"/>
                <w:szCs w:val="14"/>
                <w:b w:val="1"/>
                <w:bCs w:val="1"/>
                <w:color w:val="auto"/>
              </w:rPr>
              <w:t>of 1939 Section</w:t>
            </w:r>
          </w:p>
        </w:tc>
        <w:tc>
          <w:tcPr>
            <w:tcW w:w="61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2"/>
              </w:rPr>
              <w:t>Section</w:t>
            </w:r>
          </w:p>
        </w:tc>
      </w:tr>
      <w:tr>
        <w:trPr>
          <w:trHeight w:val="195"/>
        </w:trPr>
        <w:tc>
          <w:tcPr>
            <w:tcW w:w="1260" w:type="dxa"/>
            <w:vAlign w:val="bottom"/>
            <w:tcBorders>
              <w:top w:val="single" w:sz="8" w:color="auto"/>
            </w:tcBorders>
          </w:tcPr>
          <w:p>
            <w:pPr>
              <w:jc w:val="right"/>
              <w:ind w:right="493"/>
              <w:spacing w:after="0" w:line="195" w:lineRule="exact"/>
              <w:rPr>
                <w:sz w:val="20"/>
                <w:szCs w:val="20"/>
                <w:color w:val="auto"/>
              </w:rPr>
            </w:pPr>
            <w:r>
              <w:rPr>
                <w:rFonts w:ascii="Arial" w:cs="Arial" w:eastAsia="Arial" w:hAnsi="Arial"/>
                <w:sz w:val="18"/>
                <w:szCs w:val="18"/>
                <w:color w:val="auto"/>
                <w:w w:val="89"/>
              </w:rPr>
              <w:t>310(a)(1)</w:t>
            </w:r>
          </w:p>
        </w:tc>
        <w:tc>
          <w:tcPr>
            <w:tcW w:w="276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1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6.12</w:t>
            </w:r>
          </w:p>
        </w:tc>
      </w:tr>
      <w:tr>
        <w:trPr>
          <w:trHeight w:val="216"/>
        </w:trPr>
        <w:tc>
          <w:tcPr>
            <w:tcW w:w="4020" w:type="dxa"/>
            <w:vAlign w:val="bottom"/>
            <w:gridSpan w:val="2"/>
          </w:tcPr>
          <w:p>
            <w:pPr>
              <w:jc w:val="right"/>
              <w:ind w:right="3360"/>
              <w:spacing w:after="0"/>
              <w:rPr>
                <w:sz w:val="20"/>
                <w:szCs w:val="20"/>
                <w:color w:val="auto"/>
              </w:rPr>
            </w:pPr>
            <w:r>
              <w:rPr>
                <w:rFonts w:ascii="Arial" w:cs="Arial" w:eastAsia="Arial" w:hAnsi="Arial"/>
                <w:sz w:val="18"/>
                <w:szCs w:val="18"/>
                <w:color w:val="auto"/>
              </w:rPr>
              <w:t>(a)(2)</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6.12</w:t>
            </w:r>
          </w:p>
        </w:tc>
      </w:tr>
      <w:tr>
        <w:trPr>
          <w:trHeight w:val="216"/>
        </w:trPr>
        <w:tc>
          <w:tcPr>
            <w:tcW w:w="4020" w:type="dxa"/>
            <w:vAlign w:val="bottom"/>
            <w:gridSpan w:val="2"/>
          </w:tcPr>
          <w:p>
            <w:pPr>
              <w:jc w:val="right"/>
              <w:ind w:right="3360"/>
              <w:spacing w:after="0"/>
              <w:rPr>
                <w:sz w:val="20"/>
                <w:szCs w:val="20"/>
                <w:color w:val="auto"/>
              </w:rPr>
            </w:pPr>
            <w:r>
              <w:rPr>
                <w:rFonts w:ascii="Arial" w:cs="Arial" w:eastAsia="Arial" w:hAnsi="Arial"/>
                <w:sz w:val="18"/>
                <w:szCs w:val="18"/>
                <w:color w:val="auto"/>
              </w:rPr>
              <w:t>(a)(3)</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TIA</w:t>
            </w:r>
          </w:p>
        </w:tc>
      </w:tr>
      <w:tr>
        <w:trPr>
          <w:trHeight w:val="216"/>
        </w:trPr>
        <w:tc>
          <w:tcPr>
            <w:tcW w:w="4020" w:type="dxa"/>
            <w:vAlign w:val="bottom"/>
            <w:gridSpan w:val="2"/>
          </w:tcPr>
          <w:p>
            <w:pPr>
              <w:jc w:val="right"/>
              <w:ind w:right="3360"/>
              <w:spacing w:after="0"/>
              <w:rPr>
                <w:sz w:val="20"/>
                <w:szCs w:val="20"/>
                <w:color w:val="auto"/>
              </w:rPr>
            </w:pPr>
            <w:r>
              <w:rPr>
                <w:rFonts w:ascii="Arial" w:cs="Arial" w:eastAsia="Arial" w:hAnsi="Arial"/>
                <w:sz w:val="18"/>
                <w:szCs w:val="18"/>
                <w:color w:val="auto"/>
              </w:rPr>
              <w:t>(a)(4)</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Not applicable</w:t>
            </w:r>
          </w:p>
        </w:tc>
      </w:tr>
      <w:tr>
        <w:trPr>
          <w:trHeight w:val="216"/>
        </w:trPr>
        <w:tc>
          <w:tcPr>
            <w:tcW w:w="4020" w:type="dxa"/>
            <w:vAlign w:val="bottom"/>
            <w:gridSpan w:val="2"/>
          </w:tcPr>
          <w:p>
            <w:pPr>
              <w:jc w:val="right"/>
              <w:ind w:right="3360"/>
              <w:spacing w:after="0"/>
              <w:rPr>
                <w:sz w:val="20"/>
                <w:szCs w:val="20"/>
                <w:color w:val="auto"/>
              </w:rPr>
            </w:pPr>
            <w:r>
              <w:rPr>
                <w:rFonts w:ascii="Arial" w:cs="Arial" w:eastAsia="Arial" w:hAnsi="Arial"/>
                <w:sz w:val="18"/>
                <w:szCs w:val="18"/>
                <w:color w:val="auto"/>
              </w:rPr>
              <w:t>(a)(5)</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TIA</w:t>
            </w:r>
          </w:p>
        </w:tc>
      </w:tr>
      <w:tr>
        <w:trPr>
          <w:trHeight w:val="216"/>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(b)</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6.10; 6.12; TIA</w:t>
            </w:r>
          </w:p>
        </w:tc>
      </w:tr>
      <w:tr>
        <w:trPr>
          <w:trHeight w:val="216"/>
        </w:trPr>
        <w:tc>
          <w:tcPr>
            <w:tcW w:w="4020" w:type="dxa"/>
            <w:vAlign w:val="bottom"/>
            <w:gridSpan w:val="2"/>
          </w:tcPr>
          <w:p>
            <w:pPr>
              <w:jc w:val="right"/>
              <w:ind w:right="3560"/>
              <w:spacing w:after="0"/>
              <w:rPr>
                <w:sz w:val="20"/>
                <w:szCs w:val="20"/>
                <w:color w:val="auto"/>
              </w:rPr>
            </w:pPr>
            <w:r>
              <w:rPr>
                <w:rFonts w:ascii="Arial" w:cs="Arial" w:eastAsia="Arial" w:hAnsi="Arial"/>
                <w:sz w:val="18"/>
                <w:szCs w:val="18"/>
                <w:color w:val="auto"/>
                <w:w w:val="84"/>
              </w:rPr>
              <w:t>311(a)</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TIA</w:t>
            </w:r>
          </w:p>
        </w:tc>
      </w:tr>
      <w:tr>
        <w:trPr>
          <w:trHeight w:val="216"/>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(b)</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TIA</w:t>
            </w:r>
          </w:p>
        </w:tc>
      </w:tr>
      <w:tr>
        <w:trPr>
          <w:trHeight w:val="216"/>
        </w:trPr>
        <w:tc>
          <w:tcPr>
            <w:tcW w:w="4020" w:type="dxa"/>
            <w:vAlign w:val="bottom"/>
            <w:gridSpan w:val="2"/>
          </w:tcPr>
          <w:p>
            <w:pPr>
              <w:jc w:val="right"/>
              <w:ind w:right="3560"/>
              <w:spacing w:after="0"/>
              <w:rPr>
                <w:sz w:val="20"/>
                <w:szCs w:val="20"/>
                <w:color w:val="auto"/>
              </w:rPr>
            </w:pPr>
            <w:r>
              <w:rPr>
                <w:rFonts w:ascii="Arial" w:cs="Arial" w:eastAsia="Arial" w:hAnsi="Arial"/>
                <w:sz w:val="18"/>
                <w:szCs w:val="18"/>
                <w:color w:val="auto"/>
                <w:w w:val="84"/>
              </w:rPr>
              <w:t>312(a)</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6.8</w:t>
            </w:r>
          </w:p>
        </w:tc>
      </w:tr>
      <w:tr>
        <w:trPr>
          <w:trHeight w:val="216"/>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(b)</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TIA</w:t>
            </w:r>
          </w:p>
        </w:tc>
      </w:tr>
      <w:tr>
        <w:trPr>
          <w:trHeight w:val="216"/>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(c)</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TIA</w:t>
            </w:r>
          </w:p>
        </w:tc>
      </w:tr>
      <w:tr>
        <w:trPr>
          <w:trHeight w:val="216"/>
        </w:trPr>
        <w:tc>
          <w:tcPr>
            <w:tcW w:w="4020" w:type="dxa"/>
            <w:vAlign w:val="bottom"/>
            <w:gridSpan w:val="2"/>
          </w:tcPr>
          <w:p>
            <w:pPr>
              <w:jc w:val="right"/>
              <w:ind w:right="3560"/>
              <w:spacing w:after="0"/>
              <w:rPr>
                <w:sz w:val="20"/>
                <w:szCs w:val="20"/>
                <w:color w:val="auto"/>
              </w:rPr>
            </w:pPr>
            <w:r>
              <w:rPr>
                <w:rFonts w:ascii="Arial" w:cs="Arial" w:eastAsia="Arial" w:hAnsi="Arial"/>
                <w:sz w:val="18"/>
                <w:szCs w:val="18"/>
                <w:color w:val="auto"/>
                <w:w w:val="84"/>
              </w:rPr>
              <w:t>313(a)</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6.7; TIA</w:t>
            </w:r>
          </w:p>
        </w:tc>
      </w:tr>
      <w:tr>
        <w:trPr>
          <w:trHeight w:val="216"/>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(b)</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TIA</w:t>
            </w:r>
          </w:p>
        </w:tc>
      </w:tr>
      <w:tr>
        <w:trPr>
          <w:trHeight w:val="216"/>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(c)</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TIA</w:t>
            </w:r>
          </w:p>
        </w:tc>
      </w:tr>
      <w:tr>
        <w:trPr>
          <w:trHeight w:val="216"/>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(d)</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TIA</w:t>
            </w:r>
          </w:p>
        </w:tc>
      </w:tr>
      <w:tr>
        <w:trPr>
          <w:trHeight w:val="216"/>
        </w:trPr>
        <w:tc>
          <w:tcPr>
            <w:tcW w:w="4020" w:type="dxa"/>
            <w:vAlign w:val="bottom"/>
            <w:gridSpan w:val="2"/>
          </w:tcPr>
          <w:p>
            <w:pPr>
              <w:jc w:val="right"/>
              <w:ind w:right="3560"/>
              <w:spacing w:after="0"/>
              <w:rPr>
                <w:sz w:val="20"/>
                <w:szCs w:val="20"/>
                <w:color w:val="auto"/>
              </w:rPr>
            </w:pPr>
            <w:r>
              <w:rPr>
                <w:rFonts w:ascii="Arial" w:cs="Arial" w:eastAsia="Arial" w:hAnsi="Arial"/>
                <w:sz w:val="18"/>
                <w:szCs w:val="18"/>
                <w:color w:val="auto"/>
                <w:w w:val="84"/>
              </w:rPr>
              <w:t>314(a)</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9.5; 9.6; TIA</w:t>
            </w:r>
          </w:p>
        </w:tc>
      </w:tr>
      <w:tr>
        <w:trPr>
          <w:trHeight w:val="216"/>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(b)</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Not applicable</w:t>
            </w:r>
          </w:p>
        </w:tc>
      </w:tr>
      <w:tr>
        <w:trPr>
          <w:trHeight w:val="216"/>
        </w:trPr>
        <w:tc>
          <w:tcPr>
            <w:tcW w:w="4020" w:type="dxa"/>
            <w:vAlign w:val="bottom"/>
            <w:gridSpan w:val="2"/>
          </w:tcPr>
          <w:p>
            <w:pPr>
              <w:jc w:val="right"/>
              <w:ind w:right="3360"/>
              <w:spacing w:after="0"/>
              <w:rPr>
                <w:sz w:val="20"/>
                <w:szCs w:val="20"/>
                <w:color w:val="auto"/>
              </w:rPr>
            </w:pPr>
            <w:r>
              <w:rPr>
                <w:rFonts w:ascii="Arial" w:cs="Arial" w:eastAsia="Arial" w:hAnsi="Arial"/>
                <w:sz w:val="18"/>
                <w:szCs w:val="18"/>
                <w:color w:val="auto"/>
              </w:rPr>
              <w:t>(c)(1)</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1.2</w:t>
            </w:r>
          </w:p>
        </w:tc>
      </w:tr>
      <w:tr>
        <w:trPr>
          <w:trHeight w:val="216"/>
        </w:trPr>
        <w:tc>
          <w:tcPr>
            <w:tcW w:w="4020" w:type="dxa"/>
            <w:vAlign w:val="bottom"/>
            <w:gridSpan w:val="2"/>
          </w:tcPr>
          <w:p>
            <w:pPr>
              <w:jc w:val="right"/>
              <w:ind w:right="3360"/>
              <w:spacing w:after="0"/>
              <w:rPr>
                <w:sz w:val="20"/>
                <w:szCs w:val="20"/>
                <w:color w:val="auto"/>
              </w:rPr>
            </w:pPr>
            <w:r>
              <w:rPr>
                <w:rFonts w:ascii="Arial" w:cs="Arial" w:eastAsia="Arial" w:hAnsi="Arial"/>
                <w:sz w:val="18"/>
                <w:szCs w:val="18"/>
                <w:color w:val="auto"/>
              </w:rPr>
              <w:t>(c)(2)</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1.2</w:t>
            </w:r>
          </w:p>
        </w:tc>
      </w:tr>
      <w:tr>
        <w:trPr>
          <w:trHeight w:val="216"/>
        </w:trPr>
        <w:tc>
          <w:tcPr>
            <w:tcW w:w="4020" w:type="dxa"/>
            <w:vAlign w:val="bottom"/>
            <w:gridSpan w:val="2"/>
          </w:tcPr>
          <w:p>
            <w:pPr>
              <w:jc w:val="right"/>
              <w:ind w:right="3360"/>
              <w:spacing w:after="0"/>
              <w:rPr>
                <w:sz w:val="20"/>
                <w:szCs w:val="20"/>
                <w:color w:val="auto"/>
              </w:rPr>
            </w:pPr>
            <w:r>
              <w:rPr>
                <w:rFonts w:ascii="Arial" w:cs="Arial" w:eastAsia="Arial" w:hAnsi="Arial"/>
                <w:sz w:val="18"/>
                <w:szCs w:val="18"/>
                <w:color w:val="auto"/>
              </w:rPr>
              <w:t>(c)(3)</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Not applicable</w:t>
            </w:r>
          </w:p>
        </w:tc>
      </w:tr>
      <w:tr>
        <w:trPr>
          <w:trHeight w:val="216"/>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(d)</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Not applicable</w:t>
            </w:r>
          </w:p>
        </w:tc>
      </w:tr>
      <w:tr>
        <w:trPr>
          <w:trHeight w:val="216"/>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(e)</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TIA</w:t>
            </w:r>
          </w:p>
        </w:tc>
      </w:tr>
      <w:tr>
        <w:trPr>
          <w:trHeight w:val="216"/>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(f)</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TIA</w:t>
            </w:r>
          </w:p>
        </w:tc>
      </w:tr>
      <w:tr>
        <w:trPr>
          <w:trHeight w:val="216"/>
        </w:trPr>
        <w:tc>
          <w:tcPr>
            <w:tcW w:w="4020" w:type="dxa"/>
            <w:vAlign w:val="bottom"/>
            <w:gridSpan w:val="2"/>
          </w:tcPr>
          <w:p>
            <w:pPr>
              <w:jc w:val="right"/>
              <w:ind w:right="3560"/>
              <w:spacing w:after="0"/>
              <w:rPr>
                <w:sz w:val="20"/>
                <w:szCs w:val="20"/>
                <w:color w:val="auto"/>
              </w:rPr>
            </w:pPr>
            <w:r>
              <w:rPr>
                <w:rFonts w:ascii="Arial" w:cs="Arial" w:eastAsia="Arial" w:hAnsi="Arial"/>
                <w:sz w:val="18"/>
                <w:szCs w:val="18"/>
                <w:color w:val="auto"/>
                <w:w w:val="84"/>
              </w:rPr>
              <w:t>315(a)</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TIA</w:t>
            </w:r>
          </w:p>
        </w:tc>
      </w:tr>
      <w:tr>
        <w:trPr>
          <w:trHeight w:val="216"/>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(b)</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6.6</w:t>
            </w:r>
          </w:p>
        </w:tc>
      </w:tr>
      <w:tr>
        <w:trPr>
          <w:trHeight w:val="216"/>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(c)</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TIA</w:t>
            </w:r>
          </w:p>
        </w:tc>
      </w:tr>
      <w:tr>
        <w:trPr>
          <w:trHeight w:val="216"/>
        </w:trPr>
        <w:tc>
          <w:tcPr>
            <w:tcW w:w="4020" w:type="dxa"/>
            <w:vAlign w:val="bottom"/>
            <w:gridSpan w:val="2"/>
          </w:tcPr>
          <w:p>
            <w:pPr>
              <w:jc w:val="right"/>
              <w:ind w:right="3340"/>
              <w:spacing w:after="0"/>
              <w:rPr>
                <w:sz w:val="20"/>
                <w:szCs w:val="20"/>
                <w:color w:val="auto"/>
              </w:rPr>
            </w:pPr>
            <w:r>
              <w:rPr>
                <w:rFonts w:ascii="Arial" w:cs="Arial" w:eastAsia="Arial" w:hAnsi="Arial"/>
                <w:sz w:val="18"/>
                <w:szCs w:val="18"/>
                <w:color w:val="auto"/>
              </w:rPr>
              <w:t>(d)(1)</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TIA</w:t>
            </w:r>
          </w:p>
        </w:tc>
      </w:tr>
      <w:tr>
        <w:trPr>
          <w:trHeight w:val="216"/>
        </w:trPr>
        <w:tc>
          <w:tcPr>
            <w:tcW w:w="4020" w:type="dxa"/>
            <w:vAlign w:val="bottom"/>
            <w:gridSpan w:val="2"/>
          </w:tcPr>
          <w:p>
            <w:pPr>
              <w:jc w:val="right"/>
              <w:ind w:right="3340"/>
              <w:spacing w:after="0"/>
              <w:rPr>
                <w:sz w:val="20"/>
                <w:szCs w:val="20"/>
                <w:color w:val="auto"/>
              </w:rPr>
            </w:pPr>
            <w:r>
              <w:rPr>
                <w:rFonts w:ascii="Arial" w:cs="Arial" w:eastAsia="Arial" w:hAnsi="Arial"/>
                <w:sz w:val="18"/>
                <w:szCs w:val="18"/>
                <w:color w:val="auto"/>
              </w:rPr>
              <w:t>(d)(2)</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TIA</w:t>
            </w:r>
          </w:p>
        </w:tc>
      </w:tr>
      <w:tr>
        <w:trPr>
          <w:trHeight w:val="216"/>
        </w:trPr>
        <w:tc>
          <w:tcPr>
            <w:tcW w:w="4020" w:type="dxa"/>
            <w:vAlign w:val="bottom"/>
            <w:gridSpan w:val="2"/>
          </w:tcPr>
          <w:p>
            <w:pPr>
              <w:jc w:val="right"/>
              <w:ind w:right="3340"/>
              <w:spacing w:after="0"/>
              <w:rPr>
                <w:sz w:val="20"/>
                <w:szCs w:val="20"/>
                <w:color w:val="auto"/>
              </w:rPr>
            </w:pPr>
            <w:r>
              <w:rPr>
                <w:rFonts w:ascii="Arial" w:cs="Arial" w:eastAsia="Arial" w:hAnsi="Arial"/>
                <w:sz w:val="18"/>
                <w:szCs w:val="18"/>
                <w:color w:val="auto"/>
              </w:rPr>
              <w:t>(d)(3)</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TIA</w:t>
            </w:r>
          </w:p>
        </w:tc>
      </w:tr>
      <w:tr>
        <w:trPr>
          <w:trHeight w:val="216"/>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(e)</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TIA</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316(a)(last sentence)</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1.1</w:t>
            </w:r>
          </w:p>
        </w:tc>
      </w:tr>
      <w:tr>
        <w:trPr>
          <w:trHeight w:val="216"/>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(a)(1)(A)</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5.2; 5.8</w:t>
            </w:r>
          </w:p>
        </w:tc>
      </w:tr>
      <w:tr>
        <w:trPr>
          <w:trHeight w:val="216"/>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(a)(1)(B)</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5.7</w:t>
            </w:r>
          </w:p>
        </w:tc>
      </w:tr>
      <w:tr>
        <w:trPr>
          <w:trHeight w:val="216"/>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(b)</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5.9; 5.10</w:t>
            </w:r>
          </w:p>
        </w:tc>
      </w:tr>
      <w:tr>
        <w:trPr>
          <w:trHeight w:val="216"/>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(c)</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TIA</w:t>
            </w:r>
          </w:p>
        </w:tc>
      </w:tr>
      <w:tr>
        <w:trPr>
          <w:trHeight w:val="216"/>
        </w:trPr>
        <w:tc>
          <w:tcPr>
            <w:tcW w:w="4020" w:type="dxa"/>
            <w:vAlign w:val="bottom"/>
            <w:gridSpan w:val="2"/>
          </w:tcPr>
          <w:p>
            <w:pPr>
              <w:jc w:val="right"/>
              <w:ind w:right="3340"/>
              <w:spacing w:after="0"/>
              <w:rPr>
                <w:sz w:val="20"/>
                <w:szCs w:val="20"/>
                <w:color w:val="auto"/>
              </w:rPr>
            </w:pPr>
            <w:r>
              <w:rPr>
                <w:rFonts w:ascii="Arial" w:cs="Arial" w:eastAsia="Arial" w:hAnsi="Arial"/>
                <w:sz w:val="18"/>
                <w:szCs w:val="18"/>
                <w:color w:val="auto"/>
                <w:w w:val="89"/>
              </w:rPr>
              <w:t>317(a)(1)</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5.3</w:t>
            </w:r>
          </w:p>
        </w:tc>
      </w:tr>
      <w:tr>
        <w:trPr>
          <w:trHeight w:val="216"/>
        </w:trPr>
        <w:tc>
          <w:tcPr>
            <w:tcW w:w="4020" w:type="dxa"/>
            <w:vAlign w:val="bottom"/>
            <w:gridSpan w:val="2"/>
          </w:tcPr>
          <w:p>
            <w:pPr>
              <w:jc w:val="right"/>
              <w:ind w:right="3360"/>
              <w:spacing w:after="0"/>
              <w:rPr>
                <w:sz w:val="20"/>
                <w:szCs w:val="20"/>
                <w:color w:val="auto"/>
              </w:rPr>
            </w:pPr>
            <w:r>
              <w:rPr>
                <w:rFonts w:ascii="Arial" w:cs="Arial" w:eastAsia="Arial" w:hAnsi="Arial"/>
                <w:sz w:val="18"/>
                <w:szCs w:val="18"/>
                <w:color w:val="auto"/>
              </w:rPr>
              <w:t>(a)(2)</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5.4</w:t>
            </w:r>
          </w:p>
        </w:tc>
      </w:tr>
      <w:tr>
        <w:trPr>
          <w:trHeight w:val="216"/>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(b)</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9.3</w:t>
            </w:r>
          </w:p>
        </w:tc>
      </w:tr>
      <w:tr>
        <w:trPr>
          <w:trHeight w:val="216"/>
        </w:trPr>
        <w:tc>
          <w:tcPr>
            <w:tcW w:w="4020" w:type="dxa"/>
            <w:vAlign w:val="bottom"/>
            <w:gridSpan w:val="2"/>
          </w:tcPr>
          <w:p>
            <w:pPr>
              <w:jc w:val="right"/>
              <w:ind w:right="3560"/>
              <w:spacing w:after="0"/>
              <w:rPr>
                <w:sz w:val="20"/>
                <w:szCs w:val="20"/>
                <w:color w:val="auto"/>
              </w:rPr>
            </w:pPr>
            <w:r>
              <w:rPr>
                <w:rFonts w:ascii="Arial" w:cs="Arial" w:eastAsia="Arial" w:hAnsi="Arial"/>
                <w:sz w:val="18"/>
                <w:szCs w:val="18"/>
                <w:color w:val="auto"/>
                <w:w w:val="84"/>
              </w:rPr>
              <w:t>318(a)</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1.11</w:t>
            </w:r>
          </w:p>
        </w:tc>
      </w:tr>
      <w:tr>
        <w:trPr>
          <w:trHeight w:val="216"/>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(b)</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TIA</w:t>
            </w:r>
          </w:p>
        </w:tc>
      </w:tr>
      <w:tr>
        <w:trPr>
          <w:trHeight w:val="222"/>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(c)</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1.11; TIA</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This reconciliation and tie section does not constitute part of the Indenture.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80" w:right="239" w:bottom="1440" w:gutter="0" w:footer="0" w:header="0"/>
        </w:sectPr>
      </w:pPr>
    </w:p>
    <w:bookmarkStart w:id="20" w:name="page21"/>
    <w:bookmarkEnd w:id="2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2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22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420" w:type="dxa"/>
            <w:vAlign w:val="bottom"/>
          </w:tcPr>
          <w:p>
            <w:pPr>
              <w:spacing w:after="0"/>
              <w:rPr>
                <w:sz w:val="20"/>
                <w:szCs w:val="20"/>
                <w:color w:val="auto"/>
              </w:rPr>
            </w:pPr>
            <w:r>
              <w:rPr>
                <w:rFonts w:ascii="Arial" w:cs="Arial" w:eastAsia="Arial" w:hAnsi="Arial"/>
                <w:sz w:val="18"/>
                <w:szCs w:val="18"/>
                <w:color w:val="auto"/>
              </w:rPr>
              <w:t>ARTICLE 1</w:t>
            </w:r>
          </w:p>
        </w:tc>
        <w:tc>
          <w:tcPr>
            <w:tcW w:w="7620" w:type="dxa"/>
            <w:vAlign w:val="bottom"/>
          </w:tcPr>
          <w:p>
            <w:pPr>
              <w:ind w:left="100"/>
              <w:spacing w:after="0"/>
              <w:rPr>
                <w:sz w:val="20"/>
                <w:szCs w:val="20"/>
                <w:color w:val="auto"/>
              </w:rPr>
            </w:pPr>
            <w:r>
              <w:rPr>
                <w:rFonts w:ascii="Arial" w:cs="Arial" w:eastAsia="Arial" w:hAnsi="Arial"/>
                <w:sz w:val="18"/>
                <w:szCs w:val="18"/>
                <w:color w:val="auto"/>
              </w:rPr>
              <w:t>DEFINITIONS AND OTHER PROVISIONS OF GENERAL APPLICATION</w:t>
            </w:r>
          </w:p>
        </w:tc>
        <w:tc>
          <w:tcPr>
            <w:tcW w:w="2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1.1</w:t>
            </w:r>
          </w:p>
        </w:tc>
        <w:tc>
          <w:tcPr>
            <w:tcW w:w="762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2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1.2</w:t>
            </w:r>
          </w:p>
        </w:tc>
        <w:tc>
          <w:tcPr>
            <w:tcW w:w="7620" w:type="dxa"/>
            <w:vAlign w:val="bottom"/>
          </w:tcPr>
          <w:p>
            <w:pPr>
              <w:ind w:left="100"/>
              <w:spacing w:after="0"/>
              <w:rPr>
                <w:sz w:val="20"/>
                <w:szCs w:val="20"/>
                <w:color w:val="auto"/>
              </w:rPr>
            </w:pPr>
            <w:r>
              <w:rPr>
                <w:rFonts w:ascii="Arial" w:cs="Arial" w:eastAsia="Arial" w:hAnsi="Arial"/>
                <w:sz w:val="18"/>
                <w:szCs w:val="18"/>
                <w:color w:val="auto"/>
              </w:rPr>
              <w:t>Compliance Certificates and Opinions</w:t>
            </w:r>
          </w:p>
        </w:tc>
        <w:tc>
          <w:tcPr>
            <w:tcW w:w="2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1.3</w:t>
            </w:r>
          </w:p>
        </w:tc>
        <w:tc>
          <w:tcPr>
            <w:tcW w:w="7620" w:type="dxa"/>
            <w:vAlign w:val="bottom"/>
          </w:tcPr>
          <w:p>
            <w:pPr>
              <w:ind w:left="100"/>
              <w:spacing w:after="0"/>
              <w:rPr>
                <w:sz w:val="20"/>
                <w:szCs w:val="20"/>
                <w:color w:val="auto"/>
              </w:rPr>
            </w:pPr>
            <w:r>
              <w:rPr>
                <w:rFonts w:ascii="Arial" w:cs="Arial" w:eastAsia="Arial" w:hAnsi="Arial"/>
                <w:sz w:val="18"/>
                <w:szCs w:val="18"/>
                <w:color w:val="auto"/>
              </w:rPr>
              <w:t>Form of Document Delivered to Trustee</w:t>
            </w:r>
          </w:p>
        </w:tc>
        <w:tc>
          <w:tcPr>
            <w:tcW w:w="2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1.4</w:t>
            </w:r>
          </w:p>
        </w:tc>
        <w:tc>
          <w:tcPr>
            <w:tcW w:w="7620" w:type="dxa"/>
            <w:vAlign w:val="bottom"/>
          </w:tcPr>
          <w:p>
            <w:pPr>
              <w:ind w:left="100"/>
              <w:spacing w:after="0"/>
              <w:rPr>
                <w:sz w:val="20"/>
                <w:szCs w:val="20"/>
                <w:color w:val="auto"/>
              </w:rPr>
            </w:pPr>
            <w:r>
              <w:rPr>
                <w:rFonts w:ascii="Arial" w:cs="Arial" w:eastAsia="Arial" w:hAnsi="Arial"/>
                <w:sz w:val="18"/>
                <w:szCs w:val="18"/>
                <w:color w:val="auto"/>
              </w:rPr>
              <w:t>Acts of Holders</w:t>
            </w:r>
          </w:p>
        </w:tc>
        <w:tc>
          <w:tcPr>
            <w:tcW w:w="2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1.5</w:t>
            </w:r>
          </w:p>
        </w:tc>
        <w:tc>
          <w:tcPr>
            <w:tcW w:w="7620" w:type="dxa"/>
            <w:vAlign w:val="bottom"/>
          </w:tcPr>
          <w:p>
            <w:pPr>
              <w:ind w:left="100"/>
              <w:spacing w:after="0"/>
              <w:rPr>
                <w:sz w:val="20"/>
                <w:szCs w:val="20"/>
                <w:color w:val="auto"/>
              </w:rPr>
            </w:pPr>
            <w:r>
              <w:rPr>
                <w:rFonts w:ascii="Arial" w:cs="Arial" w:eastAsia="Arial" w:hAnsi="Arial"/>
                <w:sz w:val="18"/>
                <w:szCs w:val="18"/>
                <w:color w:val="auto"/>
              </w:rPr>
              <w:t>Notices, etc., to Trustee and Company</w:t>
            </w:r>
          </w:p>
        </w:tc>
        <w:tc>
          <w:tcPr>
            <w:tcW w:w="2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1.6</w:t>
            </w:r>
          </w:p>
        </w:tc>
        <w:tc>
          <w:tcPr>
            <w:tcW w:w="7620" w:type="dxa"/>
            <w:vAlign w:val="bottom"/>
          </w:tcPr>
          <w:p>
            <w:pPr>
              <w:ind w:left="100"/>
              <w:spacing w:after="0"/>
              <w:rPr>
                <w:sz w:val="20"/>
                <w:szCs w:val="20"/>
                <w:color w:val="auto"/>
              </w:rPr>
            </w:pPr>
            <w:r>
              <w:rPr>
                <w:rFonts w:ascii="Arial" w:cs="Arial" w:eastAsia="Arial" w:hAnsi="Arial"/>
                <w:sz w:val="18"/>
                <w:szCs w:val="18"/>
                <w:color w:val="auto"/>
              </w:rPr>
              <w:t>Notice to Holders; Waiver</w:t>
            </w:r>
          </w:p>
        </w:tc>
        <w:tc>
          <w:tcPr>
            <w:tcW w:w="2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1.7</w:t>
            </w:r>
          </w:p>
        </w:tc>
        <w:tc>
          <w:tcPr>
            <w:tcW w:w="7620" w:type="dxa"/>
            <w:vAlign w:val="bottom"/>
          </w:tcPr>
          <w:p>
            <w:pPr>
              <w:ind w:left="100"/>
              <w:spacing w:after="0"/>
              <w:rPr>
                <w:sz w:val="20"/>
                <w:szCs w:val="20"/>
                <w:color w:val="auto"/>
              </w:rPr>
            </w:pPr>
            <w:r>
              <w:rPr>
                <w:rFonts w:ascii="Arial" w:cs="Arial" w:eastAsia="Arial" w:hAnsi="Arial"/>
                <w:sz w:val="18"/>
                <w:szCs w:val="18"/>
                <w:color w:val="auto"/>
              </w:rPr>
              <w:t>Headings and Table of Contents</w:t>
            </w:r>
          </w:p>
        </w:tc>
        <w:tc>
          <w:tcPr>
            <w:tcW w:w="2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1.8</w:t>
            </w:r>
          </w:p>
        </w:tc>
        <w:tc>
          <w:tcPr>
            <w:tcW w:w="7620" w:type="dxa"/>
            <w:vAlign w:val="bottom"/>
          </w:tcPr>
          <w:p>
            <w:pPr>
              <w:ind w:left="100"/>
              <w:spacing w:after="0"/>
              <w:rPr>
                <w:sz w:val="20"/>
                <w:szCs w:val="20"/>
                <w:color w:val="auto"/>
              </w:rPr>
            </w:pPr>
            <w:r>
              <w:rPr>
                <w:rFonts w:ascii="Arial" w:cs="Arial" w:eastAsia="Arial" w:hAnsi="Arial"/>
                <w:sz w:val="18"/>
                <w:szCs w:val="18"/>
                <w:color w:val="auto"/>
              </w:rPr>
              <w:t>Successors and Assigns</w:t>
            </w:r>
          </w:p>
        </w:tc>
        <w:tc>
          <w:tcPr>
            <w:tcW w:w="2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1.9</w:t>
            </w:r>
          </w:p>
        </w:tc>
        <w:tc>
          <w:tcPr>
            <w:tcW w:w="7620" w:type="dxa"/>
            <w:vAlign w:val="bottom"/>
          </w:tcPr>
          <w:p>
            <w:pPr>
              <w:ind w:left="100"/>
              <w:spacing w:after="0"/>
              <w:rPr>
                <w:sz w:val="20"/>
                <w:szCs w:val="20"/>
                <w:color w:val="auto"/>
              </w:rPr>
            </w:pPr>
            <w:r>
              <w:rPr>
                <w:rFonts w:ascii="Arial" w:cs="Arial" w:eastAsia="Arial" w:hAnsi="Arial"/>
                <w:sz w:val="18"/>
                <w:szCs w:val="18"/>
                <w:color w:val="auto"/>
              </w:rPr>
              <w:t>Separability</w:t>
            </w:r>
          </w:p>
        </w:tc>
        <w:tc>
          <w:tcPr>
            <w:tcW w:w="2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1.10</w:t>
            </w:r>
          </w:p>
        </w:tc>
        <w:tc>
          <w:tcPr>
            <w:tcW w:w="7620" w:type="dxa"/>
            <w:vAlign w:val="bottom"/>
          </w:tcPr>
          <w:p>
            <w:pPr>
              <w:ind w:left="100"/>
              <w:spacing w:after="0"/>
              <w:rPr>
                <w:sz w:val="20"/>
                <w:szCs w:val="20"/>
                <w:color w:val="auto"/>
              </w:rPr>
            </w:pPr>
            <w:r>
              <w:rPr>
                <w:rFonts w:ascii="Arial" w:cs="Arial" w:eastAsia="Arial" w:hAnsi="Arial"/>
                <w:sz w:val="18"/>
                <w:szCs w:val="18"/>
                <w:color w:val="auto"/>
              </w:rPr>
              <w:t>Benefits of Indenture</w:t>
            </w:r>
          </w:p>
        </w:tc>
        <w:tc>
          <w:tcPr>
            <w:tcW w:w="2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1.11</w:t>
            </w:r>
          </w:p>
        </w:tc>
        <w:tc>
          <w:tcPr>
            <w:tcW w:w="762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2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1.12</w:t>
            </w:r>
          </w:p>
        </w:tc>
        <w:tc>
          <w:tcPr>
            <w:tcW w:w="7620" w:type="dxa"/>
            <w:vAlign w:val="bottom"/>
          </w:tcPr>
          <w:p>
            <w:pPr>
              <w:ind w:left="100"/>
              <w:spacing w:after="0"/>
              <w:rPr>
                <w:sz w:val="20"/>
                <w:szCs w:val="20"/>
                <w:color w:val="auto"/>
              </w:rPr>
            </w:pPr>
            <w:r>
              <w:rPr>
                <w:rFonts w:ascii="Arial" w:cs="Arial" w:eastAsia="Arial" w:hAnsi="Arial"/>
                <w:sz w:val="18"/>
                <w:szCs w:val="18"/>
                <w:color w:val="auto"/>
              </w:rPr>
              <w:t>Legal Holidays</w:t>
            </w:r>
          </w:p>
        </w:tc>
        <w:tc>
          <w:tcPr>
            <w:tcW w:w="2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1.13</w:t>
            </w:r>
          </w:p>
        </w:tc>
        <w:tc>
          <w:tcPr>
            <w:tcW w:w="7620" w:type="dxa"/>
            <w:vAlign w:val="bottom"/>
          </w:tcPr>
          <w:p>
            <w:pPr>
              <w:ind w:left="100"/>
              <w:spacing w:after="0"/>
              <w:rPr>
                <w:sz w:val="20"/>
                <w:szCs w:val="20"/>
                <w:color w:val="auto"/>
              </w:rPr>
            </w:pPr>
            <w:r>
              <w:rPr>
                <w:rFonts w:ascii="Arial" w:cs="Arial" w:eastAsia="Arial" w:hAnsi="Arial"/>
                <w:sz w:val="18"/>
                <w:szCs w:val="18"/>
                <w:color w:val="auto"/>
              </w:rPr>
              <w:t>No Recourse Against Others</w:t>
            </w:r>
          </w:p>
        </w:tc>
        <w:tc>
          <w:tcPr>
            <w:tcW w:w="2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2</w:t>
            </w:r>
          </w:p>
        </w:tc>
        <w:tc>
          <w:tcPr>
            <w:tcW w:w="7620" w:type="dxa"/>
            <w:vAlign w:val="bottom"/>
          </w:tcPr>
          <w:p>
            <w:pPr>
              <w:ind w:left="100"/>
              <w:spacing w:after="0"/>
              <w:rPr>
                <w:sz w:val="20"/>
                <w:szCs w:val="20"/>
                <w:color w:val="auto"/>
              </w:rPr>
            </w:pPr>
            <w:r>
              <w:rPr>
                <w:rFonts w:ascii="Arial" w:cs="Arial" w:eastAsia="Arial" w:hAnsi="Arial"/>
                <w:sz w:val="18"/>
                <w:szCs w:val="18"/>
                <w:color w:val="auto"/>
              </w:rPr>
              <w:t>SECURITY FORMS</w:t>
            </w:r>
          </w:p>
        </w:tc>
        <w:tc>
          <w:tcPr>
            <w:tcW w:w="2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2.1</w:t>
            </w:r>
          </w:p>
        </w:tc>
        <w:tc>
          <w:tcPr>
            <w:tcW w:w="7620" w:type="dxa"/>
            <w:vAlign w:val="bottom"/>
          </w:tcPr>
          <w:p>
            <w:pPr>
              <w:ind w:left="100"/>
              <w:spacing w:after="0"/>
              <w:rPr>
                <w:sz w:val="20"/>
                <w:szCs w:val="20"/>
                <w:color w:val="auto"/>
              </w:rPr>
            </w:pPr>
            <w:r>
              <w:rPr>
                <w:rFonts w:ascii="Arial" w:cs="Arial" w:eastAsia="Arial" w:hAnsi="Arial"/>
                <w:sz w:val="18"/>
                <w:szCs w:val="18"/>
                <w:color w:val="auto"/>
              </w:rPr>
              <w:t>Forms Generally</w:t>
            </w:r>
          </w:p>
        </w:tc>
        <w:tc>
          <w:tcPr>
            <w:tcW w:w="2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2.2</w:t>
            </w:r>
          </w:p>
        </w:tc>
        <w:tc>
          <w:tcPr>
            <w:tcW w:w="7620" w:type="dxa"/>
            <w:vAlign w:val="bottom"/>
          </w:tcPr>
          <w:p>
            <w:pPr>
              <w:ind w:left="100"/>
              <w:spacing w:after="0"/>
              <w:rPr>
                <w:sz w:val="20"/>
                <w:szCs w:val="20"/>
                <w:color w:val="auto"/>
              </w:rPr>
            </w:pPr>
            <w:r>
              <w:rPr>
                <w:rFonts w:ascii="Arial" w:cs="Arial" w:eastAsia="Arial" w:hAnsi="Arial"/>
                <w:sz w:val="18"/>
                <w:szCs w:val="18"/>
                <w:color w:val="auto"/>
              </w:rPr>
              <w:t>Form of Trustee’s Certificate of Authentication</w:t>
            </w:r>
          </w:p>
        </w:tc>
        <w:tc>
          <w:tcPr>
            <w:tcW w:w="2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3</w:t>
            </w:r>
          </w:p>
        </w:tc>
        <w:tc>
          <w:tcPr>
            <w:tcW w:w="7620" w:type="dxa"/>
            <w:vAlign w:val="bottom"/>
          </w:tcPr>
          <w:p>
            <w:pPr>
              <w:ind w:left="100"/>
              <w:spacing w:after="0"/>
              <w:rPr>
                <w:sz w:val="20"/>
                <w:szCs w:val="20"/>
                <w:color w:val="auto"/>
              </w:rPr>
            </w:pPr>
            <w:r>
              <w:rPr>
                <w:rFonts w:ascii="Arial" w:cs="Arial" w:eastAsia="Arial" w:hAnsi="Arial"/>
                <w:sz w:val="18"/>
                <w:szCs w:val="18"/>
                <w:color w:val="auto"/>
              </w:rPr>
              <w:t>THE SECURITIES</w:t>
            </w:r>
          </w:p>
        </w:tc>
        <w:tc>
          <w:tcPr>
            <w:tcW w:w="2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3.1</w:t>
            </w:r>
          </w:p>
        </w:tc>
        <w:tc>
          <w:tcPr>
            <w:tcW w:w="7620" w:type="dxa"/>
            <w:vAlign w:val="bottom"/>
          </w:tcPr>
          <w:p>
            <w:pPr>
              <w:ind w:left="100"/>
              <w:spacing w:after="0"/>
              <w:rPr>
                <w:sz w:val="20"/>
                <w:szCs w:val="20"/>
                <w:color w:val="auto"/>
              </w:rPr>
            </w:pPr>
            <w:r>
              <w:rPr>
                <w:rFonts w:ascii="Arial" w:cs="Arial" w:eastAsia="Arial" w:hAnsi="Arial"/>
                <w:sz w:val="18"/>
                <w:szCs w:val="18"/>
                <w:color w:val="auto"/>
              </w:rPr>
              <w:t>Amount Unlimited; Issuable in Series</w:t>
            </w:r>
          </w:p>
        </w:tc>
        <w:tc>
          <w:tcPr>
            <w:tcW w:w="2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3.2</w:t>
            </w:r>
          </w:p>
        </w:tc>
        <w:tc>
          <w:tcPr>
            <w:tcW w:w="7620" w:type="dxa"/>
            <w:vAlign w:val="bottom"/>
          </w:tcPr>
          <w:p>
            <w:pPr>
              <w:ind w:left="100"/>
              <w:spacing w:after="0"/>
              <w:rPr>
                <w:sz w:val="20"/>
                <w:szCs w:val="20"/>
                <w:color w:val="auto"/>
              </w:rPr>
            </w:pPr>
            <w:r>
              <w:rPr>
                <w:rFonts w:ascii="Arial" w:cs="Arial" w:eastAsia="Arial" w:hAnsi="Arial"/>
                <w:sz w:val="18"/>
                <w:szCs w:val="18"/>
                <w:color w:val="auto"/>
              </w:rPr>
              <w:t>Denominations</w:t>
            </w:r>
          </w:p>
        </w:tc>
        <w:tc>
          <w:tcPr>
            <w:tcW w:w="2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3.3</w:t>
            </w:r>
          </w:p>
        </w:tc>
        <w:tc>
          <w:tcPr>
            <w:tcW w:w="7620" w:type="dxa"/>
            <w:vAlign w:val="bottom"/>
          </w:tcPr>
          <w:p>
            <w:pPr>
              <w:ind w:left="100"/>
              <w:spacing w:after="0"/>
              <w:rPr>
                <w:sz w:val="20"/>
                <w:szCs w:val="20"/>
                <w:color w:val="auto"/>
              </w:rPr>
            </w:pPr>
            <w:r>
              <w:rPr>
                <w:rFonts w:ascii="Arial" w:cs="Arial" w:eastAsia="Arial" w:hAnsi="Arial"/>
                <w:sz w:val="18"/>
                <w:szCs w:val="18"/>
                <w:color w:val="auto"/>
              </w:rPr>
              <w:t>Execution, Authentication, Delivery and Dating</w:t>
            </w:r>
          </w:p>
        </w:tc>
        <w:tc>
          <w:tcPr>
            <w:tcW w:w="2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3.4</w:t>
            </w:r>
          </w:p>
        </w:tc>
        <w:tc>
          <w:tcPr>
            <w:tcW w:w="7620" w:type="dxa"/>
            <w:vAlign w:val="bottom"/>
          </w:tcPr>
          <w:p>
            <w:pPr>
              <w:ind w:left="100"/>
              <w:spacing w:after="0"/>
              <w:rPr>
                <w:sz w:val="20"/>
                <w:szCs w:val="20"/>
                <w:color w:val="auto"/>
              </w:rPr>
            </w:pPr>
            <w:r>
              <w:rPr>
                <w:rFonts w:ascii="Arial" w:cs="Arial" w:eastAsia="Arial" w:hAnsi="Arial"/>
                <w:sz w:val="18"/>
                <w:szCs w:val="18"/>
                <w:color w:val="auto"/>
              </w:rPr>
              <w:t>Temporary Securities</w:t>
            </w:r>
          </w:p>
        </w:tc>
        <w:tc>
          <w:tcPr>
            <w:tcW w:w="2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3.5</w:t>
            </w:r>
          </w:p>
        </w:tc>
        <w:tc>
          <w:tcPr>
            <w:tcW w:w="7620" w:type="dxa"/>
            <w:vAlign w:val="bottom"/>
          </w:tcPr>
          <w:p>
            <w:pPr>
              <w:ind w:left="100"/>
              <w:spacing w:after="0"/>
              <w:rPr>
                <w:sz w:val="20"/>
                <w:szCs w:val="20"/>
                <w:color w:val="auto"/>
              </w:rPr>
            </w:pPr>
            <w:r>
              <w:rPr>
                <w:rFonts w:ascii="Arial" w:cs="Arial" w:eastAsia="Arial" w:hAnsi="Arial"/>
                <w:sz w:val="18"/>
                <w:szCs w:val="18"/>
                <w:color w:val="auto"/>
              </w:rPr>
              <w:t>Registration, Registration of Transfer and Exchange</w:t>
            </w:r>
          </w:p>
        </w:tc>
        <w:tc>
          <w:tcPr>
            <w:tcW w:w="2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3.6</w:t>
            </w:r>
          </w:p>
        </w:tc>
        <w:tc>
          <w:tcPr>
            <w:tcW w:w="7620" w:type="dxa"/>
            <w:vAlign w:val="bottom"/>
          </w:tcPr>
          <w:p>
            <w:pPr>
              <w:ind w:left="100"/>
              <w:spacing w:after="0"/>
              <w:rPr>
                <w:sz w:val="20"/>
                <w:szCs w:val="20"/>
                <w:color w:val="auto"/>
              </w:rPr>
            </w:pPr>
            <w:r>
              <w:rPr>
                <w:rFonts w:ascii="Arial" w:cs="Arial" w:eastAsia="Arial" w:hAnsi="Arial"/>
                <w:sz w:val="18"/>
                <w:szCs w:val="18"/>
                <w:color w:val="auto"/>
              </w:rPr>
              <w:t>Replacement Securities</w:t>
            </w:r>
          </w:p>
        </w:tc>
        <w:tc>
          <w:tcPr>
            <w:tcW w:w="2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3.7</w:t>
            </w:r>
          </w:p>
        </w:tc>
        <w:tc>
          <w:tcPr>
            <w:tcW w:w="7620" w:type="dxa"/>
            <w:vAlign w:val="bottom"/>
          </w:tcPr>
          <w:p>
            <w:pPr>
              <w:ind w:left="100"/>
              <w:spacing w:after="0"/>
              <w:rPr>
                <w:sz w:val="20"/>
                <w:szCs w:val="20"/>
                <w:color w:val="auto"/>
              </w:rPr>
            </w:pPr>
            <w:r>
              <w:rPr>
                <w:rFonts w:ascii="Arial" w:cs="Arial" w:eastAsia="Arial" w:hAnsi="Arial"/>
                <w:sz w:val="18"/>
                <w:szCs w:val="18"/>
                <w:color w:val="auto"/>
              </w:rPr>
              <w:t>Payment of Interest; Interest Rights Preserved</w:t>
            </w:r>
          </w:p>
        </w:tc>
        <w:tc>
          <w:tcPr>
            <w:tcW w:w="2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3.8</w:t>
            </w:r>
          </w:p>
        </w:tc>
        <w:tc>
          <w:tcPr>
            <w:tcW w:w="7620" w:type="dxa"/>
            <w:vAlign w:val="bottom"/>
          </w:tcPr>
          <w:p>
            <w:pPr>
              <w:ind w:left="100"/>
              <w:spacing w:after="0"/>
              <w:rPr>
                <w:sz w:val="20"/>
                <w:szCs w:val="20"/>
                <w:color w:val="auto"/>
              </w:rPr>
            </w:pPr>
            <w:r>
              <w:rPr>
                <w:rFonts w:ascii="Arial" w:cs="Arial" w:eastAsia="Arial" w:hAnsi="Arial"/>
                <w:sz w:val="18"/>
                <w:szCs w:val="18"/>
                <w:color w:val="auto"/>
              </w:rPr>
              <w:t>Persons Deemed Owners</w:t>
            </w:r>
          </w:p>
        </w:tc>
        <w:tc>
          <w:tcPr>
            <w:tcW w:w="2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3.9</w:t>
            </w:r>
          </w:p>
        </w:tc>
        <w:tc>
          <w:tcPr>
            <w:tcW w:w="7620" w:type="dxa"/>
            <w:vAlign w:val="bottom"/>
          </w:tcPr>
          <w:p>
            <w:pPr>
              <w:ind w:left="100"/>
              <w:spacing w:after="0"/>
              <w:rPr>
                <w:sz w:val="20"/>
                <w:szCs w:val="20"/>
                <w:color w:val="auto"/>
              </w:rPr>
            </w:pPr>
            <w:r>
              <w:rPr>
                <w:rFonts w:ascii="Arial" w:cs="Arial" w:eastAsia="Arial" w:hAnsi="Arial"/>
                <w:sz w:val="18"/>
                <w:szCs w:val="18"/>
                <w:color w:val="auto"/>
              </w:rPr>
              <w:t>Cancellation</w:t>
            </w:r>
          </w:p>
        </w:tc>
        <w:tc>
          <w:tcPr>
            <w:tcW w:w="2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3.10</w:t>
            </w:r>
          </w:p>
        </w:tc>
        <w:tc>
          <w:tcPr>
            <w:tcW w:w="7620" w:type="dxa"/>
            <w:vAlign w:val="bottom"/>
          </w:tcPr>
          <w:p>
            <w:pPr>
              <w:ind w:left="100"/>
              <w:spacing w:after="0"/>
              <w:rPr>
                <w:sz w:val="20"/>
                <w:szCs w:val="20"/>
                <w:color w:val="auto"/>
              </w:rPr>
            </w:pPr>
            <w:r>
              <w:rPr>
                <w:rFonts w:ascii="Arial" w:cs="Arial" w:eastAsia="Arial" w:hAnsi="Arial"/>
                <w:sz w:val="18"/>
                <w:szCs w:val="18"/>
                <w:color w:val="auto"/>
              </w:rPr>
              <w:t>Computation of Interest</w:t>
            </w:r>
          </w:p>
        </w:tc>
        <w:tc>
          <w:tcPr>
            <w:tcW w:w="2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3.11</w:t>
            </w:r>
          </w:p>
        </w:tc>
        <w:tc>
          <w:tcPr>
            <w:tcW w:w="7620" w:type="dxa"/>
            <w:vAlign w:val="bottom"/>
          </w:tcPr>
          <w:p>
            <w:pPr>
              <w:ind w:left="100"/>
              <w:spacing w:after="0"/>
              <w:rPr>
                <w:sz w:val="20"/>
                <w:szCs w:val="20"/>
                <w:color w:val="auto"/>
              </w:rPr>
            </w:pPr>
            <w:r>
              <w:rPr>
                <w:rFonts w:ascii="Arial" w:cs="Arial" w:eastAsia="Arial" w:hAnsi="Arial"/>
                <w:sz w:val="18"/>
                <w:szCs w:val="18"/>
                <w:color w:val="auto"/>
              </w:rPr>
              <w:t>CUSIP Numbers</w:t>
            </w:r>
          </w:p>
        </w:tc>
        <w:tc>
          <w:tcPr>
            <w:tcW w:w="2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65"/>
        </w:trPr>
        <w:tc>
          <w:tcPr>
            <w:tcW w:w="1420" w:type="dxa"/>
            <w:vAlign w:val="bottom"/>
          </w:tcPr>
          <w:p>
            <w:pPr>
              <w:spacing w:after="0"/>
              <w:rPr>
                <w:sz w:val="24"/>
                <w:szCs w:val="24"/>
                <w:color w:val="auto"/>
              </w:rPr>
            </w:pPr>
          </w:p>
        </w:tc>
        <w:tc>
          <w:tcPr>
            <w:tcW w:w="7620" w:type="dxa"/>
            <w:vAlign w:val="bottom"/>
          </w:tcPr>
          <w:p>
            <w:pPr>
              <w:ind w:left="4180"/>
              <w:spacing w:after="0"/>
              <w:rPr>
                <w:sz w:val="20"/>
                <w:szCs w:val="20"/>
                <w:color w:val="auto"/>
              </w:rPr>
            </w:pPr>
            <w:r>
              <w:rPr>
                <w:rFonts w:ascii="Arial" w:cs="Arial" w:eastAsia="Arial" w:hAnsi="Arial"/>
                <w:sz w:val="18"/>
                <w:szCs w:val="18"/>
                <w:color w:val="auto"/>
              </w:rPr>
              <w:t>-ii-</w:t>
            </w:r>
          </w:p>
        </w:tc>
        <w:tc>
          <w:tcPr>
            <w:tcW w:w="2280" w:type="dxa"/>
            <w:vAlign w:val="bottom"/>
          </w:tcPr>
          <w:p>
            <w:pPr>
              <w:spacing w:after="0"/>
              <w:rPr>
                <w:sz w:val="24"/>
                <w:szCs w:val="24"/>
                <w:color w:val="auto"/>
              </w:rPr>
            </w:pPr>
          </w:p>
        </w:tc>
      </w:tr>
    </w:tbl>
    <w:p>
      <w:pPr>
        <w:sectPr>
          <w:pgSz w:w="11900" w:h="16838" w:orient="portrait"/>
          <w:cols w:equalWidth="0" w:num="1">
            <w:col w:w="11320"/>
          </w:cols>
          <w:pgMar w:left="240" w:top="274" w:right="339" w:bottom="1440" w:gutter="0" w:footer="0" w:header="0"/>
        </w:sectPr>
      </w:pPr>
    </w:p>
    <w:bookmarkStart w:id="21" w:name="page22"/>
    <w:bookmarkEnd w:id="2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20" w:type="dxa"/>
            <w:vAlign w:val="bottom"/>
          </w:tcPr>
          <w:p>
            <w:pPr>
              <w:spacing w:after="0"/>
              <w:rPr>
                <w:sz w:val="15"/>
                <w:szCs w:val="15"/>
                <w:color w:val="auto"/>
              </w:rPr>
            </w:pPr>
          </w:p>
        </w:tc>
        <w:tc>
          <w:tcPr>
            <w:tcW w:w="85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420" w:type="dxa"/>
            <w:vAlign w:val="bottom"/>
          </w:tcPr>
          <w:p>
            <w:pPr>
              <w:spacing w:after="0"/>
              <w:rPr>
                <w:sz w:val="20"/>
                <w:szCs w:val="20"/>
                <w:color w:val="auto"/>
              </w:rPr>
            </w:pPr>
            <w:r>
              <w:rPr>
                <w:rFonts w:ascii="Arial" w:cs="Arial" w:eastAsia="Arial" w:hAnsi="Arial"/>
                <w:sz w:val="18"/>
                <w:szCs w:val="18"/>
                <w:color w:val="auto"/>
              </w:rPr>
              <w:t>ARTICLE 4</w:t>
            </w:r>
          </w:p>
        </w:tc>
        <w:tc>
          <w:tcPr>
            <w:tcW w:w="8580" w:type="dxa"/>
            <w:vAlign w:val="bottom"/>
          </w:tcPr>
          <w:p>
            <w:pPr>
              <w:ind w:left="100"/>
              <w:spacing w:after="0"/>
              <w:rPr>
                <w:sz w:val="20"/>
                <w:szCs w:val="20"/>
                <w:color w:val="auto"/>
              </w:rPr>
            </w:pPr>
            <w:r>
              <w:rPr>
                <w:rFonts w:ascii="Arial" w:cs="Arial" w:eastAsia="Arial" w:hAnsi="Arial"/>
                <w:sz w:val="18"/>
                <w:szCs w:val="18"/>
                <w:color w:val="auto"/>
              </w:rPr>
              <w:t>SATISFACTION, DISCHARGE AND DEFEASANCE</w:t>
            </w: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4.1</w:t>
            </w:r>
          </w:p>
        </w:tc>
        <w:tc>
          <w:tcPr>
            <w:tcW w:w="8580" w:type="dxa"/>
            <w:vAlign w:val="bottom"/>
          </w:tcPr>
          <w:p>
            <w:pPr>
              <w:ind w:left="100"/>
              <w:spacing w:after="0"/>
              <w:rPr>
                <w:sz w:val="20"/>
                <w:szCs w:val="20"/>
                <w:color w:val="auto"/>
              </w:rPr>
            </w:pPr>
            <w:r>
              <w:rPr>
                <w:rFonts w:ascii="Arial" w:cs="Arial" w:eastAsia="Arial" w:hAnsi="Arial"/>
                <w:sz w:val="18"/>
                <w:szCs w:val="18"/>
                <w:color w:val="auto"/>
              </w:rPr>
              <w:t>Termination of Company’s Obligations Under the Indenture</w:t>
            </w: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4.2</w:t>
            </w:r>
          </w:p>
        </w:tc>
        <w:tc>
          <w:tcPr>
            <w:tcW w:w="8580" w:type="dxa"/>
            <w:vAlign w:val="bottom"/>
          </w:tcPr>
          <w:p>
            <w:pPr>
              <w:ind w:left="100"/>
              <w:spacing w:after="0"/>
              <w:rPr>
                <w:sz w:val="20"/>
                <w:szCs w:val="20"/>
                <w:color w:val="auto"/>
              </w:rPr>
            </w:pPr>
            <w:r>
              <w:rPr>
                <w:rFonts w:ascii="Arial" w:cs="Arial" w:eastAsia="Arial" w:hAnsi="Arial"/>
                <w:sz w:val="18"/>
                <w:szCs w:val="18"/>
                <w:color w:val="auto"/>
              </w:rPr>
              <w:t>Application of Trust Funds</w:t>
            </w: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4.3</w:t>
            </w:r>
          </w:p>
        </w:tc>
        <w:tc>
          <w:tcPr>
            <w:tcW w:w="8580" w:type="dxa"/>
            <w:vAlign w:val="bottom"/>
          </w:tcPr>
          <w:p>
            <w:pPr>
              <w:ind w:left="100"/>
              <w:spacing w:after="0"/>
              <w:rPr>
                <w:sz w:val="20"/>
                <w:szCs w:val="20"/>
                <w:color w:val="auto"/>
              </w:rPr>
            </w:pPr>
            <w:r>
              <w:rPr>
                <w:rFonts w:ascii="Arial" w:cs="Arial" w:eastAsia="Arial" w:hAnsi="Arial"/>
                <w:sz w:val="18"/>
                <w:szCs w:val="18"/>
                <w:color w:val="auto"/>
              </w:rPr>
              <w:t>Applicability of Defeasance Provisions; Company’s Option to Effect Defeasance or Covenant Defeasance</w:t>
            </w: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4.4</w:t>
            </w:r>
          </w:p>
        </w:tc>
        <w:tc>
          <w:tcPr>
            <w:tcW w:w="8580" w:type="dxa"/>
            <w:vAlign w:val="bottom"/>
          </w:tcPr>
          <w:p>
            <w:pPr>
              <w:ind w:left="100"/>
              <w:spacing w:after="0"/>
              <w:rPr>
                <w:sz w:val="20"/>
                <w:szCs w:val="20"/>
                <w:color w:val="auto"/>
              </w:rPr>
            </w:pPr>
            <w:r>
              <w:rPr>
                <w:rFonts w:ascii="Arial" w:cs="Arial" w:eastAsia="Arial" w:hAnsi="Arial"/>
                <w:sz w:val="18"/>
                <w:szCs w:val="18"/>
                <w:color w:val="auto"/>
              </w:rPr>
              <w:t>Defeasance and Discharge</w:t>
            </w: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4.5</w:t>
            </w:r>
          </w:p>
        </w:tc>
        <w:tc>
          <w:tcPr>
            <w:tcW w:w="8580" w:type="dxa"/>
            <w:vAlign w:val="bottom"/>
          </w:tcPr>
          <w:p>
            <w:pPr>
              <w:ind w:left="100"/>
              <w:spacing w:after="0"/>
              <w:rPr>
                <w:sz w:val="20"/>
                <w:szCs w:val="20"/>
                <w:color w:val="auto"/>
              </w:rPr>
            </w:pPr>
            <w:r>
              <w:rPr>
                <w:rFonts w:ascii="Arial" w:cs="Arial" w:eastAsia="Arial" w:hAnsi="Arial"/>
                <w:sz w:val="18"/>
                <w:szCs w:val="18"/>
                <w:color w:val="auto"/>
              </w:rPr>
              <w:t>Covenant Defeasance</w:t>
            </w: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4.6</w:t>
            </w:r>
          </w:p>
        </w:tc>
        <w:tc>
          <w:tcPr>
            <w:tcW w:w="8580" w:type="dxa"/>
            <w:vAlign w:val="bottom"/>
          </w:tcPr>
          <w:p>
            <w:pPr>
              <w:ind w:left="100"/>
              <w:spacing w:after="0"/>
              <w:rPr>
                <w:sz w:val="20"/>
                <w:szCs w:val="20"/>
                <w:color w:val="auto"/>
              </w:rPr>
            </w:pPr>
            <w:r>
              <w:rPr>
                <w:rFonts w:ascii="Arial" w:cs="Arial" w:eastAsia="Arial" w:hAnsi="Arial"/>
                <w:sz w:val="18"/>
                <w:szCs w:val="18"/>
                <w:color w:val="auto"/>
              </w:rPr>
              <w:t>Conditions to Defeasance or Covenant Defeasance</w:t>
            </w: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4.7</w:t>
            </w:r>
          </w:p>
        </w:tc>
        <w:tc>
          <w:tcPr>
            <w:tcW w:w="8580" w:type="dxa"/>
            <w:vAlign w:val="bottom"/>
          </w:tcPr>
          <w:p>
            <w:pPr>
              <w:ind w:left="100"/>
              <w:spacing w:after="0"/>
              <w:rPr>
                <w:sz w:val="20"/>
                <w:szCs w:val="20"/>
                <w:color w:val="auto"/>
              </w:rPr>
            </w:pPr>
            <w:r>
              <w:rPr>
                <w:rFonts w:ascii="Arial" w:cs="Arial" w:eastAsia="Arial" w:hAnsi="Arial"/>
                <w:sz w:val="18"/>
                <w:szCs w:val="18"/>
                <w:color w:val="auto"/>
              </w:rPr>
              <w:t>Deposited Money and Government Obligations to Be Held in Trust</w:t>
            </w: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4.8</w:t>
            </w:r>
          </w:p>
        </w:tc>
        <w:tc>
          <w:tcPr>
            <w:tcW w:w="8580" w:type="dxa"/>
            <w:vAlign w:val="bottom"/>
          </w:tcPr>
          <w:p>
            <w:pPr>
              <w:ind w:left="100"/>
              <w:spacing w:after="0"/>
              <w:rPr>
                <w:sz w:val="20"/>
                <w:szCs w:val="20"/>
                <w:color w:val="auto"/>
              </w:rPr>
            </w:pPr>
            <w:r>
              <w:rPr>
                <w:rFonts w:ascii="Arial" w:cs="Arial" w:eastAsia="Arial" w:hAnsi="Arial"/>
                <w:sz w:val="18"/>
                <w:szCs w:val="18"/>
                <w:color w:val="auto"/>
              </w:rPr>
              <w:t>Transfers and Distribution at Company Request</w:t>
            </w: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5</w:t>
            </w:r>
          </w:p>
        </w:tc>
        <w:tc>
          <w:tcPr>
            <w:tcW w:w="8580" w:type="dxa"/>
            <w:vAlign w:val="bottom"/>
          </w:tcPr>
          <w:p>
            <w:pPr>
              <w:ind w:left="100"/>
              <w:spacing w:after="0"/>
              <w:rPr>
                <w:sz w:val="20"/>
                <w:szCs w:val="20"/>
                <w:color w:val="auto"/>
              </w:rPr>
            </w:pPr>
            <w:r>
              <w:rPr>
                <w:rFonts w:ascii="Arial" w:cs="Arial" w:eastAsia="Arial" w:hAnsi="Arial"/>
                <w:sz w:val="18"/>
                <w:szCs w:val="18"/>
                <w:color w:val="auto"/>
              </w:rPr>
              <w:t>DEFAULTS AND REMEDIES</w:t>
            </w: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5.1</w:t>
            </w:r>
          </w:p>
        </w:tc>
        <w:tc>
          <w:tcPr>
            <w:tcW w:w="8580" w:type="dxa"/>
            <w:vAlign w:val="bottom"/>
          </w:tcPr>
          <w:p>
            <w:pPr>
              <w:ind w:left="100"/>
              <w:spacing w:after="0"/>
              <w:rPr>
                <w:sz w:val="20"/>
                <w:szCs w:val="20"/>
                <w:color w:val="auto"/>
              </w:rPr>
            </w:pPr>
            <w:r>
              <w:rPr>
                <w:rFonts w:ascii="Arial" w:cs="Arial" w:eastAsia="Arial" w:hAnsi="Arial"/>
                <w:sz w:val="18"/>
                <w:szCs w:val="18"/>
                <w:color w:val="auto"/>
              </w:rPr>
              <w:t>Events of Default</w:t>
            </w: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5.2</w:t>
            </w:r>
          </w:p>
        </w:tc>
        <w:tc>
          <w:tcPr>
            <w:tcW w:w="8580" w:type="dxa"/>
            <w:vAlign w:val="bottom"/>
          </w:tcPr>
          <w:p>
            <w:pPr>
              <w:ind w:left="100"/>
              <w:spacing w:after="0"/>
              <w:rPr>
                <w:sz w:val="20"/>
                <w:szCs w:val="20"/>
                <w:color w:val="auto"/>
              </w:rPr>
            </w:pPr>
            <w:r>
              <w:rPr>
                <w:rFonts w:ascii="Arial" w:cs="Arial" w:eastAsia="Arial" w:hAnsi="Arial"/>
                <w:sz w:val="18"/>
                <w:szCs w:val="18"/>
                <w:color w:val="auto"/>
              </w:rPr>
              <w:t>Acceleration, Rescission and Annulment</w:t>
            </w:r>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5.3</w:t>
            </w:r>
          </w:p>
        </w:tc>
        <w:tc>
          <w:tcPr>
            <w:tcW w:w="8580" w:type="dxa"/>
            <w:vAlign w:val="bottom"/>
          </w:tcPr>
          <w:p>
            <w:pPr>
              <w:ind w:left="100"/>
              <w:spacing w:after="0"/>
              <w:rPr>
                <w:sz w:val="20"/>
                <w:szCs w:val="20"/>
                <w:color w:val="auto"/>
              </w:rPr>
            </w:pPr>
            <w:r>
              <w:rPr>
                <w:rFonts w:ascii="Arial" w:cs="Arial" w:eastAsia="Arial" w:hAnsi="Arial"/>
                <w:sz w:val="18"/>
                <w:szCs w:val="18"/>
                <w:color w:val="auto"/>
              </w:rPr>
              <w:t>Collection of Indebtedness and Suits for Enforcement by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5.4</w:t>
            </w:r>
          </w:p>
        </w:tc>
        <w:tc>
          <w:tcPr>
            <w:tcW w:w="8580" w:type="dxa"/>
            <w:vAlign w:val="bottom"/>
          </w:tcPr>
          <w:p>
            <w:pPr>
              <w:ind w:left="100"/>
              <w:spacing w:after="0"/>
              <w:rPr>
                <w:sz w:val="20"/>
                <w:szCs w:val="20"/>
                <w:color w:val="auto"/>
              </w:rPr>
            </w:pPr>
            <w:r>
              <w:rPr>
                <w:rFonts w:ascii="Arial" w:cs="Arial" w:eastAsia="Arial" w:hAnsi="Arial"/>
                <w:sz w:val="18"/>
                <w:szCs w:val="18"/>
                <w:color w:val="auto"/>
              </w:rPr>
              <w:t>Trustee May File Proofs of Claim</w:t>
            </w: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5.5</w:t>
            </w:r>
          </w:p>
        </w:tc>
        <w:tc>
          <w:tcPr>
            <w:tcW w:w="8580" w:type="dxa"/>
            <w:vAlign w:val="bottom"/>
          </w:tcPr>
          <w:p>
            <w:pPr>
              <w:ind w:left="100"/>
              <w:spacing w:after="0"/>
              <w:rPr>
                <w:sz w:val="20"/>
                <w:szCs w:val="20"/>
                <w:color w:val="auto"/>
              </w:rPr>
            </w:pPr>
            <w:r>
              <w:rPr>
                <w:rFonts w:ascii="Arial" w:cs="Arial" w:eastAsia="Arial" w:hAnsi="Arial"/>
                <w:sz w:val="18"/>
                <w:szCs w:val="18"/>
                <w:color w:val="auto"/>
              </w:rPr>
              <w:t>Trustee May Enforce Claims Without Possession of Securities</w:t>
            </w: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5.6</w:t>
            </w:r>
          </w:p>
        </w:tc>
        <w:tc>
          <w:tcPr>
            <w:tcW w:w="8580" w:type="dxa"/>
            <w:vAlign w:val="bottom"/>
          </w:tcPr>
          <w:p>
            <w:pPr>
              <w:ind w:left="100"/>
              <w:spacing w:after="0"/>
              <w:rPr>
                <w:sz w:val="20"/>
                <w:szCs w:val="20"/>
                <w:color w:val="auto"/>
              </w:rPr>
            </w:pPr>
            <w:r>
              <w:rPr>
                <w:rFonts w:ascii="Arial" w:cs="Arial" w:eastAsia="Arial" w:hAnsi="Arial"/>
                <w:sz w:val="18"/>
                <w:szCs w:val="18"/>
                <w:color w:val="auto"/>
              </w:rPr>
              <w:t>Delay or Omission Not Waiver</w:t>
            </w: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5.7</w:t>
            </w:r>
          </w:p>
        </w:tc>
        <w:tc>
          <w:tcPr>
            <w:tcW w:w="8580" w:type="dxa"/>
            <w:vAlign w:val="bottom"/>
          </w:tcPr>
          <w:p>
            <w:pPr>
              <w:ind w:left="100"/>
              <w:spacing w:after="0"/>
              <w:rPr>
                <w:sz w:val="20"/>
                <w:szCs w:val="20"/>
                <w:color w:val="auto"/>
              </w:rPr>
            </w:pPr>
            <w:r>
              <w:rPr>
                <w:rFonts w:ascii="Arial" w:cs="Arial" w:eastAsia="Arial" w:hAnsi="Arial"/>
                <w:sz w:val="18"/>
                <w:szCs w:val="18"/>
                <w:color w:val="auto"/>
              </w:rPr>
              <w:t>Waiver of Past Defaults</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5.8</w:t>
            </w:r>
          </w:p>
        </w:tc>
        <w:tc>
          <w:tcPr>
            <w:tcW w:w="8580" w:type="dxa"/>
            <w:vAlign w:val="bottom"/>
          </w:tcPr>
          <w:p>
            <w:pPr>
              <w:ind w:left="100"/>
              <w:spacing w:after="0"/>
              <w:rPr>
                <w:sz w:val="20"/>
                <w:szCs w:val="20"/>
                <w:color w:val="auto"/>
              </w:rPr>
            </w:pPr>
            <w:r>
              <w:rPr>
                <w:rFonts w:ascii="Arial" w:cs="Arial" w:eastAsia="Arial" w:hAnsi="Arial"/>
                <w:sz w:val="18"/>
                <w:szCs w:val="18"/>
                <w:color w:val="auto"/>
              </w:rPr>
              <w:t>Control by Majority</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5.9</w:t>
            </w:r>
          </w:p>
        </w:tc>
        <w:tc>
          <w:tcPr>
            <w:tcW w:w="8580" w:type="dxa"/>
            <w:vAlign w:val="bottom"/>
          </w:tcPr>
          <w:p>
            <w:pPr>
              <w:ind w:left="100"/>
              <w:spacing w:after="0"/>
              <w:rPr>
                <w:sz w:val="20"/>
                <w:szCs w:val="20"/>
                <w:color w:val="auto"/>
              </w:rPr>
            </w:pPr>
            <w:r>
              <w:rPr>
                <w:rFonts w:ascii="Arial" w:cs="Arial" w:eastAsia="Arial" w:hAnsi="Arial"/>
                <w:sz w:val="18"/>
                <w:szCs w:val="18"/>
                <w:color w:val="auto"/>
              </w:rPr>
              <w:t>Limitation on Suits by Holders</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5.10</w:t>
            </w:r>
          </w:p>
        </w:tc>
        <w:tc>
          <w:tcPr>
            <w:tcW w:w="8580" w:type="dxa"/>
            <w:vAlign w:val="bottom"/>
          </w:tcPr>
          <w:p>
            <w:pPr>
              <w:ind w:left="100"/>
              <w:spacing w:after="0"/>
              <w:rPr>
                <w:sz w:val="20"/>
                <w:szCs w:val="20"/>
                <w:color w:val="auto"/>
              </w:rPr>
            </w:pPr>
            <w:r>
              <w:rPr>
                <w:rFonts w:ascii="Arial" w:cs="Arial" w:eastAsia="Arial" w:hAnsi="Arial"/>
                <w:sz w:val="18"/>
                <w:szCs w:val="18"/>
                <w:color w:val="auto"/>
              </w:rPr>
              <w:t>Rights of Holders to Receive Payment</w:t>
            </w: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5.11</w:t>
            </w:r>
          </w:p>
        </w:tc>
        <w:tc>
          <w:tcPr>
            <w:tcW w:w="8580" w:type="dxa"/>
            <w:vAlign w:val="bottom"/>
          </w:tcPr>
          <w:p>
            <w:pPr>
              <w:ind w:left="100"/>
              <w:spacing w:after="0"/>
              <w:rPr>
                <w:sz w:val="20"/>
                <w:szCs w:val="20"/>
                <w:color w:val="auto"/>
              </w:rPr>
            </w:pPr>
            <w:r>
              <w:rPr>
                <w:rFonts w:ascii="Arial" w:cs="Arial" w:eastAsia="Arial" w:hAnsi="Arial"/>
                <w:sz w:val="18"/>
                <w:szCs w:val="18"/>
                <w:color w:val="auto"/>
              </w:rPr>
              <w:t>Application of Money Collected</w:t>
            </w: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5.12</w:t>
            </w:r>
          </w:p>
        </w:tc>
        <w:tc>
          <w:tcPr>
            <w:tcW w:w="8580" w:type="dxa"/>
            <w:vAlign w:val="bottom"/>
          </w:tcPr>
          <w:p>
            <w:pPr>
              <w:ind w:left="100"/>
              <w:spacing w:after="0"/>
              <w:rPr>
                <w:sz w:val="20"/>
                <w:szCs w:val="20"/>
                <w:color w:val="auto"/>
              </w:rPr>
            </w:pPr>
            <w:r>
              <w:rPr>
                <w:rFonts w:ascii="Arial" w:cs="Arial" w:eastAsia="Arial" w:hAnsi="Arial"/>
                <w:sz w:val="18"/>
                <w:szCs w:val="18"/>
                <w:color w:val="auto"/>
              </w:rPr>
              <w:t>Restoration of Rights and Remedies</w:t>
            </w: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5.13</w:t>
            </w:r>
          </w:p>
        </w:tc>
        <w:tc>
          <w:tcPr>
            <w:tcW w:w="8580" w:type="dxa"/>
            <w:vAlign w:val="bottom"/>
          </w:tcPr>
          <w:p>
            <w:pPr>
              <w:ind w:left="100"/>
              <w:spacing w:after="0"/>
              <w:rPr>
                <w:sz w:val="20"/>
                <w:szCs w:val="20"/>
                <w:color w:val="auto"/>
              </w:rPr>
            </w:pPr>
            <w:r>
              <w:rPr>
                <w:rFonts w:ascii="Arial" w:cs="Arial" w:eastAsia="Arial" w:hAnsi="Arial"/>
                <w:sz w:val="18"/>
                <w:szCs w:val="18"/>
                <w:color w:val="auto"/>
              </w:rPr>
              <w:t>Rights and Remedies Cumulative</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6</w:t>
            </w:r>
          </w:p>
        </w:tc>
        <w:tc>
          <w:tcPr>
            <w:tcW w:w="8580" w:type="dxa"/>
            <w:vAlign w:val="bottom"/>
          </w:tcPr>
          <w:p>
            <w:pPr>
              <w:ind w:left="100"/>
              <w:spacing w:after="0"/>
              <w:rPr>
                <w:sz w:val="20"/>
                <w:szCs w:val="20"/>
                <w:color w:val="auto"/>
              </w:rPr>
            </w:pPr>
            <w:r>
              <w:rPr>
                <w:rFonts w:ascii="Arial" w:cs="Arial" w:eastAsia="Arial" w:hAnsi="Arial"/>
                <w:sz w:val="18"/>
                <w:szCs w:val="18"/>
                <w:color w:val="auto"/>
              </w:rPr>
              <w:t>THE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6.1</w:t>
            </w:r>
          </w:p>
        </w:tc>
        <w:tc>
          <w:tcPr>
            <w:tcW w:w="8580" w:type="dxa"/>
            <w:vAlign w:val="bottom"/>
          </w:tcPr>
          <w:p>
            <w:pPr>
              <w:ind w:left="100"/>
              <w:spacing w:after="0"/>
              <w:rPr>
                <w:sz w:val="20"/>
                <w:szCs w:val="20"/>
                <w:color w:val="auto"/>
              </w:rPr>
            </w:pPr>
            <w:r>
              <w:rPr>
                <w:rFonts w:ascii="Arial" w:cs="Arial" w:eastAsia="Arial" w:hAnsi="Arial"/>
                <w:sz w:val="18"/>
                <w:szCs w:val="18"/>
                <w:color w:val="auto"/>
              </w:rPr>
              <w:t>Certain Duties and Responsibilities</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6.2</w:t>
            </w:r>
          </w:p>
        </w:tc>
        <w:tc>
          <w:tcPr>
            <w:tcW w:w="8580" w:type="dxa"/>
            <w:vAlign w:val="bottom"/>
          </w:tcPr>
          <w:p>
            <w:pPr>
              <w:ind w:left="100"/>
              <w:spacing w:after="0"/>
              <w:rPr>
                <w:sz w:val="20"/>
                <w:szCs w:val="20"/>
                <w:color w:val="auto"/>
              </w:rPr>
            </w:pPr>
            <w:r>
              <w:rPr>
                <w:rFonts w:ascii="Arial" w:cs="Arial" w:eastAsia="Arial" w:hAnsi="Arial"/>
                <w:sz w:val="18"/>
                <w:szCs w:val="18"/>
                <w:color w:val="auto"/>
              </w:rPr>
              <w:t>Rights of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6.3</w:t>
            </w:r>
          </w:p>
        </w:tc>
        <w:tc>
          <w:tcPr>
            <w:tcW w:w="8580" w:type="dxa"/>
            <w:vAlign w:val="bottom"/>
          </w:tcPr>
          <w:p>
            <w:pPr>
              <w:ind w:left="100"/>
              <w:spacing w:after="0"/>
              <w:rPr>
                <w:sz w:val="20"/>
                <w:szCs w:val="20"/>
                <w:color w:val="auto"/>
              </w:rPr>
            </w:pPr>
            <w:r>
              <w:rPr>
                <w:rFonts w:ascii="Arial" w:cs="Arial" w:eastAsia="Arial" w:hAnsi="Arial"/>
                <w:sz w:val="18"/>
                <w:szCs w:val="18"/>
                <w:color w:val="auto"/>
              </w:rPr>
              <w:t>Trustee May Hold Securities</w:t>
            </w: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6.4</w:t>
            </w:r>
          </w:p>
        </w:tc>
        <w:tc>
          <w:tcPr>
            <w:tcW w:w="8580" w:type="dxa"/>
            <w:vAlign w:val="bottom"/>
          </w:tcPr>
          <w:p>
            <w:pPr>
              <w:ind w:left="100"/>
              <w:spacing w:after="0"/>
              <w:rPr>
                <w:sz w:val="20"/>
                <w:szCs w:val="20"/>
                <w:color w:val="auto"/>
              </w:rPr>
            </w:pPr>
            <w:r>
              <w:rPr>
                <w:rFonts w:ascii="Arial" w:cs="Arial" w:eastAsia="Arial" w:hAnsi="Arial"/>
                <w:sz w:val="18"/>
                <w:szCs w:val="18"/>
                <w:color w:val="auto"/>
              </w:rPr>
              <w:t>Money Held in Trust</w:t>
            </w: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6.5</w:t>
            </w:r>
          </w:p>
        </w:tc>
        <w:tc>
          <w:tcPr>
            <w:tcW w:w="8580" w:type="dxa"/>
            <w:vAlign w:val="bottom"/>
          </w:tcPr>
          <w:p>
            <w:pPr>
              <w:ind w:left="100"/>
              <w:spacing w:after="0"/>
              <w:rPr>
                <w:sz w:val="20"/>
                <w:szCs w:val="20"/>
                <w:color w:val="auto"/>
              </w:rPr>
            </w:pPr>
            <w:r>
              <w:rPr>
                <w:rFonts w:ascii="Arial" w:cs="Arial" w:eastAsia="Arial" w:hAnsi="Arial"/>
                <w:sz w:val="18"/>
                <w:szCs w:val="18"/>
                <w:color w:val="auto"/>
              </w:rPr>
              <w:t>Trustee’s Disclaimer</w:t>
            </w: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6.6</w:t>
            </w:r>
          </w:p>
        </w:tc>
        <w:tc>
          <w:tcPr>
            <w:tcW w:w="8580" w:type="dxa"/>
            <w:vAlign w:val="bottom"/>
          </w:tcPr>
          <w:p>
            <w:pPr>
              <w:ind w:left="100"/>
              <w:spacing w:after="0"/>
              <w:rPr>
                <w:sz w:val="20"/>
                <w:szCs w:val="20"/>
                <w:color w:val="auto"/>
              </w:rPr>
            </w:pPr>
            <w:r>
              <w:rPr>
                <w:rFonts w:ascii="Arial" w:cs="Arial" w:eastAsia="Arial" w:hAnsi="Arial"/>
                <w:sz w:val="18"/>
                <w:szCs w:val="18"/>
                <w:color w:val="auto"/>
              </w:rPr>
              <w:t>Notice of Defaults</w:t>
            </w: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65"/>
        </w:trPr>
        <w:tc>
          <w:tcPr>
            <w:tcW w:w="1420" w:type="dxa"/>
            <w:vAlign w:val="bottom"/>
          </w:tcPr>
          <w:p>
            <w:pPr>
              <w:spacing w:after="0"/>
              <w:rPr>
                <w:sz w:val="24"/>
                <w:szCs w:val="24"/>
                <w:color w:val="auto"/>
              </w:rPr>
            </w:pPr>
          </w:p>
        </w:tc>
        <w:tc>
          <w:tcPr>
            <w:tcW w:w="8580" w:type="dxa"/>
            <w:vAlign w:val="bottom"/>
          </w:tcPr>
          <w:p>
            <w:pPr>
              <w:ind w:left="4160"/>
              <w:spacing w:after="0"/>
              <w:rPr>
                <w:sz w:val="20"/>
                <w:szCs w:val="20"/>
                <w:color w:val="auto"/>
              </w:rPr>
            </w:pPr>
            <w:r>
              <w:rPr>
                <w:rFonts w:ascii="Arial" w:cs="Arial" w:eastAsia="Arial" w:hAnsi="Arial"/>
                <w:sz w:val="18"/>
                <w:szCs w:val="18"/>
                <w:color w:val="auto"/>
              </w:rPr>
              <w:t>-iii-</w:t>
            </w:r>
          </w:p>
        </w:tc>
        <w:tc>
          <w:tcPr>
            <w:tcW w:w="1320" w:type="dxa"/>
            <w:vAlign w:val="bottom"/>
          </w:tcPr>
          <w:p>
            <w:pPr>
              <w:spacing w:after="0"/>
              <w:rPr>
                <w:sz w:val="24"/>
                <w:szCs w:val="24"/>
                <w:color w:val="auto"/>
              </w:rPr>
            </w:pPr>
          </w:p>
        </w:tc>
      </w:tr>
    </w:tbl>
    <w:p>
      <w:pPr>
        <w:sectPr>
          <w:pgSz w:w="11900" w:h="16838" w:orient="portrait"/>
          <w:cols w:equalWidth="0" w:num="1">
            <w:col w:w="11320"/>
          </w:cols>
          <w:pgMar w:left="240" w:top="274" w:right="339" w:bottom="1440" w:gutter="0" w:footer="0" w:header="0"/>
        </w:sectPr>
      </w:pPr>
    </w:p>
    <w:bookmarkStart w:id="22" w:name="page23"/>
    <w:bookmarkEnd w:id="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1420" w:type="dxa"/>
            <w:vAlign w:val="bottom"/>
          </w:tcPr>
          <w:p>
            <w:pPr>
              <w:spacing w:after="0"/>
              <w:rPr>
                <w:sz w:val="19"/>
                <w:szCs w:val="19"/>
                <w:color w:val="auto"/>
              </w:rPr>
            </w:pPr>
          </w:p>
        </w:tc>
        <w:tc>
          <w:tcPr>
            <w:tcW w:w="7420" w:type="dxa"/>
            <w:vAlign w:val="bottom"/>
          </w:tcPr>
          <w:p>
            <w:pPr>
              <w:jc w:val="center"/>
              <w:ind w:left="1092"/>
              <w:spacing w:after="0"/>
              <w:rPr>
                <w:sz w:val="20"/>
                <w:szCs w:val="20"/>
                <w:color w:val="auto"/>
              </w:rPr>
            </w:pPr>
            <w:r>
              <w:rPr>
                <w:rFonts w:ascii="Arial" w:cs="Arial" w:eastAsia="Arial" w:hAnsi="Arial"/>
                <w:sz w:val="18"/>
                <w:szCs w:val="18"/>
                <w:b w:val="1"/>
                <w:bCs w:val="1"/>
                <w:color w:val="auto"/>
                <w:w w:val="96"/>
              </w:rPr>
              <w:t>TABLE OF CONTENTS</w:t>
            </w:r>
          </w:p>
        </w:tc>
        <w:tc>
          <w:tcPr>
            <w:tcW w:w="2480" w:type="dxa"/>
            <w:vAlign w:val="bottom"/>
          </w:tcPr>
          <w:p>
            <w:pPr>
              <w:spacing w:after="0"/>
              <w:rPr>
                <w:sz w:val="19"/>
                <w:szCs w:val="19"/>
                <w:color w:val="auto"/>
              </w:rPr>
            </w:pPr>
          </w:p>
        </w:tc>
      </w:tr>
      <w:tr>
        <w:trPr>
          <w:trHeight w:val="222"/>
        </w:trPr>
        <w:tc>
          <w:tcPr>
            <w:tcW w:w="1420" w:type="dxa"/>
            <w:vAlign w:val="bottom"/>
          </w:tcPr>
          <w:p>
            <w:pPr>
              <w:spacing w:after="0"/>
              <w:rPr>
                <w:sz w:val="19"/>
                <w:szCs w:val="19"/>
                <w:color w:val="auto"/>
              </w:rPr>
            </w:pPr>
          </w:p>
        </w:tc>
        <w:tc>
          <w:tcPr>
            <w:tcW w:w="7420" w:type="dxa"/>
            <w:vAlign w:val="bottom"/>
          </w:tcPr>
          <w:p>
            <w:pPr>
              <w:jc w:val="center"/>
              <w:ind w:left="1072"/>
              <w:spacing w:after="0"/>
              <w:rPr>
                <w:sz w:val="20"/>
                <w:szCs w:val="20"/>
                <w:color w:val="auto"/>
              </w:rPr>
            </w:pPr>
            <w:r>
              <w:rPr>
                <w:rFonts w:ascii="Arial" w:cs="Arial" w:eastAsia="Arial" w:hAnsi="Arial"/>
                <w:sz w:val="18"/>
                <w:szCs w:val="18"/>
                <w:color w:val="auto"/>
                <w:w w:val="91"/>
              </w:rPr>
              <w:t>(continued)</w:t>
            </w:r>
          </w:p>
        </w:tc>
        <w:tc>
          <w:tcPr>
            <w:tcW w:w="2480" w:type="dxa"/>
            <w:vAlign w:val="bottom"/>
          </w:tcPr>
          <w:p>
            <w:pPr>
              <w:spacing w:after="0"/>
              <w:rPr>
                <w:sz w:val="19"/>
                <w:szCs w:val="19"/>
                <w:color w:val="auto"/>
              </w:rPr>
            </w:pPr>
          </w:p>
        </w:tc>
      </w:tr>
      <w:tr>
        <w:trPr>
          <w:trHeight w:val="312"/>
        </w:trPr>
        <w:tc>
          <w:tcPr>
            <w:tcW w:w="14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420" w:type="dxa"/>
            <w:vAlign w:val="bottom"/>
          </w:tcPr>
          <w:p>
            <w:pPr>
              <w:ind w:left="440"/>
              <w:spacing w:after="0"/>
              <w:rPr>
                <w:sz w:val="20"/>
                <w:szCs w:val="20"/>
                <w:color w:val="auto"/>
              </w:rPr>
            </w:pPr>
            <w:r>
              <w:rPr>
                <w:rFonts w:ascii="Arial" w:cs="Arial" w:eastAsia="Arial" w:hAnsi="Arial"/>
                <w:sz w:val="18"/>
                <w:szCs w:val="18"/>
                <w:color w:val="auto"/>
              </w:rPr>
              <w:t>Section 6.7</w:t>
            </w:r>
          </w:p>
        </w:tc>
        <w:tc>
          <w:tcPr>
            <w:tcW w:w="7420" w:type="dxa"/>
            <w:vAlign w:val="bottom"/>
          </w:tcPr>
          <w:p>
            <w:pPr>
              <w:ind w:left="100"/>
              <w:spacing w:after="0"/>
              <w:rPr>
                <w:sz w:val="20"/>
                <w:szCs w:val="20"/>
                <w:color w:val="auto"/>
              </w:rPr>
            </w:pPr>
            <w:r>
              <w:rPr>
                <w:rFonts w:ascii="Arial" w:cs="Arial" w:eastAsia="Arial" w:hAnsi="Arial"/>
                <w:sz w:val="18"/>
                <w:szCs w:val="18"/>
                <w:color w:val="auto"/>
              </w:rPr>
              <w:t>Reports by Trustee to Holders</w:t>
            </w:r>
          </w:p>
        </w:tc>
        <w:tc>
          <w:tcPr>
            <w:tcW w:w="24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6.8</w:t>
            </w:r>
          </w:p>
        </w:tc>
        <w:tc>
          <w:tcPr>
            <w:tcW w:w="7420" w:type="dxa"/>
            <w:vAlign w:val="bottom"/>
          </w:tcPr>
          <w:p>
            <w:pPr>
              <w:ind w:left="100"/>
              <w:spacing w:after="0"/>
              <w:rPr>
                <w:sz w:val="20"/>
                <w:szCs w:val="20"/>
                <w:color w:val="auto"/>
              </w:rPr>
            </w:pPr>
            <w:r>
              <w:rPr>
                <w:rFonts w:ascii="Arial" w:cs="Arial" w:eastAsia="Arial" w:hAnsi="Arial"/>
                <w:sz w:val="18"/>
                <w:szCs w:val="18"/>
                <w:color w:val="auto"/>
              </w:rPr>
              <w:t>Securityholder Lists</w:t>
            </w:r>
          </w:p>
        </w:tc>
        <w:tc>
          <w:tcPr>
            <w:tcW w:w="24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6.9</w:t>
            </w:r>
          </w:p>
        </w:tc>
        <w:tc>
          <w:tcPr>
            <w:tcW w:w="7420" w:type="dxa"/>
            <w:vAlign w:val="bottom"/>
          </w:tcPr>
          <w:p>
            <w:pPr>
              <w:ind w:left="100"/>
              <w:spacing w:after="0"/>
              <w:rPr>
                <w:sz w:val="20"/>
                <w:szCs w:val="20"/>
                <w:color w:val="auto"/>
              </w:rPr>
            </w:pPr>
            <w:r>
              <w:rPr>
                <w:rFonts w:ascii="Arial" w:cs="Arial" w:eastAsia="Arial" w:hAnsi="Arial"/>
                <w:sz w:val="18"/>
                <w:szCs w:val="18"/>
                <w:color w:val="auto"/>
              </w:rPr>
              <w:t>Compensation and Indemnity</w:t>
            </w:r>
          </w:p>
        </w:tc>
        <w:tc>
          <w:tcPr>
            <w:tcW w:w="24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6.10</w:t>
            </w:r>
          </w:p>
        </w:tc>
        <w:tc>
          <w:tcPr>
            <w:tcW w:w="7420" w:type="dxa"/>
            <w:vAlign w:val="bottom"/>
          </w:tcPr>
          <w:p>
            <w:pPr>
              <w:ind w:left="100"/>
              <w:spacing w:after="0"/>
              <w:rPr>
                <w:sz w:val="20"/>
                <w:szCs w:val="20"/>
                <w:color w:val="auto"/>
              </w:rPr>
            </w:pPr>
            <w:r>
              <w:rPr>
                <w:rFonts w:ascii="Arial" w:cs="Arial" w:eastAsia="Arial" w:hAnsi="Arial"/>
                <w:sz w:val="18"/>
                <w:szCs w:val="18"/>
                <w:color w:val="auto"/>
              </w:rPr>
              <w:t>Replacement of Trustee</w:t>
            </w:r>
          </w:p>
        </w:tc>
        <w:tc>
          <w:tcPr>
            <w:tcW w:w="24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6.11</w:t>
            </w:r>
          </w:p>
        </w:tc>
        <w:tc>
          <w:tcPr>
            <w:tcW w:w="7420" w:type="dxa"/>
            <w:vAlign w:val="bottom"/>
          </w:tcPr>
          <w:p>
            <w:pPr>
              <w:ind w:left="100"/>
              <w:spacing w:after="0"/>
              <w:rPr>
                <w:sz w:val="20"/>
                <w:szCs w:val="20"/>
                <w:color w:val="auto"/>
              </w:rPr>
            </w:pPr>
            <w:r>
              <w:rPr>
                <w:rFonts w:ascii="Arial" w:cs="Arial" w:eastAsia="Arial" w:hAnsi="Arial"/>
                <w:sz w:val="18"/>
                <w:szCs w:val="18"/>
                <w:color w:val="auto"/>
              </w:rPr>
              <w:t>Acceptance of Appointment by Successor</w:t>
            </w:r>
          </w:p>
        </w:tc>
        <w:tc>
          <w:tcPr>
            <w:tcW w:w="24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6.12</w:t>
            </w:r>
          </w:p>
        </w:tc>
        <w:tc>
          <w:tcPr>
            <w:tcW w:w="7420" w:type="dxa"/>
            <w:vAlign w:val="bottom"/>
          </w:tcPr>
          <w:p>
            <w:pPr>
              <w:ind w:left="100"/>
              <w:spacing w:after="0"/>
              <w:rPr>
                <w:sz w:val="20"/>
                <w:szCs w:val="20"/>
                <w:color w:val="auto"/>
              </w:rPr>
            </w:pPr>
            <w:r>
              <w:rPr>
                <w:rFonts w:ascii="Arial" w:cs="Arial" w:eastAsia="Arial" w:hAnsi="Arial"/>
                <w:sz w:val="18"/>
                <w:szCs w:val="18"/>
                <w:color w:val="auto"/>
              </w:rPr>
              <w:t>Eligibility; Disqualification</w:t>
            </w:r>
          </w:p>
        </w:tc>
        <w:tc>
          <w:tcPr>
            <w:tcW w:w="24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6.13</w:t>
            </w:r>
          </w:p>
        </w:tc>
        <w:tc>
          <w:tcPr>
            <w:tcW w:w="7420" w:type="dxa"/>
            <w:vAlign w:val="bottom"/>
          </w:tcPr>
          <w:p>
            <w:pPr>
              <w:ind w:left="100"/>
              <w:spacing w:after="0"/>
              <w:rPr>
                <w:sz w:val="20"/>
                <w:szCs w:val="20"/>
                <w:color w:val="auto"/>
              </w:rPr>
            </w:pPr>
            <w:r>
              <w:rPr>
                <w:rFonts w:ascii="Arial" w:cs="Arial" w:eastAsia="Arial" w:hAnsi="Arial"/>
                <w:sz w:val="18"/>
                <w:szCs w:val="18"/>
                <w:color w:val="auto"/>
              </w:rPr>
              <w:t>Merger, Conversion, Consolidation or Succession to Business</w:t>
            </w:r>
          </w:p>
        </w:tc>
        <w:tc>
          <w:tcPr>
            <w:tcW w:w="24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6.14</w:t>
            </w:r>
          </w:p>
        </w:tc>
        <w:tc>
          <w:tcPr>
            <w:tcW w:w="7420" w:type="dxa"/>
            <w:vAlign w:val="bottom"/>
          </w:tcPr>
          <w:p>
            <w:pPr>
              <w:ind w:left="100"/>
              <w:spacing w:after="0"/>
              <w:rPr>
                <w:sz w:val="20"/>
                <w:szCs w:val="20"/>
                <w:color w:val="auto"/>
              </w:rPr>
            </w:pPr>
            <w:r>
              <w:rPr>
                <w:rFonts w:ascii="Arial" w:cs="Arial" w:eastAsia="Arial" w:hAnsi="Arial"/>
                <w:sz w:val="18"/>
                <w:szCs w:val="18"/>
                <w:color w:val="auto"/>
              </w:rPr>
              <w:t>Appointment of Authenticating Agent</w:t>
            </w:r>
          </w:p>
        </w:tc>
        <w:tc>
          <w:tcPr>
            <w:tcW w:w="24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6.15</w:t>
            </w:r>
          </w:p>
        </w:tc>
        <w:tc>
          <w:tcPr>
            <w:tcW w:w="7420" w:type="dxa"/>
            <w:vAlign w:val="bottom"/>
          </w:tcPr>
          <w:p>
            <w:pPr>
              <w:ind w:left="100"/>
              <w:spacing w:after="0"/>
              <w:rPr>
                <w:sz w:val="20"/>
                <w:szCs w:val="20"/>
                <w:color w:val="auto"/>
              </w:rPr>
            </w:pPr>
            <w:r>
              <w:rPr>
                <w:rFonts w:ascii="Arial" w:cs="Arial" w:eastAsia="Arial" w:hAnsi="Arial"/>
                <w:sz w:val="18"/>
                <w:szCs w:val="18"/>
                <w:color w:val="auto"/>
              </w:rPr>
              <w:t>Trustee’s Application for Instructions From the Company</w:t>
            </w:r>
          </w:p>
        </w:tc>
        <w:tc>
          <w:tcPr>
            <w:tcW w:w="2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7</w:t>
            </w:r>
          </w:p>
        </w:tc>
        <w:tc>
          <w:tcPr>
            <w:tcW w:w="7420" w:type="dxa"/>
            <w:vAlign w:val="bottom"/>
          </w:tcPr>
          <w:p>
            <w:pPr>
              <w:ind w:left="100"/>
              <w:spacing w:after="0"/>
              <w:rPr>
                <w:sz w:val="20"/>
                <w:szCs w:val="20"/>
                <w:color w:val="auto"/>
              </w:rPr>
            </w:pPr>
            <w:r>
              <w:rPr>
                <w:rFonts w:ascii="Arial" w:cs="Arial" w:eastAsia="Arial" w:hAnsi="Arial"/>
                <w:sz w:val="18"/>
                <w:szCs w:val="18"/>
                <w:color w:val="auto"/>
              </w:rPr>
              <w:t>CONSOLIDATION, MERGER OR SALE BY THE COMPANY</w:t>
            </w:r>
          </w:p>
        </w:tc>
        <w:tc>
          <w:tcPr>
            <w:tcW w:w="2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7.1</w:t>
            </w:r>
          </w:p>
        </w:tc>
        <w:tc>
          <w:tcPr>
            <w:tcW w:w="7420" w:type="dxa"/>
            <w:vAlign w:val="bottom"/>
          </w:tcPr>
          <w:p>
            <w:pPr>
              <w:ind w:left="100"/>
              <w:spacing w:after="0"/>
              <w:rPr>
                <w:sz w:val="20"/>
                <w:szCs w:val="20"/>
                <w:color w:val="auto"/>
              </w:rPr>
            </w:pPr>
            <w:r>
              <w:rPr>
                <w:rFonts w:ascii="Arial" w:cs="Arial" w:eastAsia="Arial" w:hAnsi="Arial"/>
                <w:sz w:val="18"/>
                <w:szCs w:val="18"/>
                <w:color w:val="auto"/>
              </w:rPr>
              <w:t>Consolidation, Merger or Sale of Assets Permitted</w:t>
            </w:r>
          </w:p>
        </w:tc>
        <w:tc>
          <w:tcPr>
            <w:tcW w:w="2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7.2</w:t>
            </w:r>
          </w:p>
        </w:tc>
        <w:tc>
          <w:tcPr>
            <w:tcW w:w="7420" w:type="dxa"/>
            <w:vAlign w:val="bottom"/>
          </w:tcPr>
          <w:p>
            <w:pPr>
              <w:ind w:left="100"/>
              <w:spacing w:after="0"/>
              <w:rPr>
                <w:sz w:val="20"/>
                <w:szCs w:val="20"/>
                <w:color w:val="auto"/>
              </w:rPr>
            </w:pPr>
            <w:r>
              <w:rPr>
                <w:rFonts w:ascii="Arial" w:cs="Arial" w:eastAsia="Arial" w:hAnsi="Arial"/>
                <w:sz w:val="18"/>
                <w:szCs w:val="18"/>
                <w:color w:val="auto"/>
              </w:rPr>
              <w:t>No Limitations</w:t>
            </w:r>
          </w:p>
        </w:tc>
        <w:tc>
          <w:tcPr>
            <w:tcW w:w="24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8</w:t>
            </w:r>
          </w:p>
        </w:tc>
        <w:tc>
          <w:tcPr>
            <w:tcW w:w="7420" w:type="dxa"/>
            <w:vAlign w:val="bottom"/>
          </w:tcPr>
          <w:p>
            <w:pPr>
              <w:ind w:left="100"/>
              <w:spacing w:after="0"/>
              <w:rPr>
                <w:sz w:val="20"/>
                <w:szCs w:val="20"/>
                <w:color w:val="auto"/>
              </w:rPr>
            </w:pPr>
            <w:r>
              <w:rPr>
                <w:rFonts w:ascii="Arial" w:cs="Arial" w:eastAsia="Arial" w:hAnsi="Arial"/>
                <w:sz w:val="18"/>
                <w:szCs w:val="18"/>
                <w:color w:val="auto"/>
              </w:rPr>
              <w:t>SUPPLEMENTAL INDENTURES</w:t>
            </w:r>
          </w:p>
        </w:tc>
        <w:tc>
          <w:tcPr>
            <w:tcW w:w="24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8.1</w:t>
            </w:r>
          </w:p>
        </w:tc>
        <w:tc>
          <w:tcPr>
            <w:tcW w:w="7420" w:type="dxa"/>
            <w:vAlign w:val="bottom"/>
          </w:tcPr>
          <w:p>
            <w:pPr>
              <w:ind w:left="100"/>
              <w:spacing w:after="0"/>
              <w:rPr>
                <w:sz w:val="20"/>
                <w:szCs w:val="20"/>
                <w:color w:val="auto"/>
              </w:rPr>
            </w:pPr>
            <w:r>
              <w:rPr>
                <w:rFonts w:ascii="Arial" w:cs="Arial" w:eastAsia="Arial" w:hAnsi="Arial"/>
                <w:sz w:val="18"/>
                <w:szCs w:val="18"/>
                <w:color w:val="auto"/>
              </w:rPr>
              <w:t>Supplemental Indentures Without Consent of Holders</w:t>
            </w:r>
          </w:p>
        </w:tc>
        <w:tc>
          <w:tcPr>
            <w:tcW w:w="24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8.2</w:t>
            </w:r>
          </w:p>
        </w:tc>
        <w:tc>
          <w:tcPr>
            <w:tcW w:w="7420" w:type="dxa"/>
            <w:vAlign w:val="bottom"/>
          </w:tcPr>
          <w:p>
            <w:pPr>
              <w:ind w:left="100"/>
              <w:spacing w:after="0"/>
              <w:rPr>
                <w:sz w:val="20"/>
                <w:szCs w:val="20"/>
                <w:color w:val="auto"/>
              </w:rPr>
            </w:pPr>
            <w:r>
              <w:rPr>
                <w:rFonts w:ascii="Arial" w:cs="Arial" w:eastAsia="Arial" w:hAnsi="Arial"/>
                <w:sz w:val="18"/>
                <w:szCs w:val="18"/>
                <w:color w:val="auto"/>
              </w:rPr>
              <w:t>With Consent of Holders</w:t>
            </w:r>
          </w:p>
        </w:tc>
        <w:tc>
          <w:tcPr>
            <w:tcW w:w="24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8.3</w:t>
            </w:r>
          </w:p>
        </w:tc>
        <w:tc>
          <w:tcPr>
            <w:tcW w:w="7420" w:type="dxa"/>
            <w:vAlign w:val="bottom"/>
          </w:tcPr>
          <w:p>
            <w:pPr>
              <w:ind w:left="100"/>
              <w:spacing w:after="0"/>
              <w:rPr>
                <w:sz w:val="20"/>
                <w:szCs w:val="20"/>
                <w:color w:val="auto"/>
              </w:rPr>
            </w:pPr>
            <w:r>
              <w:rPr>
                <w:rFonts w:ascii="Arial" w:cs="Arial" w:eastAsia="Arial" w:hAnsi="Arial"/>
                <w:sz w:val="18"/>
                <w:szCs w:val="18"/>
                <w:color w:val="auto"/>
              </w:rPr>
              <w:t>Compliance With Trust Indenture Act</w:t>
            </w:r>
          </w:p>
        </w:tc>
        <w:tc>
          <w:tcPr>
            <w:tcW w:w="24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8.4</w:t>
            </w:r>
          </w:p>
        </w:tc>
        <w:tc>
          <w:tcPr>
            <w:tcW w:w="7420" w:type="dxa"/>
            <w:vAlign w:val="bottom"/>
          </w:tcPr>
          <w:p>
            <w:pPr>
              <w:ind w:left="100"/>
              <w:spacing w:after="0"/>
              <w:rPr>
                <w:sz w:val="20"/>
                <w:szCs w:val="20"/>
                <w:color w:val="auto"/>
              </w:rPr>
            </w:pPr>
            <w:r>
              <w:rPr>
                <w:rFonts w:ascii="Arial" w:cs="Arial" w:eastAsia="Arial" w:hAnsi="Arial"/>
                <w:sz w:val="18"/>
                <w:szCs w:val="18"/>
                <w:color w:val="auto"/>
              </w:rPr>
              <w:t>Execution of Supplemental Indentures</w:t>
            </w:r>
          </w:p>
        </w:tc>
        <w:tc>
          <w:tcPr>
            <w:tcW w:w="24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8.5</w:t>
            </w:r>
          </w:p>
        </w:tc>
        <w:tc>
          <w:tcPr>
            <w:tcW w:w="7420" w:type="dxa"/>
            <w:vAlign w:val="bottom"/>
          </w:tcPr>
          <w:p>
            <w:pPr>
              <w:ind w:left="100"/>
              <w:spacing w:after="0"/>
              <w:rPr>
                <w:sz w:val="20"/>
                <w:szCs w:val="20"/>
                <w:color w:val="auto"/>
              </w:rPr>
            </w:pPr>
            <w:r>
              <w:rPr>
                <w:rFonts w:ascii="Arial" w:cs="Arial" w:eastAsia="Arial" w:hAnsi="Arial"/>
                <w:sz w:val="18"/>
                <w:szCs w:val="18"/>
                <w:color w:val="auto"/>
              </w:rPr>
              <w:t>Effect of Supplemental Indentures</w:t>
            </w:r>
          </w:p>
        </w:tc>
        <w:tc>
          <w:tcPr>
            <w:tcW w:w="24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8.6</w:t>
            </w:r>
          </w:p>
        </w:tc>
        <w:tc>
          <w:tcPr>
            <w:tcW w:w="7420" w:type="dxa"/>
            <w:vAlign w:val="bottom"/>
          </w:tcPr>
          <w:p>
            <w:pPr>
              <w:ind w:left="100"/>
              <w:spacing w:after="0"/>
              <w:rPr>
                <w:sz w:val="20"/>
                <w:szCs w:val="20"/>
                <w:color w:val="auto"/>
              </w:rPr>
            </w:pPr>
            <w:r>
              <w:rPr>
                <w:rFonts w:ascii="Arial" w:cs="Arial" w:eastAsia="Arial" w:hAnsi="Arial"/>
                <w:sz w:val="18"/>
                <w:szCs w:val="18"/>
                <w:color w:val="auto"/>
              </w:rPr>
              <w:t>Reference in Securities to Supplemental Indentures</w:t>
            </w:r>
          </w:p>
        </w:tc>
        <w:tc>
          <w:tcPr>
            <w:tcW w:w="24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9</w:t>
            </w:r>
          </w:p>
        </w:tc>
        <w:tc>
          <w:tcPr>
            <w:tcW w:w="7420" w:type="dxa"/>
            <w:vAlign w:val="bottom"/>
          </w:tcPr>
          <w:p>
            <w:pPr>
              <w:ind w:left="100"/>
              <w:spacing w:after="0"/>
              <w:rPr>
                <w:sz w:val="20"/>
                <w:szCs w:val="20"/>
                <w:color w:val="auto"/>
              </w:rPr>
            </w:pPr>
            <w:r>
              <w:rPr>
                <w:rFonts w:ascii="Arial" w:cs="Arial" w:eastAsia="Arial" w:hAnsi="Arial"/>
                <w:sz w:val="18"/>
                <w:szCs w:val="18"/>
                <w:color w:val="auto"/>
              </w:rPr>
              <w:t>COVENANTS</w:t>
            </w:r>
          </w:p>
        </w:tc>
        <w:tc>
          <w:tcPr>
            <w:tcW w:w="24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9.1</w:t>
            </w:r>
          </w:p>
        </w:tc>
        <w:tc>
          <w:tcPr>
            <w:tcW w:w="7420" w:type="dxa"/>
            <w:vAlign w:val="bottom"/>
          </w:tcPr>
          <w:p>
            <w:pPr>
              <w:ind w:left="100"/>
              <w:spacing w:after="0"/>
              <w:rPr>
                <w:sz w:val="20"/>
                <w:szCs w:val="20"/>
                <w:color w:val="auto"/>
              </w:rPr>
            </w:pPr>
            <w:r>
              <w:rPr>
                <w:rFonts w:ascii="Arial" w:cs="Arial" w:eastAsia="Arial" w:hAnsi="Arial"/>
                <w:sz w:val="18"/>
                <w:szCs w:val="18"/>
                <w:color w:val="auto"/>
              </w:rPr>
              <w:t>Payment of Principal, Premium, if Any, and Interest</w:t>
            </w:r>
          </w:p>
        </w:tc>
        <w:tc>
          <w:tcPr>
            <w:tcW w:w="24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9.2</w:t>
            </w:r>
          </w:p>
        </w:tc>
        <w:tc>
          <w:tcPr>
            <w:tcW w:w="7420" w:type="dxa"/>
            <w:vAlign w:val="bottom"/>
          </w:tcPr>
          <w:p>
            <w:pPr>
              <w:ind w:left="100"/>
              <w:spacing w:after="0"/>
              <w:rPr>
                <w:sz w:val="20"/>
                <w:szCs w:val="20"/>
                <w:color w:val="auto"/>
              </w:rPr>
            </w:pPr>
            <w:r>
              <w:rPr>
                <w:rFonts w:ascii="Arial" w:cs="Arial" w:eastAsia="Arial" w:hAnsi="Arial"/>
                <w:sz w:val="18"/>
                <w:szCs w:val="18"/>
                <w:color w:val="auto"/>
              </w:rPr>
              <w:t>Maintenance of Office or Agency</w:t>
            </w:r>
          </w:p>
        </w:tc>
        <w:tc>
          <w:tcPr>
            <w:tcW w:w="24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9.3</w:t>
            </w:r>
          </w:p>
        </w:tc>
        <w:tc>
          <w:tcPr>
            <w:tcW w:w="7420" w:type="dxa"/>
            <w:vAlign w:val="bottom"/>
          </w:tcPr>
          <w:p>
            <w:pPr>
              <w:ind w:left="100"/>
              <w:spacing w:after="0"/>
              <w:rPr>
                <w:sz w:val="20"/>
                <w:szCs w:val="20"/>
                <w:color w:val="auto"/>
              </w:rPr>
            </w:pPr>
            <w:r>
              <w:rPr>
                <w:rFonts w:ascii="Arial" w:cs="Arial" w:eastAsia="Arial" w:hAnsi="Arial"/>
                <w:sz w:val="18"/>
                <w:szCs w:val="18"/>
                <w:color w:val="auto"/>
              </w:rPr>
              <w:t>Money for Securities to Be Held in Trust; Unclaimed Money</w:t>
            </w:r>
          </w:p>
        </w:tc>
        <w:tc>
          <w:tcPr>
            <w:tcW w:w="24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9.4</w:t>
            </w:r>
          </w:p>
        </w:tc>
        <w:tc>
          <w:tcPr>
            <w:tcW w:w="7420" w:type="dxa"/>
            <w:vAlign w:val="bottom"/>
          </w:tcPr>
          <w:p>
            <w:pPr>
              <w:ind w:left="100"/>
              <w:spacing w:after="0"/>
              <w:rPr>
                <w:sz w:val="20"/>
                <w:szCs w:val="20"/>
                <w:color w:val="auto"/>
              </w:rPr>
            </w:pPr>
            <w:r>
              <w:rPr>
                <w:rFonts w:ascii="Arial" w:cs="Arial" w:eastAsia="Arial" w:hAnsi="Arial"/>
                <w:sz w:val="18"/>
                <w:szCs w:val="18"/>
                <w:color w:val="auto"/>
              </w:rPr>
              <w:t>Corporate Existence</w:t>
            </w:r>
          </w:p>
        </w:tc>
        <w:tc>
          <w:tcPr>
            <w:tcW w:w="24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9.5</w:t>
            </w:r>
          </w:p>
        </w:tc>
        <w:tc>
          <w:tcPr>
            <w:tcW w:w="7420" w:type="dxa"/>
            <w:vAlign w:val="bottom"/>
          </w:tcPr>
          <w:p>
            <w:pPr>
              <w:ind w:left="100"/>
              <w:spacing w:after="0"/>
              <w:rPr>
                <w:sz w:val="20"/>
                <w:szCs w:val="20"/>
                <w:color w:val="auto"/>
              </w:rPr>
            </w:pPr>
            <w:r>
              <w:rPr>
                <w:rFonts w:ascii="Arial" w:cs="Arial" w:eastAsia="Arial" w:hAnsi="Arial"/>
                <w:sz w:val="18"/>
                <w:szCs w:val="18"/>
                <w:color w:val="auto"/>
              </w:rPr>
              <w:t>Reports by the Company</w:t>
            </w:r>
          </w:p>
        </w:tc>
        <w:tc>
          <w:tcPr>
            <w:tcW w:w="24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9.6</w:t>
            </w:r>
          </w:p>
        </w:tc>
        <w:tc>
          <w:tcPr>
            <w:tcW w:w="7420" w:type="dxa"/>
            <w:vAlign w:val="bottom"/>
          </w:tcPr>
          <w:p>
            <w:pPr>
              <w:ind w:left="100"/>
              <w:spacing w:after="0"/>
              <w:rPr>
                <w:sz w:val="20"/>
                <w:szCs w:val="20"/>
                <w:color w:val="auto"/>
              </w:rPr>
            </w:pPr>
            <w:r>
              <w:rPr>
                <w:rFonts w:ascii="Arial" w:cs="Arial" w:eastAsia="Arial" w:hAnsi="Arial"/>
                <w:sz w:val="18"/>
                <w:szCs w:val="18"/>
                <w:color w:val="auto"/>
              </w:rPr>
              <w:t>Annual Review Certificate; Notice of Default</w:t>
            </w:r>
          </w:p>
        </w:tc>
        <w:tc>
          <w:tcPr>
            <w:tcW w:w="24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9.7</w:t>
            </w:r>
          </w:p>
        </w:tc>
        <w:tc>
          <w:tcPr>
            <w:tcW w:w="7420" w:type="dxa"/>
            <w:vAlign w:val="bottom"/>
          </w:tcPr>
          <w:p>
            <w:pPr>
              <w:ind w:left="100"/>
              <w:spacing w:after="0"/>
              <w:rPr>
                <w:sz w:val="20"/>
                <w:szCs w:val="20"/>
                <w:color w:val="auto"/>
              </w:rPr>
            </w:pPr>
            <w:r>
              <w:rPr>
                <w:rFonts w:ascii="Arial" w:cs="Arial" w:eastAsia="Arial" w:hAnsi="Arial"/>
                <w:sz w:val="18"/>
                <w:szCs w:val="18"/>
                <w:color w:val="auto"/>
              </w:rPr>
              <w:t>Provision of Financial Statements</w:t>
            </w:r>
          </w:p>
        </w:tc>
        <w:tc>
          <w:tcPr>
            <w:tcW w:w="24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9.8</w:t>
            </w:r>
          </w:p>
        </w:tc>
        <w:tc>
          <w:tcPr>
            <w:tcW w:w="7420" w:type="dxa"/>
            <w:vAlign w:val="bottom"/>
          </w:tcPr>
          <w:p>
            <w:pPr>
              <w:ind w:left="100"/>
              <w:spacing w:after="0"/>
              <w:rPr>
                <w:sz w:val="20"/>
                <w:szCs w:val="20"/>
                <w:color w:val="auto"/>
              </w:rPr>
            </w:pPr>
            <w:r>
              <w:rPr>
                <w:rFonts w:ascii="Arial" w:cs="Arial" w:eastAsia="Arial" w:hAnsi="Arial"/>
                <w:sz w:val="18"/>
                <w:szCs w:val="18"/>
                <w:color w:val="auto"/>
              </w:rPr>
              <w:t>Limitations on Liens</w:t>
            </w:r>
          </w:p>
        </w:tc>
        <w:tc>
          <w:tcPr>
            <w:tcW w:w="24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420" w:type="dxa"/>
            <w:vAlign w:val="bottom"/>
          </w:tcPr>
          <w:p>
            <w:pPr>
              <w:ind w:left="440"/>
              <w:spacing w:after="0"/>
              <w:rPr>
                <w:sz w:val="20"/>
                <w:szCs w:val="20"/>
                <w:color w:val="auto"/>
              </w:rPr>
            </w:pPr>
            <w:r>
              <w:rPr>
                <w:rFonts w:ascii="Arial" w:cs="Arial" w:eastAsia="Arial" w:hAnsi="Arial"/>
                <w:sz w:val="18"/>
                <w:szCs w:val="18"/>
                <w:color w:val="auto"/>
              </w:rPr>
              <w:t>Section 9.9</w:t>
            </w:r>
          </w:p>
        </w:tc>
        <w:tc>
          <w:tcPr>
            <w:tcW w:w="7420" w:type="dxa"/>
            <w:vAlign w:val="bottom"/>
          </w:tcPr>
          <w:p>
            <w:pPr>
              <w:ind w:left="100"/>
              <w:spacing w:after="0"/>
              <w:rPr>
                <w:sz w:val="20"/>
                <w:szCs w:val="20"/>
                <w:color w:val="auto"/>
              </w:rPr>
            </w:pPr>
            <w:r>
              <w:rPr>
                <w:rFonts w:ascii="Arial" w:cs="Arial" w:eastAsia="Arial" w:hAnsi="Arial"/>
                <w:sz w:val="18"/>
                <w:szCs w:val="18"/>
                <w:color w:val="auto"/>
              </w:rPr>
              <w:t>Limitations on Sales and Leasebacks</w:t>
            </w:r>
          </w:p>
        </w:tc>
        <w:tc>
          <w:tcPr>
            <w:tcW w:w="24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65"/>
        </w:trPr>
        <w:tc>
          <w:tcPr>
            <w:tcW w:w="1420" w:type="dxa"/>
            <w:vAlign w:val="bottom"/>
          </w:tcPr>
          <w:p>
            <w:pPr>
              <w:spacing w:after="0"/>
              <w:rPr>
                <w:sz w:val="24"/>
                <w:szCs w:val="24"/>
                <w:color w:val="auto"/>
              </w:rPr>
            </w:pPr>
          </w:p>
        </w:tc>
        <w:tc>
          <w:tcPr>
            <w:tcW w:w="7420" w:type="dxa"/>
            <w:vAlign w:val="bottom"/>
          </w:tcPr>
          <w:p>
            <w:pPr>
              <w:jc w:val="center"/>
              <w:ind w:left="1072"/>
              <w:spacing w:after="0"/>
              <w:rPr>
                <w:sz w:val="20"/>
                <w:szCs w:val="20"/>
                <w:color w:val="auto"/>
              </w:rPr>
            </w:pPr>
            <w:r>
              <w:rPr>
                <w:rFonts w:ascii="Arial" w:cs="Arial" w:eastAsia="Arial" w:hAnsi="Arial"/>
                <w:sz w:val="18"/>
                <w:szCs w:val="18"/>
                <w:color w:val="auto"/>
              </w:rPr>
              <w:t>-iv-</w:t>
            </w:r>
          </w:p>
        </w:tc>
        <w:tc>
          <w:tcPr>
            <w:tcW w:w="2480" w:type="dxa"/>
            <w:vAlign w:val="bottom"/>
          </w:tcPr>
          <w:p>
            <w:pPr>
              <w:spacing w:after="0"/>
              <w:rPr>
                <w:sz w:val="24"/>
                <w:szCs w:val="24"/>
                <w:color w:val="auto"/>
              </w:rPr>
            </w:pPr>
          </w:p>
        </w:tc>
      </w:tr>
    </w:tbl>
    <w:p>
      <w:pPr>
        <w:sectPr>
          <w:pgSz w:w="11900" w:h="16838" w:orient="portrait"/>
          <w:cols w:equalWidth="0" w:num="1">
            <w:col w:w="11320"/>
          </w:cols>
          <w:pgMar w:left="240" w:top="274" w:right="339" w:bottom="1440" w:gutter="0" w:footer="0" w:header="0"/>
        </w:sectPr>
      </w:pPr>
    </w:p>
    <w:bookmarkStart w:id="23" w:name="page24"/>
    <w:bookmarkEnd w:id="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1360" w:type="dxa"/>
            <w:vAlign w:val="bottom"/>
          </w:tcPr>
          <w:p>
            <w:pPr>
              <w:spacing w:after="0"/>
              <w:rPr>
                <w:sz w:val="19"/>
                <w:szCs w:val="19"/>
                <w:color w:val="auto"/>
              </w:rPr>
            </w:pPr>
          </w:p>
        </w:tc>
        <w:tc>
          <w:tcPr>
            <w:tcW w:w="7480" w:type="dxa"/>
            <w:vAlign w:val="bottom"/>
          </w:tcPr>
          <w:p>
            <w:pPr>
              <w:jc w:val="center"/>
              <w:ind w:left="1152"/>
              <w:spacing w:after="0"/>
              <w:rPr>
                <w:sz w:val="20"/>
                <w:szCs w:val="20"/>
                <w:color w:val="auto"/>
              </w:rPr>
            </w:pPr>
            <w:r>
              <w:rPr>
                <w:rFonts w:ascii="Arial" w:cs="Arial" w:eastAsia="Arial" w:hAnsi="Arial"/>
                <w:sz w:val="18"/>
                <w:szCs w:val="18"/>
                <w:b w:val="1"/>
                <w:bCs w:val="1"/>
                <w:color w:val="auto"/>
                <w:w w:val="96"/>
              </w:rPr>
              <w:t>TABLE OF CONTENTS</w:t>
            </w:r>
          </w:p>
        </w:tc>
        <w:tc>
          <w:tcPr>
            <w:tcW w:w="2480" w:type="dxa"/>
            <w:vAlign w:val="bottom"/>
          </w:tcPr>
          <w:p>
            <w:pPr>
              <w:spacing w:after="0"/>
              <w:rPr>
                <w:sz w:val="19"/>
                <w:szCs w:val="19"/>
                <w:color w:val="auto"/>
              </w:rPr>
            </w:pPr>
          </w:p>
        </w:tc>
      </w:tr>
      <w:tr>
        <w:trPr>
          <w:trHeight w:val="222"/>
        </w:trPr>
        <w:tc>
          <w:tcPr>
            <w:tcW w:w="1360" w:type="dxa"/>
            <w:vAlign w:val="bottom"/>
          </w:tcPr>
          <w:p>
            <w:pPr>
              <w:spacing w:after="0"/>
              <w:rPr>
                <w:sz w:val="19"/>
                <w:szCs w:val="19"/>
                <w:color w:val="auto"/>
              </w:rPr>
            </w:pPr>
          </w:p>
        </w:tc>
        <w:tc>
          <w:tcPr>
            <w:tcW w:w="7480" w:type="dxa"/>
            <w:vAlign w:val="bottom"/>
          </w:tcPr>
          <w:p>
            <w:pPr>
              <w:jc w:val="center"/>
              <w:ind w:left="1132"/>
              <w:spacing w:after="0"/>
              <w:rPr>
                <w:sz w:val="20"/>
                <w:szCs w:val="20"/>
                <w:color w:val="auto"/>
              </w:rPr>
            </w:pPr>
            <w:r>
              <w:rPr>
                <w:rFonts w:ascii="Arial" w:cs="Arial" w:eastAsia="Arial" w:hAnsi="Arial"/>
                <w:sz w:val="18"/>
                <w:szCs w:val="18"/>
                <w:color w:val="auto"/>
                <w:w w:val="91"/>
              </w:rPr>
              <w:t>(continued)</w:t>
            </w:r>
          </w:p>
        </w:tc>
        <w:tc>
          <w:tcPr>
            <w:tcW w:w="2480" w:type="dxa"/>
            <w:vAlign w:val="bottom"/>
          </w:tcPr>
          <w:p>
            <w:pPr>
              <w:spacing w:after="0"/>
              <w:rPr>
                <w:sz w:val="19"/>
                <w:szCs w:val="19"/>
                <w:color w:val="auto"/>
              </w:rPr>
            </w:pPr>
          </w:p>
        </w:tc>
      </w:tr>
      <w:tr>
        <w:trPr>
          <w:trHeight w:val="312"/>
        </w:trPr>
        <w:tc>
          <w:tcPr>
            <w:tcW w:w="136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360" w:type="dxa"/>
            <w:vAlign w:val="bottom"/>
          </w:tcPr>
          <w:p>
            <w:pPr>
              <w:spacing w:after="0"/>
              <w:rPr>
                <w:sz w:val="20"/>
                <w:szCs w:val="20"/>
                <w:color w:val="auto"/>
              </w:rPr>
            </w:pPr>
            <w:r>
              <w:rPr>
                <w:rFonts w:ascii="Arial" w:cs="Arial" w:eastAsia="Arial" w:hAnsi="Arial"/>
                <w:sz w:val="18"/>
                <w:szCs w:val="18"/>
                <w:color w:val="auto"/>
              </w:rPr>
              <w:t>ARTICLE 10</w:t>
            </w:r>
          </w:p>
        </w:tc>
        <w:tc>
          <w:tcPr>
            <w:tcW w:w="7480" w:type="dxa"/>
            <w:vAlign w:val="bottom"/>
          </w:tcPr>
          <w:p>
            <w:pPr>
              <w:ind w:left="60"/>
              <w:spacing w:after="0"/>
              <w:rPr>
                <w:sz w:val="20"/>
                <w:szCs w:val="20"/>
                <w:color w:val="auto"/>
              </w:rPr>
            </w:pPr>
            <w:r>
              <w:rPr>
                <w:rFonts w:ascii="Arial" w:cs="Arial" w:eastAsia="Arial" w:hAnsi="Arial"/>
                <w:sz w:val="18"/>
                <w:szCs w:val="18"/>
                <w:color w:val="auto"/>
              </w:rPr>
              <w:t>REDEMPTION</w:t>
            </w:r>
          </w:p>
        </w:tc>
        <w:tc>
          <w:tcPr>
            <w:tcW w:w="24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360" w:type="dxa"/>
            <w:vAlign w:val="bottom"/>
          </w:tcPr>
          <w:p>
            <w:pPr>
              <w:ind w:left="440"/>
              <w:spacing w:after="0"/>
              <w:rPr>
                <w:sz w:val="20"/>
                <w:szCs w:val="20"/>
                <w:color w:val="auto"/>
              </w:rPr>
            </w:pPr>
            <w:r>
              <w:rPr>
                <w:rFonts w:ascii="Arial" w:cs="Arial" w:eastAsia="Arial" w:hAnsi="Arial"/>
                <w:sz w:val="18"/>
                <w:szCs w:val="18"/>
                <w:color w:val="auto"/>
                <w:w w:val="89"/>
              </w:rPr>
              <w:t>Section 10.1</w:t>
            </w:r>
          </w:p>
        </w:tc>
        <w:tc>
          <w:tcPr>
            <w:tcW w:w="7480" w:type="dxa"/>
            <w:vAlign w:val="bottom"/>
          </w:tcPr>
          <w:p>
            <w:pPr>
              <w:ind w:left="60"/>
              <w:spacing w:after="0"/>
              <w:rPr>
                <w:sz w:val="20"/>
                <w:szCs w:val="20"/>
                <w:color w:val="auto"/>
              </w:rPr>
            </w:pPr>
            <w:r>
              <w:rPr>
                <w:rFonts w:ascii="Arial" w:cs="Arial" w:eastAsia="Arial" w:hAnsi="Arial"/>
                <w:sz w:val="18"/>
                <w:szCs w:val="18"/>
                <w:color w:val="auto"/>
              </w:rPr>
              <w:t>Applicability of Article</w:t>
            </w:r>
          </w:p>
        </w:tc>
        <w:tc>
          <w:tcPr>
            <w:tcW w:w="24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360" w:type="dxa"/>
            <w:vAlign w:val="bottom"/>
          </w:tcPr>
          <w:p>
            <w:pPr>
              <w:ind w:left="440"/>
              <w:spacing w:after="0"/>
              <w:rPr>
                <w:sz w:val="20"/>
                <w:szCs w:val="20"/>
                <w:color w:val="auto"/>
              </w:rPr>
            </w:pPr>
            <w:r>
              <w:rPr>
                <w:rFonts w:ascii="Arial" w:cs="Arial" w:eastAsia="Arial" w:hAnsi="Arial"/>
                <w:sz w:val="18"/>
                <w:szCs w:val="18"/>
                <w:color w:val="auto"/>
                <w:w w:val="89"/>
              </w:rPr>
              <w:t>Section 10.2</w:t>
            </w:r>
          </w:p>
        </w:tc>
        <w:tc>
          <w:tcPr>
            <w:tcW w:w="7480" w:type="dxa"/>
            <w:vAlign w:val="bottom"/>
          </w:tcPr>
          <w:p>
            <w:pPr>
              <w:ind w:left="60"/>
              <w:spacing w:after="0"/>
              <w:rPr>
                <w:sz w:val="20"/>
                <w:szCs w:val="20"/>
                <w:color w:val="auto"/>
              </w:rPr>
            </w:pPr>
            <w:r>
              <w:rPr>
                <w:rFonts w:ascii="Arial" w:cs="Arial" w:eastAsia="Arial" w:hAnsi="Arial"/>
                <w:sz w:val="18"/>
                <w:szCs w:val="18"/>
                <w:color w:val="auto"/>
              </w:rPr>
              <w:t>Election to Redeem; Notice to Trustee</w:t>
            </w:r>
          </w:p>
        </w:tc>
        <w:tc>
          <w:tcPr>
            <w:tcW w:w="24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360" w:type="dxa"/>
            <w:vAlign w:val="bottom"/>
          </w:tcPr>
          <w:p>
            <w:pPr>
              <w:ind w:left="440"/>
              <w:spacing w:after="0"/>
              <w:rPr>
                <w:sz w:val="20"/>
                <w:szCs w:val="20"/>
                <w:color w:val="auto"/>
              </w:rPr>
            </w:pPr>
            <w:r>
              <w:rPr>
                <w:rFonts w:ascii="Arial" w:cs="Arial" w:eastAsia="Arial" w:hAnsi="Arial"/>
                <w:sz w:val="18"/>
                <w:szCs w:val="18"/>
                <w:color w:val="auto"/>
                <w:w w:val="89"/>
              </w:rPr>
              <w:t>Section 10.3</w:t>
            </w:r>
          </w:p>
        </w:tc>
        <w:tc>
          <w:tcPr>
            <w:tcW w:w="7480" w:type="dxa"/>
            <w:vAlign w:val="bottom"/>
          </w:tcPr>
          <w:p>
            <w:pPr>
              <w:ind w:left="60"/>
              <w:spacing w:after="0"/>
              <w:rPr>
                <w:sz w:val="20"/>
                <w:szCs w:val="20"/>
                <w:color w:val="auto"/>
              </w:rPr>
            </w:pPr>
            <w:r>
              <w:rPr>
                <w:rFonts w:ascii="Arial" w:cs="Arial" w:eastAsia="Arial" w:hAnsi="Arial"/>
                <w:sz w:val="18"/>
                <w:szCs w:val="18"/>
                <w:color w:val="auto"/>
              </w:rPr>
              <w:t>Selection of Securities to Be Redeemed</w:t>
            </w:r>
          </w:p>
        </w:tc>
        <w:tc>
          <w:tcPr>
            <w:tcW w:w="24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360" w:type="dxa"/>
            <w:vAlign w:val="bottom"/>
          </w:tcPr>
          <w:p>
            <w:pPr>
              <w:ind w:left="440"/>
              <w:spacing w:after="0"/>
              <w:rPr>
                <w:sz w:val="20"/>
                <w:szCs w:val="20"/>
                <w:color w:val="auto"/>
              </w:rPr>
            </w:pPr>
            <w:r>
              <w:rPr>
                <w:rFonts w:ascii="Arial" w:cs="Arial" w:eastAsia="Arial" w:hAnsi="Arial"/>
                <w:sz w:val="18"/>
                <w:szCs w:val="18"/>
                <w:color w:val="auto"/>
                <w:w w:val="89"/>
              </w:rPr>
              <w:t>Section 10.4</w:t>
            </w:r>
          </w:p>
        </w:tc>
        <w:tc>
          <w:tcPr>
            <w:tcW w:w="7480" w:type="dxa"/>
            <w:vAlign w:val="bottom"/>
          </w:tcPr>
          <w:p>
            <w:pPr>
              <w:ind w:left="60"/>
              <w:spacing w:after="0"/>
              <w:rPr>
                <w:sz w:val="20"/>
                <w:szCs w:val="20"/>
                <w:color w:val="auto"/>
              </w:rPr>
            </w:pPr>
            <w:r>
              <w:rPr>
                <w:rFonts w:ascii="Arial" w:cs="Arial" w:eastAsia="Arial" w:hAnsi="Arial"/>
                <w:sz w:val="18"/>
                <w:szCs w:val="18"/>
                <w:color w:val="auto"/>
              </w:rPr>
              <w:t>Notice of Redemption</w:t>
            </w:r>
          </w:p>
        </w:tc>
        <w:tc>
          <w:tcPr>
            <w:tcW w:w="24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1360" w:type="dxa"/>
            <w:vAlign w:val="bottom"/>
          </w:tcPr>
          <w:p>
            <w:pPr>
              <w:ind w:left="440"/>
              <w:spacing w:after="0"/>
              <w:rPr>
                <w:sz w:val="20"/>
                <w:szCs w:val="20"/>
                <w:color w:val="auto"/>
              </w:rPr>
            </w:pPr>
            <w:r>
              <w:rPr>
                <w:rFonts w:ascii="Arial" w:cs="Arial" w:eastAsia="Arial" w:hAnsi="Arial"/>
                <w:sz w:val="18"/>
                <w:szCs w:val="18"/>
                <w:color w:val="auto"/>
                <w:w w:val="89"/>
              </w:rPr>
              <w:t>Section 10.5</w:t>
            </w:r>
          </w:p>
        </w:tc>
        <w:tc>
          <w:tcPr>
            <w:tcW w:w="7480" w:type="dxa"/>
            <w:vAlign w:val="bottom"/>
          </w:tcPr>
          <w:p>
            <w:pPr>
              <w:ind w:left="60"/>
              <w:spacing w:after="0"/>
              <w:rPr>
                <w:sz w:val="20"/>
                <w:szCs w:val="20"/>
                <w:color w:val="auto"/>
              </w:rPr>
            </w:pPr>
            <w:r>
              <w:rPr>
                <w:rFonts w:ascii="Arial" w:cs="Arial" w:eastAsia="Arial" w:hAnsi="Arial"/>
                <w:sz w:val="18"/>
                <w:szCs w:val="18"/>
                <w:color w:val="auto"/>
              </w:rPr>
              <w:t>Deposit of Redemption Price</w:t>
            </w:r>
          </w:p>
        </w:tc>
        <w:tc>
          <w:tcPr>
            <w:tcW w:w="24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1360" w:type="dxa"/>
            <w:vAlign w:val="bottom"/>
          </w:tcPr>
          <w:p>
            <w:pPr>
              <w:ind w:left="440"/>
              <w:spacing w:after="0"/>
              <w:rPr>
                <w:sz w:val="20"/>
                <w:szCs w:val="20"/>
                <w:color w:val="auto"/>
              </w:rPr>
            </w:pPr>
            <w:r>
              <w:rPr>
                <w:rFonts w:ascii="Arial" w:cs="Arial" w:eastAsia="Arial" w:hAnsi="Arial"/>
                <w:sz w:val="18"/>
                <w:szCs w:val="18"/>
                <w:color w:val="auto"/>
                <w:w w:val="89"/>
              </w:rPr>
              <w:t>Section 10.6</w:t>
            </w:r>
          </w:p>
        </w:tc>
        <w:tc>
          <w:tcPr>
            <w:tcW w:w="7480" w:type="dxa"/>
            <w:vAlign w:val="bottom"/>
          </w:tcPr>
          <w:p>
            <w:pPr>
              <w:ind w:left="60"/>
              <w:spacing w:after="0"/>
              <w:rPr>
                <w:sz w:val="20"/>
                <w:szCs w:val="20"/>
                <w:color w:val="auto"/>
              </w:rPr>
            </w:pPr>
            <w:r>
              <w:rPr>
                <w:rFonts w:ascii="Arial" w:cs="Arial" w:eastAsia="Arial" w:hAnsi="Arial"/>
                <w:sz w:val="18"/>
                <w:szCs w:val="18"/>
                <w:color w:val="auto"/>
              </w:rPr>
              <w:t>Securities Payable on Redemption Date</w:t>
            </w:r>
          </w:p>
        </w:tc>
        <w:tc>
          <w:tcPr>
            <w:tcW w:w="24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360" w:type="dxa"/>
            <w:vAlign w:val="bottom"/>
          </w:tcPr>
          <w:p>
            <w:pPr>
              <w:ind w:left="440"/>
              <w:spacing w:after="0"/>
              <w:rPr>
                <w:sz w:val="20"/>
                <w:szCs w:val="20"/>
                <w:color w:val="auto"/>
              </w:rPr>
            </w:pPr>
            <w:r>
              <w:rPr>
                <w:rFonts w:ascii="Arial" w:cs="Arial" w:eastAsia="Arial" w:hAnsi="Arial"/>
                <w:sz w:val="18"/>
                <w:szCs w:val="18"/>
                <w:color w:val="auto"/>
                <w:w w:val="89"/>
              </w:rPr>
              <w:t>Section 10.7</w:t>
            </w:r>
          </w:p>
        </w:tc>
        <w:tc>
          <w:tcPr>
            <w:tcW w:w="7480" w:type="dxa"/>
            <w:vAlign w:val="bottom"/>
          </w:tcPr>
          <w:p>
            <w:pPr>
              <w:ind w:left="60"/>
              <w:spacing w:after="0"/>
              <w:rPr>
                <w:sz w:val="20"/>
                <w:szCs w:val="20"/>
                <w:color w:val="auto"/>
              </w:rPr>
            </w:pPr>
            <w:r>
              <w:rPr>
                <w:rFonts w:ascii="Arial" w:cs="Arial" w:eastAsia="Arial" w:hAnsi="Arial"/>
                <w:sz w:val="18"/>
                <w:szCs w:val="18"/>
                <w:color w:val="auto"/>
              </w:rPr>
              <w:t>Securities Redeemed in Part</w:t>
            </w:r>
          </w:p>
        </w:tc>
        <w:tc>
          <w:tcPr>
            <w:tcW w:w="24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ARTICLE 11</w:t>
            </w:r>
          </w:p>
        </w:tc>
        <w:tc>
          <w:tcPr>
            <w:tcW w:w="7480" w:type="dxa"/>
            <w:vAlign w:val="bottom"/>
          </w:tcPr>
          <w:p>
            <w:pPr>
              <w:ind w:left="60"/>
              <w:spacing w:after="0"/>
              <w:rPr>
                <w:sz w:val="20"/>
                <w:szCs w:val="20"/>
                <w:color w:val="auto"/>
              </w:rPr>
            </w:pPr>
            <w:r>
              <w:rPr>
                <w:rFonts w:ascii="Arial" w:cs="Arial" w:eastAsia="Arial" w:hAnsi="Arial"/>
                <w:sz w:val="18"/>
                <w:szCs w:val="18"/>
                <w:color w:val="auto"/>
              </w:rPr>
              <w:t>SINKING FUNDS</w:t>
            </w:r>
          </w:p>
        </w:tc>
        <w:tc>
          <w:tcPr>
            <w:tcW w:w="24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11.1 Applicability of Article</w:t>
            </w:r>
          </w:p>
        </w:tc>
        <w:tc>
          <w:tcPr>
            <w:tcW w:w="24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11.2 Satisfaction of Sinking Fund Payments With Securities</w:t>
            </w:r>
          </w:p>
        </w:tc>
        <w:tc>
          <w:tcPr>
            <w:tcW w:w="24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11.3 Redemption of Securities for Sinking Fund</w:t>
            </w:r>
          </w:p>
        </w:tc>
        <w:tc>
          <w:tcPr>
            <w:tcW w:w="24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EXHIBIT A – FORM OF FACE OF SECURITY</w:t>
            </w:r>
          </w:p>
        </w:tc>
        <w:tc>
          <w:tcPr>
            <w:tcW w:w="248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FORM OF REVERSE OF SECURITY</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65"/>
        </w:trPr>
        <w:tc>
          <w:tcPr>
            <w:tcW w:w="1360" w:type="dxa"/>
            <w:vAlign w:val="bottom"/>
          </w:tcPr>
          <w:p>
            <w:pPr>
              <w:spacing w:after="0"/>
              <w:rPr>
                <w:sz w:val="24"/>
                <w:szCs w:val="24"/>
                <w:color w:val="auto"/>
              </w:rPr>
            </w:pPr>
          </w:p>
        </w:tc>
        <w:tc>
          <w:tcPr>
            <w:tcW w:w="7480" w:type="dxa"/>
            <w:vAlign w:val="bottom"/>
          </w:tcPr>
          <w:p>
            <w:pPr>
              <w:jc w:val="center"/>
              <w:ind w:left="1152"/>
              <w:spacing w:after="0"/>
              <w:rPr>
                <w:sz w:val="20"/>
                <w:szCs w:val="20"/>
                <w:color w:val="auto"/>
              </w:rPr>
            </w:pPr>
            <w:r>
              <w:rPr>
                <w:rFonts w:ascii="Arial" w:cs="Arial" w:eastAsia="Arial" w:hAnsi="Arial"/>
                <w:sz w:val="18"/>
                <w:szCs w:val="18"/>
                <w:color w:val="auto"/>
                <w:w w:val="95"/>
              </w:rPr>
              <w:t>-v-</w:t>
            </w:r>
          </w:p>
        </w:tc>
        <w:tc>
          <w:tcPr>
            <w:tcW w:w="2480" w:type="dxa"/>
            <w:vAlign w:val="bottom"/>
          </w:tcPr>
          <w:p>
            <w:pPr>
              <w:spacing w:after="0"/>
              <w:rPr>
                <w:sz w:val="24"/>
                <w:szCs w:val="24"/>
                <w:color w:val="auto"/>
              </w:rPr>
            </w:pPr>
          </w:p>
        </w:tc>
      </w:tr>
    </w:tbl>
    <w:p>
      <w:pPr>
        <w:sectPr>
          <w:pgSz w:w="11900" w:h="16838" w:orient="portrait"/>
          <w:cols w:equalWidth="0" w:num="1">
            <w:col w:w="11320"/>
          </w:cols>
          <w:pgMar w:left="240" w:top="274" w:right="339" w:bottom="1440" w:gutter="0" w:footer="0" w:header="0"/>
        </w:sectPr>
      </w:pPr>
    </w:p>
    <w:bookmarkStart w:id="24" w:name="page25"/>
    <w:bookmarkEnd w:id="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28"/>
        </w:trPr>
        <w:tc>
          <w:tcPr>
            <w:tcW w:w="1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700" w:type="dxa"/>
            <w:vAlign w:val="bottom"/>
          </w:tcPr>
          <w:p>
            <w:pPr>
              <w:ind w:left="2100"/>
              <w:spacing w:after="0"/>
              <w:rPr>
                <w:sz w:val="20"/>
                <w:szCs w:val="20"/>
                <w:color w:val="auto"/>
              </w:rPr>
            </w:pPr>
            <w:r>
              <w:rPr>
                <w:rFonts w:ascii="Arial" w:cs="Arial" w:eastAsia="Arial" w:hAnsi="Arial"/>
                <w:sz w:val="18"/>
                <w:szCs w:val="18"/>
                <w:b w:val="1"/>
                <w:bCs w:val="1"/>
                <w:color w:val="auto"/>
              </w:rPr>
              <w:t>INDENTURE</w:t>
            </w:r>
          </w:p>
        </w:tc>
        <w:tc>
          <w:tcPr>
            <w:tcW w:w="7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78"/>
        </w:trPr>
        <w:tc>
          <w:tcPr>
            <w:tcW w:w="1820" w:type="dxa"/>
            <w:vAlign w:val="bottom"/>
          </w:tcPr>
          <w:p>
            <w:pPr>
              <w:spacing w:after="0"/>
              <w:rPr>
                <w:sz w:val="20"/>
                <w:szCs w:val="20"/>
                <w:color w:val="auto"/>
              </w:rPr>
            </w:pPr>
            <w:r>
              <w:rPr>
                <w:rFonts w:ascii="Arial" w:cs="Arial" w:eastAsia="Arial" w:hAnsi="Arial"/>
                <w:sz w:val="18"/>
                <w:szCs w:val="18"/>
                <w:color w:val="auto"/>
              </w:rPr>
              <w:t>Indenture, dated as of</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 201</w:t>
            </w:r>
          </w:p>
        </w:tc>
        <w:tc>
          <w:tcPr>
            <w:tcW w:w="5700" w:type="dxa"/>
            <w:vAlign w:val="bottom"/>
          </w:tcPr>
          <w:p>
            <w:pPr>
              <w:ind w:left="180"/>
              <w:spacing w:after="0"/>
              <w:rPr>
                <w:sz w:val="20"/>
                <w:szCs w:val="20"/>
                <w:color w:val="auto"/>
              </w:rPr>
            </w:pPr>
            <w:r>
              <w:rPr>
                <w:rFonts w:ascii="Arial" w:cs="Arial" w:eastAsia="Arial" w:hAnsi="Arial"/>
                <w:sz w:val="18"/>
                <w:szCs w:val="18"/>
                <w:color w:val="auto"/>
                <w:w w:val="93"/>
              </w:rPr>
              <w:t>, from Itron, Inc., a Washington corporation (the “</w:t>
            </w:r>
            <w:r>
              <w:rPr>
                <w:rFonts w:ascii="Arial" w:cs="Arial" w:eastAsia="Arial" w:hAnsi="Arial"/>
                <w:sz w:val="18"/>
                <w:szCs w:val="18"/>
                <w:b w:val="1"/>
                <w:bCs w:val="1"/>
                <w:i w:val="1"/>
                <w:iCs w:val="1"/>
                <w:color w:val="auto"/>
                <w:w w:val="93"/>
              </w:rPr>
              <w:t>Company</w:t>
            </w:r>
            <w:r>
              <w:rPr>
                <w:rFonts w:ascii="Arial" w:cs="Arial" w:eastAsia="Arial" w:hAnsi="Arial"/>
                <w:sz w:val="18"/>
                <w:szCs w:val="18"/>
                <w:color w:val="auto"/>
                <w:w w:val="93"/>
              </w:rPr>
              <w:t>”), as issuer, to</w:t>
            </w:r>
          </w:p>
        </w:tc>
        <w:tc>
          <w:tcPr>
            <w:tcW w:w="740" w:type="dxa"/>
            <w:vAlign w:val="bottom"/>
          </w:tcPr>
          <w:p>
            <w:pPr>
              <w:ind w:left="280"/>
              <w:spacing w:after="0"/>
              <w:rPr>
                <w:sz w:val="20"/>
                <w:szCs w:val="20"/>
                <w:color w:val="auto"/>
              </w:rPr>
            </w:pPr>
            <w:r>
              <w:rPr>
                <w:rFonts w:ascii="Arial" w:cs="Arial" w:eastAsia="Arial" w:hAnsi="Arial"/>
                <w:sz w:val="18"/>
                <w:szCs w:val="18"/>
                <w:color w:val="auto"/>
              </w:rPr>
              <w:t>, a</w:t>
            </w:r>
          </w:p>
        </w:tc>
        <w:tc>
          <w:tcPr>
            <w:tcW w:w="1400" w:type="dxa"/>
            <w:vAlign w:val="bottom"/>
          </w:tcPr>
          <w:p>
            <w:pPr>
              <w:ind w:left="280"/>
              <w:spacing w:after="0"/>
              <w:rPr>
                <w:sz w:val="20"/>
                <w:szCs w:val="20"/>
                <w:color w:val="auto"/>
              </w:rPr>
            </w:pPr>
            <w:r>
              <w:rPr>
                <w:rFonts w:ascii="Arial" w:cs="Arial" w:eastAsia="Arial" w:hAnsi="Arial"/>
                <w:sz w:val="18"/>
                <w:szCs w:val="18"/>
                <w:color w:val="auto"/>
                <w:w w:val="83"/>
              </w:rPr>
              <w:t>, as Trustee (the</w:t>
            </w:r>
          </w:p>
        </w:tc>
      </w:tr>
    </w:tbl>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w:t>
      </w:r>
    </w:p>
    <w:p>
      <w:pPr>
        <w:spacing w:after="0" w:line="3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RECITALS</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has duly authorized the execution and delivery of this Indenture to provide for the issuance from time to time of its unsecured debentures, notes or other evidences of indebtedness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to be issued in one or more series as herein provided.</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All things necessary to make the Securities, when executed by the Company, the valid obligations of the Company, and to make this Indenture a valid agreement of the Company, in accordance with their and its terms, have been done.</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covenanted and agreed as follows for the equal and ratable benefit of the Holders of the Securities:</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ARTICLE 1</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Definitions and Other Provisions of General Application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Definitions</w:t>
      </w:r>
    </w:p>
    <w:p>
      <w:pPr>
        <w:spacing w:after="0" w:line="96" w:lineRule="exact"/>
        <w:rPr>
          <w:sz w:val="20"/>
          <w:szCs w:val="20"/>
          <w:color w:val="auto"/>
        </w:rPr>
      </w:pPr>
    </w:p>
    <w:p>
      <w:pPr>
        <w:ind w:left="700" w:hanging="23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all purposes of this Indenture, except as otherwise expressly provided or unless the context otherwise requires:</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terms defined in this Article have the meanings assigned to them in this Article and include the plural as well as the singular;</w:t>
      </w:r>
    </w:p>
    <w:p>
      <w:pPr>
        <w:spacing w:after="0" w:line="113" w:lineRule="exact"/>
        <w:rPr>
          <w:rFonts w:ascii="Arial" w:cs="Arial" w:eastAsia="Arial" w:hAnsi="Arial"/>
          <w:sz w:val="16"/>
          <w:szCs w:val="16"/>
          <w:color w:val="auto"/>
        </w:rPr>
      </w:pPr>
    </w:p>
    <w:p>
      <w:pPr>
        <w:ind w:left="460" w:right="140" w:firstLine="443"/>
        <w:spacing w:after="0" w:line="268" w:lineRule="auto"/>
        <w:tabs>
          <w:tab w:leader="none" w:pos="1157"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Trust Indenture Act, either directly or by reference therein, have the meanings assigned to them therein;</w:t>
      </w:r>
    </w:p>
    <w:p>
      <w:pPr>
        <w:spacing w:after="0" w:line="50" w:lineRule="exact"/>
        <w:rPr>
          <w:rFonts w:ascii="Arial" w:cs="Arial" w:eastAsia="Arial" w:hAnsi="Arial"/>
          <w:sz w:val="18"/>
          <w:szCs w:val="18"/>
          <w:color w:val="auto"/>
        </w:rPr>
      </w:pPr>
    </w:p>
    <w:p>
      <w:pPr>
        <w:ind w:left="460" w:right="460" w:firstLine="443"/>
        <w:spacing w:after="0" w:line="268" w:lineRule="auto"/>
        <w:tabs>
          <w:tab w:leader="none" w:pos="120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generally accepted accounting principles; and</w:t>
      </w:r>
    </w:p>
    <w:p>
      <w:pPr>
        <w:spacing w:after="0" w:line="50" w:lineRule="exact"/>
        <w:rPr>
          <w:rFonts w:ascii="Arial" w:cs="Arial" w:eastAsia="Arial" w:hAnsi="Arial"/>
          <w:sz w:val="18"/>
          <w:szCs w:val="18"/>
          <w:color w:val="auto"/>
        </w:rPr>
      </w:pPr>
    </w:p>
    <w:p>
      <w:pPr>
        <w:ind w:left="460" w:right="320" w:firstLine="443"/>
        <w:spacing w:after="0" w:line="268" w:lineRule="auto"/>
        <w:tabs>
          <w:tab w:leader="none" w:pos="1196"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of any specified Person means any Person directly or indirectly controlling or controlled by, or under direct or indirect common control with such specified Person. For purposes of this definition, “</w:t>
      </w:r>
      <w:r>
        <w:rPr>
          <w:rFonts w:ascii="Arial" w:cs="Arial" w:eastAsia="Arial" w:hAnsi="Arial"/>
          <w:sz w:val="18"/>
          <w:szCs w:val="18"/>
          <w:b w:val="1"/>
          <w:bCs w:val="1"/>
          <w:i w:val="1"/>
          <w:iCs w:val="1"/>
          <w:color w:val="auto"/>
        </w:rPr>
        <w:t>contro</w:t>
      </w:r>
      <w:r>
        <w:rPr>
          <w:rFonts w:ascii="Arial" w:cs="Arial" w:eastAsia="Arial" w:hAnsi="Arial"/>
          <w:sz w:val="18"/>
          <w:szCs w:val="18"/>
          <w:color w:val="auto"/>
        </w:rPr>
        <w:t>l” when used with respect to any specified Person means the power to direct the management and policies of such Person, directly or indirectly, whether through the ownership of voting securities, by contract or otherwise; and the terms “</w:t>
      </w:r>
      <w:r>
        <w:rPr>
          <w:rFonts w:ascii="Arial" w:cs="Arial" w:eastAsia="Arial" w:hAnsi="Arial"/>
          <w:sz w:val="18"/>
          <w:szCs w:val="18"/>
          <w:b w:val="1"/>
          <w:bCs w:val="1"/>
          <w:i w:val="1"/>
          <w:iCs w:val="1"/>
          <w:color w:val="auto"/>
        </w:rPr>
        <w:t>controlling</w:t>
      </w:r>
      <w:r>
        <w:rPr>
          <w:rFonts w:ascii="Arial" w:cs="Arial" w:eastAsia="Arial" w:hAnsi="Arial"/>
          <w:sz w:val="18"/>
          <w:szCs w:val="18"/>
          <w:color w:val="auto"/>
        </w:rPr>
        <w:t>” and “</w:t>
      </w:r>
      <w:r>
        <w:rPr>
          <w:rFonts w:ascii="Arial" w:cs="Arial" w:eastAsia="Arial" w:hAnsi="Arial"/>
          <w:sz w:val="18"/>
          <w:szCs w:val="18"/>
          <w:b w:val="1"/>
          <w:bCs w:val="1"/>
          <w:i w:val="1"/>
          <w:iCs w:val="1"/>
          <w:color w:val="auto"/>
        </w:rPr>
        <w:t>controlled</w:t>
      </w:r>
      <w:r>
        <w:rPr>
          <w:rFonts w:ascii="Arial" w:cs="Arial" w:eastAsia="Arial" w:hAnsi="Arial"/>
          <w:sz w:val="18"/>
          <w:szCs w:val="18"/>
          <w:color w:val="auto"/>
        </w:rPr>
        <w:t>” have meanings correlative to the foregoing.</w:t>
      </w:r>
    </w:p>
    <w:p>
      <w:pPr>
        <w:sectPr>
          <w:pgSz w:w="11900" w:h="16838" w:orient="portrait"/>
          <w:cols w:equalWidth="0" w:num="1">
            <w:col w:w="11260"/>
          </w:cols>
          <w:pgMar w:left="240" w:top="274" w:right="399" w:bottom="1440" w:gutter="0" w:footer="0" w:header="0"/>
        </w:sectPr>
      </w:pPr>
    </w:p>
    <w:bookmarkStart w:id="25" w:name="page26"/>
    <w:bookmarkEnd w:id="2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means any Paying Agent or Registrar.</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Attributable Debt</w:t>
      </w:r>
      <w:r>
        <w:rPr>
          <w:rFonts w:ascii="Arial" w:cs="Arial" w:eastAsia="Arial" w:hAnsi="Arial"/>
          <w:sz w:val="16"/>
          <w:szCs w:val="16"/>
          <w:color w:val="auto"/>
        </w:rPr>
        <w:t xml:space="preserve">” means, as of the date of its determination, the present value (discounted semiannually at an interest rate implicit in the terms of the lease) of the obligation of a lessee for rental payments pursuant to any Sale and Leaseback Transaction (reduced by the amount of the rental obligations of any sublessee of all or part of the same property) during the remaining term of such Sale and Leaseback Transaction (including any period for which the lease relating thereto has been extended), such rental payments not to include amounts payable by the lessee for maintenance and repairs, insurance, taxes, laws, assessments and similar charges and for contingent rents (such as those based on sales),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case of any Sale and Leaseback Transaction in which the lease is terminable by the lessee upon the payment of a penalty, Attributable Debt shall mean the lesser of the present value of (a) the rental payments to be paid under such Sale and Leaseback Transaction until the first date (after the date of such determination) upon which it may be so terminated plus the then applicable penalty upon such termination and (b) the rental payments required to be paid during the remaining term of such Sale and Leaseback Transaction (assuming such termination provision is not exercised).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Authenticating Agent</w:t>
      </w:r>
      <w:r>
        <w:rPr>
          <w:rFonts w:ascii="Arial" w:cs="Arial" w:eastAsia="Arial" w:hAnsi="Arial"/>
          <w:sz w:val="18"/>
          <w:szCs w:val="18"/>
          <w:color w:val="auto"/>
        </w:rPr>
        <w:t>” means any authenticating agent appointed by the Trustee pursuant to Section 6.14.</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or “</w:t>
      </w:r>
      <w:r>
        <w:rPr>
          <w:rFonts w:ascii="Arial" w:cs="Arial" w:eastAsia="Arial" w:hAnsi="Arial"/>
          <w:sz w:val="16"/>
          <w:szCs w:val="16"/>
          <w:b w:val="1"/>
          <w:bCs w:val="1"/>
          <w:i w:val="1"/>
          <w:iCs w:val="1"/>
          <w:color w:val="auto"/>
        </w:rPr>
        <w:t>Board of Directors</w:t>
      </w:r>
      <w:r>
        <w:rPr>
          <w:rFonts w:ascii="Arial" w:cs="Arial" w:eastAsia="Arial" w:hAnsi="Arial"/>
          <w:sz w:val="16"/>
          <w:szCs w:val="16"/>
          <w:color w:val="auto"/>
        </w:rPr>
        <w:t>” means the Board of Directors of the Company, the Executive Committee or any other duly authorized committee thereof.</w:t>
      </w:r>
    </w:p>
    <w:p>
      <w:pPr>
        <w:spacing w:after="0" w:line="194"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Board Resolution</w:t>
      </w:r>
      <w:r>
        <w:rPr>
          <w:rFonts w:ascii="Arial" w:cs="Arial" w:eastAsia="Arial" w:hAnsi="Arial"/>
          <w:sz w:val="16"/>
          <w:szCs w:val="16"/>
          <w:color w:val="auto"/>
        </w:rPr>
        <w:t>” means a copy of a resolution of the Board of Directors, certified by the Corporate Secretary or an Assistant Secretary of the Company to have been duly adopted by the Board of Directors and to be in full force and effect on the date of such certification, and delivered to the Trustee.</w:t>
      </w:r>
    </w:p>
    <w:p>
      <w:pPr>
        <w:spacing w:after="0" w:line="85"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when used with respect to any Place of Payment or any other particular location referred to in this Indenture or in the Securities, means, unless otherwise specified with respect to any Securities pursuant to Section 3.1, each Monday, Tuesday, Wednesday, Thursday and Friday which is not a day on which banking institutions in that Place of Payment or particular location are authorized or obligated by law or executive order to close.</w:t>
      </w:r>
    </w:p>
    <w:p>
      <w:pPr>
        <w:spacing w:after="0" w:line="10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Securities and Exchange Commission, as from time to time constituted, created under the Securities Exchange Act of 1934, or, if at any time after the execution of this Indenture such Commission is not existing and performing the duties now assigned to it under the Trust Indenture Act, then the body performing such duties at such time.</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the Person named as the Company in the first paragraph of this Indenture until one or more successor corporations shall have become such pursuant to the applicable provisions of this Indenture, and thereafter means such successors.</w:t>
      </w:r>
    </w:p>
    <w:p>
      <w:pPr>
        <w:spacing w:after="0" w:line="132"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Order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Company Request</w:t>
      </w:r>
      <w:r>
        <w:rPr>
          <w:rFonts w:ascii="Arial" w:cs="Arial" w:eastAsia="Arial" w:hAnsi="Arial"/>
          <w:sz w:val="18"/>
          <w:szCs w:val="18"/>
          <w:color w:val="auto"/>
        </w:rPr>
        <w:t>” mean, respectively, a written order or request signed in the name of the Company by the Chairman of the Board, the President or any Vice President, or, with respect to Sections 3.3, 3.4, 3.5 and 6.1, any other employee of the Company named in an Officers’ Certificate delivered to the Trustee.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26" w:name="page27"/>
    <w:bookmarkEnd w:id="26"/>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i w:val="1"/>
          <w:iCs w:val="1"/>
          <w:color w:val="auto"/>
        </w:rPr>
        <w:t>Consolidated Net Tangible Assets</w:t>
      </w:r>
      <w:r>
        <w:rPr>
          <w:rFonts w:ascii="Arial" w:cs="Arial" w:eastAsia="Arial" w:hAnsi="Arial"/>
          <w:sz w:val="16"/>
          <w:szCs w:val="16"/>
          <w:color w:val="auto"/>
        </w:rPr>
        <w:t>” means, at any date, the total assets appearing in the most recently prepared consolidated balance sheet of the Company and the Subsidiaries as of the end of the most recent fiscal quarter of the Company for which such balance sheet is available, prepared in accordance with generally accepted accounting principles, less (a) all current liabilities as shown on such balance sheet and (b) Intangible Assets. “</w:t>
      </w:r>
      <w:r>
        <w:rPr>
          <w:rFonts w:ascii="Arial" w:cs="Arial" w:eastAsia="Arial" w:hAnsi="Arial"/>
          <w:sz w:val="16"/>
          <w:szCs w:val="16"/>
          <w:b w:val="1"/>
          <w:bCs w:val="1"/>
          <w:i w:val="1"/>
          <w:iCs w:val="1"/>
          <w:color w:val="auto"/>
        </w:rPr>
        <w:t>Intangible Assets</w:t>
      </w:r>
      <w:r>
        <w:rPr>
          <w:rFonts w:ascii="Arial" w:cs="Arial" w:eastAsia="Arial" w:hAnsi="Arial"/>
          <w:sz w:val="16"/>
          <w:szCs w:val="16"/>
          <w:color w:val="auto"/>
        </w:rPr>
        <w:t>” means the value (net of any applicable reserves), as shown on or reflected in such balance sheet, of: (i) all trade names, trademarks, licenses, patents, copyrights and goodwill; (ii) organization costs; and (iii) deferred charges (other than prepaid items such as insurance, taxes, interest, commissions, rents and similar items and tangible assets being amortized); but in no event shall the term “Intangible Assets” include product development cost.</w:t>
      </w:r>
    </w:p>
    <w:p>
      <w:pPr>
        <w:spacing w:after="0" w:line="120"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Trust Office</w:t>
      </w:r>
      <w:r>
        <w:rPr>
          <w:rFonts w:ascii="Arial" w:cs="Arial" w:eastAsia="Arial" w:hAnsi="Arial"/>
          <w:sz w:val="18"/>
          <w:szCs w:val="18"/>
          <w:color w:val="auto"/>
        </w:rPr>
        <w:t>” means the principal office of the Trustee at which at any particular time its corporate trust business shall be principally administered.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includes corporations, associations, companies and business trusts.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Funded Debt</w:t>
      </w:r>
      <w:r>
        <w:rPr>
          <w:rFonts w:ascii="Arial" w:cs="Arial" w:eastAsia="Arial" w:hAnsi="Arial"/>
          <w:sz w:val="18"/>
          <w:szCs w:val="18"/>
          <w:color w:val="auto"/>
        </w:rPr>
        <w:t>” means any Indebtedness maturing by its terms more than one year from the date of the determination thereof, including any Indebtedness renewable or extendable at the option of the obligor to a date later than one year from the date of determination thereof.</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Government Obligations</w:t>
      </w:r>
      <w:r>
        <w:rPr>
          <w:rFonts w:ascii="Arial" w:cs="Arial" w:eastAsia="Arial" w:hAnsi="Arial"/>
          <w:sz w:val="16"/>
          <w:szCs w:val="16"/>
          <w:color w:val="auto"/>
        </w:rPr>
        <w:t>” means securities which are (a) direct obligations of the United States or (b) obligations of a Person controlled or supervised by and acting as an agency or instrumentality of the United States the payment of which is unconditionally guaranteed as a full faith and credit obligation by the United States, which are not callable or redeemable at the option of the issuer thereof, and shall also include a depositary receipt issued by a bank or trust company as custodian with respect to any such Government Obligation or a specific payment of interest on or principal of any such Government Obligation held by such custodian for the account of the holder of a depositary receipt, provided that (except as required by law) such custodian is not authorized to make any deduction from the amount payable to the holder of such depositary receipt from any amount received by the custodian in respect of the Government Obligation evidenced by such depositary receipt.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means a person in whose name a Security is registered on the Register.</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Indebtedness</w:t>
      </w:r>
      <w:r>
        <w:rPr>
          <w:rFonts w:ascii="Arial" w:cs="Arial" w:eastAsia="Arial" w:hAnsi="Arial"/>
          <w:sz w:val="18"/>
          <w:szCs w:val="18"/>
          <w:color w:val="auto"/>
        </w:rPr>
        <w:t>” means all indebtedness, whether or not represented by bonds, debentures, notes or other securities, created or assumed for the repayment of money borrowed.</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means this Indenture as originally executed or as amended or supplemented from time to time and shall include the forms and terms (but not defined terms established in an Officers’ Certificate or a Board Resolution) of particular series of Securities established as contemplated by Section 2.1 and Section 3.1.</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Indexed Security</w:t>
      </w:r>
      <w:r>
        <w:rPr>
          <w:rFonts w:ascii="Arial" w:cs="Arial" w:eastAsia="Arial" w:hAnsi="Arial"/>
          <w:sz w:val="18"/>
          <w:szCs w:val="18"/>
          <w:color w:val="auto"/>
        </w:rPr>
        <w:t>” means a Security the terms of which provide that the principal amount thereof payable at Stated Maturity may be more or less than the principal face amount thereof at original issuance.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27" w:name="page28"/>
    <w:bookmarkEnd w:id="27"/>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Interest</w:t>
      </w:r>
      <w:r>
        <w:rPr>
          <w:rFonts w:ascii="Arial" w:cs="Arial" w:eastAsia="Arial" w:hAnsi="Arial"/>
          <w:sz w:val="18"/>
          <w:szCs w:val="18"/>
          <w:color w:val="auto"/>
        </w:rPr>
        <w:t>,” when used with respect to an Original Issue Discount Security which by its terms bears interest only after maturity, means interest payable after maturity.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Interest Payment Date</w:t>
      </w:r>
      <w:r>
        <w:rPr>
          <w:rFonts w:ascii="Arial" w:cs="Arial" w:eastAsia="Arial" w:hAnsi="Arial"/>
          <w:sz w:val="16"/>
          <w:szCs w:val="16"/>
          <w:color w:val="auto"/>
        </w:rPr>
        <w:t>,” when used with respect to any Security, means the Stated Maturity of an installment of interest on such Security.</w:t>
      </w:r>
    </w:p>
    <w:p>
      <w:pPr>
        <w:spacing w:after="0" w:line="19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Lien</w:t>
      </w:r>
      <w:r>
        <w:rPr>
          <w:rFonts w:ascii="Arial" w:cs="Arial" w:eastAsia="Arial" w:hAnsi="Arial"/>
          <w:sz w:val="16"/>
          <w:szCs w:val="16"/>
          <w:color w:val="auto"/>
        </w:rPr>
        <w:t>” means any mortgage, pledge, security interest, lien, charge or other encumbrance, but shall not include any of the foregoing types of encumbrances that are incidental to the conduct of the business of the Company or any Restricted Subsidiary or the ownership of the property and assets of any of them and that were not incurred in connection with the incurrence of any Indebtedness. Such incidental encumbrances that are to be excluded from the term “Lien” include, without limitation: pledges or deposits made to secure obligations of the Company or a Restricted Subsidiary under workmen’s compensation laws or similar legislation; liens imposed by law, such as materialmen’s, mechanics’, carriers’, workmen’s, vendors’, repairmen’s, or other like liens incurred in the ordinary course of business; governmental (federal, state or municipal) liens arising out of contracts for the purchase of products of the Company or a Restricted Subsidiary, and deposits or pledges to obtain the release of any of the foregoing liens; liens created by or resulting from any litigation or legal proceeding that is currently being contested in good faith by an appropriate proceedings; leases made or existing on Principal Property entered into in the ordinary course of business by the Company or a Restricted Subsidiary; landlords’ liens under leases of Principal Property to which the Company or a Restricted Subsidiary is a party; zoning restrictions, easements, licenses or restrictions on the use of Principal Property or minor irregularities in the title thereto; deposits in connection with bids, tenders, contracts (other than for the payment of money) to which the Company or any Restricted Subsidiary is a party; deposits to secure public or statutory obligations of the Company or any Restricted Subsidiary; deposits in connection with obtaining or maintaining self-insurance or to obtain the benefits of any law, regulation or arrangement pertaining to unemployment insurance, old age pensions, social security or similar matters; deposits of cash or obligations of the United States of America to secure surety, appeal or customs bonds to which the Company or any Restricted Subsidiary is a party; and liens for taxes or assessments or governmental charges or levies not yet due or delinquent, or which can thereafter be paid without penalty, or which are being contested in good faith by appropriate proceedings.</w:t>
      </w:r>
    </w:p>
    <w:p>
      <w:pPr>
        <w:spacing w:after="0" w:line="124"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Maturity</w:t>
      </w:r>
      <w:r>
        <w:rPr>
          <w:rFonts w:ascii="Arial" w:cs="Arial" w:eastAsia="Arial" w:hAnsi="Arial"/>
          <w:sz w:val="16"/>
          <w:szCs w:val="16"/>
          <w:color w:val="auto"/>
        </w:rPr>
        <w:t>,” when used with respect to any Security, means the date on which the principal of such Security or an installment of principal becomes due and payable as therein or herein provided, whether at the Stated Maturity or by declaration of acceleration, call for redemption or otherwise.</w:t>
      </w:r>
    </w:p>
    <w:p>
      <w:pPr>
        <w:spacing w:after="0" w:line="8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the Chief Executive Officer, the President, any Vice President (whether or not designated by a number or numbers, or a word or words added before or after the title Vice-President), the Treasurer, the Secretary or assistant Secretary of the Company.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Officers’ Certificat</w:t>
      </w:r>
      <w:r>
        <w:rPr>
          <w:rFonts w:ascii="Arial" w:cs="Arial" w:eastAsia="Arial" w:hAnsi="Arial"/>
          <w:sz w:val="18"/>
          <w:szCs w:val="18"/>
          <w:i w:val="1"/>
          <w:iCs w:val="1"/>
          <w:color w:val="auto"/>
        </w:rPr>
        <w:t>e</w:t>
      </w:r>
      <w:r>
        <w:rPr>
          <w:rFonts w:ascii="Arial" w:cs="Arial" w:eastAsia="Arial" w:hAnsi="Arial"/>
          <w:sz w:val="18"/>
          <w:szCs w:val="18"/>
          <w:color w:val="auto"/>
        </w:rPr>
        <w:t>” means a certificate signed by the Chairman of the Board, the President or any Vice President.</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Opinion of Counsel</w:t>
      </w:r>
      <w:r>
        <w:rPr>
          <w:rFonts w:ascii="Arial" w:cs="Arial" w:eastAsia="Arial" w:hAnsi="Arial"/>
          <w:sz w:val="18"/>
          <w:szCs w:val="18"/>
          <w:color w:val="auto"/>
        </w:rPr>
        <w:t>” means a written opinion of legal counsel, who may be (a) Perkins Coie LLP, or (b) other counsel designated by the Company and who shall be reasonably acceptable to the Trustee.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8" w:name="page29"/>
    <w:bookmarkEnd w:id="28"/>
    <w:p>
      <w:pPr>
        <w:ind w:right="1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Original Issue Discount Security</w:t>
      </w:r>
      <w:r>
        <w:rPr>
          <w:rFonts w:ascii="Arial" w:cs="Arial" w:eastAsia="Arial" w:hAnsi="Arial"/>
          <w:sz w:val="18"/>
          <w:szCs w:val="18"/>
          <w:color w:val="auto"/>
        </w:rPr>
        <w:t>” means any Security which provides for an amount less than the stated principal amount thereof to be due and payable upon declaration of acceleration of the Maturity thereof pursuant to Section 5.2.</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Outstanding</w:t>
      </w:r>
      <w:r>
        <w:rPr>
          <w:rFonts w:ascii="Arial" w:cs="Arial" w:eastAsia="Arial" w:hAnsi="Arial"/>
          <w:sz w:val="18"/>
          <w:szCs w:val="18"/>
          <w:color w:val="auto"/>
        </w:rPr>
        <w:t>,” when used with respect to Securities, means, as of the date of determination, all Securities theretofore authenticated and delivered under this Indenture, except:</w:t>
      </w:r>
    </w:p>
    <w:p>
      <w:pPr>
        <w:spacing w:after="0" w:line="51" w:lineRule="exact"/>
        <w:rPr>
          <w:sz w:val="20"/>
          <w:szCs w:val="20"/>
          <w:color w:val="auto"/>
        </w:rPr>
      </w:pPr>
    </w:p>
    <w:p>
      <w:pPr>
        <w:ind w:left="1140" w:hanging="237"/>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Securities theretofore cancelled by the Trustee or delivered to the Trustee for cancellation;</w:t>
      </w:r>
    </w:p>
    <w:p>
      <w:pPr>
        <w:spacing w:after="0" w:line="90" w:lineRule="exact"/>
        <w:rPr>
          <w:rFonts w:ascii="Arial" w:cs="Arial" w:eastAsia="Arial" w:hAnsi="Arial"/>
          <w:sz w:val="18"/>
          <w:szCs w:val="18"/>
          <w:color w:val="auto"/>
        </w:rPr>
      </w:pPr>
    </w:p>
    <w:p>
      <w:pPr>
        <w:ind w:left="460" w:right="80" w:firstLine="443"/>
        <w:spacing w:after="0" w:line="298" w:lineRule="auto"/>
        <w:tabs>
          <w:tab w:leader="none" w:pos="1147"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Securities, or portions thereof,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Securities are to be redeemed, notice of such redemption has been duly given pursuant to this Indenture or provisions therefor satisfactory to the Trustee have been made;</w:t>
      </w:r>
    </w:p>
    <w:p>
      <w:pPr>
        <w:spacing w:after="0" w:line="31" w:lineRule="exact"/>
        <w:rPr>
          <w:rFonts w:ascii="Arial" w:cs="Arial" w:eastAsia="Arial" w:hAnsi="Arial"/>
          <w:sz w:val="16"/>
          <w:szCs w:val="16"/>
          <w:color w:val="auto"/>
        </w:rPr>
      </w:pPr>
    </w:p>
    <w:p>
      <w:pPr>
        <w:ind w:left="460" w:right="340" w:firstLine="443"/>
        <w:spacing w:after="0" w:line="268" w:lineRule="auto"/>
        <w:tabs>
          <w:tab w:leader="none" w:pos="1137"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Securities, except to the extent provided in Sections 4.4 and 4.5, with respect to which the Company has effected defeasance and/or covenant defeasance as provided in Article 4; and</w:t>
      </w:r>
    </w:p>
    <w:p>
      <w:pPr>
        <w:spacing w:after="0" w:line="50" w:lineRule="exact"/>
        <w:rPr>
          <w:rFonts w:ascii="Arial" w:cs="Arial" w:eastAsia="Arial" w:hAnsi="Arial"/>
          <w:sz w:val="18"/>
          <w:szCs w:val="18"/>
          <w:color w:val="auto"/>
        </w:rPr>
      </w:pPr>
    </w:p>
    <w:p>
      <w:pPr>
        <w:ind w:left="460" w:right="20" w:firstLine="443"/>
        <w:spacing w:after="0" w:line="306" w:lineRule="auto"/>
        <w:tabs>
          <w:tab w:leader="none" w:pos="1147" w:val="left"/>
        </w:tabs>
        <w:numPr>
          <w:ilvl w:val="0"/>
          <w:numId w:val="21"/>
        </w:numPr>
        <w:rPr>
          <w:rFonts w:ascii="Arial" w:cs="Arial" w:eastAsia="Arial" w:hAnsi="Arial"/>
          <w:sz w:val="16"/>
          <w:szCs w:val="16"/>
          <w:color w:val="auto"/>
        </w:rPr>
      </w:pPr>
      <w:r>
        <w:rPr>
          <w:rFonts w:ascii="Arial" w:cs="Arial" w:eastAsia="Arial" w:hAnsi="Arial"/>
          <w:sz w:val="16"/>
          <w:szCs w:val="16"/>
          <w:color w:val="auto"/>
        </w:rPr>
        <w:t>Securities which have been paid pursuant to Section 3.6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07"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in determining whether the Holders of the requisite principal amount of the Outstanding Securities have given any request, demand,</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authorization, direction, notice, consent or waiver hereunder, or whether sufficient funds are available for redemption or for any other purpose, and for the purpose of making the calculations required by section 313 of the Trust Indenture Act, (i) the principal amount of any Original Issue Discount Securities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5.2, and (ii) Securities owned by the Company or any other obligor upon the Securities or any Affiliate of the Company or of such other obligor shall be disregarded and deemed not to be outstanding, except that, in determining whether the Trustee shall be protected in making such calculation or in relying upon any such request, demand, authorization, direction, notice, consent or waiver,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9" w:name="page30"/>
    <w:bookmarkEnd w:id="29"/>
    <w:p>
      <w:pPr>
        <w:ind w:right="4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Paying Agent</w:t>
      </w:r>
      <w:r>
        <w:rPr>
          <w:rFonts w:ascii="Arial" w:cs="Arial" w:eastAsia="Arial" w:hAnsi="Arial"/>
          <w:sz w:val="18"/>
          <w:szCs w:val="18"/>
          <w:color w:val="auto"/>
        </w:rPr>
        <w:t>” means any Person authorized by the Company to pay the principal of, premium, if any, or interest on any Securities on behalf of the Company.</w:t>
      </w:r>
    </w:p>
    <w:p>
      <w:pPr>
        <w:spacing w:after="0" w:line="132"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Periodic Offering</w:t>
      </w:r>
      <w:r>
        <w:rPr>
          <w:rFonts w:ascii="Arial" w:cs="Arial" w:eastAsia="Arial" w:hAnsi="Arial"/>
          <w:sz w:val="18"/>
          <w:szCs w:val="18"/>
          <w:color w:val="auto"/>
        </w:rPr>
        <w:t>” means an offering of Securities of a series from time to time the specific terms of which Securities, including, without limitation, the rate or rates of interest or formula for determining the rate or rates of interest thereon, if any, the Stated Maturity or Stated Maturities thereof, the original issue date or dates thereof, the redemption provisions, if any, with respect thereto, and any other terms specified as contemplated by Section 3.1 with respect thereto, are to be determined by the Company upon the issuance of such Securities.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or government or any agency or political subdivision thereof.</w:t>
      </w:r>
    </w:p>
    <w:p>
      <w:pPr>
        <w:spacing w:after="0" w:line="132"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Place of Payment</w:t>
      </w:r>
      <w:r>
        <w:rPr>
          <w:rFonts w:ascii="Arial" w:cs="Arial" w:eastAsia="Arial" w:hAnsi="Arial"/>
          <w:sz w:val="16"/>
          <w:szCs w:val="16"/>
          <w:color w:val="auto"/>
        </w:rPr>
        <w:t>,” when used with respect to the Securities of or within any series, means the place or places where, subject to the provisions of Section 9.2 the principal of, premium, if any, and interest on such Securities are payable as specified as contemplated by Section 3.1.</w:t>
      </w:r>
    </w:p>
    <w:p>
      <w:pPr>
        <w:spacing w:after="0" w:line="8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Predecessor Security</w:t>
      </w:r>
      <w:r>
        <w:rPr>
          <w:rFonts w:ascii="Arial" w:cs="Arial" w:eastAsia="Arial" w:hAnsi="Arial"/>
          <w:sz w:val="16"/>
          <w:szCs w:val="16"/>
          <w:color w:val="auto"/>
        </w:rPr>
        <w:t>” of any particular Security means every previous Security evidencing all or a portion of the same debt as that evidenced by such particular Security; and, for the purposes of this definition, any Security authenticated and delivered under Section 3.6 in exchange for or in lieu of a mutilated, destroyed, lost or stolen Security shall be deemed to evidence the same debt as the mutilated, destroyed, lost or stolen Security.</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Principal Property</w:t>
      </w:r>
      <w:r>
        <w:rPr>
          <w:rFonts w:ascii="Arial" w:cs="Arial" w:eastAsia="Arial" w:hAnsi="Arial"/>
          <w:sz w:val="16"/>
          <w:szCs w:val="16"/>
          <w:color w:val="auto"/>
        </w:rPr>
        <w:t>” means any real property that (a) is owned by or leased to the Company or any Restricted Subsidiary, (b) is located within the United States and (c) has an acquisition cost plus capitalized improvements in excess of 0.25% of Consolidated Net Tangible Assets as of the date of such determination, other than (i) any such facility which the Board of Directors may by resolution declare is not of material importance to the Company and the Restricted Subsidiaries taken as a whole and (ii) any such facility, or portion thereof, owned or leased jointly or in common with one or more persons other than the Company and any Subsidiary and in which the interest of the Company and all Subsidiaries does not exceed 50%.</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Redemption Date</w:t>
      </w:r>
      <w:r>
        <w:rPr>
          <w:rFonts w:ascii="Arial" w:cs="Arial" w:eastAsia="Arial" w:hAnsi="Arial"/>
          <w:sz w:val="16"/>
          <w:szCs w:val="16"/>
          <w:color w:val="auto"/>
        </w:rPr>
        <w:t>,” when used with respect to any Security to be redeemed, means the date fixed for such redemption by or pursuant to this Indenture.</w:t>
      </w:r>
    </w:p>
    <w:p>
      <w:pPr>
        <w:spacing w:after="0" w:line="19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 Price</w:t>
      </w:r>
      <w:r>
        <w:rPr>
          <w:rFonts w:ascii="Arial" w:cs="Arial" w:eastAsia="Arial" w:hAnsi="Arial"/>
          <w:sz w:val="18"/>
          <w:szCs w:val="18"/>
          <w:color w:val="auto"/>
        </w:rPr>
        <w:t>,” when used with respect to any Security to be redeemed, in whole or in part, means the price at which it is to be redeemed pursuant to this Indenture.</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Regular Record Date</w:t>
      </w:r>
      <w:r>
        <w:rPr>
          <w:rFonts w:ascii="Arial" w:cs="Arial" w:eastAsia="Arial" w:hAnsi="Arial"/>
          <w:sz w:val="18"/>
          <w:szCs w:val="18"/>
          <w:color w:val="auto"/>
        </w:rPr>
        <w:t>” for the interest payable on any Interest Payment Date on the Securities of or within any series means the date specified for that purpose as contemplated by Section 3.1.</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Responsible Officer</w:t>
      </w:r>
      <w:r>
        <w:rPr>
          <w:rFonts w:ascii="Arial" w:cs="Arial" w:eastAsia="Arial" w:hAnsi="Arial"/>
          <w:sz w:val="16"/>
          <w:szCs w:val="16"/>
          <w:color w:val="auto"/>
        </w:rPr>
        <w:t>,” when used with respect to the Trustee, shall mean any vice president, any assistant vice president, any assistant treasurer, any trust officer, or any other officer of the Trustee customarily performing functions similar to those performed by the persons who at the time shall be such officers, respectively, and also means, with respect to a particular corporate trust matter, any other officer to whom such corporate trust matter is referred because of his knowledge of and familiarity with the particular subject and who shall have direct responsibility for the administration of this Indenture.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30" w:name="page31"/>
    <w:bookmarkEnd w:id="3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Restricted Securities</w:t>
      </w:r>
      <w:r>
        <w:rPr>
          <w:rFonts w:ascii="Arial" w:cs="Arial" w:eastAsia="Arial" w:hAnsi="Arial"/>
          <w:sz w:val="18"/>
          <w:szCs w:val="18"/>
          <w:color w:val="auto"/>
        </w:rPr>
        <w:t>” means any shares of capital stock or Indebtedness of a Restricted Subsidiary.</w:t>
      </w:r>
    </w:p>
    <w:p>
      <w:pPr>
        <w:spacing w:after="0" w:line="171" w:lineRule="exact"/>
        <w:rPr>
          <w:sz w:val="20"/>
          <w:szCs w:val="20"/>
          <w:color w:val="auto"/>
        </w:rPr>
      </w:pPr>
    </w:p>
    <w:p>
      <w:pPr>
        <w:ind w:right="20" w:firstLine="456"/>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Subsidiary</w:t>
      </w:r>
      <w:r>
        <w:rPr>
          <w:rFonts w:ascii="Arial" w:cs="Arial" w:eastAsia="Arial" w:hAnsi="Arial"/>
          <w:sz w:val="16"/>
          <w:szCs w:val="16"/>
          <w:color w:val="auto"/>
        </w:rPr>
        <w:t xml:space="preserve">” means (a) any Subsidiary (i) which has substantially all its property within the United States of America, (ii) which owns or is a lessee of any Principal Property, and (iii) in which the investment of the Company and all other Subsidiaries exceeds 0.25% of Consolidated Net Tangible Assets as of the date of such determination;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term “Restricted Subsidiary” shall not include (A) any Subsidiary (1) primarily engaged in the business of purchasing, holding, collecting, servicing or otherwise dealing in and with installment sales contracts, leases, trust receipts, mortgages, commercial paper or other financing instruments and any collateral or agreements relating thereto, including in the business, individually or through partnerships, of financing (whether through long- or short-term borrowings, pledges, discounts or otherwise) the sales, leasing or other operations of the Company and the Subsidiaries or any of them, or (2) engaged in the business of financing the assets and operations of third parties; provided that notwithstanding (1) and (2) above, such Subsidiary shall be a Restricted Subsidiary if it owns, leases or operates any property which would qualify as Principal Property except as incidental to such</w:t>
      </w:r>
    </w:p>
    <w:p>
      <w:pPr>
        <w:spacing w:after="0" w:line="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financing business; or (B) any Subsidiary acquired or organized after , 201 for the purpose of acquiring the stock or business or assets of any person other than the Company or any Restricted Subsidiary, whether by merger, consolidation, acquisition of stock or assets or similar transaction analogous in purpose or effect, so long as such Subsidiary does not acquire by merger, consolidation, acquisition of stock or assets or similar transactions analogous in purpose or effect all or any substantial part of the business or assets of the Company or any Restricted Subsidiary; and (b) any other Subsidiary which is hereafter designated by the Board of Directors as a Restricted Subsidiary.</w:t>
      </w:r>
    </w:p>
    <w:p>
      <w:pPr>
        <w:spacing w:after="0" w:line="145" w:lineRule="exact"/>
        <w:rPr>
          <w:sz w:val="20"/>
          <w:szCs w:val="20"/>
          <w:color w:val="auto"/>
        </w:rPr>
      </w:pPr>
    </w:p>
    <w:p>
      <w:pPr>
        <w:ind w:right="40" w:firstLine="456"/>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Sale and Leaseback Transaction</w:t>
      </w:r>
      <w:r>
        <w:rPr>
          <w:rFonts w:ascii="Arial" w:cs="Arial" w:eastAsia="Arial" w:hAnsi="Arial"/>
          <w:sz w:val="15"/>
          <w:szCs w:val="15"/>
          <w:color w:val="auto"/>
        </w:rPr>
        <w:t>” means any arrangement with any person providing for the leasing by the Company or any Restricted Subsidiary of any Principal Property (whether such Principal Property is now owned or hereafter acquired) that has been or is to be sold or transferred by the Company or such Restricted Subsidiary to such person, other than (a) temporary leases for a term, including renewals at the option of the lessee, of not more than three years;</w:t>
      </w:r>
    </w:p>
    <w:p>
      <w:pPr>
        <w:spacing w:after="0" w:line="1" w:lineRule="exact"/>
        <w:rPr>
          <w:sz w:val="20"/>
          <w:szCs w:val="20"/>
          <w:color w:val="auto"/>
        </w:rPr>
      </w:pPr>
    </w:p>
    <w:p>
      <w:pPr>
        <w:jc w:val="both"/>
        <w:ind w:right="140" w:firstLine="8"/>
        <w:spacing w:after="0" w:line="302" w:lineRule="auto"/>
        <w:tabs>
          <w:tab w:leader="none" w:pos="2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leases between the Company and a Restricted Subsidiary or between Restricted Subsidiaries; and (c) leases of Principal Property executed by the time of, or within 180 days after the latest of, the acquisition, the completion of construction or improvement (including any improvements on property which will result in such property becoming Principal Property), or the commencement of commercial operation of such Principal Property.</w:t>
      </w:r>
    </w:p>
    <w:p>
      <w:pPr>
        <w:spacing w:after="0" w:line="10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Secured Indebtedness</w:t>
      </w:r>
      <w:r>
        <w:rPr>
          <w:rFonts w:ascii="Arial" w:cs="Arial" w:eastAsia="Arial" w:hAnsi="Arial"/>
          <w:sz w:val="16"/>
          <w:szCs w:val="16"/>
          <w:color w:val="auto"/>
        </w:rPr>
        <w:t>” means (a) Indebtedness of the Company or a Restricted Subsidiary which is secured by any Lien upon any Principal Property or Restricted Securities and (b) Indebtedness of the Company or a Restricted Subsidiary in respect of any conditional sale or other title retention agreement covering Principal Property or Restricted Securities; but “Secured Indebtedness” shall not include any of the following: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31" w:name="page32"/>
    <w:bookmarkEnd w:id="31"/>
    <w:p>
      <w:pPr>
        <w:ind w:right="160" w:firstLine="438"/>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Indebtedness of the Company and the Restricted Subsidiaries outstanding on , 201 , secured by then existing Liens upon, or incurred in connection with conditional sales agreements or other title retention agreements with respect to, Principal Property or Restricted Securities;</w:t>
      </w:r>
    </w:p>
    <w:p>
      <w:pPr>
        <w:spacing w:after="0" w:line="4" w:lineRule="exact"/>
        <w:rPr>
          <w:sz w:val="20"/>
          <w:szCs w:val="20"/>
          <w:color w:val="auto"/>
        </w:rPr>
      </w:pPr>
    </w:p>
    <w:p>
      <w:pPr>
        <w:ind w:right="160" w:firstLine="438"/>
        <w:spacing w:after="0" w:line="286" w:lineRule="auto"/>
        <w:rPr>
          <w:sz w:val="20"/>
          <w:szCs w:val="20"/>
          <w:color w:val="auto"/>
        </w:rPr>
      </w:pPr>
      <w:r>
        <w:rPr>
          <w:rFonts w:ascii="Arial" w:cs="Arial" w:eastAsia="Arial" w:hAnsi="Arial"/>
          <w:sz w:val="16"/>
          <w:szCs w:val="16"/>
          <w:color w:val="auto"/>
        </w:rPr>
        <w:t>(ii) Indebtedness which is secured by (A) purchase money Liens upon Principal Property or Restricted Securities acquired after , 201 , or (B) Liens placed on Principal Property after , 201 , during construction or improvement thereof (including any improvements on property which</w:t>
      </w:r>
    </w:p>
    <w:p>
      <w:pPr>
        <w:ind w:right="140"/>
        <w:spacing w:after="0" w:line="300" w:lineRule="auto"/>
        <w:rPr>
          <w:sz w:val="20"/>
          <w:szCs w:val="20"/>
          <w:color w:val="auto"/>
        </w:rPr>
      </w:pPr>
      <w:r>
        <w:rPr>
          <w:rFonts w:ascii="Arial" w:cs="Arial" w:eastAsia="Arial" w:hAnsi="Arial"/>
          <w:sz w:val="15"/>
          <w:szCs w:val="15"/>
          <w:color w:val="auto"/>
        </w:rPr>
        <w:t>will result in such property becoming Principal Property) or placed thereon within 180 days after the later of acquisition, completion of construction or improvement or the commencement of commercial operation of such Principal Property or improvement, or placed on Restricted Securities acquired after</w:t>
      </w:r>
    </w:p>
    <w:p>
      <w:pPr>
        <w:spacing w:after="0" w:line="1" w:lineRule="exact"/>
        <w:rPr>
          <w:sz w:val="20"/>
          <w:szCs w:val="20"/>
          <w:color w:val="auto"/>
        </w:rPr>
      </w:pPr>
    </w:p>
    <w:p>
      <w:pPr>
        <w:ind w:left="540"/>
        <w:spacing w:after="0"/>
        <w:tabs>
          <w:tab w:leader="none" w:pos="1040" w:val="left"/>
        </w:tabs>
        <w:rPr>
          <w:sz w:val="20"/>
          <w:szCs w:val="20"/>
          <w:color w:val="auto"/>
        </w:rPr>
      </w:pPr>
      <w:r>
        <w:rPr>
          <w:rFonts w:ascii="Arial" w:cs="Arial" w:eastAsia="Arial" w:hAnsi="Arial"/>
          <w:sz w:val="18"/>
          <w:szCs w:val="18"/>
          <w:color w:val="auto"/>
        </w:rPr>
        <w:t>, 201</w:t>
      </w:r>
      <w:r>
        <w:rPr>
          <w:sz w:val="20"/>
          <w:szCs w:val="20"/>
          <w:color w:val="auto"/>
        </w:rPr>
        <w:tab/>
      </w:r>
      <w:r>
        <w:rPr>
          <w:rFonts w:ascii="Arial" w:cs="Arial" w:eastAsia="Arial" w:hAnsi="Arial"/>
          <w:sz w:val="15"/>
          <w:szCs w:val="15"/>
          <w:color w:val="auto"/>
        </w:rPr>
        <w:t>, or (C) conditional sale agreements or other title retention agreements with respect to any Principal Property or Restricted Securities</w:t>
      </w:r>
    </w:p>
    <w:p>
      <w:pPr>
        <w:spacing w:after="0" w:line="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acquired after , 201 if (in each case referred to is this subparagraph (ii)) (1) such Lien or agreement secures all or any part of the Indebtedness incurred for the purpose of financing all or any part of the purchase price or cost of construction of such Principal Property or improvement or Restricted Securities and (2) such Lien or agreement does not extend to any Principal Property or Restricted Securities other than the Principal Property or Restricted Securities so acquired or the Principal Property, or portion thereof, on which the property so constructed, or such improvement is located;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amount by which the aggregate principal amount of Indebtedness secured by any such Lien or agreement exceeds the cost to</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or such Restricted Subsidiary of the related acquisition, construction or improvement shall be considered to be “Secured Indebtedness”;</w:t>
      </w:r>
    </w:p>
    <w:p>
      <w:pPr>
        <w:spacing w:after="0" w:line="37" w:lineRule="exact"/>
        <w:rPr>
          <w:sz w:val="20"/>
          <w:szCs w:val="20"/>
          <w:color w:val="auto"/>
        </w:rPr>
      </w:pPr>
    </w:p>
    <w:p>
      <w:pPr>
        <w:ind w:right="500" w:firstLine="443"/>
        <w:spacing w:after="0" w:line="332" w:lineRule="auto"/>
        <w:tabs>
          <w:tab w:leader="none" w:pos="745"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Indebtedness which is secured by Liens on Principal Property or Restricted Securities, which Liens exist at the time of acquisition (by any manner whatsoever) of such Principal Property or Restricted Securities by the Company or a Restricted Subsidiary;</w:t>
      </w:r>
    </w:p>
    <w:p>
      <w:pPr>
        <w:spacing w:after="0" w:line="4" w:lineRule="exact"/>
        <w:rPr>
          <w:rFonts w:ascii="Arial" w:cs="Arial" w:eastAsia="Arial" w:hAnsi="Arial"/>
          <w:sz w:val="16"/>
          <w:szCs w:val="16"/>
          <w:color w:val="auto"/>
        </w:rPr>
      </w:pPr>
    </w:p>
    <w:p>
      <w:pPr>
        <w:ind w:right="260" w:firstLine="443"/>
        <w:spacing w:after="0" w:line="268" w:lineRule="auto"/>
        <w:tabs>
          <w:tab w:leader="none" w:pos="7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Indebtedness of Restricted Subsidiaries owing to the Company or any other Restricted Subsidiary and Indebtedness of the Company owing to any Restricted Subsidiary;</w:t>
      </w:r>
    </w:p>
    <w:p>
      <w:pPr>
        <w:spacing w:after="0" w:line="51" w:lineRule="exact"/>
        <w:rPr>
          <w:sz w:val="20"/>
          <w:szCs w:val="20"/>
          <w:color w:val="auto"/>
        </w:rPr>
      </w:pPr>
    </w:p>
    <w:p>
      <w:pPr>
        <w:jc w:val="both"/>
        <w:ind w:right="160" w:firstLine="438"/>
        <w:spacing w:after="0" w:line="259" w:lineRule="auto"/>
        <w:rPr>
          <w:sz w:val="20"/>
          <w:szCs w:val="20"/>
          <w:color w:val="auto"/>
        </w:rPr>
      </w:pPr>
      <w:r>
        <w:rPr>
          <w:rFonts w:ascii="Arial" w:cs="Arial" w:eastAsia="Arial" w:hAnsi="Arial"/>
          <w:sz w:val="18"/>
          <w:szCs w:val="18"/>
          <w:color w:val="auto"/>
        </w:rPr>
        <w:t>(v) in the case of any corporation which becomes (by any manner whatsoever) a Restricted Subsidiary after , 201 , Indebtedness which is secured by Liens upon, or conditional sale agreements or other title retention agreements with respect to, its property which constitutes Principal Property or Restricted Securities, which Liens exist at the time such corporation becomes a Restricted Subsidiary;</w:t>
      </w:r>
    </w:p>
    <w:p>
      <w:pPr>
        <w:spacing w:after="0" w:line="59" w:lineRule="exact"/>
        <w:rPr>
          <w:sz w:val="20"/>
          <w:szCs w:val="20"/>
          <w:color w:val="auto"/>
        </w:rPr>
      </w:pPr>
    </w:p>
    <w:p>
      <w:pPr>
        <w:ind w:right="600" w:firstLine="443"/>
        <w:spacing w:after="0" w:line="332" w:lineRule="auto"/>
        <w:tabs>
          <w:tab w:leader="none" w:pos="736" w:val="left"/>
        </w:tabs>
        <w:numPr>
          <w:ilvl w:val="0"/>
          <w:numId w:val="24"/>
        </w:numPr>
        <w:rPr>
          <w:rFonts w:ascii="Arial" w:cs="Arial" w:eastAsia="Arial" w:hAnsi="Arial"/>
          <w:sz w:val="16"/>
          <w:szCs w:val="16"/>
          <w:color w:val="auto"/>
        </w:rPr>
      </w:pPr>
      <w:r>
        <w:rPr>
          <w:rFonts w:ascii="Arial" w:cs="Arial" w:eastAsia="Arial" w:hAnsi="Arial"/>
          <w:sz w:val="16"/>
          <w:szCs w:val="16"/>
          <w:color w:val="auto"/>
        </w:rPr>
        <w:t>guarantees by the Company of Secured Indebtedness and Attributable Debt of any Restricted Subsidiaries and guarantees by a Restricted Subsidiary of Secured Indebtedness and Attributable Debt of the Company and any other Restricted Subsidiaries;</w:t>
      </w:r>
    </w:p>
    <w:p>
      <w:pPr>
        <w:spacing w:after="0" w:line="4" w:lineRule="exact"/>
        <w:rPr>
          <w:rFonts w:ascii="Arial" w:cs="Arial" w:eastAsia="Arial" w:hAnsi="Arial"/>
          <w:sz w:val="16"/>
          <w:szCs w:val="16"/>
          <w:color w:val="auto"/>
        </w:rPr>
      </w:pPr>
    </w:p>
    <w:p>
      <w:pPr>
        <w:ind w:left="780" w:hanging="337"/>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Indebtedness arising from any Sale and Leaseback Transaction;</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32" w:name="page33"/>
    <w:bookmarkEnd w:id="32"/>
    <w:p>
      <w:pPr>
        <w:ind w:left="460" w:right="60" w:firstLine="443"/>
        <w:spacing w:after="0" w:line="291" w:lineRule="auto"/>
        <w:tabs>
          <w:tab w:leader="none" w:pos="1293" w:val="left"/>
        </w:tabs>
        <w:numPr>
          <w:ilvl w:val="1"/>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Indebtedness secured by Liens on property of the Company or a Restricted Subsidiary in favor of the United States of America, any State, Territory or possession thereof, or the District of Columbia, or any department, agency or instrumentality or political subdivision of the United States of America or any State, Territory or possession thereof, or the District of Columbia, or in favor of any other country or any political subdivision thereof, if such Indebtedness was incurred for the purpose of financing all or any part of the purchase price or the cost of construction of the property subject to such Liens;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amount by which the aggregate principal amount of Indebtedness secured by any such Lien exceeds the cost to the Company or such Restricted Subsidiary of the related acquisition or construction shall be considered to be “Secured Indebtedness”; and</w:t>
      </w:r>
    </w:p>
    <w:p>
      <w:pPr>
        <w:spacing w:after="0" w:line="39" w:lineRule="exact"/>
        <w:rPr>
          <w:rFonts w:ascii="Arial" w:cs="Arial" w:eastAsia="Arial" w:hAnsi="Arial"/>
          <w:sz w:val="16"/>
          <w:szCs w:val="16"/>
          <w:color w:val="auto"/>
        </w:rPr>
      </w:pPr>
    </w:p>
    <w:p>
      <w:pPr>
        <w:ind w:left="460" w:right="120" w:firstLine="443"/>
        <w:spacing w:after="0" w:line="302" w:lineRule="auto"/>
        <w:tabs>
          <w:tab w:leader="none" w:pos="1196" w:val="left"/>
        </w:tabs>
        <w:numPr>
          <w:ilvl w:val="1"/>
          <w:numId w:val="25"/>
        </w:numPr>
        <w:rPr>
          <w:rFonts w:ascii="Arial" w:cs="Arial" w:eastAsia="Arial" w:hAnsi="Arial"/>
          <w:sz w:val="15"/>
          <w:szCs w:val="15"/>
          <w:color w:val="auto"/>
        </w:rPr>
      </w:pPr>
      <w:r>
        <w:rPr>
          <w:rFonts w:ascii="Arial" w:cs="Arial" w:eastAsia="Arial" w:hAnsi="Arial"/>
          <w:sz w:val="15"/>
          <w:szCs w:val="15"/>
          <w:color w:val="auto"/>
        </w:rPr>
        <w:t xml:space="preserve">the replacement, extension or renewal (or successive replacements, extensions or renewals) of any Indebtedness (in whole or in part) excluded from the definition of “Secured Indebtedness” by subparagraphs (i) through (viii) above;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no Lien securing, or conditional sale or title retention agreement with respect to, such Indebtedness shall extend to or cover any Principal Property or any Restricted Securities, other than such property which secured the Indebtedness so replaced, extended or renewed (plus improvements on or to any such Principal Property); provided further, however, that to the extent that such replacement, extension or renewal increases the principal amount of Indebtedness secured by such Lien or is in a principal amount in excess of the principal amount of Indebtedness excluded from the definition of “Secured Indebtedness” by subparagraphs (i) through</w:t>
      </w:r>
    </w:p>
    <w:p>
      <w:pPr>
        <w:ind w:left="860" w:hanging="396"/>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above, the amount of such increase or excess shall be considered to be “Secured Indebtedness”.</w:t>
      </w:r>
    </w:p>
    <w:p>
      <w:pPr>
        <w:spacing w:after="0" w:line="16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no event shall the foregoing provisions be interpreted to mean or their operation to cause the same Indebtedness to be included more than once is the calculation of “Secured Indebtedness” as that term is used in this Indenture.</w:t>
      </w:r>
    </w:p>
    <w:p>
      <w:pPr>
        <w:spacing w:after="0" w:line="13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w:t>
      </w:r>
      <w:r>
        <w:rPr>
          <w:rFonts w:ascii="Arial" w:cs="Arial" w:eastAsia="Arial" w:hAnsi="Arial"/>
          <w:sz w:val="18"/>
          <w:szCs w:val="18"/>
          <w:color w:val="auto"/>
        </w:rPr>
        <w:t>” or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has the meaning stated in the first recital of this Indenture and more particularly means any Security or Securities of the Company issued, authenticated and delivered under this Indenture.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Special Record Date</w:t>
      </w:r>
      <w:r>
        <w:rPr>
          <w:rFonts w:ascii="Arial" w:cs="Arial" w:eastAsia="Arial" w:hAnsi="Arial"/>
          <w:sz w:val="15"/>
          <w:szCs w:val="15"/>
          <w:color w:val="auto"/>
        </w:rPr>
        <w:t>” for the payment of any Defaulted Interest on the Securities of any issue means a date fixed by the Trustee pursuant to Section 3.7.</w:t>
      </w:r>
    </w:p>
    <w:p>
      <w:pPr>
        <w:spacing w:after="0" w:line="20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Stated Maturity</w:t>
      </w:r>
      <w:r>
        <w:rPr>
          <w:rFonts w:ascii="Arial" w:cs="Arial" w:eastAsia="Arial" w:hAnsi="Arial"/>
          <w:sz w:val="16"/>
          <w:szCs w:val="16"/>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8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any corporation of which the Company at the time owns or controls, directly or indirectly, more than 50% of the shares of outstanding stock having general voting power under ordinary circumstances to elect a majority of the Board of Directors of such corporation (irrespective of whether or not at the time stock of any other class or classes of such corporation shall have or might have voting power by reason of the happening of any contingency).</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80" w:right="319" w:bottom="1440" w:gutter="0" w:footer="0" w:header="0"/>
        </w:sectPr>
      </w:pPr>
    </w:p>
    <w:bookmarkStart w:id="33" w:name="page34"/>
    <w:bookmarkEnd w:id="33"/>
    <w:p>
      <w:pPr>
        <w:ind w:right="1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means the party named as such in the first paragraph of this Indenture until a successor Trustee replaces it pursuant to the applicable provisions of this Indenture, and thereafter means such successor Trustee and if, at any time, there is more than one Trustee,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as used with respect to the Securities of any series shall mean the Trustee with respect to the Securities of that series.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Trust Indenture Act</w:t>
      </w:r>
      <w:r>
        <w:rPr>
          <w:rFonts w:ascii="Arial" w:cs="Arial" w:eastAsia="Arial" w:hAnsi="Arial"/>
          <w:sz w:val="16"/>
          <w:szCs w:val="16"/>
          <w:color w:val="auto"/>
        </w:rPr>
        <w:t>” means the Trust Indenture Act of 1939, as amended, as in effect on the date of this Indenture, except as provided in Section 8.3.</w:t>
      </w:r>
    </w:p>
    <w:p>
      <w:pPr>
        <w:spacing w:after="0" w:line="19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Yield to Maturity</w:t>
      </w:r>
      <w:r>
        <w:rPr>
          <w:rFonts w:ascii="Arial" w:cs="Arial" w:eastAsia="Arial" w:hAnsi="Arial"/>
          <w:sz w:val="18"/>
          <w:szCs w:val="18"/>
          <w:color w:val="auto"/>
        </w:rPr>
        <w:t>” means the yield to maturity, calculated by the Company at the time of issuance of a series of Securities or, if applicable, at the most recent determination of interest on such series, in accordance with accepted financial practice.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The following terms shall have the meanings specified in the Sections referred to opposite such term below:</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3900" w:type="dxa"/>
            <w:vAlign w:val="bottom"/>
          </w:tcPr>
          <w:p>
            <w:pPr>
              <w:spacing w:after="0"/>
              <w:rPr>
                <w:sz w:val="14"/>
                <w:szCs w:val="14"/>
                <w:color w:val="auto"/>
              </w:rPr>
            </w:pPr>
          </w:p>
        </w:tc>
        <w:tc>
          <w:tcPr>
            <w:tcW w:w="3520" w:type="dxa"/>
            <w:vAlign w:val="bottom"/>
            <w:gridSpan w:val="3"/>
          </w:tcPr>
          <w:p>
            <w:pPr>
              <w:ind w:left="2820"/>
              <w:spacing w:after="0"/>
              <w:rPr>
                <w:sz w:val="20"/>
                <w:szCs w:val="20"/>
                <w:color w:val="auto"/>
              </w:rPr>
            </w:pPr>
            <w:r>
              <w:rPr>
                <w:rFonts w:ascii="Arial" w:cs="Arial" w:eastAsia="Arial" w:hAnsi="Arial"/>
                <w:sz w:val="14"/>
                <w:szCs w:val="14"/>
                <w:b w:val="1"/>
                <w:bCs w:val="1"/>
                <w:color w:val="auto"/>
              </w:rPr>
              <w:t>Section</w:t>
            </w:r>
          </w:p>
        </w:tc>
        <w:tc>
          <w:tcPr>
            <w:tcW w:w="0" w:type="dxa"/>
            <w:vAlign w:val="bottom"/>
          </w:tcPr>
          <w:p>
            <w:pPr>
              <w:spacing w:after="0"/>
              <w:rPr>
                <w:sz w:val="1"/>
                <w:szCs w:val="1"/>
                <w:color w:val="auto"/>
              </w:rPr>
            </w:pPr>
          </w:p>
        </w:tc>
      </w:tr>
      <w:tr>
        <w:trPr>
          <w:trHeight w:val="20"/>
        </w:trPr>
        <w:tc>
          <w:tcPr>
            <w:tcW w:w="42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“Act”</w:t>
            </w:r>
          </w:p>
        </w:tc>
        <w:tc>
          <w:tcPr>
            <w:tcW w:w="28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gridSpan w:val="2"/>
            <w:vMerge w:val="continue"/>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220"/>
              <w:spacing w:after="0" w:line="203" w:lineRule="exact"/>
              <w:rPr>
                <w:sz w:val="20"/>
                <w:szCs w:val="20"/>
                <w:color w:val="auto"/>
              </w:rPr>
            </w:pPr>
            <w:r>
              <w:rPr>
                <w:rFonts w:ascii="Arial" w:cs="Arial" w:eastAsia="Arial" w:hAnsi="Arial"/>
                <w:sz w:val="18"/>
                <w:szCs w:val="18"/>
                <w:color w:val="auto"/>
                <w:w w:val="97"/>
              </w:rPr>
              <w:t>1.4(a)</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“Bankruptcy Law”</w:t>
            </w:r>
          </w:p>
        </w:tc>
        <w:tc>
          <w:tcPr>
            <w:tcW w:w="3260" w:type="dxa"/>
            <w:vAlign w:val="bottom"/>
            <w:gridSpan w:val="2"/>
          </w:tcPr>
          <w:p>
            <w:pPr>
              <w:ind w:left="3040"/>
              <w:spacing w:after="0"/>
              <w:rPr>
                <w:sz w:val="20"/>
                <w:szCs w:val="20"/>
                <w:color w:val="auto"/>
              </w:rPr>
            </w:pPr>
            <w:r>
              <w:rPr>
                <w:rFonts w:ascii="Arial" w:cs="Arial" w:eastAsia="Arial" w:hAnsi="Arial"/>
                <w:sz w:val="18"/>
                <w:szCs w:val="18"/>
                <w:color w:val="auto"/>
                <w:w w:val="79"/>
              </w:rPr>
              <w:t>5.1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“Custodian”</w:t>
            </w:r>
          </w:p>
        </w:tc>
        <w:tc>
          <w:tcPr>
            <w:tcW w:w="3260" w:type="dxa"/>
            <w:vAlign w:val="bottom"/>
            <w:gridSpan w:val="2"/>
            <w:shd w:val="clear" w:color="auto" w:fill="CCEEFF"/>
          </w:tcPr>
          <w:p>
            <w:pPr>
              <w:ind w:left="3040"/>
              <w:spacing w:after="0"/>
              <w:rPr>
                <w:sz w:val="20"/>
                <w:szCs w:val="20"/>
                <w:color w:val="auto"/>
              </w:rPr>
            </w:pPr>
            <w:r>
              <w:rPr>
                <w:rFonts w:ascii="Arial" w:cs="Arial" w:eastAsia="Arial" w:hAnsi="Arial"/>
                <w:sz w:val="18"/>
                <w:szCs w:val="18"/>
                <w:color w:val="auto"/>
                <w:w w:val="79"/>
              </w:rPr>
              <w:t>5.1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“Defaulted Interest”</w:t>
            </w:r>
          </w:p>
        </w:tc>
        <w:tc>
          <w:tcPr>
            <w:tcW w:w="282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w w:val="97"/>
              </w:rPr>
              <w:t>3.7(b)</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“Event of Default”</w:t>
            </w:r>
          </w:p>
        </w:tc>
        <w:tc>
          <w:tcPr>
            <w:tcW w:w="3260" w:type="dxa"/>
            <w:vAlign w:val="bottom"/>
            <w:gridSpan w:val="2"/>
            <w:shd w:val="clear" w:color="auto" w:fill="CCEEFF"/>
          </w:tcPr>
          <w:p>
            <w:pPr>
              <w:ind w:left="3040"/>
              <w:spacing w:after="0"/>
              <w:rPr>
                <w:sz w:val="20"/>
                <w:szCs w:val="20"/>
                <w:color w:val="auto"/>
              </w:rPr>
            </w:pPr>
            <w:r>
              <w:rPr>
                <w:rFonts w:ascii="Arial" w:cs="Arial" w:eastAsia="Arial" w:hAnsi="Arial"/>
                <w:sz w:val="18"/>
                <w:szCs w:val="18"/>
                <w:color w:val="auto"/>
                <w:w w:val="79"/>
              </w:rPr>
              <w:t>5.1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“Register”</w:t>
            </w:r>
          </w:p>
        </w:tc>
        <w:tc>
          <w:tcPr>
            <w:tcW w:w="3260" w:type="dxa"/>
            <w:vAlign w:val="bottom"/>
            <w:gridSpan w:val="2"/>
          </w:tcPr>
          <w:p>
            <w:pPr>
              <w:ind w:left="3040"/>
              <w:spacing w:after="0"/>
              <w:rPr>
                <w:sz w:val="20"/>
                <w:szCs w:val="20"/>
                <w:color w:val="auto"/>
              </w:rPr>
            </w:pPr>
            <w:r>
              <w:rPr>
                <w:rFonts w:ascii="Arial" w:cs="Arial" w:eastAsia="Arial" w:hAnsi="Arial"/>
                <w:sz w:val="18"/>
                <w:szCs w:val="18"/>
                <w:color w:val="auto"/>
                <w:w w:val="79"/>
              </w:rPr>
              <w:t>3.5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“Registrar”</w:t>
            </w:r>
          </w:p>
        </w:tc>
        <w:tc>
          <w:tcPr>
            <w:tcW w:w="3260" w:type="dxa"/>
            <w:vAlign w:val="bottom"/>
            <w:gridSpan w:val="2"/>
            <w:shd w:val="clear" w:color="auto" w:fill="CCEEFF"/>
          </w:tcPr>
          <w:p>
            <w:pPr>
              <w:ind w:left="3040"/>
              <w:spacing w:after="0"/>
              <w:rPr>
                <w:sz w:val="20"/>
                <w:szCs w:val="20"/>
                <w:color w:val="auto"/>
              </w:rPr>
            </w:pPr>
            <w:r>
              <w:rPr>
                <w:rFonts w:ascii="Arial" w:cs="Arial" w:eastAsia="Arial" w:hAnsi="Arial"/>
                <w:sz w:val="18"/>
                <w:szCs w:val="18"/>
                <w:color w:val="auto"/>
                <w:w w:val="79"/>
              </w:rPr>
              <w:t>3.5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Compliance Certificates and Opinions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(other than pursuant to Sections 2.3, 3.3 and 9.6) shall include:</w:t>
      </w:r>
    </w:p>
    <w:p>
      <w:pPr>
        <w:spacing w:after="0" w:line="51" w:lineRule="exact"/>
        <w:rPr>
          <w:sz w:val="20"/>
          <w:szCs w:val="20"/>
          <w:color w:val="auto"/>
        </w:rPr>
      </w:pPr>
    </w:p>
    <w:p>
      <w:pPr>
        <w:ind w:left="1140" w:hanging="237"/>
        <w:spacing w:after="0"/>
        <w:tabs>
          <w:tab w:leader="none" w:pos="11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statement that each individual signing such certificate or opinion has read such condition or covenant and the definitions herein relating thereto;</w:t>
      </w:r>
    </w:p>
    <w:p>
      <w:pPr>
        <w:spacing w:after="0" w:line="113" w:lineRule="exact"/>
        <w:rPr>
          <w:rFonts w:ascii="Arial" w:cs="Arial" w:eastAsia="Arial" w:hAnsi="Arial"/>
          <w:sz w:val="16"/>
          <w:szCs w:val="16"/>
          <w:color w:val="auto"/>
        </w:rPr>
      </w:pPr>
    </w:p>
    <w:p>
      <w:pPr>
        <w:ind w:left="460" w:right="720" w:firstLine="443"/>
        <w:spacing w:after="0" w:line="268" w:lineRule="auto"/>
        <w:tabs>
          <w:tab w:leader="none" w:pos="11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34" w:name="page35"/>
    <w:bookmarkEnd w:id="34"/>
    <w:p>
      <w:pPr>
        <w:ind w:left="460" w:right="20" w:firstLine="443"/>
        <w:spacing w:after="0" w:line="268" w:lineRule="auto"/>
        <w:tabs>
          <w:tab w:leader="none" w:pos="1137"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statement that, in the opinion of each such individual, he has made such examination or investigation as is necessary to enable him to express an informed opinion as to whether or not such condition or covenant has been complied with;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Form of Document Delivered to Trustee</w:t>
      </w:r>
    </w:p>
    <w:p>
      <w:pPr>
        <w:spacing w:after="0" w:line="96"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4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Any certificates or opinions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as to such matters are erroneous.</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Acts of Holders</w:t>
      </w:r>
    </w:p>
    <w:p>
      <w:pPr>
        <w:spacing w:after="0" w:line="96" w:lineRule="exact"/>
        <w:rPr>
          <w:sz w:val="20"/>
          <w:szCs w:val="20"/>
          <w:color w:val="auto"/>
        </w:rPr>
      </w:pPr>
    </w:p>
    <w:p>
      <w:pPr>
        <w:ind w:firstLine="464"/>
        <w:spacing w:after="0" w:line="291" w:lineRule="auto"/>
        <w:tabs>
          <w:tab w:leader="none" w:pos="695"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agent duly appointed in writing.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conclusive in favor of the Trustee and the Company, if made in the manner provided in this Section.</w:t>
      </w:r>
    </w:p>
    <w:p>
      <w:pPr>
        <w:spacing w:after="0" w:line="120" w:lineRule="exact"/>
        <w:rPr>
          <w:rFonts w:ascii="Arial" w:cs="Arial" w:eastAsia="Arial" w:hAnsi="Arial"/>
          <w:sz w:val="16"/>
          <w:szCs w:val="16"/>
          <w:color w:val="auto"/>
        </w:rPr>
      </w:pPr>
    </w:p>
    <w:p>
      <w:pPr>
        <w:ind w:right="120" w:firstLine="464"/>
        <w:spacing w:after="0" w:line="259"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35" w:name="page36"/>
    <w:bookmarkEnd w:id="35"/>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reasonable manner which the Trustee deems sufficient.</w:t>
      </w:r>
    </w:p>
    <w:p>
      <w:pPr>
        <w:spacing w:after="0" w:line="140" w:lineRule="exact"/>
        <w:rPr>
          <w:sz w:val="20"/>
          <w:szCs w:val="20"/>
          <w:color w:val="auto"/>
        </w:rPr>
      </w:pPr>
    </w:p>
    <w:p>
      <w:pPr>
        <w:ind w:left="700" w:hanging="23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ownership of Securities shall be proved by the Register.</w:t>
      </w:r>
    </w:p>
    <w:p>
      <w:pPr>
        <w:spacing w:after="0" w:line="171" w:lineRule="exact"/>
        <w:rPr>
          <w:rFonts w:ascii="Arial" w:cs="Arial" w:eastAsia="Arial" w:hAnsi="Arial"/>
          <w:sz w:val="18"/>
          <w:szCs w:val="18"/>
          <w:color w:val="auto"/>
        </w:rPr>
      </w:pPr>
    </w:p>
    <w:p>
      <w:pPr>
        <w:ind w:right="120" w:firstLine="464"/>
        <w:spacing w:after="0" w:line="306" w:lineRule="auto"/>
        <w:tabs>
          <w:tab w:leader="none" w:pos="705"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06" w:lineRule="exact"/>
        <w:rPr>
          <w:rFonts w:ascii="Arial" w:cs="Arial" w:eastAsia="Arial" w:hAnsi="Arial"/>
          <w:sz w:val="16"/>
          <w:szCs w:val="16"/>
          <w:color w:val="auto"/>
        </w:rPr>
      </w:pPr>
    </w:p>
    <w:p>
      <w:pPr>
        <w:ind w:firstLine="464"/>
        <w:spacing w:after="0" w:line="288" w:lineRule="auto"/>
        <w:tabs>
          <w:tab w:leader="none" w:pos="695"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If the Company shall solicit from the Holders any request, demand, authorization, direction, notice, consent, waiver or other Act, the Company may, at its option, by or pursuant to an Officers’ Certificate delivered to the Trustee, fix in advance a record date for the determination of Holders entitled to give such request, demand, authorization, direction, notice, consent, waiver or other Act, but the Company shall have no obligation to do so.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to consented to such request, demand, authorization, direction, notice, consent, waiver or other Act, and for that purpose the Outstanding Securities shall be computed as of such record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authorization, agreement or consent by the Holders on such record date shall be deemed effective unless it shall become effective pursuant to the provisions of clause (a) of this Section 1.4 not later than six months after the record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Notices, etc., to Trustee and Company</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Any request, demand, authorization, direction, notice, consent, waiver or Act of Holders or other document provided or permitted by this Indenture to be made upon, given or furnished to, or filed with,</w:t>
      </w:r>
    </w:p>
    <w:p>
      <w:pPr>
        <w:spacing w:after="0" w:line="132" w:lineRule="exact"/>
        <w:rPr>
          <w:sz w:val="20"/>
          <w:szCs w:val="20"/>
          <w:color w:val="auto"/>
        </w:rPr>
      </w:pPr>
    </w:p>
    <w:p>
      <w:pPr>
        <w:ind w:left="460" w:right="220" w:firstLine="443"/>
        <w:spacing w:after="0" w:line="268" w:lineRule="auto"/>
        <w:tabs>
          <w:tab w:leader="none" w:pos="113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Trustee by any Holder or by the Company shall be sufficient for every purpose hereunder if made, given, furnished or filed in writing to or with the Trustee at its Corporate Trust Office, Attention: Corporate Trust Trustee Administration, or</w:t>
      </w:r>
    </w:p>
    <w:p>
      <w:pPr>
        <w:spacing w:after="0" w:line="131" w:lineRule="exact"/>
        <w:rPr>
          <w:rFonts w:ascii="Arial" w:cs="Arial" w:eastAsia="Arial" w:hAnsi="Arial"/>
          <w:sz w:val="18"/>
          <w:szCs w:val="18"/>
          <w:color w:val="auto"/>
        </w:rPr>
      </w:pPr>
    </w:p>
    <w:p>
      <w:pPr>
        <w:ind w:left="460" w:right="160" w:firstLine="443"/>
        <w:spacing w:after="0" w:line="306" w:lineRule="auto"/>
        <w:tabs>
          <w:tab w:leader="none" w:pos="1147"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Company by the Trustee or by any Holder shall be sufficient for every purpose hereunder (unless otherwise herein expressly provided) if in writing and mailed, first-class postage prepaid, to the Company addressed to it at Itron, Inc., 2111 N. Molter Road, Liberty Lake, WA 99019, Attention: Chief Financial Officer or at any other address previously furnished in writing to the Trustee by the Company.</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1.6 Notice to Holders; Waiver</w:t>
      </w:r>
    </w:p>
    <w:p>
      <w:pPr>
        <w:spacing w:after="0" w:line="9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Where this Indenture provides for notice to Holders of any event, such notice shall be sufficiently given (unless otherwise herein expressly provided or otherwise agreed to by a Holder) if in writing and mailed, first-class postage prepaid, to each Holder affected by such event, at his address as it appears in the Register, within the time prescribed for the giving of such notice.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any case where notice to Holders is given by mail, neither the failure to mail such notice, nor any defect in any notice so mailed, to any particular Holder shall affect the sufficiency of such notice with respect to other Holders. Any notice mailed to a Holder in the manner herein prescribed shall be conclusively deemed to have been received by such Holder, whether or not such Holder actually receives such notice.</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If by reason of the suspension of regular mail service or by reason of any other cause it shall be impracticable to give such notice as provided above, then such notification as shall be made with the approval of the Trustee shall constitute a sufficient notification for every purpose hereunder.</w:t>
      </w:r>
    </w:p>
    <w:p>
      <w:pPr>
        <w:spacing w:after="0" w:line="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equivalent of such notice. Waivers of notice by Holders shall be filed with the Trustee, but such filing shall not be a condition precedent to the validity of any action taken in reliance upon such waiver.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 Headings and Table of Contents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 and Section headings herein and the Table of Contents are for convenience only and shall not affect the construction hereof.</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1.8 Successors and Assigns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covenants and agreements in this Indenture by the Company shall bind its successors and assigns, whether so expressed or not.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 Separability</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case any provision of this Indenture or the Securities shall be invalid, illegal or unenforceable, the validity, legality and enforceability of the remaining provisions shall not in any way be affected or impaired thereby.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 Benefits of Indenture</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Nothing in this Indenture or in the Securities, expressed or implied, shall give to any Person, other than the parties hereto and their successors hereunder and the Holders, any benefit or any legal or equitable right, remedy or claim under this Indenture.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1.11 Governing Law</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INDENTURE AND THE SECURITIES SHALL BE GOVERNED BY AND CONSTRUED IN ACCORDANCE WITH THE LAWS OF THE STATE OF NEW YORK, AND FOR ALL PURPOSES SHALL BE CONSTRUED IN ACCORDANCE WITH THE LAWS OF SAID STATE WITHOUT GIVING EFFECT TO THE PRINCIPLES OF CONFLICT OF LAWS THEREOF. This Indenture is subject to the Trust Indenture Act and if any provision hereof limits, qualifies or conflicts with the Trust Indenture Act, the Trust Indenture Act shall control.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1.12 Legal Holidays</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any case where any Interest Payment Date, Redemption Date, sinking fund payment date, Stated Maturity or Maturity of any Security shall not be a Business Day at any Place of Payment, then (notwithstanding any other provision of this Indenture of any Security other than a provision in the Securities of any series which specifically states that such provision shall apply in lieu of this Section) payment of principal, premium, if any, or interest need not be made at such Place of Payment on such date, but may be made on the next succeeding Business Day at such Place of Payment with the same force and effect as if made on such date; provided that no interest shall accrue on the amount so payable for the period from and after such Interest Payment Date, Redemption Date, sinking fund payment date, Stated Maturity or Maturity, as the case may be.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1.13 No Recourse Against Others</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No director, officer, employee or stockholder, as such, of the Company shall have any liability for any obligations of the Company under the Securities or the Indenture or for any claim based on, in respect of or by reason of such obligations or their creation. Each Holder by accepting a Security waives and releases all such liability. The waiver and release are part of the consideration for the issue of the Securities.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Forms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 Forms Generally</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Securities of each series shall be in substantially the form attached as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and as set forth pursuant to this Article, or in such other form or forms as shall be established by delivery to the Trustee of an Officers’ Certificate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officers executing such Securities as evidenced by their execution of the Securities. If temporary Securities of any series are issued as permitted by Section 3.4, the form thereof also shall be established as provided in the preceding sentence. If the form of Securities of any series are established by an Officers’ Certificate, such Officers’ Certificate shall be delivered to the Trustee at or prior to the delivery of the Company Order contemplated by Section 3.3 for the authentication and delivery of such Securities.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38" w:name="page39"/>
    <w:bookmarkEnd w:id="38"/>
    <w:p>
      <w:pPr>
        <w:ind w:right="28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permanent Securities shall be printed, lithographed or engraved or produced by any combination of these methods or may be produced in any other manner, all as determined by the officers executing such Securities as evidenced by their execution of such Securities.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 Form of Trustee’s Certificate of Authentication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Trustee’s certificate of authentication shall be in substantially the following form: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a series issued under the within-mentioned Indenture.</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tabs>
          <w:tab w:leader="none" w:pos="61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-129540</wp:posOffset>
            </wp:positionV>
            <wp:extent cx="33274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10795</wp:posOffset>
            </wp:positionV>
            <wp:extent cx="33274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Authorized Signatory</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 Amount Unlimited; Issuable in Series</w:t>
      </w:r>
    </w:p>
    <w:p>
      <w:pPr>
        <w:spacing w:after="0" w:line="177" w:lineRule="exact"/>
        <w:rPr>
          <w:sz w:val="20"/>
          <w:szCs w:val="20"/>
          <w:color w:val="auto"/>
        </w:rPr>
      </w:pPr>
    </w:p>
    <w:p>
      <w:pPr>
        <w:ind w:right="60" w:firstLine="464"/>
        <w:spacing w:after="0" w:line="268" w:lineRule="auto"/>
        <w:tabs>
          <w:tab w:leader="none" w:pos="6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aggregate principal amount of Securities which may be authenticated and delivered under this Indenture is unlimited. The Securities may be issued from time to time in one or more series.</w:t>
      </w:r>
    </w:p>
    <w:p>
      <w:pPr>
        <w:spacing w:after="0" w:line="131" w:lineRule="exact"/>
        <w:rPr>
          <w:rFonts w:ascii="Arial" w:cs="Arial" w:eastAsia="Arial" w:hAnsi="Arial"/>
          <w:sz w:val="18"/>
          <w:szCs w:val="18"/>
          <w:color w:val="auto"/>
        </w:rPr>
      </w:pPr>
    </w:p>
    <w:p>
      <w:pPr>
        <w:ind w:right="180" w:firstLine="464"/>
        <w:spacing w:after="0" w:line="268" w:lineRule="auto"/>
        <w:tabs>
          <w:tab w:leader="none" w:pos="7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following matters shall be established and (subject to Section 3.3) set forth, or determined in the manner provided, in an Officers’ Certificate or a Board Resolution of the Company or one or more indentures supplemental hereto:</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title of the Securities of the series (which title shall distinguish the Securities of the series from all other Securities);</w:t>
      </w:r>
    </w:p>
    <w:p>
      <w:pPr>
        <w:spacing w:after="0" w:line="90" w:lineRule="exact"/>
        <w:rPr>
          <w:rFonts w:ascii="Arial" w:cs="Arial" w:eastAsia="Arial" w:hAnsi="Arial"/>
          <w:sz w:val="18"/>
          <w:szCs w:val="18"/>
          <w:color w:val="auto"/>
        </w:rPr>
      </w:pPr>
    </w:p>
    <w:p>
      <w:pPr>
        <w:ind w:left="460" w:right="60" w:firstLine="443"/>
        <w:spacing w:after="0" w:line="256" w:lineRule="auto"/>
        <w:tabs>
          <w:tab w:leader="none" w:pos="1157"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which may be authenticated and delivered under this Indenture (which limit shall not pertain to (A) Securities authenticated and delivered upon registration of transfer of, or in exchange for, or in lieu of, other Securities of the series pursuant to Section 3.4, 3.5, 3.6, 8.6, or 10.7 and (B) any Securities which, pursuant to the last paragraph of Section 3.3 are deemed never to have been authenticated and delivered thereunder);</w:t>
      </w:r>
    </w:p>
    <w:p>
      <w:pPr>
        <w:spacing w:after="0" w:line="62" w:lineRule="exact"/>
        <w:rPr>
          <w:rFonts w:ascii="Arial" w:cs="Arial" w:eastAsia="Arial" w:hAnsi="Arial"/>
          <w:sz w:val="18"/>
          <w:szCs w:val="18"/>
          <w:color w:val="auto"/>
        </w:rPr>
      </w:pPr>
    </w:p>
    <w:p>
      <w:pPr>
        <w:ind w:left="1200" w:hanging="297"/>
        <w:spacing w:after="0"/>
        <w:tabs>
          <w:tab w:leader="none" w:pos="12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 or the method of determination thereof;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39" w:name="page40"/>
    <w:bookmarkEnd w:id="39"/>
    <w:p>
      <w:pPr>
        <w:ind w:right="120" w:firstLine="443"/>
        <w:spacing w:after="0" w:line="306" w:lineRule="auto"/>
        <w:tabs>
          <w:tab w:leader="none" w:pos="736" w:val="left"/>
        </w:tabs>
        <w:numPr>
          <w:ilvl w:val="0"/>
          <w:numId w:val="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rate or rates at which the Securities of the series shall bear interest, if any, or the method of calculating such rate or rates of interest, the date or dates from which such interest shall accrue or the method by which such date or dates shall be determined, the Interest Payment Dates on which any such interest shall be payable and the Regular Record Date, if any, for the interest payable on any Interest Payment Date;</w:t>
      </w:r>
    </w:p>
    <w:p>
      <w:pPr>
        <w:spacing w:after="0" w:line="25" w:lineRule="exact"/>
        <w:rPr>
          <w:rFonts w:ascii="Arial" w:cs="Arial" w:eastAsia="Arial" w:hAnsi="Arial"/>
          <w:sz w:val="16"/>
          <w:szCs w:val="16"/>
          <w:color w:val="auto"/>
        </w:rPr>
      </w:pPr>
    </w:p>
    <w:p>
      <w:pPr>
        <w:ind w:right="20" w:firstLine="443"/>
        <w:spacing w:after="0" w:line="268" w:lineRule="auto"/>
        <w:tabs>
          <w:tab w:leader="none" w:pos="68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place or places where, subject to the provisions of Section 9.2, the principal of, premium, if any, and interest, if any, on Securities of the series shall be payable;</w:t>
      </w:r>
    </w:p>
    <w:p>
      <w:pPr>
        <w:spacing w:after="0" w:line="50" w:lineRule="exact"/>
        <w:rPr>
          <w:rFonts w:ascii="Arial" w:cs="Arial" w:eastAsia="Arial" w:hAnsi="Arial"/>
          <w:sz w:val="18"/>
          <w:szCs w:val="18"/>
          <w:color w:val="auto"/>
        </w:rPr>
      </w:pPr>
    </w:p>
    <w:p>
      <w:pPr>
        <w:ind w:right="100" w:firstLine="443"/>
        <w:spacing w:after="0" w:line="306" w:lineRule="auto"/>
        <w:tabs>
          <w:tab w:leader="none" w:pos="736"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period or periods within which, the price or prices at which, and the other terms and conditions upon which, Securities of the series may be redeemed, in whole or in part, at the option of the Company and, if other than as provided in Section 10.3, the manner in which the particular Securities of such series (if less than all Securities of such series are to be redeemed) are to be selected for redemption;</w:t>
      </w:r>
    </w:p>
    <w:p>
      <w:pPr>
        <w:spacing w:after="0" w:line="25" w:lineRule="exact"/>
        <w:rPr>
          <w:rFonts w:ascii="Arial" w:cs="Arial" w:eastAsia="Arial" w:hAnsi="Arial"/>
          <w:sz w:val="16"/>
          <w:szCs w:val="16"/>
          <w:color w:val="auto"/>
        </w:rPr>
      </w:pPr>
    </w:p>
    <w:p>
      <w:pPr>
        <w:jc w:val="both"/>
        <w:ind w:right="280" w:firstLine="443"/>
        <w:spacing w:after="0" w:line="306" w:lineRule="auto"/>
        <w:tabs>
          <w:tab w:leader="none" w:pos="784"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obligation, if any, of the Company to redeem or purchase Securities of the series pursuant to any sinking fund or analogous provisions or upon the happening of a specified event or at the option of a Holder thereof and the period or periods within which, the price or prices at which, and the other terms and conditions upon which, Securities of the series shall be redeemed or purchased, in whole or in part, pursuant to such obligation;</w:t>
      </w:r>
    </w:p>
    <w:p>
      <w:pPr>
        <w:spacing w:after="0" w:line="25" w:lineRule="exact"/>
        <w:rPr>
          <w:rFonts w:ascii="Arial" w:cs="Arial" w:eastAsia="Arial" w:hAnsi="Arial"/>
          <w:sz w:val="16"/>
          <w:szCs w:val="16"/>
          <w:color w:val="auto"/>
        </w:rPr>
      </w:pPr>
    </w:p>
    <w:p>
      <w:pPr>
        <w:ind w:left="840" w:hanging="397"/>
        <w:spacing w:after="0"/>
        <w:tabs>
          <w:tab w:leader="none" w:pos="8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Securities of the series shall be issuable;</w:t>
      </w:r>
    </w:p>
    <w:p>
      <w:pPr>
        <w:spacing w:after="0" w:line="113" w:lineRule="exact"/>
        <w:rPr>
          <w:rFonts w:ascii="Arial" w:cs="Arial" w:eastAsia="Arial" w:hAnsi="Arial"/>
          <w:sz w:val="16"/>
          <w:szCs w:val="16"/>
          <w:color w:val="auto"/>
        </w:rPr>
      </w:pPr>
    </w:p>
    <w:p>
      <w:pPr>
        <w:ind w:right="100" w:firstLine="443"/>
        <w:spacing w:after="0" w:line="332" w:lineRule="auto"/>
        <w:tabs>
          <w:tab w:leader="none" w:pos="736"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the amount of payments or principal of, premium, if any, and interest, if any, on the Securities of the series shall be determined with reference to an index, formula or other method, the index, formula or other method by which such amounts shall be determined;</w:t>
      </w:r>
    </w:p>
    <w:p>
      <w:pPr>
        <w:spacing w:after="0" w:line="4" w:lineRule="exact"/>
        <w:rPr>
          <w:rFonts w:ascii="Arial" w:cs="Arial" w:eastAsia="Arial" w:hAnsi="Arial"/>
          <w:sz w:val="16"/>
          <w:szCs w:val="16"/>
          <w:color w:val="auto"/>
        </w:rPr>
      </w:pPr>
    </w:p>
    <w:p>
      <w:pPr>
        <w:ind w:right="580" w:firstLine="443"/>
        <w:spacing w:after="0" w:line="332" w:lineRule="auto"/>
        <w:tabs>
          <w:tab w:leader="none" w:pos="687"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other than the principal amount thereof, the portion of the principal amount of such Securities of the series which shall be payable upon declaration of the acceleration thereof pursuant to Section 5.2 or the method by which such portion shall be determined;</w:t>
      </w:r>
    </w:p>
    <w:p>
      <w:pPr>
        <w:spacing w:after="0" w:line="4" w:lineRule="exact"/>
        <w:rPr>
          <w:rFonts w:ascii="Arial" w:cs="Arial" w:eastAsia="Arial" w:hAnsi="Arial"/>
          <w:sz w:val="16"/>
          <w:szCs w:val="16"/>
          <w:color w:val="auto"/>
        </w:rPr>
      </w:pPr>
    </w:p>
    <w:p>
      <w:pPr>
        <w:jc w:val="both"/>
        <w:ind w:firstLine="443"/>
        <w:spacing w:after="0" w:line="306" w:lineRule="auto"/>
        <w:tabs>
          <w:tab w:leader="none" w:pos="736"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other than as provided in Section 3.7, the Person to whom any interest on any Security of the series shall be payable and the extent to which, or the manner in which (including any certification requirement and other terms and conditions under which), any interest payable on a temporary Security on an Interest Payment Date will be paid if other than in the manner provided in Section 3.4, as applicable;</w:t>
      </w:r>
    </w:p>
    <w:p>
      <w:pPr>
        <w:spacing w:after="0" w:line="25" w:lineRule="exact"/>
        <w:rPr>
          <w:rFonts w:ascii="Arial" w:cs="Arial" w:eastAsia="Arial" w:hAnsi="Arial"/>
          <w:sz w:val="16"/>
          <w:szCs w:val="16"/>
          <w:color w:val="auto"/>
        </w:rPr>
      </w:pPr>
    </w:p>
    <w:p>
      <w:pPr>
        <w:ind w:left="780" w:hanging="337"/>
        <w:spacing w:after="0"/>
        <w:tabs>
          <w:tab w:leader="none" w:pos="7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provisions, if any, granting special rights to the Holders of Securities of the series upon the occurrence of such events as may be specified;</w:t>
      </w:r>
    </w:p>
    <w:p>
      <w:pPr>
        <w:spacing w:after="0" w:line="113" w:lineRule="exact"/>
        <w:rPr>
          <w:rFonts w:ascii="Arial" w:cs="Arial" w:eastAsia="Arial" w:hAnsi="Arial"/>
          <w:sz w:val="16"/>
          <w:szCs w:val="16"/>
          <w:color w:val="auto"/>
        </w:rPr>
      </w:pPr>
    </w:p>
    <w:p>
      <w:pPr>
        <w:ind w:right="380" w:firstLine="443"/>
        <w:spacing w:after="0" w:line="268" w:lineRule="auto"/>
        <w:tabs>
          <w:tab w:leader="none" w:pos="833"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deletions from, modifications of or additions to the Events of Default set forth in Section 5.1 or covenants of the Company set forth in Article 9 pertaining to the Securities of the series;</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700" w:top="280" w:right="259" w:bottom="1440" w:gutter="0" w:footer="0" w:header="0"/>
        </w:sectPr>
      </w:pPr>
    </w:p>
    <w:bookmarkStart w:id="40" w:name="page41"/>
    <w:bookmarkEnd w:id="40"/>
    <w:p>
      <w:pPr>
        <w:ind w:left="440" w:right="180" w:firstLine="443"/>
        <w:spacing w:after="0" w:line="259" w:lineRule="auto"/>
        <w:tabs>
          <w:tab w:leader="none" w:pos="1263" w:val="left"/>
        </w:tabs>
        <w:numPr>
          <w:ilvl w:val="1"/>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what circumstances, if any, the Company will pay additional amounts on the Securities of that series held by a Person who is not a U.S. Person in respect of taxes or similar charges withheld or deducted and, if so, whether the Company will have the option to redeem such Securities rather than pay such additional amounts (and the terms of any such option);</w:t>
      </w:r>
    </w:p>
    <w:p>
      <w:pPr>
        <w:spacing w:after="0" w:line="59" w:lineRule="exact"/>
        <w:rPr>
          <w:rFonts w:ascii="Arial" w:cs="Arial" w:eastAsia="Arial" w:hAnsi="Arial"/>
          <w:sz w:val="18"/>
          <w:szCs w:val="18"/>
          <w:color w:val="auto"/>
        </w:rPr>
      </w:pPr>
    </w:p>
    <w:p>
      <w:pPr>
        <w:ind w:left="440" w:right="400" w:firstLine="443"/>
        <w:spacing w:after="0" w:line="268" w:lineRule="auto"/>
        <w:tabs>
          <w:tab w:leader="none" w:pos="1215"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date as of which any temporary Security representing outstanding Securities of the series shall be dated if other than the date of original issuance of the first Security of the series to be issued;</w:t>
      </w:r>
    </w:p>
    <w:p>
      <w:pPr>
        <w:spacing w:after="0" w:line="50" w:lineRule="exact"/>
        <w:rPr>
          <w:rFonts w:ascii="Arial" w:cs="Arial" w:eastAsia="Arial" w:hAnsi="Arial"/>
          <w:sz w:val="18"/>
          <w:szCs w:val="18"/>
          <w:color w:val="auto"/>
        </w:rPr>
      </w:pPr>
    </w:p>
    <w:p>
      <w:pPr>
        <w:ind w:left="440" w:right="720" w:firstLine="443"/>
        <w:spacing w:after="0" w:line="268" w:lineRule="auto"/>
        <w:tabs>
          <w:tab w:leader="none" w:pos="1263"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applicability, if any, to the Securities of or within the series of Sections 4.4 and 4.5, or such other means of defeasance or covenant defeasance as may be specified for the Securities of such series;</w:t>
      </w:r>
    </w:p>
    <w:p>
      <w:pPr>
        <w:spacing w:after="0" w:line="50" w:lineRule="exact"/>
        <w:rPr>
          <w:rFonts w:ascii="Arial" w:cs="Arial" w:eastAsia="Arial" w:hAnsi="Arial"/>
          <w:sz w:val="18"/>
          <w:szCs w:val="18"/>
          <w:color w:val="auto"/>
        </w:rPr>
      </w:pPr>
    </w:p>
    <w:p>
      <w:pPr>
        <w:ind w:left="1320" w:hanging="437"/>
        <w:spacing w:after="0"/>
        <w:tabs>
          <w:tab w:leader="none" w:pos="13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if other than the Trustee, the identity of the Registrar and any Paying Agent or transfer agent;</w:t>
      </w:r>
    </w:p>
    <w:p>
      <w:pPr>
        <w:spacing w:after="0" w:line="90" w:lineRule="exact"/>
        <w:rPr>
          <w:rFonts w:ascii="Arial" w:cs="Arial" w:eastAsia="Arial" w:hAnsi="Arial"/>
          <w:sz w:val="18"/>
          <w:szCs w:val="18"/>
          <w:color w:val="auto"/>
        </w:rPr>
      </w:pPr>
    </w:p>
    <w:p>
      <w:pPr>
        <w:ind w:left="440" w:right="500" w:firstLine="443"/>
        <w:spacing w:after="0" w:line="357" w:lineRule="auto"/>
        <w:tabs>
          <w:tab w:leader="none" w:pos="1361" w:val="left"/>
        </w:tabs>
        <w:numPr>
          <w:ilvl w:val="1"/>
          <w:numId w:val="34"/>
        </w:numPr>
        <w:rPr>
          <w:rFonts w:ascii="Arial" w:cs="Arial" w:eastAsia="Arial" w:hAnsi="Arial"/>
          <w:sz w:val="15"/>
          <w:szCs w:val="15"/>
          <w:color w:val="auto"/>
        </w:rPr>
      </w:pPr>
      <w:r>
        <w:rPr>
          <w:rFonts w:ascii="Arial" w:cs="Arial" w:eastAsia="Arial" w:hAnsi="Arial"/>
          <w:sz w:val="15"/>
          <w:szCs w:val="15"/>
          <w:color w:val="auto"/>
        </w:rPr>
        <w:t>any terms which may be related to warrants issued by the Company in connection with, or for the purchase of, Securities of such series, including whether and under what circumstances the Securities of any series may be used toward the exercise price of any such warrants; and</w:t>
      </w:r>
    </w:p>
    <w:p>
      <w:pPr>
        <w:ind w:left="440" w:right="280" w:firstLine="443"/>
        <w:spacing w:after="0" w:line="332" w:lineRule="auto"/>
        <w:tabs>
          <w:tab w:leader="none" w:pos="1263" w:val="left"/>
        </w:tabs>
        <w:numPr>
          <w:ilvl w:val="1"/>
          <w:numId w:val="34"/>
        </w:numPr>
        <w:rPr>
          <w:rFonts w:ascii="Arial" w:cs="Arial" w:eastAsia="Arial" w:hAnsi="Arial"/>
          <w:sz w:val="16"/>
          <w:szCs w:val="16"/>
          <w:color w:val="auto"/>
        </w:rPr>
      </w:pPr>
      <w:r>
        <w:rPr>
          <w:rFonts w:ascii="Arial" w:cs="Arial" w:eastAsia="Arial" w:hAnsi="Arial"/>
          <w:sz w:val="16"/>
          <w:szCs w:val="16"/>
          <w:color w:val="auto"/>
        </w:rPr>
        <w:t>any other terms of the series (which terms shall not be inconsistent with the provisions of this Indenture), including any terms which may be required by or advisable under United States laws or regulations or advisable in connection with the marketing of Securities of the series.</w:t>
      </w:r>
    </w:p>
    <w:p>
      <w:pPr>
        <w:spacing w:after="0" w:line="85" w:lineRule="exact"/>
        <w:rPr>
          <w:rFonts w:ascii="Arial" w:cs="Arial" w:eastAsia="Arial" w:hAnsi="Arial"/>
          <w:sz w:val="16"/>
          <w:szCs w:val="16"/>
          <w:color w:val="auto"/>
        </w:rPr>
      </w:pPr>
    </w:p>
    <w:p>
      <w:pPr>
        <w:ind w:left="-20" w:right="40" w:firstLine="464"/>
        <w:spacing w:after="0" w:line="255" w:lineRule="auto"/>
        <w:tabs>
          <w:tab w:leader="none" w:pos="6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Securities of any one series shall be substantially identical except as to denomination and the rate or rates of interest, if any, and Stated Maturity, the date from which interest, if any, shall accrue and except as may otherwise be provided in or pursuant to an Officers’ Certificate pursuant to this Section 3.1 or in an indenture supplemental hereto. All Securities of any one series need not be issued at the same time and, unless otherwise provided, a series may be reopened, without the consent of the Holders, for issuances of additional Securities of such series or for the establishment of additional terms with respect to the Securities of such series.</w:t>
      </w:r>
    </w:p>
    <w:p>
      <w:pPr>
        <w:spacing w:after="0" w:line="142" w:lineRule="exact"/>
        <w:rPr>
          <w:rFonts w:ascii="Arial" w:cs="Arial" w:eastAsia="Arial" w:hAnsi="Arial"/>
          <w:sz w:val="18"/>
          <w:szCs w:val="18"/>
          <w:color w:val="auto"/>
        </w:rPr>
      </w:pPr>
    </w:p>
    <w:p>
      <w:pPr>
        <w:ind w:left="-20" w:firstLine="464"/>
        <w:spacing w:after="0" w:line="289" w:lineRule="auto"/>
        <w:tabs>
          <w:tab w:leader="none" w:pos="685"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any of the terms of the Securities of any series are established by action taken pursuant to a Board Resolution, a copy of such Board Resolution shall be certified by the Corporate Secretary or an Assistant Secretary of the Company and delivered to the Trustee at or prior to the delivery of the Officers’ Certificate setting forth, or providing the manner for determining, the terms of the Securities of such series, and an appropriate record of any action taken pursuant thereto in connection with the issuance of any Securities of such series shall be delivered to the Trustee prior to the authentication and delivery thereof. With respect to Securities of a series subject to a Periodic Offering, such Board Resolution or Officers’ Certificate may provide general terms for Securities of such series and provide either that the specific terms of particular Securities of such series shall be specified in a Company Order or that such terms shall be determined by the Company, or one or more of the Company’s agents designated in an Officers’ Certificate, in accordance with the Company Order as contemplated by the first proviso of the third paragraph of Section 3.3.</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60" w:top="28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3.2 Denominations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Securities of each series shall be issuable only in definitive registered form without coupons and in such denominations as shall be specified as contemplated by Section 3.1. In the absence of any such provisions with respect to the Securities of any series, the Securities of such series shall be issuable in denominations of $1,000 and any integral multiple thereof.</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3.3 Execution, Authentication, Delivery and Dating</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Securities shall be executed on behalf of the Company by the Chief Executive Officer, President or any Vice President and attested to by the Secretary or Assistant Secretary of the Company. The signatures of such officers on the Securities may be manual or facsimile signatures of the present or any future such authorized officers and may be imprinted or otherwise reproduced on the Securities.</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At any time and from time to time, the Company may deliver Securities of any series executed by the Company to the Trustee for authentication, together with a Company Order for the authentication and make available for delivery such Securities, and the Trustee in accordance with the Company Order shall authenticate and deliver such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case of Securities offered in a Periodic Offering, the Trustee shall authenticate and deliver such Securities from time to time in accordance with such other procedures (including, without limitation, the receipt by the Trustee of oral or electronic instructions from the Company or its duly authorized agents, promptly confirmed in writing) acceptable to the Trustee as may be specified by or pursuant to a Company Order delivered to the Trustee prior to the time of the first authentication of Securities of such series.</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the form or terms of the Securities of a series have been established by or pursuant to one or more Officers’ Certificates as permitted by Sections 2.1 and 3.1, in authenticating such Securities and accepting the additional responsibilities under this Indenture in relation to such Securities, the Trustee shall be entitled to receive, and (subject to section 315(a) through (d) of the Trust Indenture Act) shall be fully protected in relying upon, an Opinion of Counsel stating,</w:t>
      </w:r>
    </w:p>
    <w:p>
      <w:pPr>
        <w:spacing w:after="0" w:line="107" w:lineRule="exact"/>
        <w:rPr>
          <w:sz w:val="20"/>
          <w:szCs w:val="20"/>
          <w:color w:val="auto"/>
        </w:rPr>
      </w:pPr>
    </w:p>
    <w:p>
      <w:pPr>
        <w:ind w:left="1140" w:hanging="237"/>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that the forms and terms of such Securities have been established in conformity with the provisions of this Indenture; and</w:t>
      </w:r>
    </w:p>
    <w:p>
      <w:pPr>
        <w:spacing w:after="0" w:line="171" w:lineRule="exact"/>
        <w:rPr>
          <w:rFonts w:ascii="Arial" w:cs="Arial" w:eastAsia="Arial" w:hAnsi="Arial"/>
          <w:sz w:val="18"/>
          <w:szCs w:val="18"/>
          <w:color w:val="auto"/>
        </w:rPr>
      </w:pPr>
    </w:p>
    <w:p>
      <w:pPr>
        <w:jc w:val="both"/>
        <w:ind w:left="460" w:right="260" w:firstLine="443"/>
        <w:spacing w:after="0" w:line="259" w:lineRule="auto"/>
        <w:tabs>
          <w:tab w:leader="none" w:pos="114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customary exceptions;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274" w:right="319" w:bottom="1440" w:gutter="0" w:footer="0" w:header="0"/>
        </w:sectPr>
      </w:pPr>
    </w:p>
    <w:bookmarkStart w:id="42" w:name="page43"/>
    <w:bookmarkEnd w:id="42"/>
    <w:p>
      <w:pPr>
        <w:ind w:right="100"/>
        <w:spacing w:after="0" w:line="332"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with respect to Securities of a series subject to a Periodic Offering, the Trustee shall be entitled to receive such Opinion of Counsel only</w:t>
      </w:r>
      <w:r>
        <w:rPr>
          <w:rFonts w:ascii="Arial" w:cs="Arial" w:eastAsia="Arial" w:hAnsi="Arial"/>
          <w:sz w:val="16"/>
          <w:szCs w:val="16"/>
          <w:i w:val="1"/>
          <w:iCs w:val="1"/>
          <w:color w:val="auto"/>
        </w:rPr>
        <w:t xml:space="preserve"> </w:t>
      </w:r>
      <w:r>
        <w:rPr>
          <w:rFonts w:ascii="Arial" w:cs="Arial" w:eastAsia="Arial" w:hAnsi="Arial"/>
          <w:sz w:val="16"/>
          <w:szCs w:val="16"/>
          <w:color w:val="auto"/>
        </w:rPr>
        <w:t>once at or prior to the time of the first authentication of Securities of such series and that the Opinion of Counsel above may state:</w:t>
      </w:r>
    </w:p>
    <w:p>
      <w:pPr>
        <w:spacing w:after="0" w:line="4" w:lineRule="exact"/>
        <w:rPr>
          <w:sz w:val="20"/>
          <w:szCs w:val="20"/>
          <w:color w:val="auto"/>
        </w:rPr>
      </w:pPr>
    </w:p>
    <w:p>
      <w:pPr>
        <w:ind w:left="460" w:right="140" w:firstLine="443"/>
        <w:spacing w:after="0" w:line="306" w:lineRule="auto"/>
        <w:tabs>
          <w:tab w:leader="none" w:pos="1147"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that the forms of such Securities have been, and the terms of such Securities (when established in accordance with such procedures as may be specified from time to time in a Company Order, all as contemplated by and in accordance with a Board Resolution or an Officers’ Certificate pursuant to Section 3.1, as the case may be) will have been, established in conformity with the provisions of this Indenture; and</w:t>
      </w:r>
    </w:p>
    <w:p>
      <w:pPr>
        <w:spacing w:after="0" w:line="25" w:lineRule="exact"/>
        <w:rPr>
          <w:rFonts w:ascii="Arial" w:cs="Arial" w:eastAsia="Arial" w:hAnsi="Arial"/>
          <w:sz w:val="16"/>
          <w:szCs w:val="16"/>
          <w:color w:val="auto"/>
        </w:rPr>
      </w:pPr>
    </w:p>
    <w:p>
      <w:pPr>
        <w:jc w:val="both"/>
        <w:ind w:left="460" w:right="460" w:firstLine="443"/>
        <w:spacing w:after="0" w:line="306" w:lineRule="auto"/>
        <w:tabs>
          <w:tab w:leader="none" w:pos="1147"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that such Securities, when (1) executed by the Company, (2) completed, authenticated and delivered by the Trustee in accordance with this Indenture, and (3) issued by the Company in the manner and subject to any conditions specified in such Opinion of Counsel, will constitute valid and legally binding obligations of the Company, enforceable in accordance with their terms, subject to customary exceptions.</w:t>
      </w:r>
    </w:p>
    <w:p>
      <w:pPr>
        <w:spacing w:after="0" w:line="10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With respect to Securities of a series subject to a Periodic Offering, the Trustee may conclusively rely, as to the authorization by the Company of any of such Securities, the form and terms thereof and the legality, validity, binding effect and enforceability thereof, upon the Opinion of Counsel and other documents delivered pursuant to Sections 2.1 and 3.1 of this Section, as applicable, at or prior to the time of the first authentication of Securities of such series unless and until it has received written notification that such opinion or other documents have been superseded or revoked. In connection with the authentication and delivery of Securities of a series subject to a Periodic Offering, the Trustee shall be entitled to assume that the Company’s instructions to authenticate and deliver such Securities do not violate any rules, regulations or orders of any governmental agency or commission having jurisdiction over the Company.</w:t>
      </w:r>
    </w:p>
    <w:p>
      <w:pPr>
        <w:spacing w:after="0" w:line="12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the form or terms of the Securities of a series have been established by or pursuant to one or more Officers’ Certificates as permitted by Sections 2.1 and 3.1, the Trustee shall have the right to decline to authenticate such Securities if the issue of such Securities pursuant to this Indenture will adversely affect the Trustee’s own rights, duties or immunities under this Indenture or otherwise in a manner which is not reasonably acceptable to the Trustee.</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Notwithstanding the provisions of Section 3.1 and of the two preceding paragraphs, if all of the Securities of any series are not to be issued at one time, it shall not be necessary to deliver the Officers’ Certificate otherwise required pursuant to Section 3.1 at or prior to the time of the authentication of each Security of such series if the Officers’ Certificate is delivered at or prior to the authentication upon original issuance of the first Security of such series to be issued.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Security shall be dated the date of its authentication.</w:t>
      </w:r>
    </w:p>
    <w:p>
      <w:pPr>
        <w:spacing w:after="0" w:line="17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No Security shall be entitled to any benefits under this Indenture or be valid or obligatory for any purpose until authenticated by the manual signature of one of the authorized signatories of the Trustee or an Authenticating Agent. Such signature upon any Security shall be conclusive evidence, and the only evidence, that such Security has been duly authenticated and delivered under this Indenture and is entitled to the benefits of this Indenture.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43" w:name="page44"/>
    <w:bookmarkEnd w:id="43"/>
    <w:p>
      <w:pPr>
        <w:ind w:firstLine="456"/>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if any Security shall have been authenticated and delivered hereunder but never issued and sold by the Company, and the Company shall deliver such Security to the Trustee for cancellation as provided in Section 3.9 together with a written statement (which need not comply with Section 1.2 and need not be accompanied by an Opinion of Counsel) stating that such Security has never been issued and sold by the Company, for all purposes of this Indenture such Security shall be deemed never to have been authenticated and delivered hereunder and shall not be entitled to the benefits of this Indenture.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3.4 Temporary Securities</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Pending the preparation of definitive Securities of any series, the Company may execute and, upon Company Order, the Trustee shall authenticate and deliver temporary Securities of such series which are printed, lithographed, typewritten, mimeographed or otherwise produced, in any authorized denomination, substantially of the tenor and form of the definitive Securities in lieu of which they are issued and with such appropriate insertions, omissions, substitutions and other variations as the officers executing such Securities may determine, as conclusively evidenced by their execution of such Securities.</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temporary Securities of any series are issued, the Company will cause permanent Securities of such series to be prepared without unreasonable delay. After preparation of such permanent Securities, the temporary Securities shall be exchangeable for such permanent Securities of like tenor upon surrender of the temporary Securities of such series at the office or agency of the Company pursuant to Section 9.2 in a Place of Payment for such series, without charge to the Holder. Upon surrender for cancellation of any one or more temporary Securities of any series, the Company shall execute and the Trustee shall authenticate and deliver in exchange therefor a like principal amount of Permanent Securities of the same series of authorized denominations and of like tenor. Until so exchanged, the temporary Securities of any series shall in all respects be entitled to the same benefits under this Indenture as permanent Securities of such series except as otherwise specified as contemplated by Section 3.1.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3.5 Registration, Registration of Transfer and Exchange</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shall cause to be kept at the Corporate Trust Office of the Trustee or in any office or agency to be maintained by the Company in accordance with Section 9.2 in a Place of Payment a register (the “</w:t>
      </w:r>
      <w:r>
        <w:rPr>
          <w:rFonts w:ascii="Arial" w:cs="Arial" w:eastAsia="Arial" w:hAnsi="Arial"/>
          <w:sz w:val="18"/>
          <w:szCs w:val="18"/>
          <w:b w:val="1"/>
          <w:bCs w:val="1"/>
          <w:i w:val="1"/>
          <w:iCs w:val="1"/>
          <w:color w:val="auto"/>
        </w:rPr>
        <w:t>Register</w:t>
      </w:r>
      <w:r>
        <w:rPr>
          <w:rFonts w:ascii="Arial" w:cs="Arial" w:eastAsia="Arial" w:hAnsi="Arial"/>
          <w:sz w:val="18"/>
          <w:szCs w:val="18"/>
          <w:color w:val="auto"/>
        </w:rPr>
        <w:t>”) in which, subject to such reasonable regulations as it may prescribe, the Company shall provide for the registration of Securities and the registration of transfers of Securities. The Register shall be in written form or any other form capable of being converted into written form within a reasonable time. The Trustee is hereby appointed “Registrar” for the purpose of registering Securities and transfers of Securities as herein provided.</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Upon surrender for registration of transfer of any Security of any series at the office or agency maintained pursuant to Section 9.2 in a Place of Payment for that series, the Company shall execute, and the Trustee shall authenticate and deliver, in the name of the designated transferee or transferees, one or more new Securities of the same series, of any authorized denominations and of a like aggregate principal amount and tenor.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44" w:name="page45"/>
    <w:bookmarkEnd w:id="44"/>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the option of the Holder, Securities of any series may be exchanged for other Securities of the same series, of any authorized denominations and of like aggregate principal amount containing identical terms and provisions, upon surrender of the Securities to be exchanged at such office or agency. Whenever any Securities are so surrendered for exchange, the Company shall execute, and the Trustee shall authenticate and deliver, the Securities which the Holder making the exchange is entitled to receive.</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Whenever any Securities are surrendered for exchange, the Company shall execute, and the Trustee shall authenticate and deliver, the Securities which the Holder making the exchange is entitled to receive.</w:t>
      </w:r>
    </w:p>
    <w:p>
      <w:pPr>
        <w:spacing w:after="0" w:line="132"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All Securities issued upon any registration of transfer or upon any exchange of Securities shall be the valid obligations of the Company, evidencing the same debt, and entitled to the same benefits under this Indenture, as the Securities surrendered upon such registration of such transfer or exchange.</w:t>
      </w:r>
    </w:p>
    <w:p>
      <w:pPr>
        <w:spacing w:after="0" w:line="85"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Every Security presented or surrendered for registration of transfer or for exchange shall (if so required by the Company, the Registrar or the Trustee) be duly endorsed, or be accompanied by a written instrument of transfer in form satisfactory to those of the Company, the Registrar and the Trustee requiring such written instrument of transfer duly executed by the Holder thereof or his attorney duly authorized in writing.</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 service change shall be made for any registration of transfer or for any exchange of Securities, but the Company may require payment of a sum sufficient to cover any tax or other governmental charge that may be imposed in connection with any registration or transfer or exchange of Securities, other than exchanges pursuant to Section 3.4 or 10.7 not involving any transfer.</w:t>
      </w:r>
    </w:p>
    <w:p>
      <w:pPr>
        <w:spacing w:after="0" w:line="14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Company shall not be required (a) to issue, register the transfer of, or exchange any Securities for a period beginning at the opening of business</w:t>
      </w:r>
    </w:p>
    <w:p>
      <w:pPr>
        <w:spacing w:after="0" w:line="38"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15 days before any selection for redemption of Securities of like tenor and of the series of which such Security is a part and ending at the close of business on the earliest date on which the relevant notice of redemption is deemed to have been given to all Holders of Securities of like tenor and of such series to be redeemed or (b) to register the transfer of or exchange of any Security so selected for redemption, in whole or in part, except the unredeemed portion of any Security being redeemed in part.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3.6 Replacement Securities</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If a mutilated Security is surrendered to the Trustee, together with, in proper cases, such security or indemnity as may be required by the Company or the Trustee to save each of them harmless, the Company shall execute and the Trustee shall authenticate and deliver a replacement Security of the same series and date of maturity, if the Trustee’s requirements are met.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80" w:right="299" w:bottom="1440" w:gutter="0" w:footer="0" w:header="0"/>
        </w:sectPr>
      </w:pPr>
    </w:p>
    <w:bookmarkStart w:id="45" w:name="page46"/>
    <w:bookmarkEnd w:id="45"/>
    <w:p>
      <w:pPr>
        <w:ind w:right="6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there shall be delivered to the Company and the Trustee (a) evidence to their satisfaction of the destruction, loss or theft of any Security and (b) such security or indemnity as may be required by them to save each of them and any agency of either of them harmless, then, in the absence of notice to the Company or the Trustee that such Security has been acquired by a bona fide purchaser, the Company shall execute and the Trustee shall authenticate and deliver in lieu of any such destroyed, lost or stolen Security, a replacement Security of the same series and principal amount, containing identical terms and provisions and bearing a number not contemporaneously outstanding.</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32" w:lineRule="exact"/>
        <w:rPr>
          <w:sz w:val="20"/>
          <w:szCs w:val="20"/>
          <w:color w:val="auto"/>
        </w:rPr>
      </w:pPr>
    </w:p>
    <w:p>
      <w:pPr>
        <w:ind w:right="540" w:firstLine="456"/>
        <w:spacing w:after="0" w:line="370" w:lineRule="auto"/>
        <w:rPr>
          <w:sz w:val="20"/>
          <w:szCs w:val="20"/>
          <w:color w:val="auto"/>
        </w:rPr>
      </w:pPr>
      <w:r>
        <w:rPr>
          <w:rFonts w:ascii="Arial" w:cs="Arial" w:eastAsia="Arial" w:hAnsi="Arial"/>
          <w:sz w:val="15"/>
          <w:szCs w:val="15"/>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6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0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3.7 Payment of Interest; Interest Rights Preserved</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Unless otherwise provided as contemplated by Section 3.1, interest, if any,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 at the office or agency maintained for such purpose pursuant to Section 9.2;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the option of the Company, interest on any series of Securities that bear interest may be paid (a) by check mailed to the address of the Person entitled thereto as it shall appear on the Register of Holders of Securities of such series or (b) to the extent specified as contemplated by Section 3.1, by wire transfer to an account maintained by the Person entitled thereto as specified in the Register of Holders of Securities of such series.</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Unless otherwise provided as contemplated by Section 3.1, any interest on any Security of any series which is payable, but is not punctually paid or duly provided for, on any interest payment date (herein called “</w:t>
      </w:r>
      <w:r>
        <w:rPr>
          <w:rFonts w:ascii="Arial" w:cs="Arial" w:eastAsia="Arial" w:hAnsi="Arial"/>
          <w:sz w:val="18"/>
          <w:szCs w:val="18"/>
          <w:b w:val="1"/>
          <w:bCs w:val="1"/>
          <w:i w:val="1"/>
          <w:iCs w:val="1"/>
          <w:color w:val="auto"/>
        </w:rPr>
        <w:t>Defaulted Interest</w:t>
      </w:r>
      <w:r>
        <w:rPr>
          <w:rFonts w:ascii="Arial" w:cs="Arial" w:eastAsia="Arial" w:hAnsi="Arial"/>
          <w:sz w:val="18"/>
          <w:szCs w:val="18"/>
          <w:color w:val="auto"/>
        </w:rPr>
        <w:t>”) shall forthwith cease to be payable to the Holder on the relevant Regular Record Date by virtue of having been such Holder, and such Defaulted Interest may be paid by the Company, at its election in each case, as provided in clause (i) or (ii) below:</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46" w:name="page47"/>
    <w:bookmarkEnd w:id="46"/>
    <w:p>
      <w:pPr>
        <w:ind w:left="460" w:firstLine="443"/>
        <w:spacing w:after="0" w:line="286" w:lineRule="auto"/>
        <w:tabs>
          <w:tab w:leader="none" w:pos="1108" w:val="left"/>
        </w:tabs>
        <w:numPr>
          <w:ilvl w:val="0"/>
          <w:numId w:val="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(i)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Securities of such series at his address as it appears in the Register,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(ii).</w:t>
      </w:r>
    </w:p>
    <w:p>
      <w:pPr>
        <w:spacing w:after="0" w:line="39" w:lineRule="exact"/>
        <w:rPr>
          <w:rFonts w:ascii="Arial" w:cs="Arial" w:eastAsia="Arial" w:hAnsi="Arial"/>
          <w:sz w:val="16"/>
          <w:szCs w:val="16"/>
          <w:color w:val="auto"/>
        </w:rPr>
      </w:pPr>
    </w:p>
    <w:p>
      <w:pPr>
        <w:ind w:left="460" w:right="120" w:firstLine="443"/>
        <w:spacing w:after="0" w:line="298" w:lineRule="auto"/>
        <w:tabs>
          <w:tab w:leader="none" w:pos="1157"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Company may make payment of any Defaulted Interest to the Persons in whose names the Securities of such series (or their respective Predecessor Securities) are registered at the close of business on a specified date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(ii), such manner of payment shall be deemed practicable by the Trustee.</w:t>
      </w:r>
    </w:p>
    <w:p>
      <w:pPr>
        <w:spacing w:after="0" w:line="113" w:lineRule="exact"/>
        <w:rPr>
          <w:sz w:val="20"/>
          <w:szCs w:val="20"/>
          <w:color w:val="auto"/>
        </w:rPr>
      </w:pPr>
    </w:p>
    <w:p>
      <w:pPr>
        <w:jc w:val="both"/>
        <w:ind w:right="500" w:firstLine="456"/>
        <w:spacing w:after="0" w:line="370" w:lineRule="auto"/>
        <w:rPr>
          <w:sz w:val="20"/>
          <w:szCs w:val="20"/>
          <w:color w:val="auto"/>
        </w:rPr>
      </w:pPr>
      <w:r>
        <w:rPr>
          <w:rFonts w:ascii="Arial" w:cs="Arial" w:eastAsia="Arial" w:hAnsi="Arial"/>
          <w:sz w:val="15"/>
          <w:szCs w:val="15"/>
          <w:color w:val="auto"/>
        </w:rPr>
        <w:t>Subject to the foregoing provisions of this Section and Section 3.5,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3.8 Persons Deemed Owners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Prior to due presentment of any Security for registration of transfer, the Company, the Trustee and any agent of the Company or the Trustee may treat the Person in whose name such Security is registered as the owner of such Security for the purpose of receiving payment of principal of, premium, if any, and (subject to Section 3.7) interest on such Security and for all other purposes whatsoever, whether or not such Security be overdue, and neither the Company, the Trustee nor any agent of the Company or the Trustee shall be affected by notice to the contrary.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3.9 Cancellation</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 at any time may deliver Securities to the Trustee for cancellation. The Registrar and any Paying Agent shall forward to the Trustee any Securities surrendered to them for replacement, for registration of transfer, or for exchange or payment. The Trustee shall cancel all Securities surrendered for replacement, for registration of transfer, or for exchange, payment, redemption or cancellation and may dispose of cancelled Securities in accordance with its procedures for the disposition of cancelled securities and issue a certificate of disposition to the Company. The Company may not issue new Securities to replace Securities that it has paid or delivered to the Trustee for cancellation, except as expressly permitted in the terms of Securities for any particular series or as permitted pursuant to the terms of this Indenture.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3.10 Computation of Interest</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Except as otherwise specified as contemplated by Section 3.1 (a) interest of any Securities that bear interest at a fixed rate shall be computed on the basis of a 360-day year of twelve 30-day months and (b) interest on any Securities the bear interest at a variable rate shall be computed on the basis of the actual number of days in an interest period divided by 360 or the actual number of days in the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3.11 CUSIP Numbers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in issuing the Securities may use “CUSIP” numbers (if then generally in use), and, if so, the Trustee shall use “CUSIP” numbers (in addition to the other identification numbers printed on the Securities)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w:t>
      </w:r>
    </w:p>
    <w:p>
      <w:pPr>
        <w:spacing w:after="0" w:line="29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4</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Satisfaction, Discharge and Defeasance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4.1 Termination of Company’s Obligations Under the Indenture</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Except as otherwise provided as contemplated by Section 3.1, this Indenture shall upon Company Request cease to be of further effect with respect to Securities of or within any series (except as to any surviving rights of registration of transfer or exchange of such Securities and replacement of such Securities which may have been lost, stolen or mutilated as herein expressly provided for) and the Trustee, at the expense of the Company, shall execute proper instruments acknowledging satisfaction and discharge of this Indenture with respect to such Securities when</w:t>
      </w:r>
    </w:p>
    <w:p>
      <w:pPr>
        <w:spacing w:after="0" w:line="194" w:lineRule="exact"/>
        <w:rPr>
          <w:sz w:val="20"/>
          <w:szCs w:val="20"/>
          <w:color w:val="auto"/>
        </w:rPr>
      </w:pPr>
    </w:p>
    <w:p>
      <w:pPr>
        <w:ind w:left="700" w:hanging="23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either</w:t>
      </w:r>
    </w:p>
    <w:p>
      <w:pPr>
        <w:spacing w:after="0" w:line="171" w:lineRule="exact"/>
        <w:rPr>
          <w:rFonts w:ascii="Arial" w:cs="Arial" w:eastAsia="Arial" w:hAnsi="Arial"/>
          <w:sz w:val="18"/>
          <w:szCs w:val="18"/>
          <w:color w:val="auto"/>
        </w:rPr>
      </w:pPr>
    </w:p>
    <w:p>
      <w:pPr>
        <w:ind w:left="460" w:right="60" w:firstLine="443"/>
        <w:spacing w:after="0" w:line="256" w:lineRule="auto"/>
        <w:tabs>
          <w:tab w:leader="none" w:pos="110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such Securities previously authenticated and delivered (other than (i) such Securities which have been destroyed, lost or stolen and which have been replaced or paid as provided in Section 3.6, and (ii) such Securities for whose payment money has theretofore been deposited in trust or segregated and held in trust by the Company and thereafter repaid to the Company or discharged from such trust, as provided in Section 9.3) have been delivered to the Trustee for cancellation; or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48" w:name="page49"/>
    <w:bookmarkEnd w:id="48"/>
    <w:p>
      <w:pPr>
        <w:ind w:left="1160" w:hanging="257"/>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Securities of such series not theretofore delivered to the Trustee for cancellation</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90" w:lineRule="exact"/>
        <w:rPr>
          <w:rFonts w:ascii="Arial" w:cs="Arial" w:eastAsia="Arial" w:hAnsi="Arial"/>
          <w:sz w:val="18"/>
          <w:szCs w:val="18"/>
          <w:color w:val="auto"/>
        </w:rPr>
      </w:pPr>
    </w:p>
    <w:p>
      <w:pPr>
        <w:ind w:left="920" w:right="120" w:firstLine="421"/>
        <w:spacing w:after="0" w:line="268" w:lineRule="auto"/>
        <w:tabs>
          <w:tab w:leader="none" w:pos="1588" w:val="left"/>
        </w:tabs>
        <w:numPr>
          <w:ilvl w:val="1"/>
          <w:numId w:val="40"/>
        </w:numPr>
        <w:rPr>
          <w:rFonts w:ascii="Arial" w:cs="Arial" w:eastAsia="Arial" w:hAnsi="Arial"/>
          <w:sz w:val="18"/>
          <w:szCs w:val="18"/>
          <w:color w:val="auto"/>
        </w:rPr>
      </w:pPr>
      <w:r>
        <w:rPr>
          <w:rFonts w:ascii="Arial" w:cs="Arial" w:eastAsia="Arial" w:hAnsi="Arial"/>
          <w:sz w:val="18"/>
          <w:szCs w:val="18"/>
          <w:color w:val="auto"/>
        </w:rPr>
        <w:t>if redeemable at the option of the Company, are to be called for redemption within one year under arrangements satisfactory to the Trustee for giving of notice of redemption by the Trustee in the name, and at the expense, of the Company,</w:t>
      </w:r>
    </w:p>
    <w:p>
      <w:pPr>
        <w:spacing w:after="0" w:line="132"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and the Company, in the case of (1), (2) or (3) above, has irrevocably deposited or caused to be deposited with the Trustee as trust funds in trust for the purpose an amount sufficient to pay and discharge the entire indebtedness on such Securities not theretofore delivered to the Trustee for cancellation, for principal, premium, if any, and interest, with respect thereto, to the date of such deposit (in the case of Securities which have become due and payable) or to the Stated Maturity or Redemption Date, as the case may be;</w:t>
      </w:r>
    </w:p>
    <w:p>
      <w:pPr>
        <w:spacing w:after="0" w:line="143" w:lineRule="exact"/>
        <w:rPr>
          <w:sz w:val="20"/>
          <w:szCs w:val="20"/>
          <w:color w:val="auto"/>
        </w:rPr>
      </w:pPr>
    </w:p>
    <w:p>
      <w:pPr>
        <w:ind w:left="720" w:hanging="256"/>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171"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32"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Notwithstanding the satisfaction and discharge of this Indenture, the obligation of the Company to the Trustee and any predecessor Trustee under Section 6.9, the obligations of the Company to any Authenticating Agent under Section 6.14 and, if money shall have been deposited with the Trustee pursuant to subclause (ii) of clause (a) of this Section, the obligations of the Trustee under Section 4.2 and the last paragraph of Section 9.3 shall survive.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4.2 Application of Trust Funds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Subject to the provisions of the last paragraph of Section 9.3, all money deposited with the Trustee pursuant to Section 4.1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premium, if any, and any interest for whose payment such money has been deposited with or received by the Trustee, but such money need not be segregated from other funds except to the extent required by law.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4.3 Applicability of Defeasance Provisions; Company’s Option to Effect Defeasance or Covenant Defeasance</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If pursuant to Section 3.1 provision is made for either or both of (a) defeasance of the Securities of or within a series under Section 4.4 or (b) covenant defeasance of the Securities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49" w:name="page50"/>
    <w:bookmarkEnd w:id="49"/>
    <w:p>
      <w:pPr>
        <w:ind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within a series under Section 4.5, then the provisions of such Section or Sections, as the case may be, together with the provisions of Sections 4.6 through 4.9 inclusive, with such modifications thereto as may be specified pursuant to Section 3.1 with respect to any Securities, shall be applicable to such Securities, and the Company may at its option by Board Resolution, at any time, with respect to such Securities, elect to have Section 4.4 (if applicable) or Section 4.5 (if applicable) be applied to such Outstanding Securities upon compliance with the conditions set forth below in this Article.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4.4 Defeasance and Discharge</w:t>
      </w:r>
    </w:p>
    <w:p>
      <w:pPr>
        <w:spacing w:after="0" w:line="96" w:lineRule="exact"/>
        <w:rPr>
          <w:sz w:val="20"/>
          <w:szCs w:val="20"/>
          <w:color w:val="auto"/>
        </w:rPr>
      </w:pPr>
    </w:p>
    <w:p>
      <w:pPr>
        <w:ind w:right="460" w:firstLine="456"/>
        <w:spacing w:after="0" w:line="298" w:lineRule="auto"/>
        <w:rPr>
          <w:sz w:val="20"/>
          <w:szCs w:val="20"/>
          <w:color w:val="auto"/>
        </w:rPr>
      </w:pPr>
      <w:r>
        <w:rPr>
          <w:rFonts w:ascii="Arial" w:cs="Arial" w:eastAsia="Arial" w:hAnsi="Arial"/>
          <w:sz w:val="16"/>
          <w:szCs w:val="16"/>
          <w:color w:val="auto"/>
        </w:rPr>
        <w:t>Upon the Company’s exercise of the option specified in Section 4.3 applicable to this Section with respect to the Securities of or within a series, the Company shall be deemed to have been discharged from its obligations with respect to such Securities on the date the conditions set forth in Section 4.6 are satisfied (hereinafter “</w:t>
      </w:r>
      <w:r>
        <w:rPr>
          <w:rFonts w:ascii="Arial" w:cs="Arial" w:eastAsia="Arial" w:hAnsi="Arial"/>
          <w:sz w:val="16"/>
          <w:szCs w:val="16"/>
          <w:b w:val="1"/>
          <w:bCs w:val="1"/>
          <w:i w:val="1"/>
          <w:iCs w:val="1"/>
          <w:color w:val="auto"/>
        </w:rPr>
        <w:t>defeasance</w:t>
      </w:r>
      <w:r>
        <w:rPr>
          <w:rFonts w:ascii="Arial" w:cs="Arial" w:eastAsia="Arial" w:hAnsi="Arial"/>
          <w:sz w:val="16"/>
          <w:szCs w:val="16"/>
          <w:color w:val="auto"/>
        </w:rPr>
        <w:t>”). For this purpose, such defeasance means that the Company shall be deemed to have paid and discharged the entire indebtedness represented by such Securities which shall thereafter be deemed to be</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Outstanding</w:t>
      </w:r>
      <w:r>
        <w:rPr>
          <w:rFonts w:ascii="Arial" w:cs="Arial" w:eastAsia="Arial" w:hAnsi="Arial"/>
          <w:sz w:val="16"/>
          <w:szCs w:val="16"/>
          <w:color w:val="auto"/>
        </w:rPr>
        <w:t>” only for the purposes of Section 4.7 and the other Sections of this Indenture referred to in clause (b) of this Section, and to have satisfied all its other obligations under such Securities and this Indenture insofar as such Securities are concerned (and the Trustee, at the expense of the Company, shall on Company Order execute proper instruments acknowledging the same), except the following which shall survive until otherwise terminated or discharged hereunder: (a) the rights of Holders of such Securities to receive, solely from the trust funds described in Section 4.6(a) and as more fully set forth in such Section, payments in respect of the principal of, premium, if any, and interest, if any, on such Securities when such payments are due; (b) the Company’s obligations with respect to such Securities under Sections 3.5, 3.6, 9.2 and 9.3 and with respect to the payment of additional amounts, if any, payable with respect to such Securities as specified pursuant to Section 3.1(b)(16); (c) the rights, powers, trusts, duties and immunities of the Trustee hereunder; and (d) this Article 4. Subject to compliance with this Article 4, the Company may exercise its option under this Section notwithstanding the prior exercise of its option under Section 4.5 with respect to such Securities. Following a defeasance, payment of such Securities may not be accelerated because of an Event of Default.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4.5 Covenant Defeasance</w:t>
      </w:r>
    </w:p>
    <w:p>
      <w:pPr>
        <w:spacing w:after="0" w:line="9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Upon the Company’s exercise of the option specified in Section 4.3 applicable to this Section with respect to any Securities of or within a series, the Company shall be released from its obligations under Sections 7.1 and 9.4, and, if specified pursuant to Section 3.1, its obligations under any other covenant, with respect to such Securities on and after the date the conditions set forth in Section 4.6 are satisfied (hereinafter, “</w:t>
      </w:r>
      <w:r>
        <w:rPr>
          <w:rFonts w:ascii="Arial" w:cs="Arial" w:eastAsia="Arial" w:hAnsi="Arial"/>
          <w:sz w:val="15"/>
          <w:szCs w:val="15"/>
          <w:b w:val="1"/>
          <w:bCs w:val="1"/>
          <w:i w:val="1"/>
          <w:iCs w:val="1"/>
          <w:color w:val="auto"/>
        </w:rPr>
        <w:t>covenant defeasance</w:t>
      </w:r>
      <w:r>
        <w:rPr>
          <w:rFonts w:ascii="Arial" w:cs="Arial" w:eastAsia="Arial" w:hAnsi="Arial"/>
          <w:sz w:val="15"/>
          <w:szCs w:val="15"/>
          <w:color w:val="auto"/>
        </w:rPr>
        <w:t>”), and such Securities shall thereafter be deemed to be not “Outstanding” for the purposes of any direction, waiver, consent or declaration or Act of Holders (and the consequences of any thereof) in connection with Sections 7.1 and 9.4, or such other covenant, but shall continue to be deemed “Outstanding” for all other purposes hereunder. For this purpose, such covenant defeasance means that, with respect to such Securities, the Company may omit to comply with and shall have no liability in respect of any term, condition or limitation set forth in any such Section or such other covenant, whether directly or indirectly, by reason of any reference elsewhere herein</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50" w:name="page51"/>
    <w:bookmarkEnd w:id="50"/>
    <w:p>
      <w:pPr>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any such Section or such other covenant or by reason of reference in any such Section or such other covenant to any other provision herein or in any other document and such omission to comply shall not constitute a Default or an Event of Default under Section 5.1(c) or otherwise, as the case may be, but, except as specified above, the remainder of this Indenture and such Securities shall be unaffected thereby.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4.6 Conditions to Defeasance or Covenant Defeasance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shall be the conditions to application of Section 4.4 or Section 4.5 to any Securities of or within a series:</w:t>
      </w:r>
    </w:p>
    <w:p>
      <w:pPr>
        <w:spacing w:after="0" w:line="90" w:lineRule="exact"/>
        <w:rPr>
          <w:sz w:val="20"/>
          <w:szCs w:val="20"/>
          <w:color w:val="auto"/>
        </w:rPr>
      </w:pPr>
    </w:p>
    <w:p>
      <w:pPr>
        <w:ind w:left="460" w:firstLine="443"/>
        <w:spacing w:after="0" w:line="286" w:lineRule="auto"/>
        <w:tabs>
          <w:tab w:leader="none" w:pos="1137"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 shall have deposited or caused to be deposited irrevocably with the Trustee (or another trustee satisfying the requirements of Section 6.11 who shall agree to comply with, and shall be entitled to the benefits of, the provisions of Sections 4.3 through 4.9 inclusive and the last paragraph of Section 9.3 applicable to the Trustee, for purposes of such Sections also a “Trustee”) as trust funds in trust for the purpose of making the payments referred to in clauses (x) and (y) of this Section 4.6(a), specifically pledged as security for, and dedicated solely to, the benefit of the Holders of such Securities, with instructions to the Trustee as to the application thereof, (i) money in an amount, or (ii) if Securities of such series are not subject to repayment at the option of Holders, Government Obligations which through the payment of interest and principal in respect thereof in accordance with their terms will provide, not later than one day before the due date of any payment referred to in clause (x) or (y) of this Section 4.6(a), money in an amount or (iii) a combination thereof in an amount, sufficient, in the opinion of a nationally recognized firm of independent certified public accountants expressed in a written certification thereof delivered to the Trustee, to pay and discharge, and which shall be applied by the Trustee to pay and discharge, (x) the principal of, premium, if any, and interest, if any, on such Securities on the Maturity of such principal or installment of principal or interest and (y) any mandatory sinking fund payments applicable to such Securities on the day on which such payments are due and payable in accordance with the terms of this Indenture and such Securities. Before such a deposit the Company may make arrangements satisfactory to the Trustee for the redemption of Securities at a future date or dates in accordance with Article 10 which shall be given effect in applying the foregoing.</w:t>
      </w:r>
    </w:p>
    <w:p>
      <w:pPr>
        <w:spacing w:after="0" w:line="39" w:lineRule="exact"/>
        <w:rPr>
          <w:rFonts w:ascii="Arial" w:cs="Arial" w:eastAsia="Arial" w:hAnsi="Arial"/>
          <w:sz w:val="16"/>
          <w:szCs w:val="16"/>
          <w:color w:val="auto"/>
        </w:rPr>
      </w:pPr>
    </w:p>
    <w:p>
      <w:pPr>
        <w:ind w:left="460" w:right="100" w:firstLine="443"/>
        <w:spacing w:after="0" w:line="259" w:lineRule="auto"/>
        <w:tabs>
          <w:tab w:leader="none" w:pos="1147"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a breach or violation of, or constitute a Default or Event of Default under, this Indenture or result in a breach or violation of, or constitute a default under, any other material agreement or instrument to which the Company is a party or by which it is bound.</w:t>
      </w:r>
    </w:p>
    <w:p>
      <w:pPr>
        <w:spacing w:after="0" w:line="59" w:lineRule="exact"/>
        <w:rPr>
          <w:rFonts w:ascii="Arial" w:cs="Arial" w:eastAsia="Arial" w:hAnsi="Arial"/>
          <w:sz w:val="18"/>
          <w:szCs w:val="18"/>
          <w:color w:val="auto"/>
        </w:rPr>
      </w:pPr>
    </w:p>
    <w:p>
      <w:pPr>
        <w:ind w:left="460" w:right="340" w:firstLine="443"/>
        <w:spacing w:after="0" w:line="259" w:lineRule="auto"/>
        <w:tabs>
          <w:tab w:leader="none" w:pos="1137"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Default or Event of Default under Section 5.1(e) or 5.1(f) with respect to such Securities shall have occurred and be continuing during the period commencing on the date of such deposit and ending on the 91st day after such date (it being understood that this condition shall not be deemed satisfied until the expiration of such period).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51" w:name="page52"/>
    <w:bookmarkEnd w:id="51"/>
    <w:p>
      <w:pPr>
        <w:ind w:left="460" w:right="120" w:firstLine="443"/>
        <w:spacing w:after="0" w:line="291" w:lineRule="auto"/>
        <w:tabs>
          <w:tab w:leader="none" w:pos="1147" w:val="left"/>
        </w:tabs>
        <w:numPr>
          <w:ilvl w:val="0"/>
          <w:numId w:val="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an election under Section 4.4, 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shall confirm that, the Holders of such Securities will not recognize income, gain or loss for Federal income tax purposes as a result of such defeasance and will be subject to Federal income tax on the same amount and in the same manner and at the same times, as would have been the case if such deposit, defeasance and discharge had not occurred.</w:t>
      </w:r>
    </w:p>
    <w:p>
      <w:pPr>
        <w:spacing w:after="0" w:line="39" w:lineRule="exact"/>
        <w:rPr>
          <w:rFonts w:ascii="Arial" w:cs="Arial" w:eastAsia="Arial" w:hAnsi="Arial"/>
          <w:sz w:val="16"/>
          <w:szCs w:val="16"/>
          <w:color w:val="auto"/>
        </w:rPr>
      </w:pPr>
    </w:p>
    <w:p>
      <w:pPr>
        <w:ind w:left="460" w:right="60" w:firstLine="443"/>
        <w:spacing w:after="0" w:line="256" w:lineRule="auto"/>
        <w:tabs>
          <w:tab w:leader="none" w:pos="1137"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case of an election under Section 4.5, the Company shall have delivered to the Trustee an Opinion of Counsel to the effect that the Holders of such Securities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ind w:left="460" w:firstLine="443"/>
        <w:spacing w:after="0" w:line="318" w:lineRule="auto"/>
        <w:tabs>
          <w:tab w:leader="none" w:pos="1117"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Company shall have delivered to the Trustee an Officers’ Certificate and an Opinion of Counsel, each stating that all conditions precedent to the defeasance under Section 4.4 or the covenant defeasance under Section 4.5 (as the case may be) have been complied with and an Opinion of Counsel to the effect that either (i) as a result of a deposit pursuant to subsection (a) above and the related exercise of the Company’s option under Section 4.4 or Section 4.5 (as the case may be), registration is not required under the Investment Company Act of 1940, as amended, by the Company, with respect to the trust funds representing such deposit or by the trustee for such trust funds or (ii) all necessary registrations under said act have been effected.</w:t>
      </w:r>
    </w:p>
    <w:p>
      <w:pPr>
        <w:spacing w:after="0" w:line="18" w:lineRule="exact"/>
        <w:rPr>
          <w:rFonts w:ascii="Arial" w:cs="Arial" w:eastAsia="Arial" w:hAnsi="Arial"/>
          <w:sz w:val="15"/>
          <w:szCs w:val="15"/>
          <w:color w:val="auto"/>
        </w:rPr>
      </w:pPr>
    </w:p>
    <w:p>
      <w:pPr>
        <w:ind w:left="460" w:right="140" w:firstLine="443"/>
        <w:spacing w:after="0" w:line="268" w:lineRule="auto"/>
        <w:tabs>
          <w:tab w:leader="none" w:pos="1147"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Such defeasance or covenant defeasance shall be effected in compliance with any additional or substitute terms, conditions or limitations which may be imposed on the Company in connection therewith as contemplated by Section 3.1.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4.7 Deposited Money and Government Obligations to Be Held in Trust</w:t>
      </w:r>
    </w:p>
    <w:p>
      <w:pPr>
        <w:spacing w:after="0" w:line="96"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Subject to the provisions of the last paragraph of Section 9.3, all money and Government Obligations (or other property as may be provided pursuant to Section 3.1) (including the proceeds thereof) deposited with the Trustee pursuant to Section 4.6 in respect of any Securities of any series shall be held in trust and applied by the Trustee, in accordance with the provisions of such Securities and this Indenture, to the payment, either directly or through any Paying Agent (including the Company acting as its own Paying Agent) as the Trustee may determine, to the Holders of such Securities of all sums due and to become due thereon in respect of principal, premium, if any, and interest, if any, but such money need not be segregated from other funds except to the extent required by law.</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80" w:right="27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4.8 Transfers and Distribution at Company Request</w:t>
      </w:r>
    </w:p>
    <w:p>
      <w:pPr>
        <w:spacing w:after="0" w:line="17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To the extent permitted by the Financial Accounting Standards Board Statement of Financial Accounting Standards No. 76, as amended or interpreted by the Financial Accounting Standards Board from time to time, or any successor thereto (“</w:t>
      </w:r>
      <w:r>
        <w:rPr>
          <w:rFonts w:ascii="Arial" w:cs="Arial" w:eastAsia="Arial" w:hAnsi="Arial"/>
          <w:sz w:val="16"/>
          <w:szCs w:val="16"/>
          <w:b w:val="1"/>
          <w:bCs w:val="1"/>
          <w:i w:val="1"/>
          <w:iCs w:val="1"/>
          <w:color w:val="auto"/>
        </w:rPr>
        <w:t>Standard No. 76</w:t>
      </w:r>
      <w:r>
        <w:rPr>
          <w:rFonts w:ascii="Arial" w:cs="Arial" w:eastAsia="Arial" w:hAnsi="Arial"/>
          <w:sz w:val="16"/>
          <w:szCs w:val="16"/>
          <w:color w:val="auto"/>
        </w:rPr>
        <w:t>”), or to the extent permitted by the Commission, the Trustee shall, from time to time, take one or more of the following actions as specified in a Company Request:</w:t>
      </w:r>
    </w:p>
    <w:p>
      <w:pPr>
        <w:spacing w:after="0" w:line="26" w:lineRule="exact"/>
        <w:rPr>
          <w:sz w:val="20"/>
          <w:szCs w:val="20"/>
          <w:color w:val="auto"/>
        </w:rPr>
      </w:pPr>
    </w:p>
    <w:p>
      <w:pPr>
        <w:jc w:val="both"/>
        <w:ind w:left="460" w:right="80" w:firstLine="443"/>
        <w:spacing w:after="0" w:line="259" w:lineRule="auto"/>
        <w:tabs>
          <w:tab w:leader="none" w:pos="1137"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Retransfer, reassign and deliver to the Company any securities deposited with the Trustee pursuant to Section 4.6(a), provided that the Company shall in substitution therefor, simultaneously transfer, assign and deliver to the Trustee other Government Obligations appropriate to satisfy the Company’s obligations in respect of the relevant Securities; and</w:t>
      </w:r>
    </w:p>
    <w:p>
      <w:pPr>
        <w:spacing w:after="0" w:line="59"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Trustee (and any Paying Agent) shall promptly pay to the Company upon Company Request any excess money or securities held by them at any time, including, without limitation, any assets deposited with the Trustee pursuant to Section 4.6(a) exceeding those necessary for the purposes of Section 4.6(a).</w:t>
      </w:r>
    </w:p>
    <w:p>
      <w:pPr>
        <w:spacing w:after="0" w:line="140" w:lineRule="exact"/>
        <w:rPr>
          <w:sz w:val="20"/>
          <w:szCs w:val="20"/>
          <w:color w:val="auto"/>
        </w:rPr>
      </w:pPr>
    </w:p>
    <w:p>
      <w:pPr>
        <w:ind w:right="340" w:firstLine="456"/>
        <w:spacing w:after="0" w:line="254" w:lineRule="auto"/>
        <w:rPr>
          <w:sz w:val="20"/>
          <w:szCs w:val="20"/>
          <w:color w:val="auto"/>
        </w:rPr>
      </w:pPr>
      <w:r>
        <w:rPr>
          <w:rFonts w:ascii="Arial" w:cs="Arial" w:eastAsia="Arial" w:hAnsi="Arial"/>
          <w:sz w:val="18"/>
          <w:szCs w:val="18"/>
          <w:color w:val="auto"/>
        </w:rPr>
        <w:t>The Trustee shall not take the actions described in subsections (a) and (b) of this Section 4.8 unless it shall have first received a written report of a nationally recognized independent public accounting firm selected by the Company, (i) expressing their opinion that the contemplated action is permitted by Standard No. 76 or the Commission, for transactions accounted for as extinguishment of debt under the circumstances described in paragraph 3.c of Standard No. 76 or any successor provision and (ii) verifying the accuracy, after giving effect to such action or actions, of the computations which demonstrate that the amounts remaining to be earned on the Government Obligations deposited with the Trustee pursuant to Section 4.6(a) will be sufficient for purposes of Section 4.6(a).</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Defaults and Remedies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 Events of Default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 occurs with respect to the Securities of any series if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59" w:lineRule="exact"/>
        <w:rPr>
          <w:sz w:val="20"/>
          <w:szCs w:val="20"/>
          <w:color w:val="auto"/>
        </w:rPr>
      </w:pPr>
    </w:p>
    <w:p>
      <w:pPr>
        <w:ind w:left="460" w:right="220" w:firstLine="443"/>
        <w:spacing w:after="0" w:line="332" w:lineRule="auto"/>
        <w:tabs>
          <w:tab w:leader="none" w:pos="1137"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Company defaults in the payment of interest on any Security of that series or any additional amount payable with respect to any Security of that series as specified pursuant to Section 3.1(b)(xiv) when the same becomes due and payable and such default continues for a period of 30 days;</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14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defaults in the payment of the principal of or any premium on any Security of that series when the same becomes due and payable at its Maturity or on redemption or otherwise, or in the payment of a mandatory sinking fund payment when and as due by the terms of the Securities of that series and in each case such default continues for a period of 10 days;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53" w:name="page54"/>
    <w:bookmarkEnd w:id="53"/>
    <w:p>
      <w:pPr>
        <w:ind w:left="460" w:firstLine="443"/>
        <w:spacing w:after="0" w:line="294" w:lineRule="auto"/>
        <w:tabs>
          <w:tab w:leader="none" w:pos="1137" w:val="left"/>
        </w:tabs>
        <w:numPr>
          <w:ilvl w:val="0"/>
          <w:numId w:val="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defaults in the performance of, or breaches, any covenant or warranty of the Company in this Indenture with respect to any Security of that series (other than a covenant or warranty a default in whose performance or whose breach is elsewhere in this Section specifically dealt with), and such default or breach continues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w:t>
      </w:r>
    </w:p>
    <w:p>
      <w:pPr>
        <w:spacing w:after="0" w:line="34" w:lineRule="exact"/>
        <w:rPr>
          <w:rFonts w:ascii="Arial" w:cs="Arial" w:eastAsia="Arial" w:hAnsi="Arial"/>
          <w:sz w:val="16"/>
          <w:szCs w:val="16"/>
          <w:color w:val="auto"/>
        </w:rPr>
      </w:pPr>
    </w:p>
    <w:p>
      <w:pPr>
        <w:ind w:left="460" w:right="40" w:firstLine="443"/>
        <w:spacing w:after="0" w:line="259" w:lineRule="auto"/>
        <w:tabs>
          <w:tab w:leader="none" w:pos="114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w:t>
      </w:r>
    </w:p>
    <w:p>
      <w:pPr>
        <w:spacing w:after="0" w:line="59" w:lineRule="exact"/>
        <w:rPr>
          <w:rFonts w:ascii="Arial" w:cs="Arial" w:eastAsia="Arial" w:hAnsi="Arial"/>
          <w:sz w:val="18"/>
          <w:szCs w:val="18"/>
          <w:color w:val="auto"/>
        </w:rPr>
      </w:pPr>
    </w:p>
    <w:p>
      <w:pPr>
        <w:jc w:val="both"/>
        <w:ind w:left="460" w:right="100" w:firstLine="443"/>
        <w:spacing w:after="0" w:line="259" w:lineRule="auto"/>
        <w:tabs>
          <w:tab w:leader="none" w:pos="1137"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 (i) is for relief against the Company in an involuntary case, (ii) appoints a Custodian of the Company or for all or substantially all of its property, or (iii) orders the liquidation of the Company; and the order or decree remains unstayed and in effect for 90 consecutive days; or</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other Event of Default provided as contemplated by Section 3.1 with respect to Securities of that series.</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Bankruptcy Law</w:t>
      </w:r>
      <w:r>
        <w:rPr>
          <w:rFonts w:ascii="Arial" w:cs="Arial" w:eastAsia="Arial" w:hAnsi="Arial"/>
          <w:sz w:val="18"/>
          <w:szCs w:val="18"/>
          <w:color w:val="auto"/>
        </w:rPr>
        <w:t>” means Title 11, U.S. Code, or any similar federal or state law for the relief of debtors. The term “</w:t>
      </w:r>
      <w:r>
        <w:rPr>
          <w:rFonts w:ascii="Arial" w:cs="Arial" w:eastAsia="Arial" w:hAnsi="Arial"/>
          <w:sz w:val="18"/>
          <w:szCs w:val="18"/>
          <w:b w:val="1"/>
          <w:bCs w:val="1"/>
          <w:i w:val="1"/>
          <w:i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5.2 Acceleration, Rescission and Annulment</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If an Event of Default with respect to the Securities of any series at the time Outstanding occurs and is continuing, the Trustee or the Holders of at least 25% in aggregate principal amount of all of the outstanding Securities of that series, by written notice to the Company (and, if given by the Holders, to the Trustee), may declare the principal (or, if the Securities of that series are Original Issue Discount Securities or Indexed Securities, such portion of the principal amount as may be specified in the terms of that series) of all the Securities of that series to be due and payable and upon any such declaration such principal (or, in the case of original Issue Discount Securities or Indexed Securities, such specified amount) shall be immediately due and payable.</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aggregate principal amount of the outstanding Securities of that series, by written notice to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80" w:right="279" w:bottom="1440" w:gutter="0" w:footer="0" w:header="0"/>
        </w:sectPr>
      </w:pPr>
    </w:p>
    <w:bookmarkStart w:id="54" w:name="page55"/>
    <w:bookmarkEnd w:id="54"/>
    <w:p>
      <w:pPr>
        <w:jc w:val="both"/>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Trustee, may rescind and annul such declaration and its consequences if all existing Defaults and Events of Default with respect to Securities of that series, other than the nonpayment of the principal of Securities of that series which have become due solely by such declaration of acceleration, have been cured or waived as provided in Section 5.7. No such rescission shall affect any subsequent default or impair any right consequent thereon.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5.3 Collection of Indebtedness and Suits for Enforcement by Trustee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covenants that if</w:t>
      </w:r>
    </w:p>
    <w:p>
      <w:pPr>
        <w:spacing w:after="0" w:line="90" w:lineRule="exact"/>
        <w:rPr>
          <w:sz w:val="20"/>
          <w:szCs w:val="20"/>
          <w:color w:val="auto"/>
        </w:rPr>
      </w:pPr>
    </w:p>
    <w:p>
      <w:pPr>
        <w:ind w:left="460" w:right="420" w:firstLine="443"/>
        <w:spacing w:after="0" w:line="268" w:lineRule="auto"/>
        <w:tabs>
          <w:tab w:leader="none" w:pos="1137"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if any, on) any Security at the Maturity thereof and such default continues for a period of 10 days,</w:t>
      </w:r>
    </w:p>
    <w:p>
      <w:pPr>
        <w:spacing w:after="0" w:line="13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will, upon demand of the Trustee, pay to it, for the benefit of the Holders of such Securities, the whole amount then due and payable on such Securities for principal, premium, if any, and interest and, to the extent that payment of such interest shall be legally enforceable, interest on any overdue principal, premium, if any,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5.4 Trustee May File Proofs of Claim</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Trustee may file such proofs of claim and other papers or documents as may be necessary or advisable in order to have the claims of the Trustee and the Holders of Securities allowed in any judicial proceedings relating to the Company, its creditors or its property.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5.5 Trustee May Enforce Claims Without Possession of Securities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5.6 Delay or Omission Not Waiver</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No delay or omission by the Trustee or any Holder of any Securities to exercise any right or remedy accruing upon an Event of Default shall impair any such right or remedy or constitute a waiver of or acquiescence in any such Event of Default.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5.7 Waiver of Past Defaults</w:t>
      </w:r>
    </w:p>
    <w:p>
      <w:pPr>
        <w:spacing w:after="0" w:line="96"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The Holders of a majority in aggregate principal amount of Outstanding Securities of any series by notice to the Trustee may waive on behalf of the Holders of all Securities of such series a past Default or Event of Default with respect to that series and its consequences except (a) a Default or Event of Default in the payment of the principal of, premium, if any, or interest on any Security of such series or (b) in respect of a covenant or provision hereof which pursuant to Section 8.2 cannot be amended or modified without the consent of the Holder of each outstanding Security of such series adversely affected. Upon any such waiver, such Default shall cease to exist, and any Event of Default arising therefrom shall be deemed to have been cured, for every purpose of this Indenture.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5.8 Control by Majority</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The Holders of a majority in aggregate principal amount of the Outstanding Securities of each series affected (with each such series voting as a class) shall have the right to direct the time, method and place of conducting any proceeding for any remedy available to the Trustee or exercising any trust or power conferred on it with respect to Securities of that series;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the Trustee may refuse to follow any direction that conflicts with law or this Indenture, (b) the Trustee may refuse to follow any direction that is unduly prejudicial to the rights of the Holders of Securities of such series not consenting, or that would in the good-faith judgment of the Trustee have a substantial likelihood of involving the Trustee in personal liability and (c) the Trustee may take any other action deemed proper by the Trustee which is not inconsistent with such direction.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5.9 Limitation on Suits by Holders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51" w:lineRule="exact"/>
        <w:rPr>
          <w:sz w:val="20"/>
          <w:szCs w:val="20"/>
          <w:color w:val="auto"/>
        </w:rPr>
      </w:pPr>
    </w:p>
    <w:p>
      <w:pPr>
        <w:ind w:left="1140" w:hanging="237"/>
        <w:spacing w:after="0"/>
        <w:tabs>
          <w:tab w:leader="none" w:pos="11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Holder has previously given written notice to the Trustee of a continuing Event of Default with respect to the Securities of that series;</w:t>
      </w:r>
    </w:p>
    <w:p>
      <w:pPr>
        <w:spacing w:after="0" w:line="113" w:lineRule="exact"/>
        <w:rPr>
          <w:rFonts w:ascii="Arial" w:cs="Arial" w:eastAsia="Arial" w:hAnsi="Arial"/>
          <w:sz w:val="16"/>
          <w:szCs w:val="16"/>
          <w:color w:val="auto"/>
        </w:rPr>
      </w:pPr>
    </w:p>
    <w:p>
      <w:pPr>
        <w:ind w:left="460" w:right="120" w:firstLine="443"/>
        <w:spacing w:after="0" w:line="268" w:lineRule="auto"/>
        <w:tabs>
          <w:tab w:leader="none" w:pos="114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Securities of that series have made a written request to the Trustee to institute proceedings in respect of such Event of Default in its own name as Trustee hereunder;</w:t>
      </w:r>
    </w:p>
    <w:p>
      <w:pPr>
        <w:spacing w:after="0" w:line="50" w:lineRule="exact"/>
        <w:rPr>
          <w:rFonts w:ascii="Arial" w:cs="Arial" w:eastAsia="Arial" w:hAnsi="Arial"/>
          <w:sz w:val="18"/>
          <w:szCs w:val="18"/>
          <w:color w:val="auto"/>
        </w:rPr>
      </w:pPr>
    </w:p>
    <w:p>
      <w:pPr>
        <w:ind w:left="460" w:firstLine="443"/>
        <w:spacing w:after="0" w:line="268" w:lineRule="auto"/>
        <w:tabs>
          <w:tab w:leader="none" w:pos="1137"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satisfactory to the Trustee against any loss, liability or expense to be, or which may be, incurred by the Trustee in pursuing the remedy;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the offer of indemnity has failed to institute any such proceedings; and</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274" w:right="299" w:bottom="1440" w:gutter="0" w:footer="0" w:header="0"/>
        </w:sectPr>
      </w:pPr>
    </w:p>
    <w:bookmarkStart w:id="56" w:name="page57"/>
    <w:bookmarkEnd w:id="56"/>
    <w:p>
      <w:pPr>
        <w:ind w:left="460" w:right="180" w:firstLine="443"/>
        <w:spacing w:after="0" w:line="268" w:lineRule="auto"/>
        <w:tabs>
          <w:tab w:leader="none" w:pos="1137"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such 60-day period, the Holders of a majority in aggregate principal amount of the Outstanding Securities of that series has not given to the Trustee a direction inconsistent with such written request.</w:t>
      </w:r>
    </w:p>
    <w:p>
      <w:pPr>
        <w:spacing w:after="0" w:line="132"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No one or more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5.10 Rights of Holders to Receive Payment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Notwithstanding any other provision of this Indenture, the right of any Holder of a Security to receive payment of principal of, premium, if any, and, subject to Section 3.7, interest on the Security, on or after the respective due dates expressed in the Security (or, in case of redemption, on the redemption dates), or, subject to Section 5.9, to bring suit for the enforcement of any such payment on or after such respective dates, shall not be impaired or affected without the consent of such Holder.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5.11 Application of Money Collected</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the Trustee collects any money pursuant to this Article, it shall pay out the money in the following order, at the date or dates fixed by the Trustee and, in case of the distribution of such money on account of principal, premium, if any, or interest, upon presentation of the Securities and the notation thereon of the payment if only partially paid and upon surrender thereof if fully paid:</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Trustee for amounts due under Section 6.9;</w:t>
      </w:r>
    </w:p>
    <w:p>
      <w:pPr>
        <w:spacing w:after="0" w:line="90" w:lineRule="exact"/>
        <w:rPr>
          <w:sz w:val="20"/>
          <w:szCs w:val="20"/>
          <w:color w:val="auto"/>
        </w:rPr>
      </w:pPr>
    </w:p>
    <w:p>
      <w:pPr>
        <w:jc w:val="both"/>
        <w:ind w:left="460" w:right="100" w:firstLine="438"/>
        <w:spacing w:after="0" w:line="259"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Holders of Securities in respect of which or for the benefit of which such money has been collected for amounts due and unpaid on such Securities for principal of, premium, if any, and interest, ratably, without preference or priority of any kind, according to the amounts due and payable on such Securities for principal, premium, if any, and interest, respectively; and</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the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5.12 Restoration of Rights and Remedies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280" w:right="29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5.13 Rights and Remedies Cumulative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otherwise provided with respect to the replacement or payment of mutilated, destroyed, lost or stolen Securities in the last paragraph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Section 3.6, no right or remedy herein conferred upon or reserved to the Trustee or the Holders is intended to be exclusive of any other right or remedy, and every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right and remedy shall, to the extent permitted by law, be cumulative and in addition to every other right and remedy given hereunder or now or hereafter existing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law or in equity or otherwise. The assertion or employment of any right or remedy hereunder, or otherwise, shall not prevent the concurrent assertion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employment of any other appropriate right or remedy.</w:t>
      </w:r>
    </w:p>
    <w:p>
      <w:pPr>
        <w:spacing w:after="0" w:line="3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6</w:t>
      </w:r>
    </w:p>
    <w:p>
      <w:pPr>
        <w:spacing w:after="0" w:line="17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The Trustee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 Certain Duties and Responsibilities</w:t>
      </w:r>
    </w:p>
    <w:p>
      <w:pPr>
        <w:spacing w:after="0" w:line="96" w:lineRule="exact"/>
        <w:rPr>
          <w:sz w:val="20"/>
          <w:szCs w:val="20"/>
          <w:color w:val="auto"/>
        </w:rPr>
      </w:pPr>
    </w:p>
    <w:p>
      <w:pPr>
        <w:ind w:left="700" w:hanging="236"/>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90" w:lineRule="exact"/>
        <w:rPr>
          <w:rFonts w:ascii="Arial" w:cs="Arial" w:eastAsia="Arial" w:hAnsi="Arial"/>
          <w:sz w:val="18"/>
          <w:szCs w:val="18"/>
          <w:color w:val="auto"/>
        </w:rPr>
      </w:pPr>
    </w:p>
    <w:p>
      <w:pPr>
        <w:ind w:left="460" w:right="380" w:firstLine="443"/>
        <w:spacing w:after="0" w:line="268" w:lineRule="auto"/>
        <w:tabs>
          <w:tab w:leader="none" w:pos="1108"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Trustee undertakes to perform such duties and only such duties as are specifically set forth in this Indenture, and no implied covenants or obligations shall be read into this Indenture against the Trustee; and</w:t>
      </w:r>
    </w:p>
    <w:p>
      <w:pPr>
        <w:spacing w:after="0" w:line="50" w:lineRule="exact"/>
        <w:rPr>
          <w:rFonts w:ascii="Arial" w:cs="Arial" w:eastAsia="Arial" w:hAnsi="Arial"/>
          <w:sz w:val="18"/>
          <w:szCs w:val="18"/>
          <w:color w:val="auto"/>
        </w:rPr>
      </w:pPr>
    </w:p>
    <w:p>
      <w:pPr>
        <w:ind w:left="460" w:right="80" w:firstLine="443"/>
        <w:spacing w:after="0" w:line="298" w:lineRule="auto"/>
        <w:tabs>
          <w:tab w:leader="none" w:pos="1157" w:val="left"/>
        </w:tabs>
        <w:numPr>
          <w:ilvl w:val="1"/>
          <w:numId w:val="50"/>
        </w:numPr>
        <w:rPr>
          <w:rFonts w:ascii="Arial" w:cs="Arial" w:eastAsia="Arial" w:hAnsi="Arial"/>
          <w:sz w:val="16"/>
          <w:szCs w:val="16"/>
          <w:color w:val="auto"/>
        </w:rPr>
      </w:pPr>
      <w:r>
        <w:rPr>
          <w:rFonts w:ascii="Arial" w:cs="Arial" w:eastAsia="Arial" w:hAnsi="Arial"/>
          <w:sz w:val="16"/>
          <w:szCs w:val="16"/>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112" w:lineRule="exact"/>
        <w:rPr>
          <w:rFonts w:ascii="Arial" w:cs="Arial" w:eastAsia="Arial" w:hAnsi="Arial"/>
          <w:sz w:val="16"/>
          <w:szCs w:val="16"/>
          <w:color w:val="auto"/>
        </w:rPr>
      </w:pPr>
    </w:p>
    <w:p>
      <w:pPr>
        <w:jc w:val="both"/>
        <w:ind w:right="140" w:firstLine="464"/>
        <w:spacing w:after="0" w:line="259" w:lineRule="auto"/>
        <w:tabs>
          <w:tab w:leader="none" w:pos="7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case an Event of Default has occurred and is continuing with respect to the Securities of any series, the Trustee shall exercise such of the rights and powers vested in it by this Indenture with respect to the Securities of such series, and use the same degree of care and skill in their exercise, as a prudent person would exercise or use under the circumstances in the conduct of his own affairs.</w:t>
      </w:r>
    </w:p>
    <w:p>
      <w:pPr>
        <w:spacing w:after="0" w:line="140"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this subsection shall not be construed to limit the effect of subsection (a) of this Section;</w:t>
      </w:r>
    </w:p>
    <w:p>
      <w:pPr>
        <w:spacing w:after="0" w:line="90" w:lineRule="exact"/>
        <w:rPr>
          <w:rFonts w:ascii="Arial" w:cs="Arial" w:eastAsia="Arial" w:hAnsi="Arial"/>
          <w:sz w:val="18"/>
          <w:szCs w:val="18"/>
          <w:color w:val="auto"/>
        </w:rPr>
      </w:pPr>
    </w:p>
    <w:p>
      <w:pPr>
        <w:ind w:left="460" w:right="260" w:firstLine="443"/>
        <w:spacing w:after="0" w:line="268" w:lineRule="auto"/>
        <w:tabs>
          <w:tab w:leader="none" w:pos="1157"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shall be proved that the Trustee was negligent in ascertaining the pertinent facts;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74" w:right="279" w:bottom="1440" w:gutter="0" w:footer="0" w:header="0"/>
        </w:sectPr>
      </w:pPr>
    </w:p>
    <w:bookmarkStart w:id="58" w:name="page59"/>
    <w:bookmarkEnd w:id="58"/>
    <w:p>
      <w:pPr>
        <w:ind w:left="460" w:right="180" w:firstLine="443"/>
        <w:spacing w:after="0" w:line="256" w:lineRule="auto"/>
        <w:tabs>
          <w:tab w:leader="none" w:pos="1205" w:val="left"/>
        </w:tabs>
        <w:numPr>
          <w:ilvl w:val="1"/>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shall not be liable with respect to any action taken or omitted to be taken by it in good faith in accordance with the direction of the Holders of a majority in principal amount of the Outstanding Securities of any series relating to the time, method and place of conducting any proceeding for any remedy available to the Trustee, or exercising any trust or power conferred upon the Trustee, under this Indenture with respect to the Securities of such series.</w:t>
      </w:r>
    </w:p>
    <w:p>
      <w:pPr>
        <w:spacing w:after="0" w:line="143" w:lineRule="exact"/>
        <w:rPr>
          <w:rFonts w:ascii="Arial" w:cs="Arial" w:eastAsia="Arial" w:hAnsi="Arial"/>
          <w:sz w:val="18"/>
          <w:szCs w:val="18"/>
          <w:color w:val="auto"/>
        </w:rPr>
      </w:pPr>
    </w:p>
    <w:p>
      <w:pPr>
        <w:ind w:right="200" w:firstLine="464"/>
        <w:spacing w:after="0" w:line="259" w:lineRule="auto"/>
        <w:tabs>
          <w:tab w:leader="none" w:pos="705"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40" w:lineRule="exact"/>
        <w:rPr>
          <w:rFonts w:ascii="Arial" w:cs="Arial" w:eastAsia="Arial" w:hAnsi="Arial"/>
          <w:sz w:val="18"/>
          <w:szCs w:val="18"/>
          <w:color w:val="auto"/>
        </w:rPr>
      </w:pPr>
    </w:p>
    <w:p>
      <w:pPr>
        <w:ind w:firstLine="464"/>
        <w:spacing w:after="0" w:line="268"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relating to the conduct or affecting the liability of or affording protection to the Trustee shall be subject to the provisions of this Section.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6.2 Rights of Trustee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provisions of the Trust Indenture Act:</w:t>
      </w:r>
    </w:p>
    <w:p>
      <w:pPr>
        <w:spacing w:after="0" w:line="90" w:lineRule="exact"/>
        <w:rPr>
          <w:sz w:val="20"/>
          <w:szCs w:val="20"/>
          <w:color w:val="auto"/>
        </w:rPr>
      </w:pPr>
    </w:p>
    <w:p>
      <w:pPr>
        <w:ind w:left="460" w:right="160" w:firstLine="443"/>
        <w:spacing w:after="0" w:line="259" w:lineRule="auto"/>
        <w:tabs>
          <w:tab w:leader="none" w:pos="113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statement, instrument, opinion, report, notice, request, direction, consent, order, bond, debenture, note or other paper or document believed by it to be genuine and to have been signed or presented by the proper party or parties.</w:t>
      </w:r>
    </w:p>
    <w:p>
      <w:pPr>
        <w:spacing w:after="0" w:line="59" w:lineRule="exact"/>
        <w:rPr>
          <w:rFonts w:ascii="Arial" w:cs="Arial" w:eastAsia="Arial" w:hAnsi="Arial"/>
          <w:sz w:val="18"/>
          <w:szCs w:val="18"/>
          <w:color w:val="auto"/>
        </w:rPr>
      </w:pPr>
    </w:p>
    <w:p>
      <w:pPr>
        <w:ind w:left="460" w:right="80" w:firstLine="443"/>
        <w:spacing w:after="0" w:line="306" w:lineRule="auto"/>
        <w:tabs>
          <w:tab w:leader="none" w:pos="1147"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Any request or direction of the Company mentioned herein shall be sufficiently evidenced by a Company Request or Company Order (other than delivery of any Security to the Trustee for authentication and delivery pursuant to Section 3.3, which shall be sufficiently evidenced as provided therein) and any resolution of the Board of Directors may be sufficiently evidenced by a Board Resolution.</w:t>
      </w:r>
    </w:p>
    <w:p>
      <w:pPr>
        <w:spacing w:after="0" w:line="25" w:lineRule="exact"/>
        <w:rPr>
          <w:rFonts w:ascii="Arial" w:cs="Arial" w:eastAsia="Arial" w:hAnsi="Arial"/>
          <w:sz w:val="16"/>
          <w:szCs w:val="16"/>
          <w:color w:val="auto"/>
        </w:rPr>
      </w:pPr>
    </w:p>
    <w:p>
      <w:pPr>
        <w:ind w:left="460" w:right="60" w:firstLine="443"/>
        <w:spacing w:after="0" w:line="259" w:lineRule="auto"/>
        <w:tabs>
          <w:tab w:leader="none" w:pos="1137"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59" w:lineRule="exact"/>
        <w:rPr>
          <w:rFonts w:ascii="Arial" w:cs="Arial" w:eastAsia="Arial" w:hAnsi="Arial"/>
          <w:sz w:val="18"/>
          <w:szCs w:val="18"/>
          <w:color w:val="auto"/>
        </w:rPr>
      </w:pPr>
    </w:p>
    <w:p>
      <w:pPr>
        <w:ind w:left="460" w:right="20" w:firstLine="443"/>
        <w:spacing w:after="0" w:line="332" w:lineRule="auto"/>
        <w:tabs>
          <w:tab w:leader="none" w:pos="1147"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Trustee may consult with counsel of its selection and the written advice of such counsel or any Opinion of Counsel shall be full and complete authorization and protection in respect of any action taken, suffered or omitted by it hereunder in good faith and in reliance thereon.</w:t>
      </w:r>
    </w:p>
    <w:p>
      <w:pPr>
        <w:spacing w:after="0" w:line="4" w:lineRule="exact"/>
        <w:rPr>
          <w:rFonts w:ascii="Arial" w:cs="Arial" w:eastAsia="Arial" w:hAnsi="Arial"/>
          <w:sz w:val="16"/>
          <w:szCs w:val="16"/>
          <w:color w:val="auto"/>
        </w:rPr>
      </w:pPr>
    </w:p>
    <w:p>
      <w:pPr>
        <w:jc w:val="both"/>
        <w:ind w:left="460" w:right="140" w:firstLine="443"/>
        <w:spacing w:after="0" w:line="306" w:lineRule="auto"/>
        <w:tabs>
          <w:tab w:leader="none" w:pos="1137"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at the request or direction of any of the Holders pursuant to this Indenture, unless such Holders shall have offered to the Trustee security or indemnity reasonably satisfactory to it against the costs, expenses and liabilities which might be incurred by it in compliance with such request or direction.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59" w:name="page60"/>
    <w:bookmarkEnd w:id="59"/>
    <w:p>
      <w:pPr>
        <w:ind w:left="460" w:right="20" w:firstLine="443"/>
        <w:spacing w:after="0" w:line="255" w:lineRule="auto"/>
        <w:tabs>
          <w:tab w:leader="none" w:pos="1117"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shall not be bound to make any investigation into the facts or matters stated in any resolution, certificate, statement, instrument, opinion, report, notice, request, direction, consent, order, bond, debenture, note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 shall incur no liability or additional liability of any kind by reason of such inquiry or investigation.</w:t>
      </w:r>
    </w:p>
    <w:p>
      <w:pPr>
        <w:spacing w:after="0" w:line="61"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Trustee may act through agents or attorneys and shall not be responsible for the misconduct or negligence of any agent or attorney appointed with due care.</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Trustee shall not be liable for any action it takes or omits to take in good faith which it believes to be authorized or within its rights or</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powers.</w:t>
      </w:r>
    </w:p>
    <w:p>
      <w:pPr>
        <w:spacing w:after="0" w:line="83" w:lineRule="exact"/>
        <w:rPr>
          <w:rFonts w:ascii="Arial" w:cs="Arial" w:eastAsia="Arial" w:hAnsi="Arial"/>
          <w:sz w:val="16"/>
          <w:szCs w:val="16"/>
          <w:color w:val="auto"/>
        </w:rPr>
      </w:pPr>
    </w:p>
    <w:p>
      <w:pPr>
        <w:ind w:left="460" w:right="120" w:firstLine="443"/>
        <w:spacing w:after="0" w:line="259" w:lineRule="auto"/>
        <w:tabs>
          <w:tab w:leader="none" w:pos="110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Trustee shall not be required to expend or risk its own funds or otherwise incur any financial liability in the performance of any of its duties hereunder, or in the exercise of its rights or powers, if it shall have reasonable grounds for believing that repayment of such funds or adequate indemnity against such risk or liability is not reasonably assured to it.</w:t>
      </w:r>
    </w:p>
    <w:p>
      <w:pPr>
        <w:spacing w:after="0" w:line="59" w:lineRule="exact"/>
        <w:rPr>
          <w:rFonts w:ascii="Arial" w:cs="Arial" w:eastAsia="Arial" w:hAnsi="Arial"/>
          <w:sz w:val="18"/>
          <w:szCs w:val="18"/>
          <w:color w:val="auto"/>
        </w:rPr>
      </w:pPr>
    </w:p>
    <w:p>
      <w:pPr>
        <w:ind w:left="460" w:right="480" w:firstLine="443"/>
        <w:spacing w:after="0" w:line="259" w:lineRule="auto"/>
        <w:tabs>
          <w:tab w:leader="none" w:pos="110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and this Indenture;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4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Trustee may request that the Company deliver an Officers’ Certificate setting forth the names of individuals and/or titles of officers</w:t>
      </w:r>
    </w:p>
    <w:p>
      <w:pPr>
        <w:spacing w:after="0" w:line="38" w:lineRule="exact"/>
        <w:rPr>
          <w:rFonts w:ascii="Arial" w:cs="Arial" w:eastAsia="Arial" w:hAnsi="Arial"/>
          <w:sz w:val="16"/>
          <w:szCs w:val="16"/>
          <w:color w:val="auto"/>
        </w:rPr>
      </w:pPr>
    </w:p>
    <w:p>
      <w:pPr>
        <w:ind w:left="460" w:right="100"/>
        <w:spacing w:after="0" w:line="323" w:lineRule="auto"/>
        <w:rPr>
          <w:rFonts w:ascii="Arial" w:cs="Arial" w:eastAsia="Arial" w:hAnsi="Arial"/>
          <w:sz w:val="16"/>
          <w:szCs w:val="16"/>
          <w:color w:val="auto"/>
        </w:rPr>
      </w:pPr>
      <w:r>
        <w:rPr>
          <w:rFonts w:ascii="Arial" w:cs="Arial" w:eastAsia="Arial" w:hAnsi="Arial"/>
          <w:sz w:val="16"/>
          <w:szCs w:val="16"/>
          <w:color w:val="auto"/>
        </w:rPr>
        <w:t>authorized at such time to take specified actions pursuant to this Indenture, which Officers’ Certificate may be signed by any person authorized to sign an Officers’ Certificate, including any person specified so as authorized in any such certificate previously delivered and not superseded.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6.3 Trustee May Hold Securities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Trustee, any Paying Agent, any Registrar or any other agent of the Company, in its individual or any other capacity, may become the owner or pledgee of Securities and, subject to Sections 310(b) and 311 of the Trust Indenture Act, may otherwise deal with the Company, an Affiliate or Subsidiary with the same rights it would have if it were not Trustee, Paying Agent, Registrar or such other agent.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280" w:right="29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6.4 Money Held in Trust</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6.5 Trustee’s Disclaimer</w:t>
      </w:r>
    </w:p>
    <w:p>
      <w:pPr>
        <w:spacing w:after="0" w:line="9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recitals contained herein and in the Securities, except the Trustee’s certificate of authentication, shall be taken as the statements of the Company, and the Trustee assumes no responsibility for their correctness. The Trustee makes no representation as to the validity or adequacy of this Indenture or the Securities. The Trustee shall not be accountable for the Company’s use of the proceeds from the Securities or for monies paid over to the Company pursuant to the Indenture.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6.6 Notice of Defaults</w:t>
      </w:r>
    </w:p>
    <w:p>
      <w:pPr>
        <w:spacing w:after="0" w:line="9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 xml:space="preserve">If a Default occurs and is continuing with respect to the Securities of any series and if it is known to the Trustee, the Trustee shall, within 30 days after it occurs, transmit, in the manner and to the extent provided in Section 313(c) of the Trust Indenture Act, notice of all uncured Defaults known to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except in the case of a Default in payment on the Securities of any series, the Trustee may withhold the notice if and so long as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directors, the executive committee or a committee of its Responsible Officers in good faith determines that withholding such notice is in the interests of Holders of Securities of that series;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the case of any default or breach of the character specified in Section 5.1(c) with respect to the Securities of such series, no such notice to Holders shall be given until at least 60 days after the occurrence thereof.</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6.7 Reports by Trustee to Holders</w:t>
      </w:r>
    </w:p>
    <w:p>
      <w:pPr>
        <w:spacing w:after="0" w:line="96" w:lineRule="exact"/>
        <w:rPr>
          <w:sz w:val="20"/>
          <w:szCs w:val="20"/>
          <w:color w:val="auto"/>
        </w:rPr>
      </w:pPr>
    </w:p>
    <w:p>
      <w:pPr>
        <w:jc w:val="both"/>
        <w:ind w:right="540" w:firstLine="456"/>
        <w:spacing w:after="0" w:line="306" w:lineRule="auto"/>
        <w:rPr>
          <w:sz w:val="20"/>
          <w:szCs w:val="20"/>
          <w:color w:val="auto"/>
        </w:rPr>
      </w:pPr>
      <w:r>
        <w:rPr>
          <w:rFonts w:ascii="Arial" w:cs="Arial" w:eastAsia="Arial" w:hAnsi="Arial"/>
          <w:sz w:val="16"/>
          <w:szCs w:val="16"/>
          <w:color w:val="auto"/>
        </w:rPr>
        <w:t>Within 60 days after each May 15 of each year commencing with the first May 15 after the first issuance of Securities pursuant to this Indenture, the Trustee shall transmit by mail to all Holders of Securities as provided in Section 313(c) of the Trust Indenture Act a brief report dated as of such May 15 if required by Section 313(a) of the Trust Indenture Act. The Trustee also shall comply with Section 313(b) and (d) of the Trust Indenture Act, if applicable.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6.8 Securityholder Lists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Trustee shall preserve in as current a form as is reasonably practicable the most recent list available to it of the names and addresses of Holders of Securities of each series. If the Trustee is not the Registrar, the Company shall furnish to the Trustee semiannually on or before the last day of June and December in each year, and at such other times as the Trustee may request in writing, a list, in such form and as of such date as the Trustee may reasonably require, containing all the information in the possession of the Registrar, the Company or any of its Paying Agents other than the Trustee as to the names and addresses of Holders of Securities of each such series.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6.9 Compensation and Indemnity</w:t>
      </w:r>
    </w:p>
    <w:p>
      <w:pPr>
        <w:spacing w:after="0" w:line="96" w:lineRule="exact"/>
        <w:rPr>
          <w:sz w:val="20"/>
          <w:szCs w:val="20"/>
          <w:color w:val="auto"/>
        </w:rPr>
      </w:pPr>
    </w:p>
    <w:p>
      <w:pPr>
        <w:ind w:right="20" w:firstLine="464"/>
        <w:spacing w:after="0" w:line="255" w:lineRule="auto"/>
        <w:tabs>
          <w:tab w:leader="none" w:pos="69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shall pay to the Trustee from time to time such compensation as shall be agreed between the Company and the Trustee in writing for all services rendered by it hereunder. The Trustee’s compensation shall not be limited by any law on compensation of a trustee of an express trust. The Company shall reimburse the Trustee upon request for all reasonable out-of-pocket expenses incurred by it in connection with the performance of its duties under this Indenture, except any such expense as may be attributable to its negligence or bad faith. Such expenses shall include the reasonable compensation and expenses of the Trustee’s agents and counsel.</w:t>
      </w:r>
    </w:p>
    <w:p>
      <w:pPr>
        <w:spacing w:after="0" w:line="142" w:lineRule="exact"/>
        <w:rPr>
          <w:rFonts w:ascii="Arial" w:cs="Arial" w:eastAsia="Arial" w:hAnsi="Arial"/>
          <w:sz w:val="18"/>
          <w:szCs w:val="18"/>
          <w:color w:val="auto"/>
        </w:rPr>
      </w:pPr>
    </w:p>
    <w:p>
      <w:pPr>
        <w:jc w:val="both"/>
        <w:ind w:firstLine="464"/>
        <w:spacing w:after="0" w:line="323" w:lineRule="auto"/>
        <w:tabs>
          <w:tab w:leader="none" w:pos="705"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Company shall indemnify the Trustee for, and hold it harmless against, any loss, liability or expense incurred by it without negligence or bad faith on its part arising out of or in connection with its acceptance or administration of the trust or trusts hereunder. The Trustee shall notify the Company promptly of any claim for which it may seek indemnity. The Company shall defend the claim and the Trustee shall cooperate in the defense. The Trustee may have separate counsel and the Company shall pay the reasonable fees and expenses of such counsel. The Company need not pay for any settlement made without its consent.</w:t>
      </w:r>
    </w:p>
    <w:p>
      <w:pPr>
        <w:spacing w:after="0" w:line="97" w:lineRule="exact"/>
        <w:rPr>
          <w:rFonts w:ascii="Arial" w:cs="Arial" w:eastAsia="Arial" w:hAnsi="Arial"/>
          <w:sz w:val="15"/>
          <w:szCs w:val="15"/>
          <w:color w:val="auto"/>
        </w:rPr>
      </w:pPr>
    </w:p>
    <w:p>
      <w:pPr>
        <w:ind w:left="700" w:hanging="236"/>
        <w:spacing w:after="0"/>
        <w:tabs>
          <w:tab w:leader="none" w:pos="7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Company need not reimburse any expense or indemnify against any loss or liability incurred by the Trustee through its negligence or bad faith.</w:t>
      </w:r>
    </w:p>
    <w:p>
      <w:pPr>
        <w:spacing w:after="0" w:line="194" w:lineRule="exact"/>
        <w:rPr>
          <w:rFonts w:ascii="Arial" w:cs="Arial" w:eastAsia="Arial" w:hAnsi="Arial"/>
          <w:sz w:val="16"/>
          <w:szCs w:val="16"/>
          <w:color w:val="auto"/>
        </w:rPr>
      </w:pPr>
    </w:p>
    <w:p>
      <w:pPr>
        <w:ind w:right="320" w:firstLine="464"/>
        <w:spacing w:after="0" w:line="332" w:lineRule="auto"/>
        <w:tabs>
          <w:tab w:leader="none" w:pos="705" w:val="left"/>
        </w:tabs>
        <w:numPr>
          <w:ilvl w:val="0"/>
          <w:numId w:val="55"/>
        </w:numPr>
        <w:rPr>
          <w:rFonts w:ascii="Arial" w:cs="Arial" w:eastAsia="Arial" w:hAnsi="Arial"/>
          <w:sz w:val="16"/>
          <w:szCs w:val="16"/>
          <w:color w:val="auto"/>
        </w:rPr>
      </w:pPr>
      <w:r>
        <w:rPr>
          <w:rFonts w:ascii="Arial" w:cs="Arial" w:eastAsia="Arial" w:hAnsi="Arial"/>
          <w:sz w:val="16"/>
          <w:szCs w:val="16"/>
          <w:color w:val="auto"/>
        </w:rPr>
        <w:t>To secure the payment obligations of the Company pursuant to this Section, the Trustee shall have a lien prior to the Securities of any series on all money or property held or collected by the Trustee, except that held in trust to pay principal, premium, if any, and interest on particular Securities.</w:t>
      </w:r>
    </w:p>
    <w:p>
      <w:pPr>
        <w:spacing w:after="0" w:line="85" w:lineRule="exact"/>
        <w:rPr>
          <w:rFonts w:ascii="Arial" w:cs="Arial" w:eastAsia="Arial" w:hAnsi="Arial"/>
          <w:sz w:val="16"/>
          <w:szCs w:val="16"/>
          <w:color w:val="auto"/>
        </w:rPr>
      </w:pPr>
    </w:p>
    <w:p>
      <w:pPr>
        <w:jc w:val="both"/>
        <w:ind w:right="20" w:firstLine="464"/>
        <w:spacing w:after="0" w:line="259" w:lineRule="auto"/>
        <w:tabs>
          <w:tab w:leader="none" w:pos="695"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when the Trustee incurs expenses or renders services in connection with an Event of Default specified in Section 5.1(e) or Section 5.1(f),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provisions of this Section shall survive the termination of this Indenture.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6.10 Replacement of Trustee</w:t>
      </w:r>
    </w:p>
    <w:p>
      <w:pPr>
        <w:spacing w:after="0" w:line="96" w:lineRule="exact"/>
        <w:rPr>
          <w:sz w:val="20"/>
          <w:szCs w:val="20"/>
          <w:color w:val="auto"/>
        </w:rPr>
      </w:pPr>
    </w:p>
    <w:p>
      <w:pPr>
        <w:ind w:right="560" w:firstLine="464"/>
        <w:spacing w:after="0" w:line="268" w:lineRule="auto"/>
        <w:tabs>
          <w:tab w:leader="none" w:pos="6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resignation or removal of the Trustee and the appointment of a successor Trustee shall become effective only upon the successor Trustee’s acceptance of appointment as provided in Section 6.11.</w:t>
      </w:r>
    </w:p>
    <w:p>
      <w:pPr>
        <w:spacing w:after="0" w:line="131" w:lineRule="exact"/>
        <w:rPr>
          <w:rFonts w:ascii="Arial" w:cs="Arial" w:eastAsia="Arial" w:hAnsi="Arial"/>
          <w:sz w:val="18"/>
          <w:szCs w:val="18"/>
          <w:color w:val="auto"/>
        </w:rPr>
      </w:pPr>
    </w:p>
    <w:p>
      <w:pPr>
        <w:ind w:right="200" w:firstLine="464"/>
        <w:spacing w:after="0" w:line="256" w:lineRule="auto"/>
        <w:tabs>
          <w:tab w:leader="none" w:pos="70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may resign at any time with respect to the Securities of any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or such series.</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80"/>
          </w:cols>
          <w:pgMar w:left="240" w:top="274" w:right="379" w:bottom="1440" w:gutter="0" w:footer="0" w:header="0"/>
        </w:sectPr>
      </w:pPr>
    </w:p>
    <w:bookmarkStart w:id="62" w:name="page63"/>
    <w:bookmarkEnd w:id="62"/>
    <w:p>
      <w:pPr>
        <w:ind w:left="-20" w:right="140" w:firstLine="464"/>
        <w:spacing w:after="0" w:line="332" w:lineRule="auto"/>
        <w:tabs>
          <w:tab w:leader="none" w:pos="675" w:val="left"/>
        </w:tabs>
        <w:numPr>
          <w:ilvl w:val="0"/>
          <w:numId w:val="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Holders of a majority in aggregate principal amount of the Outstanding Securities of any series may remove the Trustee with respect to that series by so notifying the Trustee and the Company and may appoint a successor Trustee for such series with the Company’s consent.</w:t>
      </w:r>
    </w:p>
    <w:p>
      <w:pPr>
        <w:spacing w:after="0" w:line="85" w:lineRule="exact"/>
        <w:rPr>
          <w:rFonts w:ascii="Arial" w:cs="Arial" w:eastAsia="Arial" w:hAnsi="Arial"/>
          <w:sz w:val="16"/>
          <w:szCs w:val="16"/>
          <w:color w:val="auto"/>
        </w:rPr>
      </w:pPr>
    </w:p>
    <w:p>
      <w:pPr>
        <w:ind w:left="700" w:hanging="256"/>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at any time:</w:t>
      </w:r>
    </w:p>
    <w:p>
      <w:pPr>
        <w:spacing w:after="0" w:line="90" w:lineRule="exact"/>
        <w:rPr>
          <w:rFonts w:ascii="Arial" w:cs="Arial" w:eastAsia="Arial" w:hAnsi="Arial"/>
          <w:sz w:val="18"/>
          <w:szCs w:val="18"/>
          <w:color w:val="auto"/>
        </w:rPr>
      </w:pPr>
    </w:p>
    <w:p>
      <w:pPr>
        <w:ind w:left="440" w:right="260" w:firstLine="443"/>
        <w:spacing w:after="0" w:line="268" w:lineRule="auto"/>
        <w:tabs>
          <w:tab w:leader="none" w:pos="1088"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Trustee fails to comply with Section 310(b) of the Trust Indenture Act after written request therefor by the Company or by any Holder who has been a bona fide Holder of a Security for at least six months; or</w:t>
      </w:r>
    </w:p>
    <w:p>
      <w:pPr>
        <w:spacing w:after="0" w:line="50" w:lineRule="exact"/>
        <w:rPr>
          <w:rFonts w:ascii="Arial" w:cs="Arial" w:eastAsia="Arial" w:hAnsi="Arial"/>
          <w:sz w:val="18"/>
          <w:szCs w:val="18"/>
          <w:color w:val="auto"/>
        </w:rPr>
      </w:pPr>
    </w:p>
    <w:p>
      <w:pPr>
        <w:ind w:left="440" w:right="180" w:firstLine="443"/>
        <w:spacing w:after="0" w:line="332" w:lineRule="auto"/>
        <w:tabs>
          <w:tab w:leader="none" w:pos="1137"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Trustee shall cease to be eligible under Section 310(a) of the Trust Indenture Act and shall fail to resign after written request therefor by the Company or by any Holder of a Security who has been a bona fide Holder of a Security for at least six months; or</w:t>
      </w:r>
    </w:p>
    <w:p>
      <w:pPr>
        <w:spacing w:after="0" w:line="4" w:lineRule="exact"/>
        <w:rPr>
          <w:rFonts w:ascii="Arial" w:cs="Arial" w:eastAsia="Arial" w:hAnsi="Arial"/>
          <w:sz w:val="16"/>
          <w:szCs w:val="16"/>
          <w:color w:val="auto"/>
        </w:rPr>
      </w:pPr>
    </w:p>
    <w:p>
      <w:pPr>
        <w:ind w:left="440" w:right="180" w:firstLine="443"/>
        <w:spacing w:after="0" w:line="268" w:lineRule="auto"/>
        <w:tabs>
          <w:tab w:leader="none" w:pos="1185"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Trustee becomes incapable of acting, is adjudged a bankrupt or an insolvent or a receiver or public officer takes charge of the Trustee or its property or affairs for the purpose of rehabilitation, conservation or liquidation,</w:t>
      </w:r>
    </w:p>
    <w:p>
      <w:pPr>
        <w:spacing w:after="0" w:line="51" w:lineRule="exact"/>
        <w:rPr>
          <w:sz w:val="20"/>
          <w:szCs w:val="20"/>
          <w:color w:val="auto"/>
        </w:rPr>
      </w:pPr>
    </w:p>
    <w:p>
      <w:pPr>
        <w:ind w:left="440"/>
        <w:spacing w:after="0" w:line="256" w:lineRule="auto"/>
        <w:rPr>
          <w:sz w:val="20"/>
          <w:szCs w:val="20"/>
          <w:color w:val="auto"/>
        </w:rPr>
      </w:pPr>
      <w:r>
        <w:rPr>
          <w:rFonts w:ascii="Arial" w:cs="Arial" w:eastAsia="Arial" w:hAnsi="Arial"/>
          <w:sz w:val="18"/>
          <w:szCs w:val="18"/>
          <w:color w:val="auto"/>
        </w:rPr>
        <w:t>then, in any such case, (A) the Company by or pursuant to a Board Resolution may remove the Trustee with respect to all Securities, or (B) subject to Section 315(e) of the Trust Indenture Act, any Holder who has been a bona fide Holder of a Security for at least six months may, on behalf of himself and all other similarly situated, petition any court of competent jurisdiction for the removal of the Trustee with respect to all Securities and the appointment of a successor Trustee or Trustees.</w:t>
      </w:r>
    </w:p>
    <w:p>
      <w:pPr>
        <w:spacing w:after="0" w:line="143" w:lineRule="exact"/>
        <w:rPr>
          <w:sz w:val="20"/>
          <w:szCs w:val="20"/>
          <w:color w:val="auto"/>
        </w:rPr>
      </w:pPr>
    </w:p>
    <w:p>
      <w:pPr>
        <w:ind w:left="-20" w:firstLine="464"/>
        <w:spacing w:after="0" w:line="286" w:lineRule="auto"/>
        <w:tabs>
          <w:tab w:leader="none" w:pos="675"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the Trustee resigns or is removed or if a vacancy exists in the office of Trustee for any reason, with respect to Securities of one or more series, the Company, by or pursuant to Board Resolution, shall promptly appoint a successor Trustee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60" w:top="280"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6.11 Acceptance of Appointment by Successor</w:t>
      </w:r>
    </w:p>
    <w:p>
      <w:pPr>
        <w:spacing w:after="0" w:line="96" w:lineRule="exact"/>
        <w:rPr>
          <w:sz w:val="20"/>
          <w:szCs w:val="20"/>
          <w:color w:val="auto"/>
        </w:rPr>
      </w:pPr>
    </w:p>
    <w:p>
      <w:pPr>
        <w:ind w:right="40" w:firstLine="464"/>
        <w:spacing w:after="0" w:line="291" w:lineRule="auto"/>
        <w:tabs>
          <w:tab w:leader="none" w:pos="695"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all Securities, every such successor Trustee shall execute, acknowledge and deliver to the Company and to the retiring Trustee an instrument accepting such appointment. Thereupon, the resignation or removal of the retiring Trustee shall become effective, and the successor Trustee, without further act, deed or conveyance, shall become vested with all the rights, powers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20" w:lineRule="exact"/>
        <w:rPr>
          <w:rFonts w:ascii="Arial" w:cs="Arial" w:eastAsia="Arial" w:hAnsi="Arial"/>
          <w:sz w:val="16"/>
          <w:szCs w:val="16"/>
          <w:color w:val="auto"/>
        </w:rPr>
      </w:pPr>
    </w:p>
    <w:p>
      <w:pPr>
        <w:ind w:firstLine="464"/>
        <w:spacing w:after="0" w:line="285" w:lineRule="auto"/>
        <w:tabs>
          <w:tab w:leader="none" w:pos="705"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such successor Trustee shall execute and deliver an indenture supplemental hereto wherein such successor Trustee shall accept such appointment and which (i) shall contain such provisions as shall be necessary or desirable to transfer and confirm to, and to vest in, such successor Trustee all the rights, powers, trusts and duties of the retiring Trustee with respect to the Securities of that or those series to which the appointment of such successor Trustee relates, (ii)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26" w:lineRule="exact"/>
        <w:rPr>
          <w:rFonts w:ascii="Arial" w:cs="Arial" w:eastAsia="Arial" w:hAnsi="Arial"/>
          <w:sz w:val="16"/>
          <w:szCs w:val="16"/>
          <w:color w:val="auto"/>
        </w:rPr>
      </w:pPr>
    </w:p>
    <w:p>
      <w:pPr>
        <w:ind w:right="80" w:firstLine="464"/>
        <w:spacing w:after="0" w:line="332" w:lineRule="auto"/>
        <w:tabs>
          <w:tab w:leader="none" w:pos="695" w:val="left"/>
        </w:tabs>
        <w:numPr>
          <w:ilvl w:val="0"/>
          <w:numId w:val="59"/>
        </w:numPr>
        <w:rPr>
          <w:rFonts w:ascii="Arial" w:cs="Arial" w:eastAsia="Arial" w:hAnsi="Arial"/>
          <w:sz w:val="16"/>
          <w:szCs w:val="16"/>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85" w:lineRule="exact"/>
        <w:rPr>
          <w:rFonts w:ascii="Arial" w:cs="Arial" w:eastAsia="Arial" w:hAnsi="Arial"/>
          <w:sz w:val="16"/>
          <w:szCs w:val="16"/>
          <w:color w:val="auto"/>
        </w:rPr>
      </w:pPr>
    </w:p>
    <w:p>
      <w:pPr>
        <w:ind w:right="40" w:firstLine="464"/>
        <w:spacing w:after="0" w:line="268" w:lineRule="auto"/>
        <w:tabs>
          <w:tab w:leader="none" w:pos="705"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the Trust Indenture Act.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274" w:right="299" w:bottom="1440" w:gutter="0" w:footer="0" w:header="0"/>
        </w:sectPr>
      </w:pPr>
    </w:p>
    <w:bookmarkStart w:id="64" w:name="page65"/>
    <w:bookmarkEnd w:id="64"/>
    <w:p>
      <w:pPr>
        <w:ind w:firstLine="464"/>
        <w:spacing w:after="0" w:line="306" w:lineRule="auto"/>
        <w:tabs>
          <w:tab w:leader="none" w:pos="695" w:val="left"/>
        </w:tabs>
        <w:numPr>
          <w:ilvl w:val="0"/>
          <w:numId w:val="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 1.6. Each notice shall include the name of the successor Trustee with respect to the securities of such series and the address of its Corporate Trust office.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6.12 Eligibility; Disqualification</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There shall at all times be a Trustee hereunder which shall be eligible to act as Trustee under Section 310(a)(1) of the Trust Indenture Act and shall have a combined capital and surplus of at least $100 million. If such corporation publishes reports of condition at least annually, pursuant to law or the requirements of Federal, State Territorial or District of Columbia supervising or examining authority, then for the purposes of this Section,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6.13 Merger, Conversion, Consolidation or Succession to Business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6.14 Appointment of Authenticating Agent</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Trustee may appoint an Authenticating Agent or Agents with respect to one or more series of Securities which shall be authorized to act on behalf of the Trustee to authenticate Securities of such series issued upon original issue exchange, registration of transfer or partial redemption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authenticating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except as may otherwise be provided pursuant to Section 3.1, shall at all times be a bank or trust company or corporation organized and doing business and in good standing under the laws of the United States of America or of any State or the District of Columbia, authorized under such laws to act</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280" w:right="299" w:bottom="1440" w:gutter="0" w:footer="0" w:header="0"/>
        </w:sectPr>
      </w:pPr>
    </w:p>
    <w:bookmarkStart w:id="65" w:name="page66"/>
    <w:bookmarkEnd w:id="65"/>
    <w:p>
      <w:pPr>
        <w:ind w:right="30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Authenticating Agent, having a combined capital and surplus of not less than $10 million and subject to supervision or examination by Federal or State authorities. 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w:t>
      </w:r>
    </w:p>
    <w:p>
      <w:pPr>
        <w:spacing w:after="0" w:line="100"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such series may appoint a successor Authenticating Agent which shall be acceptable to the Company and shall give notice of such appointment to all Holders of Securities of the series with respect to which such Authenticating Agent will serve in the manner set forth in Section 1.6.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Section.</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agrees to pay to each Authenticating Agent from time to time reasonable compensation, including reimbursement of its reasonable expenses for its services under this Section.</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66" w:name="page67"/>
    <w:bookmarkEnd w:id="6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Securities of a series issued under the within-mentioned Indenture.</w:t>
      </w:r>
    </w:p>
    <w:p>
      <w:pPr>
        <w:spacing w:after="0" w:line="212" w:lineRule="exact"/>
        <w:rPr>
          <w:sz w:val="20"/>
          <w:szCs w:val="20"/>
          <w:color w:val="auto"/>
        </w:rPr>
      </w:pPr>
    </w:p>
    <w:p>
      <w:pPr>
        <w:spacing w:after="0"/>
        <w:tabs>
          <w:tab w:leader="none" w:pos="102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-13970</wp:posOffset>
            </wp:positionV>
            <wp:extent cx="29546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954655" cy="8890"/>
                    </a:xfrm>
                    <a:prstGeom prst="rect">
                      <a:avLst/>
                    </a:prstGeom>
                    <a:noFill/>
                  </pic:spPr>
                </pic:pic>
              </a:graphicData>
            </a:graphic>
          </wp:anchor>
        </w:drawing>
      </w:r>
    </w:p>
    <w:p>
      <w:pPr>
        <w:ind w:left="5580"/>
        <w:spacing w:after="0"/>
        <w:rPr>
          <w:sz w:val="20"/>
          <w:szCs w:val="20"/>
          <w:color w:val="auto"/>
        </w:rPr>
      </w:pPr>
      <w:r>
        <w:rPr>
          <w:rFonts w:ascii="Arial" w:cs="Arial" w:eastAsia="Arial" w:hAnsi="Arial"/>
          <w:sz w:val="18"/>
          <w:szCs w:val="18"/>
          <w:color w:val="auto"/>
        </w:rPr>
        <w:t>as Trustee</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10795</wp:posOffset>
            </wp:positionV>
            <wp:extent cx="35420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 Authenticating Agent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10795</wp:posOffset>
            </wp:positionV>
            <wp:extent cx="35420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Authorized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6.15 Trustee’s Application for Instructions From the Company</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Any application by the Trustee for written instructions from the Company may, at the option of the Trustee, set forth in writing any action proposed to be taken or omitted by the Trustee under this Indenture and the date on and/or after which such action shall be taken or such omission shall be effective. The Trustee shall not be liable for any action taken by, or omission of, the Trustee in accordance with a proposal included in such application on or after the date specified in such application (which date shall not be less than fifteen Business Days after the date any officer of the Company actually receives such application, unless any such officer shall have consented in writing to any earlier date) unless prior to taking any such action (or the effective date in the case of an omission), the Trustee shall have received written instructions in response to such application specifying the action to be taken or omitted.</w:t>
      </w:r>
    </w:p>
    <w:p>
      <w:pPr>
        <w:spacing w:after="0" w:line="27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7</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Consolidation, Merger or Sale by the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 Consolidation, Merger or Sale of Assets Permitted</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may merge or consolidate with or into any other corporation or sell, convey, transfer, lease or otherwise dispose of all or substantially all of its assets to any person, firm or corporation, if (a) (i) in the case of a merger or consolidation, the Company is the surviving corporation or (ii) in the case of a merger or consolidation where the Company is not the surviving corporation and in the case of any such sale, conveyance or other disposition, the successor or acquiring corporation is a corporation organized and existing under the laws of the United States or a State thereof and such corporation expressly assumes by supplemental indenture all of the obligations of the Company under the Securities and under this Indenture, (b) immediately thereafter, giving effect to such merger or consolidation, or such sale, conveyance, transfer or other disposition, no Default or Event of Default shall have occurred and be continuing and (c) the company has delivered to the Trustee an Officers’ Certificate and an Opinion of Counsel each stating that such merger or consolidation, or such sale, conveyance, transfer or other disposition, complies with this Article and that all conditions precedent herein provided for relating to such transaction have been complied with. In the event of the assumption by a successor corporation of the obligations of the Company as provided in clause (a)(ii) of the immediately preceding sentence, such successor corporation shall succeed to and be substituted for the Company hereunder and under the Securities and all such obligations of the Company shall terminate.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280" w:right="27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7.2 No Limitations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Nothing contained in this Indenture or in any of the Securities shall prevent the Company from merging into itself any other corporation or entity (whether or not affiliated with the Company) or acquiring by purchase or otherwise all or any part of the property of any other corporation or entity (whether or not affiliated with the Company).</w:t>
      </w:r>
    </w:p>
    <w:p>
      <w:pPr>
        <w:spacing w:after="0" w:line="29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8</w:t>
      </w:r>
    </w:p>
    <w:p>
      <w:pPr>
        <w:spacing w:after="0" w:line="17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Supplemental Indentures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8.1 Supplemental Indentures Without Consent of Holders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Without the consent of any Holders, the Company, when authorized by a Board Resolution, and the Trustee, at any time and from time to time, may enter into indentures supplemental hereto, in form reasonably satisfactory to the Trustee, for any of the following purposes:</w:t>
      </w:r>
    </w:p>
    <w:p>
      <w:pPr>
        <w:spacing w:after="0" w:line="51" w:lineRule="exact"/>
        <w:rPr>
          <w:sz w:val="20"/>
          <w:szCs w:val="20"/>
          <w:color w:val="auto"/>
        </w:rPr>
      </w:pPr>
    </w:p>
    <w:p>
      <w:pPr>
        <w:ind w:left="460" w:right="200" w:firstLine="443"/>
        <w:spacing w:after="0" w:line="268" w:lineRule="auto"/>
        <w:tabs>
          <w:tab w:leader="none" w:pos="113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the Company and the assumption by any such successor of the covenants of the Company herein and in the Securities; or</w:t>
      </w:r>
    </w:p>
    <w:p>
      <w:pPr>
        <w:spacing w:after="0" w:line="50"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59" w:lineRule="exact"/>
        <w:rPr>
          <w:rFonts w:ascii="Arial" w:cs="Arial" w:eastAsia="Arial" w:hAnsi="Arial"/>
          <w:sz w:val="18"/>
          <w:szCs w:val="18"/>
          <w:color w:val="auto"/>
        </w:rPr>
      </w:pPr>
    </w:p>
    <w:p>
      <w:pPr>
        <w:ind w:left="1140" w:hanging="237"/>
        <w:spacing w:after="0"/>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add any additional Events of Default with respect to all or any series of Securities; or</w:t>
      </w:r>
    </w:p>
    <w:p>
      <w:pPr>
        <w:spacing w:after="0" w:line="90" w:lineRule="exact"/>
        <w:rPr>
          <w:rFonts w:ascii="Arial" w:cs="Arial" w:eastAsia="Arial" w:hAnsi="Arial"/>
          <w:sz w:val="18"/>
          <w:szCs w:val="18"/>
          <w:color w:val="auto"/>
        </w:rPr>
      </w:pPr>
    </w:p>
    <w:p>
      <w:pPr>
        <w:ind w:left="460" w:right="280" w:firstLine="443"/>
        <w:spacing w:after="0" w:line="357" w:lineRule="auto"/>
        <w:tabs>
          <w:tab w:leader="none" w:pos="1147" w:val="left"/>
        </w:tabs>
        <w:numPr>
          <w:ilvl w:val="0"/>
          <w:numId w:val="61"/>
        </w:numPr>
        <w:rPr>
          <w:rFonts w:ascii="Arial" w:cs="Arial" w:eastAsia="Arial" w:hAnsi="Arial"/>
          <w:sz w:val="15"/>
          <w:szCs w:val="15"/>
          <w:color w:val="auto"/>
        </w:rPr>
      </w:pPr>
      <w:r>
        <w:rPr>
          <w:rFonts w:ascii="Arial" w:cs="Arial" w:eastAsia="Arial" w:hAnsi="Arial"/>
          <w:sz w:val="15"/>
          <w:szCs w:val="15"/>
          <w:color w:val="auto"/>
        </w:rPr>
        <w:t>to add to or change any of the provisions of this Indenture to such extent as shall be necessary to facilitate the issuance of Securities in bearer form, registrable or not registrable as to principal, and with or without interest coupons, or to facilitate the issuance of Securities in global form; or</w:t>
      </w:r>
    </w:p>
    <w:p>
      <w:pPr>
        <w:ind w:left="460" w:right="260" w:firstLine="443"/>
        <w:spacing w:after="0" w:line="259" w:lineRule="auto"/>
        <w:tabs>
          <w:tab w:leader="none" w:pos="113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add to, change or eliminate any of the provisions of this Indenture, provided that any such addition, change or elimination shall become effective only when there is no Security Outstanding of any series created prior to the execution of such supplemental indenture which is entitled to the benefit of such provision; or</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secure the Securities;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2.1 and 3.2; or</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274" w:right="319" w:bottom="1440" w:gutter="0" w:footer="0" w:header="0"/>
        </w:sectPr>
      </w:pPr>
    </w:p>
    <w:bookmarkStart w:id="68" w:name="page69"/>
    <w:bookmarkEnd w:id="68"/>
    <w:p>
      <w:pPr>
        <w:ind w:left="460" w:right="80" w:firstLine="443"/>
        <w:spacing w:after="0" w:line="259" w:lineRule="auto"/>
        <w:tabs>
          <w:tab w:leader="none" w:pos="1147"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6.10; or</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10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correct or supplement any provision herein which may be inconsistent with any other provision herein, to cure any ambiguity or correct any mistake or to make any other provisions with respect to matters or questions arising under this Indenture, provided such action shall not adversely affect the interests of the Holders of Securities of any series in any material respect.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8.2 With Consent of Holders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With the written consent of the Holders of a majority of the aggregate principal amount of the Outstanding Securities of each series adversely affected by such supplemental indenture, the Company and the Trustee may enter into an indenture or indentures supplemental hereto to add any provisions to or to change or eliminate any provisions of this Indenture or of any other indenture supplemental hereto or to modify the rights of the Holders of Securities of each such series;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without the consent of the Holder of each Outstanding Security affected thereby, an amendment under this Section may not:</w:t>
      </w:r>
    </w:p>
    <w:p>
      <w:pPr>
        <w:spacing w:after="0" w:line="32" w:lineRule="exact"/>
        <w:rPr>
          <w:sz w:val="20"/>
          <w:szCs w:val="20"/>
          <w:color w:val="auto"/>
        </w:rPr>
      </w:pPr>
    </w:p>
    <w:p>
      <w:pPr>
        <w:ind w:left="460" w:right="200" w:firstLine="443"/>
        <w:spacing w:after="0" w:line="294" w:lineRule="auto"/>
        <w:tabs>
          <w:tab w:leader="none" w:pos="1137" w:val="left"/>
        </w:tabs>
        <w:numPr>
          <w:ilvl w:val="0"/>
          <w:numId w:val="63"/>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any installment of principal of or interest on, any Security, or reduce the principal amount thereof or the rate of interest thereon or any premium payable upon the redemption thereof, or reduce the amount of the principal of an Original Issue Discount Security that would be due and payable upon a declaration of acceleration of the Maturity thereof pursuant to Section 5.2, or change the coin or currency in which, any Securities or any premium or the interest thereon is payable, or impair the right to institute suit for the enforcement of any such payment on or after the Stated Maturity thereof (or, in the case of redemption, on or after the Redemption Date);</w:t>
      </w:r>
    </w:p>
    <w:p>
      <w:pPr>
        <w:spacing w:after="0" w:line="34" w:lineRule="exact"/>
        <w:rPr>
          <w:rFonts w:ascii="Arial" w:cs="Arial" w:eastAsia="Arial" w:hAnsi="Arial"/>
          <w:sz w:val="16"/>
          <w:szCs w:val="16"/>
          <w:color w:val="auto"/>
        </w:rPr>
      </w:pPr>
    </w:p>
    <w:p>
      <w:pPr>
        <w:jc w:val="both"/>
        <w:ind w:left="460" w:right="420" w:firstLine="443"/>
        <w:spacing w:after="0" w:line="259" w:lineRule="auto"/>
        <w:tabs>
          <w:tab w:leader="none" w:pos="1147"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w:t>
      </w:r>
    </w:p>
    <w:p>
      <w:pPr>
        <w:spacing w:after="0" w:line="59" w:lineRule="exact"/>
        <w:rPr>
          <w:rFonts w:ascii="Arial" w:cs="Arial" w:eastAsia="Arial" w:hAnsi="Arial"/>
          <w:sz w:val="18"/>
          <w:szCs w:val="18"/>
          <w:color w:val="auto"/>
        </w:rPr>
      </w:pPr>
    </w:p>
    <w:p>
      <w:pPr>
        <w:ind w:left="1140" w:hanging="237"/>
        <w:spacing w:after="0"/>
        <w:tabs>
          <w:tab w:leader="none" w:pos="11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change any obligation of the Company to maintain an office or agency in the places and for the purposes specified in Section 9.2; or</w:t>
      </w:r>
    </w:p>
    <w:p>
      <w:pPr>
        <w:spacing w:after="0" w:line="113"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make any change in Section 5.7 or this 8.2(a) except to increase any percentage or to provide that certain other provisions of this Indenture cannot be modified or waived with the consent of the Holders of each Outstanding Security affected thereby.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69" w:name="page70"/>
    <w:bookmarkEnd w:id="69"/>
    <w:p>
      <w:pPr>
        <w:ind w:right="1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supplemental indenture that changes or eliminates any covenant or other provision of this Indenture, which has expressly been included solely for the benefit of one or more particular series of Securities, or that modifies the rights of the Holders of Securities of such series with respect to such covenant or other provision, shall be deemed not to affect the rights under this Indenture of the Holders of Securities of any other series.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It is not necessary under this Section 8.2 for the Holders to consent to the particular form of any proposed supplemental indenture, but it is sufficient if they consent to the substance thereof.</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8.3 Compliance With Trust Indenture Act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Every supplemental indenture executed pursuant to this Article shall comply with the requirements of the Trust Indenture Act as then in effect.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8.4 Execution of Supplemental Indentures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executing, or accepting the additional trusts created by, any supplemental indenture permitted by this Article or the modification thereby of the trusts created by this Indenture, the Trustee shall be entitled to receive, and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8.5 Effect of Supplemental Indentures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8.6 Reference in Securities to Supplemental Indentures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280" w:right="27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9</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 Payment of Principal, Premium, if Any, and Interest</w:t>
      </w:r>
    </w:p>
    <w:p>
      <w:pPr>
        <w:spacing w:after="0" w:line="1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covenants and agrees for the benefit of the Holders of each series of Securities that it will duly and punctually pay the principal of, premium, if any, and interest on the Securities of that series in accordance with the terms of the Securities of such series and this Indenture. An installment of principal or interest shall be considered paid on the date it is due if the Trustee or Paying Agent holds on that date money designated for and sufficient to pay the installment.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9.2 Maintenance of Office or Agency</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will maintain in each Place of Payment for any series of Securities an office or agency where Securities of that series may be presented or surrendered for payment, where Securities of that series may be surrendered for registration of transfer or exchange and where notices and demands to or upon the Company in respect of the Securities of that series and this Indenture may be served. The Company will give prompt written notice to the Trustee of the location, and any change in the location, of any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12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 xml:space="preserve">The Company may also from time to time designate one or more other offices or agencies where the Securities of one or more series may be presented or surrendered for any or all such purposes and may from time to time rescind such designations;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specified as contemplated by Section 3.1, the Trustee shall initially serve as Paying Agent.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9.3 Money for Securities to Be Held in Trust; Unclaimed Money</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the Company shall at any time act as its own Paying Agent with respect to any series of Securities, it will, on or before each due date of the principal of, premium, if any, or interest on any of the Securities of that series, segregate and hold in trust for the benefit of the Persons entitled thereto a sum sufficient to pay the principal, premium, if any, or interest so becoming due until such sums shall be paid to such persons or otherwise disposed of as herein provided and will promptly notify the Trustee in writing of its action or failure so to act.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71" w:name="page72"/>
    <w:bookmarkEnd w:id="71"/>
    <w:p>
      <w:pPr>
        <w:ind w:right="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will cause each Paying Agent for any series of Securities other than the Trustee to execute and deliver to the Trustee an instrument in which such Paying Agent shall agree with the Trustee, subject to the provisions of this Section, that such Paying Agent will:</w:t>
      </w:r>
    </w:p>
    <w:p>
      <w:pPr>
        <w:spacing w:after="0" w:line="51" w:lineRule="exact"/>
        <w:rPr>
          <w:sz w:val="20"/>
          <w:szCs w:val="20"/>
          <w:color w:val="auto"/>
        </w:rPr>
      </w:pPr>
    </w:p>
    <w:p>
      <w:pPr>
        <w:ind w:left="460" w:right="240" w:firstLine="443"/>
        <w:spacing w:after="0" w:line="268" w:lineRule="auto"/>
        <w:tabs>
          <w:tab w:leader="none" w:pos="1137" w:val="left"/>
        </w:tabs>
        <w:numPr>
          <w:ilvl w:val="0"/>
          <w:numId w:val="64"/>
        </w:numPr>
        <w:rPr>
          <w:rFonts w:ascii="Arial" w:cs="Arial" w:eastAsia="Arial" w:hAnsi="Arial"/>
          <w:sz w:val="18"/>
          <w:szCs w:val="18"/>
          <w:color w:val="auto"/>
        </w:rPr>
      </w:pPr>
      <w:r>
        <w:rPr>
          <w:rFonts w:ascii="Arial" w:cs="Arial" w:eastAsia="Arial" w:hAnsi="Arial"/>
          <w:sz w:val="18"/>
          <w:szCs w:val="18"/>
          <w:color w:val="auto"/>
        </w:rPr>
        <w:t>hold all sums held by it for the payment of the principal of, premium, if any, or interest on Securities of that series in trust for the benefit of the Persons entitled thereto until such sums shall be paid to such Persons or otherwise disposed of as herein provided;</w:t>
      </w:r>
    </w:p>
    <w:p>
      <w:pPr>
        <w:spacing w:after="0" w:line="50"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0"/>
          <w:numId w:val="64"/>
        </w:numPr>
        <w:rPr>
          <w:rFonts w:ascii="Arial" w:cs="Arial" w:eastAsia="Arial" w:hAnsi="Arial"/>
          <w:sz w:val="18"/>
          <w:szCs w:val="18"/>
          <w:color w:val="auto"/>
        </w:rPr>
      </w:pPr>
      <w:r>
        <w:rPr>
          <w:rFonts w:ascii="Arial" w:cs="Arial" w:eastAsia="Arial" w:hAnsi="Arial"/>
          <w:sz w:val="18"/>
          <w:szCs w:val="18"/>
          <w:color w:val="auto"/>
        </w:rPr>
        <w:t>give the Trustee notice of any default by the Company (or any other obligor upon the Securities of that series) in the making of any payment of principal, premium, if any, or interest on the Securities; and</w:t>
      </w:r>
    </w:p>
    <w:p>
      <w:pPr>
        <w:spacing w:after="0" w:line="50" w:lineRule="exact"/>
        <w:rPr>
          <w:rFonts w:ascii="Arial" w:cs="Arial" w:eastAsia="Arial" w:hAnsi="Arial"/>
          <w:sz w:val="18"/>
          <w:szCs w:val="18"/>
          <w:color w:val="auto"/>
        </w:rPr>
      </w:pPr>
    </w:p>
    <w:p>
      <w:pPr>
        <w:ind w:left="460" w:right="240" w:firstLine="443"/>
        <w:spacing w:after="0" w:line="268" w:lineRule="auto"/>
        <w:tabs>
          <w:tab w:leader="none" w:pos="1137"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any time during the continuance of any such default, upon the written request of the Trustee, forthwith pay to the Trustee all sums so held in trust by such Paying Agent.</w:t>
      </w:r>
    </w:p>
    <w:p>
      <w:pPr>
        <w:spacing w:after="0" w:line="132"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Any money deposited with the Trustee or any Paying Agent, or then held by the Company, in trust for the payment of any principal, premium or interest on any Security of any series and remaining unclaimed for two years after such principal, premium, if any,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Trustee or such Paying Agent, before being required to make any such repayment, may at the expense of the Company cause to be published once, in a newspaper published in the English language, customarily published on each Business Day and of general circulation in The City of New York,, or cause to be mailed to such Holder, notice that such money remains unclaimed and that, after a date specified therein, which shall not be less than 30 days from the date of such publication, any unclaimed balance of such money then remaining will be repaid to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9.4 Corporate Existence</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Subject to Article 7, the Company will at all times do or cause to be done all things necessary to preserve and keep in full force and effect its corporate existence and its rights and franchises;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in this Section 9.4 shall prevent the abandonment or termination of any right or franchise of the Company if, in the opinion of the Company, such abandonment or termination is in the best interests of the Company and does not materially adversely affect the ability of the Company to operate its business or to fulfill its obligations hereunder.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72" w:name="page73"/>
    <w:bookmarkEnd w:id="72"/>
    <w:p>
      <w:pPr>
        <w:jc w:val="center"/>
        <w:ind w:right="866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9.5 Reports by the Company</w:t>
      </w:r>
    </w:p>
    <w:p>
      <w:pPr>
        <w:spacing w:after="0" w:line="131" w:lineRule="exact"/>
        <w:rPr>
          <w:sz w:val="20"/>
          <w:szCs w:val="20"/>
          <w:color w:val="auto"/>
        </w:rPr>
      </w:pPr>
    </w:p>
    <w:p>
      <w:pPr>
        <w:jc w:val="center"/>
        <w:ind w:right="8680"/>
        <w:spacing w:after="0"/>
        <w:rPr>
          <w:sz w:val="20"/>
          <w:szCs w:val="20"/>
          <w:color w:val="auto"/>
        </w:rPr>
      </w:pPr>
      <w:r>
        <w:rPr>
          <w:rFonts w:ascii="Arial" w:cs="Arial" w:eastAsia="Arial" w:hAnsi="Arial"/>
          <w:sz w:val="18"/>
          <w:szCs w:val="18"/>
          <w:color w:val="auto"/>
        </w:rPr>
        <w:t>The Company covenants:</w:t>
      </w:r>
    </w:p>
    <w:p>
      <w:pPr>
        <w:spacing w:after="0" w:line="90" w:lineRule="exact"/>
        <w:rPr>
          <w:sz w:val="20"/>
          <w:szCs w:val="20"/>
          <w:color w:val="auto"/>
        </w:rPr>
      </w:pPr>
    </w:p>
    <w:p>
      <w:pPr>
        <w:ind w:left="460" w:right="40" w:firstLine="443"/>
        <w:spacing w:after="0" w:line="312" w:lineRule="auto"/>
        <w:tabs>
          <w:tab w:leader="none" w:pos="1137" w:val="left"/>
        </w:tabs>
        <w:numPr>
          <w:ilvl w:val="0"/>
          <w:numId w:val="65"/>
        </w:numPr>
        <w:rPr>
          <w:rFonts w:ascii="Arial" w:cs="Arial" w:eastAsia="Arial" w:hAnsi="Arial"/>
          <w:sz w:val="15"/>
          <w:szCs w:val="15"/>
          <w:color w:val="auto"/>
        </w:rPr>
      </w:pPr>
      <w:r>
        <w:rPr>
          <w:rFonts w:ascii="Arial" w:cs="Arial" w:eastAsia="Arial" w:hAnsi="Arial"/>
          <w:sz w:val="15"/>
          <w:szCs w:val="15"/>
          <w:color w:val="auto"/>
        </w:rPr>
        <w:t>to file with the Trustee, within 30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Section 15(d) of the Securities Exchange Act of 1934, as amended; or, if the Company is not required to file information, documents or reports pursuant to either of such sections, then to file with the Trustee and the Commission, in accordance with rules and regulations prescribed from time to time by the Commission, such of the supplementary and periodic information, documents and reports which may be required pursuant to Section 13 of the Securities Exchange Act of 1934, as amended, in respect of a security listed and registered on a national securities exchange as may be prescribed from time to time in such rules and regulations;</w:t>
      </w:r>
    </w:p>
    <w:p>
      <w:pPr>
        <w:spacing w:after="0" w:line="24" w:lineRule="exact"/>
        <w:rPr>
          <w:rFonts w:ascii="Arial" w:cs="Arial" w:eastAsia="Arial" w:hAnsi="Arial"/>
          <w:sz w:val="15"/>
          <w:szCs w:val="15"/>
          <w:color w:val="auto"/>
        </w:rPr>
      </w:pPr>
    </w:p>
    <w:p>
      <w:pPr>
        <w:ind w:left="460" w:right="180" w:firstLine="443"/>
        <w:spacing w:after="0" w:line="306" w:lineRule="auto"/>
        <w:tabs>
          <w:tab w:leader="none" w:pos="1147" w:val="left"/>
        </w:tabs>
        <w:numPr>
          <w:ilvl w:val="0"/>
          <w:numId w:val="65"/>
        </w:numPr>
        <w:rPr>
          <w:rFonts w:ascii="Arial" w:cs="Arial" w:eastAsia="Arial" w:hAnsi="Arial"/>
          <w:sz w:val="16"/>
          <w:szCs w:val="16"/>
          <w:color w:val="auto"/>
        </w:rPr>
      </w:pPr>
      <w:r>
        <w:rPr>
          <w:rFonts w:ascii="Arial" w:cs="Arial" w:eastAsia="Arial" w:hAnsi="Arial"/>
          <w:sz w:val="16"/>
          <w:szCs w:val="16"/>
          <w:color w:val="auto"/>
        </w:rPr>
        <w:t>to transmit to all Holders of Securities, within 30 days after the filing thereof with the Trustee, in the manner and to the extent provided in section 313(c) of the Trust Indenture Act, such information, documents and reports required to be filed by the Company pursuant to subsection (a) of this Section 9.5, as may be required by rules and regulations prescribed from time to time by the Commission.</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Such reports, information and documents will be deemed to be filed, furnished or transmitted to the Trustee and Holders of the Securities in compliance with this Section 9.5 on the date filed with the Commission. 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9.6 Annual Review Certificate; Notice of Default</w:t>
      </w:r>
    </w:p>
    <w:p>
      <w:pPr>
        <w:spacing w:after="0" w:line="96"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The Company covenants and agrees to deliver to the Trustee, within 120 days after the end of each fiscal year of the Company, a brief certificate from the principal executive officer, principal financial officer, or principal accounting officer as to his or her knowledge of the Company’s compliance with all conditions and covenants under this Indenture. The Company shall file with the Trustee written notice of occurrence of any Event of Default within 30 days of its becoming aware of any such Event of Default.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74" w:right="2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9.7 Provision of Financial Statements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the Company is not required to file with the Commission periodic reports and other information pursuant to section 13(a), 13(c) or 15(d) of the Securities Exchange Act of 1934, the Company shall furnish without cost to each Holder and file with the Trustee (a) within 135 days after the end of each fiscal year, annual reports containing the information required to be contained in Items 1, 2, 3, 5, 6, 7, 8 and 9 of Form 10-K promulgated under the Securities Exchange Act of 1934, or substantially the same information required to be contained in comparable items of any successor form, (b) within 60 days after the end of each of the first three fiscal quarters of each fiscal year, quarterly reports containing the information required to be contained in Form 10-Q promulgated under the Securities Exchange Act of 1934, or substantially the same information required to be contained in any successor form and (c) promptly from the time after the occurrence of an event required to be therein reported, such other reports containing information required to be contained in Form 8-K promulgated under the Securities Exchange Act of 1934, or substantially the same information required to be contained in any successor form.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9.8 Limitations on Liens</w:t>
      </w:r>
    </w:p>
    <w:p>
      <w:pPr>
        <w:spacing w:after="0" w:line="96"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The Company will not create, assume, incur or guarantee, and will not permit any Restricted Subsidiary to create, assume, incur or guarantee, any Secured Indebtedness without making provision whereby all the Securities shall be secured equally and ratably with (or prior to) such Secured Indebtedness (together with, if the Company shall so determine, any other Indebtedness of the Company or such Restricted Subsidiary then existing or thereafter created which is not subordinate to the Securities) so long as such Secured Indebtedness shall be outstanding unless such Secured Indebtedness, when added to (a) the aggregate amount of all Secured Indebtedness then outstanding (not including in this computation Secured Indebtedness if the Securities are secured equally and ratably with (or prior to) such Secured Indebtedness and further not including in this computation any Secured Indebtedness which is concurrently being retired) and</w:t>
      </w:r>
    </w:p>
    <w:p>
      <w:pPr>
        <w:spacing w:after="0" w:line="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(b) the aggregate amount all Attributable Debt then outstanding pursuant to Sale and Leaseback Transactions entered into by the Company after , 201 , or entered into by a Restricted Subsidiary after , 201 , or, if later, the date on which it became a Restricted Subsidiary (not including in this computation any Attributable Debt which is concurrently being retired), would not exceed 15% of Consolidated Net Tangible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9.9 Limitations on Sales and Leasebacks.</w:t>
      </w:r>
    </w:p>
    <w:p>
      <w:pPr>
        <w:spacing w:after="0" w:line="96" w:lineRule="exact"/>
        <w:rPr>
          <w:sz w:val="20"/>
          <w:szCs w:val="20"/>
          <w:color w:val="auto"/>
        </w:rPr>
      </w:pPr>
    </w:p>
    <w:p>
      <w:pPr>
        <w:ind w:right="300" w:firstLine="456"/>
        <w:spacing w:after="0" w:line="305" w:lineRule="auto"/>
        <w:rPr>
          <w:sz w:val="20"/>
          <w:szCs w:val="20"/>
          <w:color w:val="auto"/>
        </w:rPr>
      </w:pPr>
      <w:r>
        <w:rPr>
          <w:rFonts w:ascii="Arial" w:cs="Arial" w:eastAsia="Arial" w:hAnsi="Arial"/>
          <w:sz w:val="15"/>
          <w:szCs w:val="15"/>
          <w:color w:val="auto"/>
        </w:rPr>
        <w:t>The Company will not, and will not permit any Restricted Subsidiary to, enter into any Sale and Leaseback Transaction unless (a) the sum of (i) the Attributable Debt to be outstanding pursuant to such Sale and Leaseback Transaction, (ii) all Attributable Debt then outstanding pursuant to all other Sale and</w:t>
      </w:r>
    </w:p>
    <w:p>
      <w:pPr>
        <w:ind w:right="60"/>
        <w:spacing w:after="0" w:line="253" w:lineRule="auto"/>
        <w:rPr>
          <w:sz w:val="20"/>
          <w:szCs w:val="20"/>
          <w:color w:val="auto"/>
        </w:rPr>
      </w:pPr>
      <w:r>
        <w:rPr>
          <w:rFonts w:ascii="Arial" w:cs="Arial" w:eastAsia="Arial" w:hAnsi="Arial"/>
          <w:sz w:val="18"/>
          <w:szCs w:val="18"/>
          <w:color w:val="auto"/>
        </w:rPr>
        <w:t>Leaseback Transactions entered into by the Company after , 201 , or, or entered into by a Restricted Subsidiary after , 201 , or, if later, the date on which it became a Restricted Subsidiary and (iii) the aggregate of all Secured Indebtedness then outstanding (not including in this computation Secured Indebtedness if the Securities are secured equally and ratably with (or prior to) such Secured Indebtedness) would not exceed 15% of Consolidated Net Tangible Assets, or (b) an amount equal to the greater of (i) the net proceeds to the Company or the Restricted Subsidiary of the sale of the Principal Property sold and leased back pursuant to such Sale and Leaseback Transaction and (ii) the</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74" w:right="259" w:bottom="1440" w:gutter="0" w:footer="0" w:header="0"/>
        </w:sectPr>
      </w:pPr>
    </w:p>
    <w:bookmarkStart w:id="74" w:name="page75"/>
    <w:bookmarkEnd w:id="74"/>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 of Attributable Debt to be outstanding pursuant to such Sale and Leaseback Transaction is applied to the retirement of Funded Debt of the Company or any Restricted Subsidiaries (other than Funded Debt which is subordinate to the Securities or which is owing to the Company or any Restricted Subsidiaries) within 180 days after the consummation of such Sale and Leaseback Transaction.</w:t>
      </w:r>
    </w:p>
    <w:p>
      <w:pPr>
        <w:spacing w:after="0" w:line="29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10</w:t>
      </w:r>
    </w:p>
    <w:p>
      <w:pPr>
        <w:spacing w:after="0" w:line="17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Redemption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10.1 Applicability of Article</w:t>
      </w:r>
    </w:p>
    <w:p>
      <w:pPr>
        <w:spacing w:after="0" w:line="1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Securities of any series which are redeemable before their Stated Maturity shall be redeemable in accordance with their terms and (except as otherwise specified as contemplated by Section 3.1 for Securities of any series) in accordance with this Article.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10.2 Election to Redeem; Notice to Trustee</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election of the Company to redeem any Securities shall be evidenced by or pursuant to a Board Resolution or any Officers’ Certificate. In the case of any redemption at the election of the Company of less than all the Securities, if any, of any series, the Company shall, at least 45 days prior to the Redemption Date fixed by the Company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(a) prior to the expiration of any restriction on such redemption provided in the terms of such Securities or elsewhere in this Indenture or (b) pursuant to an election of the Company which is subject to a condition specified in the terms of such Securities, the Company shall furnish the Trustee with an Officers’ Certificate evidencing compliance with such restriction or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10.3 Selection of Securities to Be Redeemed</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Unless otherwise specified as contemplated by Section 3.1, if less than all the Securities of a series with the same original issue date, interest rate and Stated Maturity are to be redeemed, the Trustee, not more than 45 days prior to the redemption date, shall select the Securities of the series to be redeemed in such manner as the Trustee shall deem fair and appropriate. The Trustee shall make the selection from Securities of the series that are Outstanding and that have not previously been called for redemption and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 The Trustee shall promptly notify the Company in writing of the Securities selected by the Trustee for redemption and, in the case of any Securities selected for partial redemption, the principal amount thereof to be redeemed.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75" w:name="page76"/>
    <w:bookmarkEnd w:id="75"/>
    <w:p>
      <w:pPr>
        <w:ind w:right="18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10.4 Notice of Redemption</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Unless otherwise specified as contemplated by Section 3.1, notice of redemption shall be given in the manner provided in Section 1.6 not less than 30 days nor more than 60 days prior to the Redemption Date to the Holders of the Securities to be redeemed.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notices of redemption shall state:</w:t>
      </w:r>
    </w:p>
    <w:p>
      <w:pPr>
        <w:spacing w:after="0" w:line="90" w:lineRule="exact"/>
        <w:rPr>
          <w:sz w:val="20"/>
          <w:szCs w:val="20"/>
          <w:color w:val="auto"/>
        </w:rPr>
      </w:pPr>
    </w:p>
    <w:p>
      <w:pPr>
        <w:ind w:left="1140" w:hanging="237"/>
        <w:spacing w:after="0"/>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90" w:lineRule="exact"/>
        <w:rPr>
          <w:rFonts w:ascii="Arial" w:cs="Arial" w:eastAsia="Arial" w:hAnsi="Arial"/>
          <w:sz w:val="18"/>
          <w:szCs w:val="18"/>
          <w:color w:val="auto"/>
        </w:rPr>
      </w:pPr>
    </w:p>
    <w:p>
      <w:pPr>
        <w:ind w:left="460" w:right="160" w:firstLine="443"/>
        <w:spacing w:after="0" w:line="268" w:lineRule="auto"/>
        <w:tabs>
          <w:tab w:leader="none" w:pos="1137"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fewer than all the Outstanding Securities of a series are to be redeemed, the identification (and, in the case of partial redemption, the principal amounts) of the particular Security or Securities to be redeemed;</w:t>
      </w:r>
    </w:p>
    <w:p>
      <w:pPr>
        <w:spacing w:after="0" w:line="50" w:lineRule="exact"/>
        <w:rPr>
          <w:rFonts w:ascii="Arial" w:cs="Arial" w:eastAsia="Arial" w:hAnsi="Arial"/>
          <w:sz w:val="18"/>
          <w:szCs w:val="18"/>
          <w:color w:val="auto"/>
        </w:rPr>
      </w:pPr>
    </w:p>
    <w:p>
      <w:pPr>
        <w:ind w:left="460" w:right="280" w:firstLine="443"/>
        <w:spacing w:after="0" w:line="259" w:lineRule="auto"/>
        <w:tabs>
          <w:tab w:leader="none" w:pos="1147"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case any Security is to be redeemed in part only, the notice which relates to such Security shall state that on and after the Redemption Date, upon surrender of such Security, the holder will receive, without a charge, a new Security or Securities of authorized denominations for the principal amount thereof remaining unredeemed;</w:t>
      </w:r>
    </w:p>
    <w:p>
      <w:pPr>
        <w:spacing w:after="0" w:line="59" w:lineRule="exact"/>
        <w:rPr>
          <w:rFonts w:ascii="Arial" w:cs="Arial" w:eastAsia="Arial" w:hAnsi="Arial"/>
          <w:sz w:val="18"/>
          <w:szCs w:val="18"/>
          <w:color w:val="auto"/>
        </w:rPr>
      </w:pPr>
    </w:p>
    <w:p>
      <w:pPr>
        <w:ind w:left="1140" w:hanging="237"/>
        <w:spacing w:after="0"/>
        <w:tabs>
          <w:tab w:leader="none" w:pos="114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Place or Places of Payment where such Securities maturing after the Redemption Date, are to be surrendered for payment for the Redemption</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Price;</w:t>
      </w:r>
    </w:p>
    <w:p>
      <w:pPr>
        <w:spacing w:after="0" w:line="83" w:lineRule="exact"/>
        <w:rPr>
          <w:rFonts w:ascii="Arial" w:cs="Arial" w:eastAsia="Arial" w:hAnsi="Arial"/>
          <w:sz w:val="15"/>
          <w:szCs w:val="15"/>
          <w:color w:val="auto"/>
        </w:rPr>
      </w:pPr>
    </w:p>
    <w:p>
      <w:pPr>
        <w:ind w:left="1120" w:hanging="217"/>
        <w:spacing w:after="0"/>
        <w:tabs>
          <w:tab w:leader="none" w:pos="11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that Securities of the series called for redemption must be surrendered to the Paying Agent to collect the redemption price;</w:t>
      </w:r>
    </w:p>
    <w:p>
      <w:pPr>
        <w:spacing w:after="0" w:line="9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Security, or the portion thereof, to be redeemed and, if applicable, that interest thereon will cease to accrue on and after said date;</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 and</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17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Notice of redemption of Securities to be redeemed shall be given by the Company or, at the Company’s request, by the Trustee in the name and at the expense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10.5 Deposit of Redemption Price</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or prior to 10:00 a.m., New York City Time, on any Redemption Date, the Company shall deposit with the Trustee or with a Paying Agent (or, if the Company is acting as its own Paying Agent, segregate and hold in trust as provided in Section 9.3) an amount of money sufficient to pay on the Redemption Date the Redemption Price of, and (unless the Redemption Date shall be an Interest Payment Date) interest accrued to the Redemption Date on, all Securities or portions thereof which are to be redeemed on that date.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80" w:right="259" w:bottom="1440" w:gutter="0" w:footer="0" w:header="0"/>
        </w:sectPr>
      </w:pPr>
    </w:p>
    <w:bookmarkStart w:id="76" w:name="page77"/>
    <w:bookmarkEnd w:id="76"/>
    <w:p>
      <w:pPr>
        <w:ind w:right="4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any Security by its terms prohibits any sinking fund payment obligation from being satisfied by delivering and crediting Securities (including Securities redeemed otherwise than through a sinking fund), the Company may deliver such Securities to the Trustee for crediting against such payment obligation in accordance with the terms of such Securities and this Indenture.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10.6 Securities Payable on Redemption Date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Except as provided in the next succeeding paragraph, upon surrender of any such Security for redemption in accordance with said notice, such Security shall be paid by the Company at the Redemption Price, together with accrued interest to the Redemption Date;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unless otherwise specified as contemplated by Section 3.1, installments of interest on Securities whose Stated Maturity is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Redemption Date shall be payable to the Holders of such Securities, or one or more Predecessor Securities, registered as such at the close of business on the relevant Record Dates according to their terms and the provisions of Section 3.7.</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(and premium, if any) shall, until paid, bear interest from the Redemption Date at the rate prescribed therefor in the Security.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10.7 Securities Redeemed in Part</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Upon surrender of a Security that is redeemed in part at any Place of Payment therefor (with, if the Company or the Trustee so required, due endorsement by, or a written instrument of transfer in form satisfactory to the Company and the Trustee duly executed by, the Holder thereof or his attorney duly authorized in writing), the Company shall execute and the Trustee shall authenticate and deliver to the Holder of that Security, without service charge, a new Security or Securities of the same series, the same form and the same Maturity in any authorized denomination equal in aggregate principal amount to the unredeemed portion of the principal of the Security surrendered.</w:t>
      </w:r>
    </w:p>
    <w:p>
      <w:pPr>
        <w:spacing w:after="0" w:line="299"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11</w:t>
      </w:r>
    </w:p>
    <w:p>
      <w:pPr>
        <w:spacing w:after="0" w:line="17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Sinking Funds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 Applicability of Article</w:t>
      </w:r>
    </w:p>
    <w:p>
      <w:pPr>
        <w:spacing w:after="0" w:line="96"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provisions of this Article shall be applicable to any sinking fund for the retirement of Securities of a series except as otherwise specified as contemplated by Section 3.1 for Securities of such series.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280" w:right="299" w:bottom="1440" w:gutter="0" w:footer="0" w:header="0"/>
        </w:sectPr>
      </w:pPr>
    </w:p>
    <w:bookmarkStart w:id="77" w:name="page78"/>
    <w:bookmarkEnd w:id="77"/>
    <w:p>
      <w:pPr>
        <w:jc w:val="both"/>
        <w:ind w:right="8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11.2. Each sinking fund payment shall be applied to the redemption of Securities of any series as provided for by the terms of Securities of such series.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11.2 Satisfaction of Sinking Fund Payments With Securities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(a) may deliver Outstanding Securities of a series (other than any previously called for redemption) and (b)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11.3 Redemption of Securities for Sinking Fund</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Not less than 60 days prior to each sinking fund payment date for any series of Securities, the Company will deliver to the Trustee an Officers’ Certificate specifying the amount of the next ensuing sinking fund payment for that series pursuant to the terms of that series, the portion thereof, if any, which is to be satisfied by payment of cash and the portion thereof, if any, which is to be satisfied by delivering and crediting Securities of that series pursuant to Section 11.2 and will also deliver to the Trustee any Securities to be so delivered. Not less than 30 days before each such sinking fund payment date, the Trustee shall select the Securities to be redeemed upon such sinking fund payment date in the manner specified in Section 10.3 and cause notice of the redemption thereof to be given in the name of and at the expense of the Company in the manner provided in Section 10.4. Such notice having been duly given, the redemption of such Securities shall be made upon the terms and in the manner stated in Sections 10.6 and 10.7.</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80" w:right="259" w:bottom="1440" w:gutter="0" w:footer="0" w:header="0"/>
        </w:sectPr>
      </w:pPr>
    </w:p>
    <w:bookmarkStart w:id="78" w:name="page79"/>
    <w:bookmarkEnd w:id="78"/>
    <w:p>
      <w:pPr>
        <w:ind w:right="1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Indenture may be executed in any number of counterparts, each of which shall be an original, but such counterparts shall together constitute but one instrument.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caused this Indenture to be duly executed as of the day and year first above written.</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jc w:val="both"/>
        <w:ind w:left="6860"/>
        <w:spacing w:after="0"/>
        <w:tabs>
          <w:tab w:leader="none" w:pos="11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10795</wp:posOffset>
            </wp:positionV>
            <wp:extent cx="26758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Title:</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TO INDENTURE]</w:t>
      </w:r>
    </w:p>
    <w:p>
      <w:pPr>
        <w:sectPr>
          <w:pgSz w:w="11900" w:h="16838" w:orient="portrait"/>
          <w:cols w:equalWidth="0" w:num="1">
            <w:col w:w="11400"/>
          </w:cols>
          <w:pgMar w:left="240" w:top="280" w:right="25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FACE OF SECURITY</w:t>
      </w:r>
    </w:p>
    <w:p>
      <w:pPr>
        <w:spacing w:after="0" w:line="17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If the Security is an Original Issue Discount Security, insert</w:t>
      </w:r>
      <w:r>
        <w:rPr>
          <w:rFonts w:ascii="Arial" w:cs="Arial" w:eastAsia="Arial" w:hAnsi="Arial"/>
          <w:sz w:val="16"/>
          <w:szCs w:val="16"/>
          <w:color w:val="auto"/>
        </w:rPr>
        <w:t>—FOR PURPOSES OF SECTIONS 1273 AND 1275 OF THE UNITED STATES INTERNAL REVENUE CODE, THE AMOUNT OF ORIGINAL ISSUE DISCOUNT ON THIS SECURITY IS % OF ITS PRINCIPAL AMOUNT AND THE ISSUE DATE IS , 201 [, AND] THE YIELD TO MATURITY IS %. [THE METHOD USED TO DETERMINE THE YIELD IS AND THE AMOUNT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60" w:type="dxa"/>
            <w:vAlign w:val="bottom"/>
          </w:tcPr>
          <w:p>
            <w:pPr>
              <w:spacing w:after="0"/>
              <w:rPr>
                <w:sz w:val="20"/>
                <w:szCs w:val="20"/>
                <w:color w:val="auto"/>
              </w:rPr>
            </w:pPr>
            <w:r>
              <w:rPr>
                <w:rFonts w:ascii="Arial" w:cs="Arial" w:eastAsia="Arial" w:hAnsi="Arial"/>
                <w:sz w:val="18"/>
                <w:szCs w:val="18"/>
                <w:color w:val="auto"/>
              </w:rPr>
              <w:t>OF ORIGINAL ISSUE DISCOUNT APPLICABLE TO THE SHORT ACCRUAL PERIOD OF</w:t>
            </w:r>
          </w:p>
        </w:tc>
        <w:tc>
          <w:tcPr>
            <w:tcW w:w="1780" w:type="dxa"/>
            <w:vAlign w:val="bottom"/>
          </w:tcPr>
          <w:p>
            <w:pPr>
              <w:ind w:left="580"/>
              <w:spacing w:after="0"/>
              <w:rPr>
                <w:sz w:val="20"/>
                <w:szCs w:val="20"/>
                <w:color w:val="auto"/>
              </w:rPr>
            </w:pPr>
            <w:r>
              <w:rPr>
                <w:rFonts w:ascii="Arial" w:cs="Arial" w:eastAsia="Arial" w:hAnsi="Arial"/>
                <w:sz w:val="18"/>
                <w:szCs w:val="18"/>
                <w:color w:val="auto"/>
              </w:rPr>
              <w:t>, 201 TO</w:t>
            </w:r>
          </w:p>
        </w:tc>
        <w:tc>
          <w:tcPr>
            <w:tcW w:w="2280" w:type="dxa"/>
            <w:vAlign w:val="bottom"/>
          </w:tcPr>
          <w:p>
            <w:pPr>
              <w:ind w:left="560"/>
              <w:spacing w:after="0"/>
              <w:rPr>
                <w:sz w:val="20"/>
                <w:szCs w:val="20"/>
                <w:color w:val="auto"/>
              </w:rPr>
            </w:pPr>
            <w:r>
              <w:rPr>
                <w:rFonts w:ascii="Arial" w:cs="Arial" w:eastAsia="Arial" w:hAnsi="Arial"/>
                <w:sz w:val="18"/>
                <w:szCs w:val="18"/>
                <w:color w:val="auto"/>
              </w:rPr>
              <w:t>, 201 IS   % OF THE</w:t>
            </w:r>
          </w:p>
        </w:tc>
      </w:tr>
      <w:tr>
        <w:trPr>
          <w:trHeight w:val="222"/>
        </w:trPr>
        <w:tc>
          <w:tcPr>
            <w:tcW w:w="7360" w:type="dxa"/>
            <w:vAlign w:val="bottom"/>
          </w:tcPr>
          <w:p>
            <w:pPr>
              <w:spacing w:after="0"/>
              <w:rPr>
                <w:sz w:val="20"/>
                <w:szCs w:val="20"/>
                <w:color w:val="auto"/>
              </w:rPr>
            </w:pPr>
            <w:r>
              <w:rPr>
                <w:rFonts w:ascii="Arial" w:cs="Arial" w:eastAsia="Arial" w:hAnsi="Arial"/>
                <w:sz w:val="18"/>
                <w:szCs w:val="18"/>
                <w:color w:val="auto"/>
              </w:rPr>
              <w:t>PRINCIPAL AMOUNT OF THIS SECURITY.]]</w:t>
            </w:r>
          </w:p>
        </w:tc>
        <w:tc>
          <w:tcPr>
            <w:tcW w:w="17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540"/>
        </w:trPr>
        <w:tc>
          <w:tcPr>
            <w:tcW w:w="7360" w:type="dxa"/>
            <w:vAlign w:val="bottom"/>
          </w:tcPr>
          <w:p>
            <w:pPr>
              <w:ind w:left="5200"/>
              <w:spacing w:after="0"/>
              <w:rPr>
                <w:sz w:val="20"/>
                <w:szCs w:val="20"/>
                <w:color w:val="auto"/>
              </w:rPr>
            </w:pPr>
            <w:r>
              <w:rPr>
                <w:rFonts w:ascii="Arial" w:cs="Arial" w:eastAsia="Arial" w:hAnsi="Arial"/>
                <w:sz w:val="18"/>
                <w:szCs w:val="18"/>
                <w:b w:val="1"/>
                <w:bCs w:val="1"/>
                <w:color w:val="auto"/>
              </w:rPr>
              <w:t>ITRON, INC.</w:t>
            </w:r>
          </w:p>
        </w:tc>
        <w:tc>
          <w:tcPr>
            <w:tcW w:w="17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78"/>
        </w:trPr>
        <w:tc>
          <w:tcPr>
            <w:tcW w:w="7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80" w:type="dxa"/>
            <w:vAlign w:val="bottom"/>
          </w:tcPr>
          <w:p>
            <w:pPr>
              <w:ind w:left="860"/>
              <w:spacing w:after="0"/>
              <w:rPr>
                <w:sz w:val="20"/>
                <w:szCs w:val="20"/>
                <w:color w:val="auto"/>
              </w:rPr>
            </w:pPr>
            <w:r>
              <w:rPr>
                <w:rFonts w:ascii="Arial" w:cs="Arial" w:eastAsia="Arial" w:hAnsi="Arial"/>
                <w:sz w:val="18"/>
                <w:szCs w:val="18"/>
                <w:color w:val="auto"/>
              </w:rPr>
              <w:t>CUSIP:</w:t>
            </w:r>
          </w:p>
        </w:tc>
      </w:tr>
      <w:tr>
        <w:trPr>
          <w:trHeight w:val="419"/>
        </w:trPr>
        <w:tc>
          <w:tcPr>
            <w:tcW w:w="736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tcPr>
          <w:p>
            <w:pPr>
              <w:spacing w:after="0"/>
              <w:rPr>
                <w:sz w:val="24"/>
                <w:szCs w:val="24"/>
                <w:color w:val="auto"/>
              </w:rPr>
            </w:pPr>
          </w:p>
        </w:tc>
        <w:tc>
          <w:tcPr>
            <w:tcW w:w="2280" w:type="dxa"/>
            <w:vAlign w:val="bottom"/>
          </w:tcPr>
          <w:p>
            <w:pPr>
              <w:ind w:left="2020"/>
              <w:spacing w:after="0"/>
              <w:rPr>
                <w:sz w:val="20"/>
                <w:szCs w:val="20"/>
                <w:color w:val="auto"/>
              </w:rPr>
            </w:pPr>
            <w:r>
              <w:rPr>
                <w:rFonts w:ascii="Arial" w:cs="Arial" w:eastAsia="Arial" w:hAnsi="Arial"/>
                <w:sz w:val="18"/>
                <w:szCs w:val="18"/>
                <w:color w:val="auto"/>
                <w:w w:val="85"/>
              </w:rPr>
              <w:t>No.</w:t>
            </w:r>
          </w:p>
        </w:tc>
      </w:tr>
    </w:tbl>
    <w:p>
      <w:pPr>
        <w:spacing w:after="0" w:line="7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ITRON, INC., a corporation duly organized and existing under the laws of the State of Washington (herein called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which term includes any successor corporation under the Indenture hereinafter referred to), for value received, hereby promises to pay to or registered assigns, the principal sum of</w:t>
      </w:r>
    </w:p>
    <w:tbl>
      <w:tblPr>
        <w:tblLayout w:type="fixed"/>
        <w:tblInd w:w="0" w:type="dxa"/>
        <w:tblCellMar>
          <w:top w:w="0" w:type="dxa"/>
          <w:left w:w="0" w:type="dxa"/>
          <w:bottom w:w="0" w:type="dxa"/>
          <w:right w:w="0" w:type="dxa"/>
        </w:tblCellMar>
      </w:tblPr>
      <w:tr>
        <w:trPr>
          <w:trHeight w:val="178"/>
        </w:trPr>
        <w:tc>
          <w:tcPr>
            <w:tcW w:w="1880" w:type="dxa"/>
            <w:vAlign w:val="bottom"/>
          </w:tcPr>
          <w:p>
            <w:pPr>
              <w:ind w:left="760"/>
              <w:spacing w:after="0" w:line="177" w:lineRule="exact"/>
              <w:rPr>
                <w:sz w:val="20"/>
                <w:szCs w:val="20"/>
                <w:color w:val="auto"/>
              </w:rPr>
            </w:pPr>
            <w:r>
              <w:rPr>
                <w:rFonts w:ascii="Arial" w:cs="Arial" w:eastAsia="Arial" w:hAnsi="Arial"/>
                <w:sz w:val="18"/>
                <w:szCs w:val="18"/>
                <w:color w:val="auto"/>
              </w:rPr>
              <w:t>Dollars on</w:t>
            </w:r>
          </w:p>
        </w:tc>
        <w:tc>
          <w:tcPr>
            <w:tcW w:w="7520" w:type="dxa"/>
            <w:vAlign w:val="bottom"/>
            <w:gridSpan w:val="4"/>
          </w:tcPr>
          <w:p>
            <w:pPr>
              <w:ind w:left="400"/>
              <w:spacing w:after="0" w:line="177" w:lineRule="exact"/>
              <w:rPr>
                <w:sz w:val="20"/>
                <w:szCs w:val="20"/>
                <w:color w:val="auto"/>
              </w:rPr>
            </w:pPr>
            <w:r>
              <w:rPr>
                <w:rFonts w:ascii="Arial" w:cs="Arial" w:eastAsia="Arial" w:hAnsi="Arial"/>
                <w:sz w:val="18"/>
                <w:szCs w:val="18"/>
                <w:color w:val="auto"/>
                <w:w w:val="97"/>
              </w:rPr>
              <w:t>[If the Security is to bear interest prior to Maturity, insert—, and to pay interest thereon from</w:t>
            </w:r>
          </w:p>
        </w:tc>
        <w:tc>
          <w:tcPr>
            <w:tcW w:w="1940" w:type="dxa"/>
            <w:vAlign w:val="bottom"/>
            <w:gridSpan w:val="2"/>
          </w:tcPr>
          <w:p>
            <w:pPr>
              <w:ind w:left="180"/>
              <w:spacing w:after="0" w:line="177" w:lineRule="exact"/>
              <w:rPr>
                <w:sz w:val="20"/>
                <w:szCs w:val="20"/>
                <w:color w:val="auto"/>
              </w:rPr>
            </w:pPr>
            <w:r>
              <w:rPr>
                <w:rFonts w:ascii="Arial" w:cs="Arial" w:eastAsia="Arial" w:hAnsi="Arial"/>
                <w:sz w:val="18"/>
                <w:szCs w:val="18"/>
                <w:color w:val="auto"/>
                <w:w w:val="93"/>
              </w:rPr>
              <w:t>or from the most recent</w:t>
            </w:r>
          </w:p>
        </w:tc>
      </w:tr>
      <w:tr>
        <w:trPr>
          <w:trHeight w:val="20"/>
        </w:trPr>
        <w:tc>
          <w:tcPr>
            <w:tcW w:w="2340" w:type="dxa"/>
            <w:vAlign w:val="bottom"/>
            <w:gridSpan w:val="2"/>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7080" w:type="dxa"/>
            <w:vAlign w:val="bottom"/>
            <w:gridSpan w:val="4"/>
          </w:tcPr>
          <w:p>
            <w:pPr>
              <w:spacing w:after="0" w:line="196" w:lineRule="exact"/>
              <w:rPr>
                <w:sz w:val="20"/>
                <w:szCs w:val="20"/>
                <w:color w:val="auto"/>
              </w:rPr>
            </w:pPr>
            <w:r>
              <w:rPr>
                <w:rFonts w:ascii="Arial" w:cs="Arial" w:eastAsia="Arial" w:hAnsi="Arial"/>
                <w:sz w:val="18"/>
                <w:szCs w:val="18"/>
                <w:color w:val="auto"/>
                <w:w w:val="92"/>
              </w:rPr>
              <w:t>Interest Payment Date to which interest has been paid or duly provided for, semiannually on and</w:t>
            </w:r>
          </w:p>
        </w:tc>
        <w:tc>
          <w:tcPr>
            <w:tcW w:w="2320" w:type="dxa"/>
            <w:vAlign w:val="bottom"/>
          </w:tcPr>
          <w:p>
            <w:pPr>
              <w:ind w:left="320"/>
              <w:spacing w:after="0" w:line="196" w:lineRule="exact"/>
              <w:rPr>
                <w:sz w:val="20"/>
                <w:szCs w:val="20"/>
                <w:color w:val="auto"/>
              </w:rPr>
            </w:pPr>
            <w:r>
              <w:rPr>
                <w:rFonts w:ascii="Arial" w:cs="Arial" w:eastAsia="Arial" w:hAnsi="Arial"/>
                <w:sz w:val="18"/>
                <w:szCs w:val="18"/>
                <w:color w:val="auto"/>
                <w:w w:val="94"/>
              </w:rPr>
              <w:t>in each year, commencing</w:t>
            </w:r>
          </w:p>
        </w:tc>
        <w:tc>
          <w:tcPr>
            <w:tcW w:w="1940" w:type="dxa"/>
            <w:vAlign w:val="bottom"/>
            <w:gridSpan w:val="2"/>
          </w:tcPr>
          <w:p>
            <w:pPr>
              <w:ind w:left="440"/>
              <w:spacing w:after="0" w:line="196" w:lineRule="exact"/>
              <w:rPr>
                <w:sz w:val="20"/>
                <w:szCs w:val="20"/>
                <w:color w:val="auto"/>
              </w:rPr>
            </w:pPr>
            <w:r>
              <w:rPr>
                <w:rFonts w:ascii="Arial" w:cs="Arial" w:eastAsia="Arial" w:hAnsi="Arial"/>
                <w:sz w:val="18"/>
                <w:szCs w:val="18"/>
                <w:color w:val="auto"/>
                <w:w w:val="90"/>
              </w:rPr>
              <w:t>, [If the Security is to</w:t>
            </w:r>
          </w:p>
        </w:tc>
      </w:tr>
      <w:tr>
        <w:trPr>
          <w:trHeight w:val="20"/>
        </w:trPr>
        <w:tc>
          <w:tcPr>
            <w:tcW w:w="1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1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u w:val="single" w:color="auto"/>
          <w:color w:val="auto"/>
        </w:rPr>
        <w:t>bear interest at a fixed rate, insert</w:t>
      </w:r>
      <w:r>
        <w:rPr>
          <w:rFonts w:ascii="Arial" w:cs="Arial" w:eastAsia="Arial" w:hAnsi="Arial"/>
          <w:sz w:val="16"/>
          <w:szCs w:val="16"/>
          <w:color w:val="auto"/>
        </w:rPr>
        <w:t>—at the rate of % per annum] [</w:t>
      </w:r>
      <w:r>
        <w:rPr>
          <w:rFonts w:ascii="Arial" w:cs="Arial" w:eastAsia="Arial" w:hAnsi="Arial"/>
          <w:sz w:val="16"/>
          <w:szCs w:val="16"/>
          <w:u w:val="single" w:color="auto"/>
          <w:color w:val="auto"/>
        </w:rPr>
        <w:t>if the Security is to bear interest at an adjustable rate, insert</w:t>
      </w:r>
      <w:r>
        <w:rPr>
          <w:rFonts w:ascii="Arial" w:cs="Arial" w:eastAsia="Arial" w:hAnsi="Arial"/>
          <w:sz w:val="16"/>
          <w:szCs w:val="16"/>
          <w:color w:val="auto"/>
        </w:rPr>
        <w:t xml:space="preserve">—at a rate per annum computed or determined in accordance with the provisions below], until the principal hereof is paid or made available for payment </w:t>
      </w:r>
      <w:r>
        <w:rPr>
          <w:rFonts w:ascii="Arial" w:cs="Arial" w:eastAsia="Arial" w:hAnsi="Arial"/>
          <w:sz w:val="16"/>
          <w:szCs w:val="16"/>
          <w:u w:val="single" w:color="auto"/>
          <w:color w:val="auto"/>
        </w:rPr>
        <w:t>[If applicable, insert</w:t>
      </w:r>
      <w:r>
        <w:rPr>
          <w:rFonts w:ascii="Arial" w:cs="Arial" w:eastAsia="Arial" w:hAnsi="Arial"/>
          <w:sz w:val="16"/>
          <w:szCs w:val="16"/>
          <w:color w:val="auto"/>
        </w:rPr>
        <w:t>—, and (to the extent that the payment of such interest shall be legally enforceable) at the rate of % per annum on any overdue principal and premium and on any overdue installment of interest].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or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27"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If the Security is not to bear interest prior to Maturity, insert</w:t>
      </w:r>
      <w:r>
        <w:rPr>
          <w:rFonts w:ascii="Arial" w:cs="Arial" w:eastAsia="Arial" w:hAnsi="Arial"/>
          <w:sz w:val="16"/>
          <w:szCs w:val="16"/>
          <w:color w:val="auto"/>
        </w:rPr>
        <w:t>—The principal of this Security shall not bear interest except in the case of a default in payment of principal upon acceleration or redemption or at the Stated Maturity and in such case the overdue principal of</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80" w:name="page81"/>
    <w:bookmarkEnd w:id="80"/>
    <w:p>
      <w:pPr>
        <w:ind w:right="1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Security shall bear interest at the rate of % per annum (to the extent that the payment of such interest shall be legally enforceable), which shall accrue from the date of such default in payment to the date payment of such principal has been made or duly provided for. Interest on any overdue principal shall be</w:t>
      </w:r>
    </w:p>
    <w:p>
      <w:pPr>
        <w:ind w:right="40"/>
        <w:spacing w:after="0" w:line="255" w:lineRule="auto"/>
        <w:rPr>
          <w:sz w:val="20"/>
          <w:szCs w:val="20"/>
          <w:color w:val="auto"/>
        </w:rPr>
      </w:pPr>
      <w:r>
        <w:rPr>
          <w:rFonts w:ascii="Arial" w:cs="Arial" w:eastAsia="Arial" w:hAnsi="Arial"/>
          <w:sz w:val="18"/>
          <w:szCs w:val="18"/>
          <w:color w:val="auto"/>
        </w:rPr>
        <w:t>payable on demand. Any such interest on any overdue principal that is not so paid on demand shall bear interest at the rate of % per annum (to the extent that the payment of such interest shall be legally enforceable), which shall accrue from the date of such demand for payment to the date payment of such interest has been made or duly provided for, and such interest shall also be payable on demand.]</w:t>
      </w:r>
    </w:p>
    <w:p>
      <w:pPr>
        <w:spacing w:after="0" w:line="144"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Payment of the principal of (and premium, if any, on) and [</w:t>
      </w:r>
      <w:r>
        <w:rPr>
          <w:rFonts w:ascii="Arial" w:cs="Arial" w:eastAsia="Arial" w:hAnsi="Arial"/>
          <w:sz w:val="15"/>
          <w:szCs w:val="15"/>
          <w:u w:val="single" w:color="auto"/>
          <w:color w:val="auto"/>
        </w:rPr>
        <w:t>if applicable, insert</w:t>
      </w:r>
      <w:r>
        <w:rPr>
          <w:rFonts w:ascii="Arial" w:cs="Arial" w:eastAsia="Arial" w:hAnsi="Arial"/>
          <w:sz w:val="15"/>
          <w:szCs w:val="15"/>
          <w:color w:val="auto"/>
        </w:rPr>
        <w:t>—any such] interest on this Security will be made at the office or agency of the Company maintained for that purpose in the City and State of New York in such coin or currency of the United States of America as at the time of payment is legal tender for payment of public and private debts [</w:t>
      </w:r>
      <w:r>
        <w:rPr>
          <w:rFonts w:ascii="Arial" w:cs="Arial" w:eastAsia="Arial" w:hAnsi="Arial"/>
          <w:sz w:val="15"/>
          <w:szCs w:val="15"/>
          <w:u w:val="single" w:color="auto"/>
          <w:color w:val="auto"/>
        </w:rPr>
        <w:t>if applicable, insert</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at the option of the Company payment of interest may be made by check mailed on or before the relevant Interest Payment Date to the address of the Person entitled thereto as such address shall appear in the Register].</w:t>
      </w:r>
    </w:p>
    <w:p>
      <w:pPr>
        <w:spacing w:after="0" w:line="9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Company has caused this instrument to be duly executed.</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10795</wp:posOffset>
            </wp:positionV>
            <wp:extent cx="354203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40"/>
          </w:cols>
          <w:pgMar w:left="240" w:top="280" w:right="31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REVERSE OF SECURITY</w:t>
      </w:r>
    </w:p>
    <w:p>
      <w:pPr>
        <w:spacing w:after="0" w:line="177"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This Security is one of a duly authorized issue of securities of the Company (herein called the “</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 issued and to be issued in one or more series under an Indenture, dated as of , 201 (herein called the “</w:t>
      </w:r>
      <w:r>
        <w:rPr>
          <w:rFonts w:ascii="Arial" w:cs="Arial" w:eastAsia="Arial" w:hAnsi="Arial"/>
          <w:sz w:val="16"/>
          <w:szCs w:val="16"/>
          <w:b w:val="1"/>
          <w:bCs w:val="1"/>
          <w:i w:val="1"/>
          <w:iCs w:val="1"/>
          <w:color w:val="auto"/>
        </w:rPr>
        <w:t>Indenture</w:t>
      </w:r>
      <w:r>
        <w:rPr>
          <w:rFonts w:ascii="Arial" w:cs="Arial" w:eastAsia="Arial" w:hAnsi="Arial"/>
          <w:sz w:val="16"/>
          <w:szCs w:val="16"/>
          <w:color w:val="auto"/>
        </w:rPr>
        <w:t>”), between the Company (which term includes any successor corporation under the Indenture) and , as Trustee (herein called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which term includes any successor trustee under the Indenture with respect to the series of</w:t>
      </w:r>
    </w:p>
    <w:p>
      <w:pPr>
        <w:spacing w:after="0" w:line="1" w:lineRule="exact"/>
        <w:rPr>
          <w:sz w:val="20"/>
          <w:szCs w:val="20"/>
          <w:color w:val="auto"/>
        </w:rPr>
      </w:pPr>
    </w:p>
    <w:p>
      <w:pPr>
        <w:ind w:right="180"/>
        <w:spacing w:after="0" w:line="300" w:lineRule="auto"/>
        <w:rPr>
          <w:sz w:val="20"/>
          <w:szCs w:val="20"/>
          <w:color w:val="auto"/>
        </w:rPr>
      </w:pPr>
      <w:r>
        <w:rPr>
          <w:rFonts w:ascii="Arial" w:cs="Arial" w:eastAsia="Arial" w:hAnsi="Arial"/>
          <w:sz w:val="15"/>
          <w:szCs w:val="15"/>
          <w:color w:val="auto"/>
        </w:rPr>
        <w:t>which this Security is a part), to which the Indenture and all indentures supplemental thereto reference is hereby made for a statement of the respective rights, limitations of rights, duties and immunities thereunder of the Company, the Trustee and the Holders of the Securities and of the terms upon which the Securities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920" w:type="dxa"/>
            <w:vAlign w:val="bottom"/>
            <w:gridSpan w:val="14"/>
          </w:tcPr>
          <w:p>
            <w:pPr>
              <w:spacing w:after="0"/>
              <w:rPr>
                <w:sz w:val="20"/>
                <w:szCs w:val="20"/>
                <w:color w:val="auto"/>
              </w:rPr>
            </w:pPr>
            <w:r>
              <w:rPr>
                <w:rFonts w:ascii="Arial" w:cs="Arial" w:eastAsia="Arial" w:hAnsi="Arial"/>
                <w:sz w:val="18"/>
                <w:szCs w:val="18"/>
                <w:color w:val="auto"/>
                <w:w w:val="88"/>
              </w:rPr>
              <w:t>are, and are to be, authenticated and delivered. This Security is one of the series designated on the face hereof[, limited in aggregate principal amount to $</w:t>
            </w:r>
          </w:p>
        </w:tc>
        <w:tc>
          <w:tcPr>
            <w:tcW w:w="500" w:type="dxa"/>
            <w:vAlign w:val="bottom"/>
          </w:tcPr>
          <w:p>
            <w:pPr>
              <w:jc w:val="right"/>
              <w:ind w:right="202"/>
              <w:spacing w:after="0"/>
              <w:rPr>
                <w:sz w:val="20"/>
                <w:szCs w:val="20"/>
                <w:color w:val="auto"/>
              </w:rPr>
            </w:pPr>
            <w:r>
              <w:rPr>
                <w:rFonts w:ascii="Arial" w:cs="Arial" w:eastAsia="Arial" w:hAnsi="Arial"/>
                <w:sz w:val="18"/>
                <w:szCs w:val="18"/>
                <w:color w:val="auto"/>
              </w:rPr>
              <w:t>].</w:t>
            </w:r>
          </w:p>
        </w:tc>
      </w:tr>
      <w:tr>
        <w:trPr>
          <w:trHeight w:val="333"/>
        </w:trPr>
        <w:tc>
          <w:tcPr>
            <w:tcW w:w="11420" w:type="dxa"/>
            <w:vAlign w:val="bottom"/>
            <w:gridSpan w:val="15"/>
          </w:tcPr>
          <w:p>
            <w:pPr>
              <w:ind w:left="460"/>
              <w:spacing w:after="0"/>
              <w:rPr>
                <w:sz w:val="20"/>
                <w:szCs w:val="20"/>
                <w:color w:val="auto"/>
              </w:rPr>
            </w:pPr>
            <w:r>
              <w:rPr>
                <w:rFonts w:ascii="Arial" w:cs="Arial" w:eastAsia="Arial" w:hAnsi="Arial"/>
                <w:sz w:val="18"/>
                <w:szCs w:val="18"/>
                <w:color w:val="auto"/>
                <w:w w:val="93"/>
              </w:rPr>
              <w:t>[If applicable, insert—The Securities of this series are subject to redemption upon not less than 30 days’ notice by mail, [if applicable, insert—(a) on</w:t>
            </w:r>
          </w:p>
        </w:tc>
      </w:tr>
      <w:tr>
        <w:trPr>
          <w:trHeight w:val="20"/>
        </w:trPr>
        <w:tc>
          <w:tcPr>
            <w:tcW w:w="5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r>
      <w:tr>
        <w:trPr>
          <w:trHeight w:val="228"/>
        </w:trPr>
        <w:tc>
          <w:tcPr>
            <w:tcW w:w="520" w:type="dxa"/>
            <w:vAlign w:val="bottom"/>
          </w:tcPr>
          <w:p>
            <w:pPr>
              <w:spacing w:after="0"/>
              <w:rPr>
                <w:sz w:val="19"/>
                <w:szCs w:val="19"/>
                <w:color w:val="auto"/>
              </w:rPr>
            </w:pPr>
          </w:p>
        </w:tc>
        <w:tc>
          <w:tcPr>
            <w:tcW w:w="2940" w:type="dxa"/>
            <w:vAlign w:val="bottom"/>
            <w:gridSpan w:val="3"/>
          </w:tcPr>
          <w:p>
            <w:pPr>
              <w:jc w:val="right"/>
              <w:ind w:right="152"/>
              <w:spacing w:after="0"/>
              <w:rPr>
                <w:sz w:val="20"/>
                <w:szCs w:val="20"/>
                <w:color w:val="auto"/>
              </w:rPr>
            </w:pPr>
            <w:r>
              <w:rPr>
                <w:rFonts w:ascii="Arial" w:cs="Arial" w:eastAsia="Arial" w:hAnsi="Arial"/>
                <w:sz w:val="18"/>
                <w:szCs w:val="18"/>
                <w:color w:val="auto"/>
                <w:w w:val="88"/>
              </w:rPr>
              <w:t>in any year commencing with the year</w:t>
            </w:r>
          </w:p>
        </w:tc>
        <w:tc>
          <w:tcPr>
            <w:tcW w:w="260" w:type="dxa"/>
            <w:vAlign w:val="bottom"/>
          </w:tcPr>
          <w:p>
            <w:pPr>
              <w:spacing w:after="0"/>
              <w:rPr>
                <w:sz w:val="19"/>
                <w:szCs w:val="19"/>
                <w:color w:val="auto"/>
              </w:rPr>
            </w:pPr>
          </w:p>
        </w:tc>
        <w:tc>
          <w:tcPr>
            <w:tcW w:w="2100" w:type="dxa"/>
            <w:vAlign w:val="bottom"/>
          </w:tcPr>
          <w:p>
            <w:pPr>
              <w:jc w:val="right"/>
              <w:ind w:right="199"/>
              <w:spacing w:after="0"/>
              <w:rPr>
                <w:sz w:val="20"/>
                <w:szCs w:val="20"/>
                <w:color w:val="auto"/>
              </w:rPr>
            </w:pPr>
            <w:r>
              <w:rPr>
                <w:rFonts w:ascii="Arial" w:cs="Arial" w:eastAsia="Arial" w:hAnsi="Arial"/>
                <w:sz w:val="18"/>
                <w:szCs w:val="18"/>
                <w:color w:val="auto"/>
                <w:w w:val="91"/>
              </w:rPr>
              <w:t>and ending with the year</w:t>
            </w:r>
          </w:p>
        </w:tc>
        <w:tc>
          <w:tcPr>
            <w:tcW w:w="5600" w:type="dxa"/>
            <w:vAlign w:val="bottom"/>
            <w:gridSpan w:val="9"/>
          </w:tcPr>
          <w:p>
            <w:pPr>
              <w:jc w:val="right"/>
              <w:ind w:right="122"/>
              <w:spacing w:after="0"/>
              <w:rPr>
                <w:sz w:val="20"/>
                <w:szCs w:val="20"/>
                <w:color w:val="auto"/>
              </w:rPr>
            </w:pPr>
            <w:r>
              <w:rPr>
                <w:rFonts w:ascii="Arial" w:cs="Arial" w:eastAsia="Arial" w:hAnsi="Arial"/>
                <w:sz w:val="18"/>
                <w:szCs w:val="18"/>
                <w:color w:val="auto"/>
                <w:w w:val="93"/>
              </w:rPr>
              <w:t>at a Redemption Price equal to % of the principal amount and (b)] at any</w:t>
            </w:r>
          </w:p>
        </w:tc>
      </w:tr>
      <w:tr>
        <w:trPr>
          <w:trHeight w:val="216"/>
        </w:trPr>
        <w:tc>
          <w:tcPr>
            <w:tcW w:w="10920" w:type="dxa"/>
            <w:vAlign w:val="bottom"/>
            <w:gridSpan w:val="14"/>
          </w:tcPr>
          <w:p>
            <w:pPr>
              <w:spacing w:after="0"/>
              <w:rPr>
                <w:sz w:val="20"/>
                <w:szCs w:val="20"/>
                <w:color w:val="auto"/>
              </w:rPr>
            </w:pPr>
            <w:r>
              <w:rPr>
                <w:rFonts w:ascii="Arial" w:cs="Arial" w:eastAsia="Arial" w:hAnsi="Arial"/>
                <w:sz w:val="18"/>
                <w:szCs w:val="18"/>
                <w:color w:val="auto"/>
                <w:w w:val="89"/>
              </w:rPr>
              <w:t>time [on or after 20  ], as a whole or in part, at the election of the Company, at the following Redemption Prices (expressed as percentages of the principal</w:t>
            </w:r>
          </w:p>
        </w:tc>
        <w:tc>
          <w:tcPr>
            <w:tcW w:w="500" w:type="dxa"/>
            <w:vAlign w:val="bottom"/>
          </w:tcPr>
          <w:p>
            <w:pPr>
              <w:spacing w:after="0"/>
              <w:rPr>
                <w:sz w:val="18"/>
                <w:szCs w:val="18"/>
                <w:color w:val="auto"/>
              </w:rPr>
            </w:pPr>
          </w:p>
        </w:tc>
      </w:tr>
      <w:tr>
        <w:trPr>
          <w:trHeight w:val="222"/>
        </w:trPr>
        <w:tc>
          <w:tcPr>
            <w:tcW w:w="2880" w:type="dxa"/>
            <w:vAlign w:val="bottom"/>
            <w:gridSpan w:val="3"/>
          </w:tcPr>
          <w:p>
            <w:pPr>
              <w:spacing w:after="0"/>
              <w:rPr>
                <w:sz w:val="20"/>
                <w:szCs w:val="20"/>
                <w:color w:val="auto"/>
              </w:rPr>
            </w:pPr>
            <w:r>
              <w:rPr>
                <w:rFonts w:ascii="Arial" w:cs="Arial" w:eastAsia="Arial" w:hAnsi="Arial"/>
                <w:sz w:val="18"/>
                <w:szCs w:val="18"/>
                <w:color w:val="auto"/>
              </w:rPr>
              <w:t>amount): If redeemed [on or before</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4640" w:type="dxa"/>
            <w:vAlign w:val="bottom"/>
            <w:gridSpan w:val="5"/>
          </w:tcPr>
          <w:p>
            <w:pPr>
              <w:ind w:left="220"/>
              <w:spacing w:after="0"/>
              <w:rPr>
                <w:sz w:val="20"/>
                <w:szCs w:val="20"/>
                <w:color w:val="auto"/>
              </w:rPr>
            </w:pPr>
            <w:r>
              <w:rPr>
                <w:rFonts w:ascii="Arial" w:cs="Arial" w:eastAsia="Arial" w:hAnsi="Arial"/>
                <w:sz w:val="18"/>
                <w:szCs w:val="18"/>
                <w:color w:val="auto"/>
                <w:w w:val="94"/>
              </w:rPr>
              <w:t>%, and if redeemed] during the 12-month period beginning</w:t>
            </w:r>
          </w:p>
        </w:tc>
        <w:tc>
          <w:tcPr>
            <w:tcW w:w="2820" w:type="dxa"/>
            <w:vAlign w:val="bottom"/>
            <w:gridSpan w:val="5"/>
          </w:tcPr>
          <w:p>
            <w:pPr>
              <w:ind w:left="300"/>
              <w:spacing w:after="0"/>
              <w:rPr>
                <w:sz w:val="20"/>
                <w:szCs w:val="20"/>
                <w:color w:val="auto"/>
              </w:rPr>
            </w:pPr>
            <w:r>
              <w:rPr>
                <w:rFonts w:ascii="Arial" w:cs="Arial" w:eastAsia="Arial" w:hAnsi="Arial"/>
                <w:sz w:val="18"/>
                <w:szCs w:val="18"/>
                <w:color w:val="auto"/>
              </w:rPr>
              <w:t>of the years indicated,</w:t>
            </w:r>
          </w:p>
        </w:tc>
        <w:tc>
          <w:tcPr>
            <w:tcW w:w="500" w:type="dxa"/>
            <w:vAlign w:val="bottom"/>
          </w:tcPr>
          <w:p>
            <w:pPr>
              <w:spacing w:after="0"/>
              <w:rPr>
                <w:sz w:val="19"/>
                <w:szCs w:val="19"/>
                <w:color w:val="auto"/>
              </w:rPr>
            </w:pPr>
          </w:p>
        </w:tc>
      </w:tr>
      <w:tr>
        <w:trPr>
          <w:trHeight w:val="327"/>
        </w:trPr>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Redemption</w:t>
            </w:r>
          </w:p>
        </w:tc>
      </w:tr>
      <w:tr>
        <w:trPr>
          <w:trHeight w:val="175"/>
        </w:trPr>
        <w:tc>
          <w:tcPr>
            <w:tcW w:w="5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Year</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Redemption Price</w:t>
            </w:r>
          </w:p>
        </w:tc>
        <w:tc>
          <w:tcPr>
            <w:tcW w:w="500" w:type="dxa"/>
            <w:vAlign w:val="bottom"/>
            <w:tcBorders>
              <w:bottom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Year</w:t>
            </w:r>
          </w:p>
        </w:tc>
        <w:tc>
          <w:tcPr>
            <w:tcW w:w="840" w:type="dxa"/>
            <w:vAlign w:val="bottom"/>
            <w:gridSpan w:val="2"/>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81"/>
              </w:rPr>
              <w:t>Price</w:t>
            </w:r>
          </w:p>
        </w:tc>
      </w:tr>
      <w:tr>
        <w:trPr>
          <w:trHeight w:val="505"/>
        </w:trPr>
        <w:tc>
          <w:tcPr>
            <w:tcW w:w="3460" w:type="dxa"/>
            <w:vAlign w:val="bottom"/>
            <w:gridSpan w:val="4"/>
          </w:tcPr>
          <w:p>
            <w:pPr>
              <w:spacing w:after="0"/>
              <w:rPr>
                <w:sz w:val="20"/>
                <w:szCs w:val="20"/>
                <w:color w:val="auto"/>
              </w:rPr>
            </w:pPr>
            <w:r>
              <w:rPr>
                <w:rFonts w:ascii="Arial" w:cs="Arial" w:eastAsia="Arial" w:hAnsi="Arial"/>
                <w:sz w:val="18"/>
                <w:szCs w:val="18"/>
                <w:color w:val="auto"/>
                <w:w w:val="94"/>
              </w:rPr>
              <w:t>and thereafter at a Redemption Price equal to</w:t>
            </w:r>
          </w:p>
        </w:tc>
        <w:tc>
          <w:tcPr>
            <w:tcW w:w="260" w:type="dxa"/>
            <w:vAlign w:val="bottom"/>
          </w:tcPr>
          <w:p>
            <w:pPr>
              <w:spacing w:after="0"/>
              <w:rPr>
                <w:sz w:val="24"/>
                <w:szCs w:val="24"/>
                <w:color w:val="auto"/>
              </w:rPr>
            </w:pPr>
          </w:p>
        </w:tc>
        <w:tc>
          <w:tcPr>
            <w:tcW w:w="7200" w:type="dxa"/>
            <w:vAlign w:val="bottom"/>
            <w:gridSpan w:val="9"/>
          </w:tcPr>
          <w:p>
            <w:pPr>
              <w:ind w:left="40"/>
              <w:spacing w:after="0"/>
              <w:rPr>
                <w:sz w:val="20"/>
                <w:szCs w:val="20"/>
                <w:color w:val="auto"/>
              </w:rPr>
            </w:pPr>
            <w:r>
              <w:rPr>
                <w:rFonts w:ascii="Arial" w:cs="Arial" w:eastAsia="Arial" w:hAnsi="Arial"/>
                <w:sz w:val="18"/>
                <w:szCs w:val="18"/>
                <w:color w:val="auto"/>
                <w:w w:val="91"/>
              </w:rPr>
              <w:t>% of the principal amount, together in the case of any such redemption with accrued interest to the</w:t>
            </w:r>
          </w:p>
        </w:tc>
        <w:tc>
          <w:tcPr>
            <w:tcW w:w="500" w:type="dxa"/>
            <w:vAlign w:val="bottom"/>
          </w:tcPr>
          <w:p>
            <w:pPr>
              <w:spacing w:after="0"/>
              <w:rPr>
                <w:sz w:val="24"/>
                <w:szCs w:val="24"/>
                <w:color w:val="auto"/>
              </w:rPr>
            </w:pPr>
          </w:p>
        </w:tc>
      </w:tr>
    </w:tbl>
    <w:p>
      <w:pPr>
        <w:ind w:right="20"/>
        <w:spacing w:after="0" w:line="255" w:lineRule="auto"/>
        <w:rPr>
          <w:sz w:val="20"/>
          <w:szCs w:val="20"/>
          <w:color w:val="auto"/>
        </w:rPr>
      </w:pPr>
      <w:r>
        <w:rPr>
          <w:rFonts w:ascii="Arial" w:cs="Arial" w:eastAsia="Arial" w:hAnsi="Arial"/>
          <w:sz w:val="18"/>
          <w:szCs w:val="18"/>
          <w:color w:val="auto"/>
        </w:rPr>
        <w:t>Redemption Date, but interest installments whose Stated Maturity is on or prior to such Redemption Date will be payable to the Holders of such Securities, or one or more Predecessor Securities, of record at the close of business on the relevant Regular Record Dates referred to on the face hereof, all as provided in the Indenture.]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20" w:type="dxa"/>
            <w:vAlign w:val="bottom"/>
            <w:gridSpan w:val="4"/>
          </w:tcPr>
          <w:p>
            <w:pPr>
              <w:ind w:left="460"/>
              <w:spacing w:after="0"/>
              <w:rPr>
                <w:sz w:val="20"/>
                <w:szCs w:val="20"/>
                <w:color w:val="auto"/>
              </w:rPr>
            </w:pPr>
            <w:r>
              <w:rPr>
                <w:rFonts w:ascii="Arial" w:cs="Arial" w:eastAsia="Arial" w:hAnsi="Arial"/>
                <w:sz w:val="18"/>
                <w:szCs w:val="18"/>
                <w:color w:val="auto"/>
                <w:w w:val="91"/>
              </w:rPr>
              <w:t>[If applicable, insert—The Securities of this series are subject to redemption upon not less than 30 days’ notice by mail, (a) on</w:t>
            </w:r>
          </w:p>
        </w:tc>
        <w:tc>
          <w:tcPr>
            <w:tcW w:w="1180" w:type="dxa"/>
            <w:vAlign w:val="bottom"/>
          </w:tcPr>
          <w:p>
            <w:pPr>
              <w:ind w:left="280"/>
              <w:spacing w:after="0"/>
              <w:rPr>
                <w:sz w:val="20"/>
                <w:szCs w:val="20"/>
                <w:color w:val="auto"/>
              </w:rPr>
            </w:pPr>
            <w:r>
              <w:rPr>
                <w:rFonts w:ascii="Arial" w:cs="Arial" w:eastAsia="Arial" w:hAnsi="Arial"/>
                <w:sz w:val="18"/>
                <w:szCs w:val="18"/>
                <w:color w:val="auto"/>
                <w:w w:val="99"/>
              </w:rPr>
              <w:t>in any year</w:t>
            </w:r>
          </w:p>
        </w:tc>
        <w:tc>
          <w:tcPr>
            <w:tcW w:w="54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880" w:type="dxa"/>
            <w:vAlign w:val="bottom"/>
            <w:gridSpan w:val="3"/>
          </w:tcPr>
          <w:p>
            <w:pPr>
              <w:spacing w:after="0" w:line="20" w:lineRule="exact"/>
              <w:rPr>
                <w:sz w:val="1"/>
                <w:szCs w:val="1"/>
                <w:color w:val="auto"/>
              </w:rPr>
            </w:pPr>
          </w:p>
        </w:tc>
      </w:tr>
      <w:tr>
        <w:trPr>
          <w:trHeight w:val="228"/>
        </w:trPr>
        <w:tc>
          <w:tcPr>
            <w:tcW w:w="1880" w:type="dxa"/>
            <w:vAlign w:val="bottom"/>
            <w:gridSpan w:val="2"/>
          </w:tcPr>
          <w:p>
            <w:pPr>
              <w:spacing w:after="0"/>
              <w:rPr>
                <w:sz w:val="20"/>
                <w:szCs w:val="20"/>
                <w:color w:val="auto"/>
              </w:rPr>
            </w:pPr>
            <w:r>
              <w:rPr>
                <w:rFonts w:ascii="Arial" w:cs="Arial" w:eastAsia="Arial" w:hAnsi="Arial"/>
                <w:sz w:val="18"/>
                <w:szCs w:val="18"/>
                <w:color w:val="auto"/>
                <w:w w:val="88"/>
              </w:rPr>
              <w:t>commencing with the year</w:t>
            </w:r>
          </w:p>
        </w:tc>
        <w:tc>
          <w:tcPr>
            <w:tcW w:w="2580" w:type="dxa"/>
            <w:vAlign w:val="bottom"/>
          </w:tcPr>
          <w:p>
            <w:pPr>
              <w:ind w:left="560"/>
              <w:spacing w:after="0"/>
              <w:rPr>
                <w:sz w:val="20"/>
                <w:szCs w:val="20"/>
                <w:color w:val="auto"/>
              </w:rPr>
            </w:pPr>
            <w:r>
              <w:rPr>
                <w:rFonts w:ascii="Arial" w:cs="Arial" w:eastAsia="Arial" w:hAnsi="Arial"/>
                <w:sz w:val="18"/>
                <w:szCs w:val="18"/>
                <w:color w:val="auto"/>
              </w:rPr>
              <w:t>and ending with the year</w:t>
            </w:r>
          </w:p>
        </w:tc>
        <w:tc>
          <w:tcPr>
            <w:tcW w:w="6880" w:type="dxa"/>
            <w:vAlign w:val="bottom"/>
            <w:gridSpan w:val="3"/>
          </w:tcPr>
          <w:p>
            <w:pPr>
              <w:ind w:left="300"/>
              <w:spacing w:after="0"/>
              <w:rPr>
                <w:sz w:val="20"/>
                <w:szCs w:val="20"/>
                <w:color w:val="auto"/>
              </w:rPr>
            </w:pPr>
            <w:r>
              <w:rPr>
                <w:rFonts w:ascii="Arial" w:cs="Arial" w:eastAsia="Arial" w:hAnsi="Arial"/>
                <w:sz w:val="18"/>
                <w:szCs w:val="18"/>
                <w:color w:val="auto"/>
                <w:w w:val="89"/>
              </w:rPr>
              <w:t>through operation of the sinking fund for this series at the Redemption Prices for redemption</w:t>
            </w:r>
          </w:p>
        </w:tc>
      </w:tr>
      <w:tr>
        <w:trPr>
          <w:trHeight w:val="222"/>
        </w:trPr>
        <w:tc>
          <w:tcPr>
            <w:tcW w:w="10800" w:type="dxa"/>
            <w:vAlign w:val="bottom"/>
            <w:gridSpan w:val="5"/>
          </w:tcPr>
          <w:p>
            <w:pPr>
              <w:spacing w:after="0"/>
              <w:rPr>
                <w:sz w:val="20"/>
                <w:szCs w:val="20"/>
                <w:color w:val="auto"/>
              </w:rPr>
            </w:pPr>
            <w:r>
              <w:rPr>
                <w:rFonts w:ascii="Arial" w:cs="Arial" w:eastAsia="Arial" w:hAnsi="Arial"/>
                <w:sz w:val="18"/>
                <w:szCs w:val="18"/>
                <w:color w:val="auto"/>
                <w:w w:val="92"/>
              </w:rPr>
              <w:t>through operation of the sinking fund (expressed as percentages of the principal amount) set forth in the table below and (b) at any time [on or after</w:t>
            </w:r>
          </w:p>
        </w:tc>
        <w:tc>
          <w:tcPr>
            <w:tcW w:w="540" w:type="dxa"/>
            <w:vAlign w:val="bottom"/>
          </w:tcPr>
          <w:p>
            <w:pPr>
              <w:ind w:left="140"/>
              <w:spacing w:after="0"/>
              <w:rPr>
                <w:sz w:val="20"/>
                <w:szCs w:val="20"/>
                <w:color w:val="auto"/>
              </w:rPr>
            </w:pPr>
            <w:r>
              <w:rPr>
                <w:rFonts w:ascii="Arial" w:cs="Arial" w:eastAsia="Arial" w:hAnsi="Arial"/>
                <w:sz w:val="18"/>
                <w:szCs w:val="18"/>
                <w:color w:val="auto"/>
                <w:w w:val="77"/>
              </w:rPr>
              <w:t>], as a</w:t>
            </w:r>
          </w:p>
        </w:tc>
      </w:tr>
    </w:tbl>
    <w:p>
      <w:pPr>
        <w:spacing w:after="0"/>
        <w:rPr>
          <w:sz w:val="20"/>
          <w:szCs w:val="20"/>
          <w:color w:val="auto"/>
        </w:rPr>
      </w:pPr>
      <w:r>
        <w:rPr>
          <w:rFonts w:ascii="Arial" w:cs="Arial" w:eastAsia="Arial" w:hAnsi="Arial"/>
          <w:sz w:val="16"/>
          <w:szCs w:val="16"/>
          <w:color w:val="auto"/>
        </w:rPr>
        <w:t>whole or in part, at the election of the Company, at the Redemption Prices for redemption otherwise than through operation of the sinking fund (expressed as</w:t>
      </w:r>
    </w:p>
    <w:p>
      <w:pPr>
        <w:spacing w:after="0" w:line="394" w:lineRule="exact"/>
        <w:rPr>
          <w:sz w:val="20"/>
          <w:szCs w:val="20"/>
          <w:color w:val="auto"/>
        </w:rPr>
      </w:pPr>
    </w:p>
    <w:p>
      <w:pPr>
        <w:spacing w:after="0"/>
        <w:tabs>
          <w:tab w:leader="none" w:pos="8720" w:val="left"/>
        </w:tabs>
        <w:rPr>
          <w:sz w:val="20"/>
          <w:szCs w:val="20"/>
          <w:color w:val="auto"/>
        </w:rPr>
      </w:pPr>
      <w:r>
        <w:rPr>
          <w:rFonts w:ascii="Arial" w:cs="Arial" w:eastAsia="Arial" w:hAnsi="Arial"/>
          <w:sz w:val="18"/>
          <w:szCs w:val="18"/>
          <w:color w:val="auto"/>
        </w:rPr>
        <w:t>percentages of the principal amount) set forth in the table below: If redeemed during the 12-month period beginning</w:t>
      </w:r>
      <w:r>
        <w:rPr>
          <w:sz w:val="20"/>
          <w:szCs w:val="20"/>
          <w:color w:val="auto"/>
        </w:rPr>
        <w:tab/>
      </w:r>
      <w:r>
        <w:rPr>
          <w:rFonts w:ascii="Arial" w:cs="Arial" w:eastAsia="Arial" w:hAnsi="Arial"/>
          <w:sz w:val="15"/>
          <w:szCs w:val="15"/>
          <w:color w:val="auto"/>
        </w:rPr>
        <w:t>of the years indicated,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Redemption Price for Redemption</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87"/>
              </w:rPr>
              <w:t>Redemption Price for Redemption</w:t>
            </w:r>
          </w:p>
        </w:tc>
      </w:tr>
      <w:tr>
        <w:trPr>
          <w:trHeight w:val="149"/>
        </w:trPr>
        <w:tc>
          <w:tcPr>
            <w:tcW w:w="3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Through Operation of the Sinking</w:t>
            </w:r>
          </w:p>
        </w:tc>
        <w:tc>
          <w:tcPr>
            <w:tcW w:w="3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Otherwise Than Through</w:t>
            </w:r>
          </w:p>
        </w:tc>
      </w:tr>
      <w:tr>
        <w:trPr>
          <w:trHeight w:val="175"/>
        </w:trPr>
        <w:tc>
          <w:tcPr>
            <w:tcW w:w="3460" w:type="dxa"/>
            <w:vAlign w:val="bottom"/>
            <w:tcBorders>
              <w:bottom w:val="single" w:sz="8" w:color="auto"/>
            </w:tcBorders>
          </w:tcPr>
          <w:p>
            <w:pPr>
              <w:ind w:left="1820"/>
              <w:spacing w:after="0"/>
              <w:rPr>
                <w:sz w:val="20"/>
                <w:szCs w:val="20"/>
                <w:color w:val="auto"/>
              </w:rPr>
            </w:pPr>
            <w:r>
              <w:rPr>
                <w:rFonts w:ascii="Arial" w:cs="Arial" w:eastAsia="Arial" w:hAnsi="Arial"/>
                <w:sz w:val="14"/>
                <w:szCs w:val="14"/>
                <w:b w:val="1"/>
                <w:bCs w:val="1"/>
                <w:color w:val="auto"/>
              </w:rPr>
              <w:t>Year</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Fund</w:t>
            </w:r>
          </w:p>
        </w:tc>
        <w:tc>
          <w:tcPr>
            <w:tcW w:w="120" w:type="dxa"/>
            <w:vAlign w:val="bottom"/>
          </w:tcPr>
          <w:p>
            <w:pPr>
              <w:spacing w:after="0"/>
              <w:rPr>
                <w:sz w:val="15"/>
                <w:szCs w:val="15"/>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Operation of the Sinking Fund</w:t>
            </w:r>
          </w:p>
        </w:tc>
      </w:tr>
      <w:tr>
        <w:trPr>
          <w:trHeight w:val="505"/>
        </w:trPr>
        <w:tc>
          <w:tcPr>
            <w:tcW w:w="3460" w:type="dxa"/>
            <w:vAlign w:val="bottom"/>
          </w:tcPr>
          <w:p>
            <w:pPr>
              <w:spacing w:after="0"/>
              <w:rPr>
                <w:sz w:val="20"/>
                <w:szCs w:val="20"/>
                <w:color w:val="auto"/>
              </w:rPr>
            </w:pPr>
            <w:r>
              <w:rPr>
                <w:rFonts w:ascii="Arial" w:cs="Arial" w:eastAsia="Arial" w:hAnsi="Arial"/>
                <w:sz w:val="18"/>
                <w:szCs w:val="18"/>
                <w:color w:val="auto"/>
                <w:w w:val="94"/>
              </w:rPr>
              <w:t>and thereafter at a Redemption Price equal to</w:t>
            </w:r>
          </w:p>
        </w:tc>
        <w:tc>
          <w:tcPr>
            <w:tcW w:w="7960" w:type="dxa"/>
            <w:vAlign w:val="bottom"/>
            <w:gridSpan w:val="5"/>
          </w:tcPr>
          <w:p>
            <w:pPr>
              <w:ind w:left="300"/>
              <w:spacing w:after="0"/>
              <w:rPr>
                <w:sz w:val="20"/>
                <w:szCs w:val="20"/>
                <w:color w:val="auto"/>
              </w:rPr>
            </w:pPr>
            <w:r>
              <w:rPr>
                <w:rFonts w:ascii="Arial" w:cs="Arial" w:eastAsia="Arial" w:hAnsi="Arial"/>
                <w:sz w:val="18"/>
                <w:szCs w:val="18"/>
                <w:color w:val="auto"/>
                <w:w w:val="91"/>
              </w:rPr>
              <w:t>% of the principal amount, together in the case of any such redemption (whether through operation of the</w:t>
            </w:r>
          </w:p>
        </w:tc>
      </w:tr>
    </w:tbl>
    <w:p>
      <w:pPr>
        <w:jc w:val="both"/>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Regular Record Dates referred to on the face hereof, all as provided in the Indenture.]</w:t>
      </w:r>
    </w:p>
    <w:p>
      <w:pPr>
        <w:spacing w:after="0" w:line="144" w:lineRule="exact"/>
        <w:rPr>
          <w:sz w:val="20"/>
          <w:szCs w:val="20"/>
          <w:color w:val="auto"/>
        </w:rPr>
      </w:pPr>
    </w:p>
    <w:p>
      <w:pPr>
        <w:ind w:right="240" w:firstLine="456"/>
        <w:spacing w:after="0" w:line="286" w:lineRule="auto"/>
        <w:rPr>
          <w:sz w:val="20"/>
          <w:szCs w:val="20"/>
          <w:color w:val="auto"/>
        </w:rPr>
      </w:pPr>
      <w:r>
        <w:rPr>
          <w:rFonts w:ascii="Arial" w:cs="Arial" w:eastAsia="Arial" w:hAnsi="Arial"/>
          <w:sz w:val="16"/>
          <w:szCs w:val="16"/>
          <w:color w:val="auto"/>
        </w:rPr>
        <w:t>[Notwithstanding the foregoing, the Company may not, prior to , redeem any Securities of this series as contemplated by [clause (b) of] the preceding paragraph as a part of, or in anticipation of, any refunding operation by the application, directly or indirectly, of moneys borrowed having an interest</w:t>
      </w:r>
    </w:p>
    <w:p>
      <w:pPr>
        <w:spacing w:after="0"/>
        <w:tabs>
          <w:tab w:leader="none" w:pos="7700" w:val="left"/>
        </w:tabs>
        <w:rPr>
          <w:sz w:val="20"/>
          <w:szCs w:val="20"/>
          <w:color w:val="auto"/>
        </w:rPr>
      </w:pPr>
      <w:r>
        <w:rPr>
          <w:rFonts w:ascii="Arial" w:cs="Arial" w:eastAsia="Arial" w:hAnsi="Arial"/>
          <w:sz w:val="18"/>
          <w:szCs w:val="18"/>
          <w:color w:val="auto"/>
        </w:rPr>
        <w:t>cost to the Company (calculated in accordance with generally accepted financial practice) of less than</w:t>
      </w:r>
      <w:r>
        <w:rPr>
          <w:sz w:val="20"/>
          <w:szCs w:val="20"/>
          <w:color w:val="auto"/>
        </w:rPr>
        <w:tab/>
      </w:r>
      <w:r>
        <w:rPr>
          <w:rFonts w:ascii="Arial" w:cs="Arial" w:eastAsia="Arial" w:hAnsi="Arial"/>
          <w:sz w:val="15"/>
          <w:szCs w:val="15"/>
          <w:color w:val="auto"/>
        </w:rPr>
        <w:t>% per annum.]</w:t>
      </w:r>
    </w:p>
    <w:p>
      <w:pPr>
        <w:spacing w:after="0" w:line="16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sinking fund for this series provides for the redemption on in each year beginning with the year and ending with the year of [not less than] $ [(“</w:t>
      </w:r>
      <w:r>
        <w:rPr>
          <w:rFonts w:ascii="Arial" w:cs="Arial" w:eastAsia="Arial" w:hAnsi="Arial"/>
          <w:sz w:val="18"/>
          <w:szCs w:val="18"/>
          <w:b w:val="1"/>
          <w:bCs w:val="1"/>
          <w:i w:val="1"/>
          <w:iCs w:val="1"/>
          <w:color w:val="auto"/>
        </w:rPr>
        <w:t>mandatory sinking fund</w:t>
      </w:r>
      <w:r>
        <w:rPr>
          <w:rFonts w:ascii="Arial" w:cs="Arial" w:eastAsia="Arial" w:hAnsi="Arial"/>
          <w:sz w:val="18"/>
          <w:szCs w:val="18"/>
          <w:color w:val="auto"/>
        </w:rPr>
        <w:t>”)] and not more than $ aggregate principal amount of Securities of this series. [Securities of this series</w:t>
      </w:r>
    </w:p>
    <w:p>
      <w:pPr>
        <w:ind w:right="100"/>
        <w:spacing w:after="0" w:line="261" w:lineRule="auto"/>
        <w:rPr>
          <w:sz w:val="20"/>
          <w:szCs w:val="20"/>
          <w:color w:val="auto"/>
        </w:rPr>
      </w:pPr>
      <w:r>
        <w:rPr>
          <w:rFonts w:ascii="Arial" w:cs="Arial" w:eastAsia="Arial" w:hAnsi="Arial"/>
          <w:sz w:val="18"/>
          <w:szCs w:val="18"/>
          <w:color w:val="auto"/>
        </w:rPr>
        <w:t>acquired or redeemed by the Company otherwise than through [mandatory] sinking fund payments may be credited against subsequent [mandatory] sinking fund payments otherwise required to be made in the [</w:t>
      </w:r>
      <w:r>
        <w:rPr>
          <w:rFonts w:ascii="Arial" w:cs="Arial" w:eastAsia="Arial" w:hAnsi="Arial"/>
          <w:sz w:val="18"/>
          <w:szCs w:val="18"/>
          <w:u w:val="single" w:color="auto"/>
          <w:color w:val="auto"/>
        </w:rPr>
        <w:t>describe order</w:t>
      </w:r>
      <w:r>
        <w:rPr>
          <w:rFonts w:ascii="Arial" w:cs="Arial" w:eastAsia="Arial" w:hAnsi="Arial"/>
          <w:sz w:val="18"/>
          <w:szCs w:val="18"/>
          <w:color w:val="auto"/>
        </w:rPr>
        <w:t>] order in which they become due.]]</w:t>
      </w:r>
    </w:p>
    <w:p>
      <w:pPr>
        <w:spacing w:after="0" w:line="13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the event of redemption of this Security in part only, a new Security or Securities of this series for the unredeemed portion hereof will be issued in the name of the Holder hereof upon the cancellation 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If applicable, insert</w:t>
      </w:r>
      <w:r>
        <w:rPr>
          <w:rFonts w:ascii="Arial" w:cs="Arial" w:eastAsia="Arial" w:hAnsi="Arial"/>
          <w:sz w:val="16"/>
          <w:szCs w:val="16"/>
          <w:color w:val="auto"/>
        </w:rPr>
        <w:t>—The Securities of this series are subject to the covenant defeasance provisions set forth in Article Four of the Indenture.]</w:t>
      </w:r>
    </w:p>
    <w:p>
      <w:pPr>
        <w:spacing w:after="0" w:line="194"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[If the Security is not an Original Issue Discount Security, insert—If an Event of Default with respect to Securities of this series shall occur and be continuing, the principal of the Securities of this series may be declared due and payable in the manner and with the effect provided in the Indenture.]</w:t>
      </w:r>
    </w:p>
    <w:p>
      <w:pPr>
        <w:spacing w:after="0" w:line="85"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If the Security is an Original Issue Discount Security, insert</w:t>
      </w:r>
      <w:r>
        <w:rPr>
          <w:rFonts w:ascii="Arial" w:cs="Arial" w:eastAsia="Arial" w:hAnsi="Arial"/>
          <w:sz w:val="16"/>
          <w:szCs w:val="16"/>
          <w:color w:val="auto"/>
        </w:rPr>
        <w:t>—If an Event of Default with respect to Securities of this series shall occur and be continuing, an amount of principal of the Securities of this series may be declared due and payable in the manner and with the effect provided in the Indenture. Such amount shall be equal to—</w:t>
      </w:r>
      <w:r>
        <w:rPr>
          <w:rFonts w:ascii="Arial" w:cs="Arial" w:eastAsia="Arial" w:hAnsi="Arial"/>
          <w:sz w:val="16"/>
          <w:szCs w:val="16"/>
          <w:u w:val="single" w:color="auto"/>
          <w:color w:val="auto"/>
        </w:rPr>
        <w:t>insert formula for determining the amount</w:t>
      </w:r>
      <w:r>
        <w:rPr>
          <w:rFonts w:ascii="Arial" w:cs="Arial" w:eastAsia="Arial" w:hAnsi="Arial"/>
          <w:sz w:val="16"/>
          <w:szCs w:val="16"/>
          <w:color w:val="auto"/>
        </w:rPr>
        <w:t>. Upon payment (a) of the amount of principal so declared due and payable and (b) of interest on any overdue principal and overdue interest (in each case to the extent that the payment of such interest shall be legally enforceable), all the Company’s obligations in respect of the payment of the principal of and interest, if any, on the Securities of this series shall terminate.]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63" w:right="239" w:bottom="1440" w:gutter="0" w:footer="0" w:header="0"/>
        </w:sectPr>
      </w:pPr>
    </w:p>
    <w:bookmarkStart w:id="83" w:name="page84"/>
    <w:bookmarkEnd w:id="83"/>
    <w:p>
      <w:pPr>
        <w:ind w:right="2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Outstanding Securities of each series to be affected. The Indenture also contains provisions permitting the Holders of specified percentages in principal amount of the Outstanding Securities of each series, on behalf of the Holders of all Outstanding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or in lieu hereof, whether or not notation of such consent or waiver is made upon this Security.</w:t>
      </w:r>
    </w:p>
    <w:p>
      <w:pPr>
        <w:spacing w:after="0" w:line="118"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amount of principal of (and premium, if any, on) and interest, if any, on this Security herein provided, and at the times, place and rate, and in the coin or currency, herein prescribed.</w:t>
      </w:r>
    </w:p>
    <w:p>
      <w:pPr>
        <w:spacing w:after="0" w:line="14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premium, if any, on) and interest, if any,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of authorized denominations and for the same aggregate principal amount, will be issued to the designated transferee or transferees.</w:t>
      </w:r>
    </w:p>
    <w:p>
      <w:pPr>
        <w:spacing w:after="0" w:line="11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Securities of this series are issuable only in registered form without coupons in denominations of $ and any integral multiple thereof. As provided in the Indenture and subject to certain limitations therein set forth, Securities of this series are exchangeable for a like aggregate principal amount of Securities of this series of different authorized denominations as requested by the Holder surrendering the same.</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3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nor the Trustee nor any such agent shall be affected by notice to the contrary.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terms used in this Security which are defined in the Indenture shall have the meanings assigned to them in the Indenture.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280" w:right="399" w:bottom="1440" w:gutter="0" w:footer="0" w:header="0"/>
        </w:sectPr>
      </w:pPr>
    </w:p>
    <w:bookmarkStart w:id="84" w:name="page85"/>
    <w:bookmarkEnd w:id="8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Securities of a series issued under the within-mentioned Indenture.</w:t>
      </w:r>
    </w:p>
    <w:p>
      <w:pPr>
        <w:spacing w:after="0" w:line="212" w:lineRule="exact"/>
        <w:rPr>
          <w:sz w:val="20"/>
          <w:szCs w:val="20"/>
          <w:color w:val="auto"/>
        </w:rPr>
      </w:pPr>
    </w:p>
    <w:p>
      <w:pPr>
        <w:spacing w:after="0"/>
        <w:tabs>
          <w:tab w:leader="none" w:pos="10220" w:val="left"/>
        </w:tabs>
        <w:rPr>
          <w:sz w:val="20"/>
          <w:szCs w:val="20"/>
          <w:color w:val="auto"/>
        </w:rPr>
      </w:pPr>
      <w:r>
        <w:rPr>
          <w:rFonts w:ascii="Arial" w:cs="Arial" w:eastAsia="Arial" w:hAnsi="Arial"/>
          <w:sz w:val="14"/>
          <w:szCs w:val="14"/>
          <w:color w:val="auto"/>
        </w:rPr>
        <w:t>Dated: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14605</wp:posOffset>
            </wp:positionV>
            <wp:extent cx="29546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954655" cy="8890"/>
                    </a:xfrm>
                    <a:prstGeom prst="rect">
                      <a:avLst/>
                    </a:prstGeom>
                    <a:noFill/>
                  </pic:spPr>
                </pic:pic>
              </a:graphicData>
            </a:graphic>
          </wp:anchor>
        </w:drawing>
      </w:r>
    </w:p>
    <w:p>
      <w:pPr>
        <w:spacing w:after="0" w:line="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as Trustee</w:t>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10795</wp:posOffset>
            </wp:positionV>
            <wp:extent cx="354203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 Authenticating Agent</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10795</wp:posOffset>
            </wp:positionV>
            <wp:extent cx="354203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Authorized Officer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80"/>
          </w:cols>
          <w:pgMar w:left="240" w:top="280" w:right="137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color w:val="auto"/>
        </w:rPr>
        <w:t>Exhibit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165735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ITRON, INC., Issuer</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to</w:t>
      </w:r>
    </w:p>
    <w:p>
      <w:pPr>
        <w:spacing w:after="0" w:line="171" w:lineRule="exact"/>
        <w:rPr>
          <w:sz w:val="20"/>
          <w:szCs w:val="20"/>
          <w:color w:val="auto"/>
        </w:rPr>
      </w:pPr>
    </w:p>
    <w:p>
      <w:pPr>
        <w:ind w:left="4720" w:hanging="92"/>
        <w:spacing w:after="0"/>
        <w:tabs>
          <w:tab w:leader="none" w:pos="47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Trustee</w:t>
      </w:r>
    </w:p>
    <w:p>
      <w:pPr>
        <w:spacing w:after="0" w:line="171" w:lineRule="exact"/>
        <w:rPr>
          <w:rFonts w:ascii="Arial" w:cs="Arial" w:eastAsia="Arial" w:hAnsi="Arial"/>
          <w:sz w:val="18"/>
          <w:szCs w:val="18"/>
          <w:b w:val="1"/>
          <w:bCs w:val="1"/>
          <w:color w:val="auto"/>
        </w:rPr>
      </w:pPr>
    </w:p>
    <w:p>
      <w:pPr>
        <w:ind w:left="39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INDENTURE</w:t>
      </w:r>
    </w:p>
    <w:p>
      <w:pPr>
        <w:spacing w:after="0" w:line="171" w:lineRule="exact"/>
        <w:rPr>
          <w:sz w:val="20"/>
          <w:szCs w:val="20"/>
          <w:color w:val="auto"/>
        </w:rPr>
      </w:pPr>
    </w:p>
    <w:tbl>
      <w:tblPr>
        <w:tblLayout w:type="fixed"/>
        <w:tblInd w:w="3540" w:type="dxa"/>
        <w:tblCellMar>
          <w:top w:w="0" w:type="dxa"/>
          <w:left w:w="0" w:type="dxa"/>
          <w:bottom w:w="0" w:type="dxa"/>
          <w:right w:w="0" w:type="dxa"/>
        </w:tblCellMar>
      </w:tblPr>
      <w:tr>
        <w:trPr>
          <w:trHeight w:val="228"/>
        </w:trPr>
        <w:tc>
          <w:tcPr>
            <w:tcW w:w="1140" w:type="dxa"/>
            <w:vAlign w:val="bottom"/>
          </w:tcPr>
          <w:p>
            <w:pPr>
              <w:spacing w:after="0"/>
              <w:rPr>
                <w:sz w:val="20"/>
                <w:szCs w:val="20"/>
                <w:color w:val="auto"/>
              </w:rPr>
            </w:pPr>
            <w:r>
              <w:rPr>
                <w:rFonts w:ascii="Arial" w:cs="Arial" w:eastAsia="Arial" w:hAnsi="Arial"/>
                <w:sz w:val="18"/>
                <w:szCs w:val="18"/>
                <w:b w:val="1"/>
                <w:bCs w:val="1"/>
                <w:color w:val="auto"/>
              </w:rPr>
              <w:t>Dated as of</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 201</w:t>
            </w:r>
          </w:p>
        </w:tc>
      </w:tr>
    </w:tbl>
    <w:p>
      <w:pPr>
        <w:spacing w:after="0" w:line="15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Convertible [Subordinated]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22"/>
        </w:trPr>
        <w:tc>
          <w:tcPr>
            <w:tcW w:w="12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260" w:type="dxa"/>
            <w:vAlign w:val="bottom"/>
          </w:tcPr>
          <w:p>
            <w:pPr>
              <w:ind w:left="480"/>
              <w:spacing w:after="0"/>
              <w:rPr>
                <w:sz w:val="20"/>
                <w:szCs w:val="20"/>
                <w:color w:val="auto"/>
              </w:rPr>
            </w:pPr>
            <w:r>
              <w:rPr>
                <w:rFonts w:ascii="Arial" w:cs="Arial" w:eastAsia="Arial" w:hAnsi="Arial"/>
                <w:sz w:val="18"/>
                <w:szCs w:val="18"/>
                <w:color w:val="auto"/>
                <w:w w:val="90"/>
              </w:rPr>
              <w:t>Exhibit 4.4</w:t>
            </w:r>
          </w:p>
        </w:tc>
        <w:tc>
          <w:tcPr>
            <w:tcW w:w="0" w:type="dxa"/>
            <w:vAlign w:val="bottom"/>
          </w:tcPr>
          <w:p>
            <w:pPr>
              <w:spacing w:after="0"/>
              <w:rPr>
                <w:sz w:val="1"/>
                <w:szCs w:val="1"/>
                <w:color w:val="auto"/>
              </w:rPr>
            </w:pPr>
          </w:p>
        </w:tc>
      </w:tr>
      <w:tr>
        <w:trPr>
          <w:trHeight w:val="378"/>
        </w:trPr>
        <w:tc>
          <w:tcPr>
            <w:tcW w:w="4020" w:type="dxa"/>
            <w:vAlign w:val="bottom"/>
            <w:gridSpan w:val="2"/>
          </w:tcPr>
          <w:p>
            <w:pPr>
              <w:spacing w:after="0"/>
              <w:rPr>
                <w:sz w:val="20"/>
                <w:szCs w:val="20"/>
                <w:color w:val="auto"/>
              </w:rPr>
            </w:pPr>
            <w:r>
              <w:rPr>
                <w:rFonts w:ascii="Arial" w:cs="Arial" w:eastAsia="Arial" w:hAnsi="Arial"/>
                <w:sz w:val="18"/>
                <w:szCs w:val="18"/>
                <w:color w:val="auto"/>
                <w:w w:val="94"/>
              </w:rPr>
              <w:t>Reconciliation and tie between Indenture, dated as of</w:t>
            </w:r>
          </w:p>
        </w:tc>
        <w:tc>
          <w:tcPr>
            <w:tcW w:w="7400" w:type="dxa"/>
            <w:vAlign w:val="bottom"/>
            <w:gridSpan w:val="2"/>
          </w:tcPr>
          <w:p>
            <w:pPr>
              <w:ind w:left="300"/>
              <w:spacing w:after="0"/>
              <w:rPr>
                <w:sz w:val="20"/>
                <w:szCs w:val="20"/>
                <w:color w:val="auto"/>
              </w:rPr>
            </w:pPr>
            <w:r>
              <w:rPr>
                <w:rFonts w:ascii="Arial" w:cs="Arial" w:eastAsia="Arial" w:hAnsi="Arial"/>
                <w:sz w:val="18"/>
                <w:szCs w:val="18"/>
                <w:color w:val="auto"/>
              </w:rPr>
              <w:t>, 201  , and the Trust Indenture Act of 1939, as amended.</w:t>
            </w:r>
          </w:p>
        </w:tc>
        <w:tc>
          <w:tcPr>
            <w:tcW w:w="0" w:type="dxa"/>
            <w:vAlign w:val="bottom"/>
          </w:tcPr>
          <w:p>
            <w:pPr>
              <w:spacing w:after="0"/>
              <w:rPr>
                <w:sz w:val="1"/>
                <w:szCs w:val="1"/>
                <w:color w:val="auto"/>
              </w:rPr>
            </w:pPr>
          </w:p>
        </w:tc>
      </w:tr>
      <w:tr>
        <w:trPr>
          <w:trHeight w:val="353"/>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Trust Indenture Act</w:t>
            </w:r>
          </w:p>
        </w:tc>
        <w:tc>
          <w:tcPr>
            <w:tcW w:w="61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0"/>
              </w:rPr>
              <w:t>Indenture</w:t>
            </w:r>
          </w:p>
        </w:tc>
        <w:tc>
          <w:tcPr>
            <w:tcW w:w="0" w:type="dxa"/>
            <w:vAlign w:val="bottom"/>
          </w:tcPr>
          <w:p>
            <w:pPr>
              <w:spacing w:after="0"/>
              <w:rPr>
                <w:sz w:val="1"/>
                <w:szCs w:val="1"/>
                <w:color w:val="auto"/>
              </w:rPr>
            </w:pPr>
          </w:p>
        </w:tc>
      </w:tr>
      <w:tr>
        <w:trPr>
          <w:trHeight w:val="149"/>
        </w:trPr>
        <w:tc>
          <w:tcPr>
            <w:tcW w:w="1260" w:type="dxa"/>
            <w:vAlign w:val="bottom"/>
            <w:tcBorders>
              <w:bottom w:val="single" w:sz="8" w:color="auto"/>
            </w:tcBorders>
          </w:tcPr>
          <w:p>
            <w:pPr>
              <w:ind w:left="140"/>
              <w:spacing w:after="0" w:line="129" w:lineRule="exact"/>
              <w:rPr>
                <w:sz w:val="20"/>
                <w:szCs w:val="20"/>
                <w:color w:val="auto"/>
              </w:rPr>
            </w:pPr>
            <w:r>
              <w:rPr>
                <w:rFonts w:ascii="Arial" w:cs="Arial" w:eastAsia="Arial" w:hAnsi="Arial"/>
                <w:sz w:val="14"/>
                <w:szCs w:val="14"/>
                <w:b w:val="1"/>
                <w:bCs w:val="1"/>
                <w:color w:val="auto"/>
              </w:rPr>
              <w:t>of 1939 Section</w:t>
            </w:r>
          </w:p>
        </w:tc>
        <w:tc>
          <w:tcPr>
            <w:tcW w:w="276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2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2"/>
              </w:rPr>
              <w:t>Section</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jc w:val="right"/>
              <w:ind w:right="3340"/>
              <w:spacing w:after="0"/>
              <w:rPr>
                <w:sz w:val="20"/>
                <w:szCs w:val="20"/>
                <w:color w:val="auto"/>
              </w:rPr>
            </w:pPr>
            <w:r>
              <w:rPr>
                <w:rFonts w:ascii="Arial" w:cs="Arial" w:eastAsia="Arial" w:hAnsi="Arial"/>
                <w:sz w:val="18"/>
                <w:szCs w:val="18"/>
                <w:color w:val="auto"/>
                <w:w w:val="89"/>
              </w:rPr>
              <w:t>310(a)(1)</w:t>
            </w:r>
          </w:p>
        </w:tc>
        <w:tc>
          <w:tcPr>
            <w:tcW w:w="7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20" w:type="dxa"/>
            <w:vAlign w:val="bottom"/>
            <w:gridSpan w:val="2"/>
            <w:vMerge w:val="continue"/>
          </w:tcPr>
          <w:p>
            <w:pPr>
              <w:spacing w:after="0"/>
              <w:rPr>
                <w:sz w:val="16"/>
                <w:szCs w:val="16"/>
                <w:color w:val="auto"/>
              </w:rPr>
            </w:pPr>
          </w:p>
        </w:tc>
        <w:tc>
          <w:tcPr>
            <w:tcW w:w="6140" w:type="dxa"/>
            <w:vAlign w:val="bottom"/>
          </w:tcPr>
          <w:p>
            <w:pPr>
              <w:spacing w:after="0"/>
              <w:rPr>
                <w:sz w:val="16"/>
                <w:szCs w:val="16"/>
                <w:color w:val="auto"/>
              </w:rPr>
            </w:pPr>
          </w:p>
        </w:tc>
        <w:tc>
          <w:tcPr>
            <w:tcW w:w="12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4020" w:type="dxa"/>
            <w:vAlign w:val="bottom"/>
            <w:gridSpan w:val="2"/>
          </w:tcPr>
          <w:p>
            <w:pPr>
              <w:jc w:val="right"/>
              <w:ind w:right="3360"/>
              <w:spacing w:after="0"/>
              <w:rPr>
                <w:sz w:val="20"/>
                <w:szCs w:val="20"/>
                <w:color w:val="auto"/>
              </w:rPr>
            </w:pPr>
            <w:r>
              <w:rPr>
                <w:rFonts w:ascii="Arial" w:cs="Arial" w:eastAsia="Arial" w:hAnsi="Arial"/>
                <w:sz w:val="18"/>
                <w:szCs w:val="18"/>
                <w:color w:val="auto"/>
              </w:rPr>
              <w:t>(a)(2)</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4020" w:type="dxa"/>
            <w:vAlign w:val="bottom"/>
            <w:gridSpan w:val="2"/>
          </w:tcPr>
          <w:p>
            <w:pPr>
              <w:jc w:val="right"/>
              <w:ind w:right="3360"/>
              <w:spacing w:after="0"/>
              <w:rPr>
                <w:sz w:val="20"/>
                <w:szCs w:val="20"/>
                <w:color w:val="auto"/>
              </w:rPr>
            </w:pPr>
            <w:r>
              <w:rPr>
                <w:rFonts w:ascii="Arial" w:cs="Arial" w:eastAsia="Arial" w:hAnsi="Arial"/>
                <w:sz w:val="18"/>
                <w:szCs w:val="18"/>
                <w:color w:val="auto"/>
              </w:rPr>
              <w:t>(a)(3)</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TIA</w:t>
            </w:r>
          </w:p>
        </w:tc>
        <w:tc>
          <w:tcPr>
            <w:tcW w:w="0" w:type="dxa"/>
            <w:vAlign w:val="bottom"/>
          </w:tcPr>
          <w:p>
            <w:pPr>
              <w:spacing w:after="0"/>
              <w:rPr>
                <w:sz w:val="1"/>
                <w:szCs w:val="1"/>
                <w:color w:val="auto"/>
              </w:rPr>
            </w:pPr>
          </w:p>
        </w:tc>
      </w:tr>
      <w:tr>
        <w:trPr>
          <w:trHeight w:val="216"/>
        </w:trPr>
        <w:tc>
          <w:tcPr>
            <w:tcW w:w="4020" w:type="dxa"/>
            <w:vAlign w:val="bottom"/>
            <w:gridSpan w:val="2"/>
          </w:tcPr>
          <w:p>
            <w:pPr>
              <w:jc w:val="right"/>
              <w:ind w:right="3360"/>
              <w:spacing w:after="0"/>
              <w:rPr>
                <w:sz w:val="20"/>
                <w:szCs w:val="20"/>
                <w:color w:val="auto"/>
              </w:rPr>
            </w:pPr>
            <w:r>
              <w:rPr>
                <w:rFonts w:ascii="Arial" w:cs="Arial" w:eastAsia="Arial" w:hAnsi="Arial"/>
                <w:sz w:val="18"/>
                <w:szCs w:val="18"/>
                <w:color w:val="auto"/>
              </w:rPr>
              <w:t>(a)(4)</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4020" w:type="dxa"/>
            <w:vAlign w:val="bottom"/>
            <w:gridSpan w:val="2"/>
          </w:tcPr>
          <w:p>
            <w:pPr>
              <w:jc w:val="right"/>
              <w:ind w:right="3360"/>
              <w:spacing w:after="0"/>
              <w:rPr>
                <w:sz w:val="20"/>
                <w:szCs w:val="20"/>
                <w:color w:val="auto"/>
              </w:rPr>
            </w:pPr>
            <w:r>
              <w:rPr>
                <w:rFonts w:ascii="Arial" w:cs="Arial" w:eastAsia="Arial" w:hAnsi="Arial"/>
                <w:sz w:val="18"/>
                <w:szCs w:val="18"/>
                <w:color w:val="auto"/>
              </w:rPr>
              <w:t>(a)(5)</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TIA</w:t>
            </w:r>
          </w:p>
        </w:tc>
        <w:tc>
          <w:tcPr>
            <w:tcW w:w="0" w:type="dxa"/>
            <w:vAlign w:val="bottom"/>
          </w:tcPr>
          <w:p>
            <w:pPr>
              <w:spacing w:after="0"/>
              <w:rPr>
                <w:sz w:val="1"/>
                <w:szCs w:val="1"/>
                <w:color w:val="auto"/>
              </w:rPr>
            </w:pPr>
          </w:p>
        </w:tc>
      </w:tr>
      <w:tr>
        <w:trPr>
          <w:trHeight w:val="222"/>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(b)</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6.10; 6.12; TIA</w:t>
            </w:r>
          </w:p>
        </w:tc>
        <w:tc>
          <w:tcPr>
            <w:tcW w:w="0" w:type="dxa"/>
            <w:vAlign w:val="bottom"/>
          </w:tcPr>
          <w:p>
            <w:pPr>
              <w:spacing w:after="0"/>
              <w:rPr>
                <w:sz w:val="1"/>
                <w:szCs w:val="1"/>
                <w:color w:val="auto"/>
              </w:rPr>
            </w:pPr>
          </w:p>
        </w:tc>
      </w:tr>
      <w:tr>
        <w:trPr>
          <w:trHeight w:val="426"/>
        </w:trPr>
        <w:tc>
          <w:tcPr>
            <w:tcW w:w="4020" w:type="dxa"/>
            <w:vAlign w:val="bottom"/>
            <w:gridSpan w:val="2"/>
          </w:tcPr>
          <w:p>
            <w:pPr>
              <w:jc w:val="right"/>
              <w:ind w:right="3560"/>
              <w:spacing w:after="0"/>
              <w:rPr>
                <w:sz w:val="20"/>
                <w:szCs w:val="20"/>
                <w:color w:val="auto"/>
              </w:rPr>
            </w:pPr>
            <w:r>
              <w:rPr>
                <w:rFonts w:ascii="Arial" w:cs="Arial" w:eastAsia="Arial" w:hAnsi="Arial"/>
                <w:sz w:val="18"/>
                <w:szCs w:val="18"/>
                <w:color w:val="auto"/>
                <w:w w:val="84"/>
              </w:rPr>
              <w:t>311(a)</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TIA</w:t>
            </w:r>
          </w:p>
        </w:tc>
        <w:tc>
          <w:tcPr>
            <w:tcW w:w="0" w:type="dxa"/>
            <w:vAlign w:val="bottom"/>
          </w:tcPr>
          <w:p>
            <w:pPr>
              <w:spacing w:after="0"/>
              <w:rPr>
                <w:sz w:val="1"/>
                <w:szCs w:val="1"/>
                <w:color w:val="auto"/>
              </w:rPr>
            </w:pPr>
          </w:p>
        </w:tc>
      </w:tr>
      <w:tr>
        <w:trPr>
          <w:trHeight w:val="222"/>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(b)</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TIA</w:t>
            </w:r>
          </w:p>
        </w:tc>
        <w:tc>
          <w:tcPr>
            <w:tcW w:w="0" w:type="dxa"/>
            <w:vAlign w:val="bottom"/>
          </w:tcPr>
          <w:p>
            <w:pPr>
              <w:spacing w:after="0"/>
              <w:rPr>
                <w:sz w:val="1"/>
                <w:szCs w:val="1"/>
                <w:color w:val="auto"/>
              </w:rPr>
            </w:pPr>
          </w:p>
        </w:tc>
      </w:tr>
      <w:tr>
        <w:trPr>
          <w:trHeight w:val="426"/>
        </w:trPr>
        <w:tc>
          <w:tcPr>
            <w:tcW w:w="4020" w:type="dxa"/>
            <w:vAlign w:val="bottom"/>
            <w:gridSpan w:val="2"/>
          </w:tcPr>
          <w:p>
            <w:pPr>
              <w:jc w:val="right"/>
              <w:ind w:right="3560"/>
              <w:spacing w:after="0"/>
              <w:rPr>
                <w:sz w:val="20"/>
                <w:szCs w:val="20"/>
                <w:color w:val="auto"/>
              </w:rPr>
            </w:pPr>
            <w:r>
              <w:rPr>
                <w:rFonts w:ascii="Arial" w:cs="Arial" w:eastAsia="Arial" w:hAnsi="Arial"/>
                <w:sz w:val="18"/>
                <w:szCs w:val="18"/>
                <w:color w:val="auto"/>
                <w:w w:val="84"/>
              </w:rPr>
              <w:t>312(a)</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(b)</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TIA</w:t>
            </w:r>
          </w:p>
        </w:tc>
        <w:tc>
          <w:tcPr>
            <w:tcW w:w="0" w:type="dxa"/>
            <w:vAlign w:val="bottom"/>
          </w:tcPr>
          <w:p>
            <w:pPr>
              <w:spacing w:after="0"/>
              <w:rPr>
                <w:sz w:val="1"/>
                <w:szCs w:val="1"/>
                <w:color w:val="auto"/>
              </w:rPr>
            </w:pPr>
          </w:p>
        </w:tc>
      </w:tr>
      <w:tr>
        <w:trPr>
          <w:trHeight w:val="222"/>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(c)</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TIA</w:t>
            </w:r>
          </w:p>
        </w:tc>
        <w:tc>
          <w:tcPr>
            <w:tcW w:w="0" w:type="dxa"/>
            <w:vAlign w:val="bottom"/>
          </w:tcPr>
          <w:p>
            <w:pPr>
              <w:spacing w:after="0"/>
              <w:rPr>
                <w:sz w:val="1"/>
                <w:szCs w:val="1"/>
                <w:color w:val="auto"/>
              </w:rPr>
            </w:pPr>
          </w:p>
        </w:tc>
      </w:tr>
      <w:tr>
        <w:trPr>
          <w:trHeight w:val="426"/>
        </w:trPr>
        <w:tc>
          <w:tcPr>
            <w:tcW w:w="4020" w:type="dxa"/>
            <w:vAlign w:val="bottom"/>
            <w:gridSpan w:val="2"/>
          </w:tcPr>
          <w:p>
            <w:pPr>
              <w:jc w:val="right"/>
              <w:ind w:right="3560"/>
              <w:spacing w:after="0"/>
              <w:rPr>
                <w:sz w:val="20"/>
                <w:szCs w:val="20"/>
                <w:color w:val="auto"/>
              </w:rPr>
            </w:pPr>
            <w:r>
              <w:rPr>
                <w:rFonts w:ascii="Arial" w:cs="Arial" w:eastAsia="Arial" w:hAnsi="Arial"/>
                <w:sz w:val="18"/>
                <w:szCs w:val="18"/>
                <w:color w:val="auto"/>
                <w:w w:val="84"/>
              </w:rPr>
              <w:t>313(a)</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6.7; TIA</w:t>
            </w:r>
          </w:p>
        </w:tc>
        <w:tc>
          <w:tcPr>
            <w:tcW w:w="0" w:type="dxa"/>
            <w:vAlign w:val="bottom"/>
          </w:tcPr>
          <w:p>
            <w:pPr>
              <w:spacing w:after="0"/>
              <w:rPr>
                <w:sz w:val="1"/>
                <w:szCs w:val="1"/>
                <w:color w:val="auto"/>
              </w:rPr>
            </w:pPr>
          </w:p>
        </w:tc>
      </w:tr>
      <w:tr>
        <w:trPr>
          <w:trHeight w:val="216"/>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(b)</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TIA</w:t>
            </w:r>
          </w:p>
        </w:tc>
        <w:tc>
          <w:tcPr>
            <w:tcW w:w="0" w:type="dxa"/>
            <w:vAlign w:val="bottom"/>
          </w:tcPr>
          <w:p>
            <w:pPr>
              <w:spacing w:after="0"/>
              <w:rPr>
                <w:sz w:val="1"/>
                <w:szCs w:val="1"/>
                <w:color w:val="auto"/>
              </w:rPr>
            </w:pPr>
          </w:p>
        </w:tc>
      </w:tr>
      <w:tr>
        <w:trPr>
          <w:trHeight w:val="216"/>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(c)</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TIA</w:t>
            </w:r>
          </w:p>
        </w:tc>
        <w:tc>
          <w:tcPr>
            <w:tcW w:w="0" w:type="dxa"/>
            <w:vAlign w:val="bottom"/>
          </w:tcPr>
          <w:p>
            <w:pPr>
              <w:spacing w:after="0"/>
              <w:rPr>
                <w:sz w:val="1"/>
                <w:szCs w:val="1"/>
                <w:color w:val="auto"/>
              </w:rPr>
            </w:pPr>
          </w:p>
        </w:tc>
      </w:tr>
      <w:tr>
        <w:trPr>
          <w:trHeight w:val="222"/>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(d)</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TIA</w:t>
            </w:r>
          </w:p>
        </w:tc>
        <w:tc>
          <w:tcPr>
            <w:tcW w:w="0" w:type="dxa"/>
            <w:vAlign w:val="bottom"/>
          </w:tcPr>
          <w:p>
            <w:pPr>
              <w:spacing w:after="0"/>
              <w:rPr>
                <w:sz w:val="1"/>
                <w:szCs w:val="1"/>
                <w:color w:val="auto"/>
              </w:rPr>
            </w:pPr>
          </w:p>
        </w:tc>
      </w:tr>
      <w:tr>
        <w:trPr>
          <w:trHeight w:val="426"/>
        </w:trPr>
        <w:tc>
          <w:tcPr>
            <w:tcW w:w="4020" w:type="dxa"/>
            <w:vAlign w:val="bottom"/>
            <w:gridSpan w:val="2"/>
          </w:tcPr>
          <w:p>
            <w:pPr>
              <w:jc w:val="right"/>
              <w:ind w:right="3560"/>
              <w:spacing w:after="0"/>
              <w:rPr>
                <w:sz w:val="20"/>
                <w:szCs w:val="20"/>
                <w:color w:val="auto"/>
              </w:rPr>
            </w:pPr>
            <w:r>
              <w:rPr>
                <w:rFonts w:ascii="Arial" w:cs="Arial" w:eastAsia="Arial" w:hAnsi="Arial"/>
                <w:sz w:val="18"/>
                <w:szCs w:val="18"/>
                <w:color w:val="auto"/>
                <w:w w:val="84"/>
              </w:rPr>
              <w:t>314(a)</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9.5; 9.6; TIA</w:t>
            </w:r>
          </w:p>
        </w:tc>
        <w:tc>
          <w:tcPr>
            <w:tcW w:w="0" w:type="dxa"/>
            <w:vAlign w:val="bottom"/>
          </w:tcPr>
          <w:p>
            <w:pPr>
              <w:spacing w:after="0"/>
              <w:rPr>
                <w:sz w:val="1"/>
                <w:szCs w:val="1"/>
                <w:color w:val="auto"/>
              </w:rPr>
            </w:pPr>
          </w:p>
        </w:tc>
      </w:tr>
      <w:tr>
        <w:trPr>
          <w:trHeight w:val="216"/>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(b)</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4020" w:type="dxa"/>
            <w:vAlign w:val="bottom"/>
            <w:gridSpan w:val="2"/>
          </w:tcPr>
          <w:p>
            <w:pPr>
              <w:jc w:val="right"/>
              <w:ind w:right="3360"/>
              <w:spacing w:after="0"/>
              <w:rPr>
                <w:sz w:val="20"/>
                <w:szCs w:val="20"/>
                <w:color w:val="auto"/>
              </w:rPr>
            </w:pPr>
            <w:r>
              <w:rPr>
                <w:rFonts w:ascii="Arial" w:cs="Arial" w:eastAsia="Arial" w:hAnsi="Arial"/>
                <w:sz w:val="18"/>
                <w:szCs w:val="18"/>
                <w:color w:val="auto"/>
              </w:rPr>
              <w:t>(c)(1)</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020" w:type="dxa"/>
            <w:vAlign w:val="bottom"/>
            <w:gridSpan w:val="2"/>
          </w:tcPr>
          <w:p>
            <w:pPr>
              <w:jc w:val="right"/>
              <w:ind w:right="3360"/>
              <w:spacing w:after="0"/>
              <w:rPr>
                <w:sz w:val="20"/>
                <w:szCs w:val="20"/>
                <w:color w:val="auto"/>
              </w:rPr>
            </w:pPr>
            <w:r>
              <w:rPr>
                <w:rFonts w:ascii="Arial" w:cs="Arial" w:eastAsia="Arial" w:hAnsi="Arial"/>
                <w:sz w:val="18"/>
                <w:szCs w:val="18"/>
                <w:color w:val="auto"/>
              </w:rPr>
              <w:t>(c)(2)</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020" w:type="dxa"/>
            <w:vAlign w:val="bottom"/>
            <w:gridSpan w:val="2"/>
          </w:tcPr>
          <w:p>
            <w:pPr>
              <w:jc w:val="right"/>
              <w:ind w:right="3360"/>
              <w:spacing w:after="0"/>
              <w:rPr>
                <w:sz w:val="20"/>
                <w:szCs w:val="20"/>
                <w:color w:val="auto"/>
              </w:rPr>
            </w:pPr>
            <w:r>
              <w:rPr>
                <w:rFonts w:ascii="Arial" w:cs="Arial" w:eastAsia="Arial" w:hAnsi="Arial"/>
                <w:sz w:val="18"/>
                <w:szCs w:val="18"/>
                <w:color w:val="auto"/>
              </w:rPr>
              <w:t>(c)(3)</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(d)</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(e)</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TIA</w:t>
            </w:r>
          </w:p>
        </w:tc>
        <w:tc>
          <w:tcPr>
            <w:tcW w:w="0" w:type="dxa"/>
            <w:vAlign w:val="bottom"/>
          </w:tcPr>
          <w:p>
            <w:pPr>
              <w:spacing w:after="0"/>
              <w:rPr>
                <w:sz w:val="1"/>
                <w:szCs w:val="1"/>
                <w:color w:val="auto"/>
              </w:rPr>
            </w:pPr>
          </w:p>
        </w:tc>
      </w:tr>
      <w:tr>
        <w:trPr>
          <w:trHeight w:val="222"/>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(f)</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TIA</w:t>
            </w:r>
          </w:p>
        </w:tc>
        <w:tc>
          <w:tcPr>
            <w:tcW w:w="0" w:type="dxa"/>
            <w:vAlign w:val="bottom"/>
          </w:tcPr>
          <w:p>
            <w:pPr>
              <w:spacing w:after="0"/>
              <w:rPr>
                <w:sz w:val="1"/>
                <w:szCs w:val="1"/>
                <w:color w:val="auto"/>
              </w:rPr>
            </w:pPr>
          </w:p>
        </w:tc>
      </w:tr>
      <w:tr>
        <w:trPr>
          <w:trHeight w:val="426"/>
        </w:trPr>
        <w:tc>
          <w:tcPr>
            <w:tcW w:w="4020" w:type="dxa"/>
            <w:vAlign w:val="bottom"/>
            <w:gridSpan w:val="2"/>
          </w:tcPr>
          <w:p>
            <w:pPr>
              <w:jc w:val="right"/>
              <w:ind w:right="3560"/>
              <w:spacing w:after="0"/>
              <w:rPr>
                <w:sz w:val="20"/>
                <w:szCs w:val="20"/>
                <w:color w:val="auto"/>
              </w:rPr>
            </w:pPr>
            <w:r>
              <w:rPr>
                <w:rFonts w:ascii="Arial" w:cs="Arial" w:eastAsia="Arial" w:hAnsi="Arial"/>
                <w:sz w:val="18"/>
                <w:szCs w:val="18"/>
                <w:color w:val="auto"/>
                <w:w w:val="84"/>
              </w:rPr>
              <w:t>315(a)</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TIA</w:t>
            </w:r>
          </w:p>
        </w:tc>
        <w:tc>
          <w:tcPr>
            <w:tcW w:w="0" w:type="dxa"/>
            <w:vAlign w:val="bottom"/>
          </w:tcPr>
          <w:p>
            <w:pPr>
              <w:spacing w:after="0"/>
              <w:rPr>
                <w:sz w:val="1"/>
                <w:szCs w:val="1"/>
                <w:color w:val="auto"/>
              </w:rPr>
            </w:pPr>
          </w:p>
        </w:tc>
      </w:tr>
      <w:tr>
        <w:trPr>
          <w:trHeight w:val="216"/>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(b)</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(c)</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TIA</w:t>
            </w:r>
          </w:p>
        </w:tc>
        <w:tc>
          <w:tcPr>
            <w:tcW w:w="0" w:type="dxa"/>
            <w:vAlign w:val="bottom"/>
          </w:tcPr>
          <w:p>
            <w:pPr>
              <w:spacing w:after="0"/>
              <w:rPr>
                <w:sz w:val="1"/>
                <w:szCs w:val="1"/>
                <w:color w:val="auto"/>
              </w:rPr>
            </w:pPr>
          </w:p>
        </w:tc>
      </w:tr>
      <w:tr>
        <w:trPr>
          <w:trHeight w:val="216"/>
        </w:trPr>
        <w:tc>
          <w:tcPr>
            <w:tcW w:w="4020" w:type="dxa"/>
            <w:vAlign w:val="bottom"/>
            <w:gridSpan w:val="2"/>
          </w:tcPr>
          <w:p>
            <w:pPr>
              <w:jc w:val="right"/>
              <w:ind w:right="3340"/>
              <w:spacing w:after="0"/>
              <w:rPr>
                <w:sz w:val="20"/>
                <w:szCs w:val="20"/>
                <w:color w:val="auto"/>
              </w:rPr>
            </w:pPr>
            <w:r>
              <w:rPr>
                <w:rFonts w:ascii="Arial" w:cs="Arial" w:eastAsia="Arial" w:hAnsi="Arial"/>
                <w:sz w:val="18"/>
                <w:szCs w:val="18"/>
                <w:color w:val="auto"/>
              </w:rPr>
              <w:t>(d)(1)</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TIA</w:t>
            </w:r>
          </w:p>
        </w:tc>
        <w:tc>
          <w:tcPr>
            <w:tcW w:w="0" w:type="dxa"/>
            <w:vAlign w:val="bottom"/>
          </w:tcPr>
          <w:p>
            <w:pPr>
              <w:spacing w:after="0"/>
              <w:rPr>
                <w:sz w:val="1"/>
                <w:szCs w:val="1"/>
                <w:color w:val="auto"/>
              </w:rPr>
            </w:pPr>
          </w:p>
        </w:tc>
      </w:tr>
      <w:tr>
        <w:trPr>
          <w:trHeight w:val="216"/>
        </w:trPr>
        <w:tc>
          <w:tcPr>
            <w:tcW w:w="4020" w:type="dxa"/>
            <w:vAlign w:val="bottom"/>
            <w:gridSpan w:val="2"/>
          </w:tcPr>
          <w:p>
            <w:pPr>
              <w:jc w:val="right"/>
              <w:ind w:right="3340"/>
              <w:spacing w:after="0"/>
              <w:rPr>
                <w:sz w:val="20"/>
                <w:szCs w:val="20"/>
                <w:color w:val="auto"/>
              </w:rPr>
            </w:pPr>
            <w:r>
              <w:rPr>
                <w:rFonts w:ascii="Arial" w:cs="Arial" w:eastAsia="Arial" w:hAnsi="Arial"/>
                <w:sz w:val="18"/>
                <w:szCs w:val="18"/>
                <w:color w:val="auto"/>
              </w:rPr>
              <w:t>(d)(2)</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TIA</w:t>
            </w:r>
          </w:p>
        </w:tc>
        <w:tc>
          <w:tcPr>
            <w:tcW w:w="0" w:type="dxa"/>
            <w:vAlign w:val="bottom"/>
          </w:tcPr>
          <w:p>
            <w:pPr>
              <w:spacing w:after="0"/>
              <w:rPr>
                <w:sz w:val="1"/>
                <w:szCs w:val="1"/>
                <w:color w:val="auto"/>
              </w:rPr>
            </w:pPr>
          </w:p>
        </w:tc>
      </w:tr>
      <w:tr>
        <w:trPr>
          <w:trHeight w:val="216"/>
        </w:trPr>
        <w:tc>
          <w:tcPr>
            <w:tcW w:w="4020" w:type="dxa"/>
            <w:vAlign w:val="bottom"/>
            <w:gridSpan w:val="2"/>
          </w:tcPr>
          <w:p>
            <w:pPr>
              <w:jc w:val="right"/>
              <w:ind w:right="3340"/>
              <w:spacing w:after="0"/>
              <w:rPr>
                <w:sz w:val="20"/>
                <w:szCs w:val="20"/>
                <w:color w:val="auto"/>
              </w:rPr>
            </w:pPr>
            <w:r>
              <w:rPr>
                <w:rFonts w:ascii="Arial" w:cs="Arial" w:eastAsia="Arial" w:hAnsi="Arial"/>
                <w:sz w:val="18"/>
                <w:szCs w:val="18"/>
                <w:color w:val="auto"/>
              </w:rPr>
              <w:t>(d)(3)</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TIA</w:t>
            </w:r>
          </w:p>
        </w:tc>
        <w:tc>
          <w:tcPr>
            <w:tcW w:w="0" w:type="dxa"/>
            <w:vAlign w:val="bottom"/>
          </w:tcPr>
          <w:p>
            <w:pPr>
              <w:spacing w:after="0"/>
              <w:rPr>
                <w:sz w:val="1"/>
                <w:szCs w:val="1"/>
                <w:color w:val="auto"/>
              </w:rPr>
            </w:pPr>
          </w:p>
        </w:tc>
      </w:tr>
      <w:tr>
        <w:trPr>
          <w:trHeight w:val="222"/>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(e)</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TIA</w:t>
            </w:r>
          </w:p>
        </w:tc>
        <w:tc>
          <w:tcPr>
            <w:tcW w:w="0" w:type="dxa"/>
            <w:vAlign w:val="bottom"/>
          </w:tcPr>
          <w:p>
            <w:pPr>
              <w:spacing w:after="0"/>
              <w:rPr>
                <w:sz w:val="1"/>
                <w:szCs w:val="1"/>
                <w:color w:val="auto"/>
              </w:rPr>
            </w:pPr>
          </w:p>
        </w:tc>
      </w:tr>
      <w:tr>
        <w:trPr>
          <w:trHeight w:val="426"/>
        </w:trPr>
        <w:tc>
          <w:tcPr>
            <w:tcW w:w="4020" w:type="dxa"/>
            <w:vAlign w:val="bottom"/>
            <w:gridSpan w:val="2"/>
          </w:tcPr>
          <w:p>
            <w:pPr>
              <w:spacing w:after="0"/>
              <w:rPr>
                <w:sz w:val="20"/>
                <w:szCs w:val="20"/>
                <w:color w:val="auto"/>
              </w:rPr>
            </w:pPr>
            <w:r>
              <w:rPr>
                <w:rFonts w:ascii="Arial" w:cs="Arial" w:eastAsia="Arial" w:hAnsi="Arial"/>
                <w:sz w:val="18"/>
                <w:szCs w:val="18"/>
                <w:color w:val="auto"/>
              </w:rPr>
              <w:t>316(a)(last sentence)</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(a)(1)(A)</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5.2; 5.8</w:t>
            </w:r>
          </w:p>
        </w:tc>
        <w:tc>
          <w:tcPr>
            <w:tcW w:w="0" w:type="dxa"/>
            <w:vAlign w:val="bottom"/>
          </w:tcPr>
          <w:p>
            <w:pPr>
              <w:spacing w:after="0"/>
              <w:rPr>
                <w:sz w:val="1"/>
                <w:szCs w:val="1"/>
                <w:color w:val="auto"/>
              </w:rPr>
            </w:pPr>
          </w:p>
        </w:tc>
      </w:tr>
      <w:tr>
        <w:trPr>
          <w:trHeight w:val="216"/>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(a)(1)(B)</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(b)</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5.9; 5.10</w:t>
            </w:r>
          </w:p>
        </w:tc>
        <w:tc>
          <w:tcPr>
            <w:tcW w:w="0" w:type="dxa"/>
            <w:vAlign w:val="bottom"/>
          </w:tcPr>
          <w:p>
            <w:pPr>
              <w:spacing w:after="0"/>
              <w:rPr>
                <w:sz w:val="1"/>
                <w:szCs w:val="1"/>
                <w:color w:val="auto"/>
              </w:rPr>
            </w:pPr>
          </w:p>
        </w:tc>
      </w:tr>
      <w:tr>
        <w:trPr>
          <w:trHeight w:val="222"/>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(c)</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TIA</w:t>
            </w:r>
          </w:p>
        </w:tc>
        <w:tc>
          <w:tcPr>
            <w:tcW w:w="0" w:type="dxa"/>
            <w:vAlign w:val="bottom"/>
          </w:tcPr>
          <w:p>
            <w:pPr>
              <w:spacing w:after="0"/>
              <w:rPr>
                <w:sz w:val="1"/>
                <w:szCs w:val="1"/>
                <w:color w:val="auto"/>
              </w:rPr>
            </w:pPr>
          </w:p>
        </w:tc>
      </w:tr>
      <w:tr>
        <w:trPr>
          <w:trHeight w:val="426"/>
        </w:trPr>
        <w:tc>
          <w:tcPr>
            <w:tcW w:w="4020" w:type="dxa"/>
            <w:vAlign w:val="bottom"/>
            <w:gridSpan w:val="2"/>
          </w:tcPr>
          <w:p>
            <w:pPr>
              <w:jc w:val="right"/>
              <w:ind w:right="3340"/>
              <w:spacing w:after="0"/>
              <w:rPr>
                <w:sz w:val="20"/>
                <w:szCs w:val="20"/>
                <w:color w:val="auto"/>
              </w:rPr>
            </w:pPr>
            <w:r>
              <w:rPr>
                <w:rFonts w:ascii="Arial" w:cs="Arial" w:eastAsia="Arial" w:hAnsi="Arial"/>
                <w:sz w:val="18"/>
                <w:szCs w:val="18"/>
                <w:color w:val="auto"/>
                <w:w w:val="89"/>
              </w:rPr>
              <w:t>317(a)(1)</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020" w:type="dxa"/>
            <w:vAlign w:val="bottom"/>
            <w:gridSpan w:val="2"/>
          </w:tcPr>
          <w:p>
            <w:pPr>
              <w:jc w:val="right"/>
              <w:ind w:right="3360"/>
              <w:spacing w:after="0"/>
              <w:rPr>
                <w:sz w:val="20"/>
                <w:szCs w:val="20"/>
                <w:color w:val="auto"/>
              </w:rPr>
            </w:pPr>
            <w:r>
              <w:rPr>
                <w:rFonts w:ascii="Arial" w:cs="Arial" w:eastAsia="Arial" w:hAnsi="Arial"/>
                <w:sz w:val="18"/>
                <w:szCs w:val="18"/>
                <w:color w:val="auto"/>
              </w:rPr>
              <w:t>(a)(2)</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2"/>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(b)</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426"/>
        </w:trPr>
        <w:tc>
          <w:tcPr>
            <w:tcW w:w="4020" w:type="dxa"/>
            <w:vAlign w:val="bottom"/>
            <w:gridSpan w:val="2"/>
          </w:tcPr>
          <w:p>
            <w:pPr>
              <w:jc w:val="right"/>
              <w:ind w:right="3560"/>
              <w:spacing w:after="0"/>
              <w:rPr>
                <w:sz w:val="20"/>
                <w:szCs w:val="20"/>
                <w:color w:val="auto"/>
              </w:rPr>
            </w:pPr>
            <w:r>
              <w:rPr>
                <w:rFonts w:ascii="Arial" w:cs="Arial" w:eastAsia="Arial" w:hAnsi="Arial"/>
                <w:sz w:val="18"/>
                <w:szCs w:val="18"/>
                <w:color w:val="auto"/>
                <w:w w:val="84"/>
              </w:rPr>
              <w:t>318(a)</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(b)</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TIA</w:t>
            </w:r>
          </w:p>
        </w:tc>
        <w:tc>
          <w:tcPr>
            <w:tcW w:w="0" w:type="dxa"/>
            <w:vAlign w:val="bottom"/>
          </w:tcPr>
          <w:p>
            <w:pPr>
              <w:spacing w:after="0"/>
              <w:rPr>
                <w:sz w:val="1"/>
                <w:szCs w:val="1"/>
                <w:color w:val="auto"/>
              </w:rPr>
            </w:pPr>
          </w:p>
        </w:tc>
      </w:tr>
      <w:tr>
        <w:trPr>
          <w:trHeight w:val="222"/>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(c)</w:t>
            </w:r>
          </w:p>
        </w:tc>
        <w:tc>
          <w:tcPr>
            <w:tcW w:w="7400" w:type="dxa"/>
            <w:vAlign w:val="bottom"/>
            <w:gridSpan w:val="2"/>
          </w:tcPr>
          <w:p>
            <w:pPr>
              <w:ind w:left="6140"/>
              <w:spacing w:after="0"/>
              <w:rPr>
                <w:sz w:val="20"/>
                <w:szCs w:val="20"/>
                <w:color w:val="auto"/>
              </w:rPr>
            </w:pPr>
            <w:r>
              <w:rPr>
                <w:rFonts w:ascii="Arial" w:cs="Arial" w:eastAsia="Arial" w:hAnsi="Arial"/>
                <w:sz w:val="18"/>
                <w:szCs w:val="18"/>
                <w:color w:val="auto"/>
              </w:rPr>
              <w:t>1.11; TIA</w:t>
            </w:r>
          </w:p>
        </w:tc>
        <w:tc>
          <w:tcPr>
            <w:tcW w:w="0" w:type="dxa"/>
            <w:vAlign w:val="bottom"/>
          </w:tcPr>
          <w:p>
            <w:pPr>
              <w:spacing w:after="0"/>
              <w:rPr>
                <w:sz w:val="1"/>
                <w:szCs w:val="1"/>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This reconciliation and tie section does not constitute part of the Indenture.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80" w:right="239" w:bottom="1440" w:gutter="0" w:footer="0" w:header="0"/>
        </w:sectPr>
      </w:pPr>
    </w:p>
    <w:bookmarkStart w:id="87" w:name="page88"/>
    <w:bookmarkEnd w:id="87"/>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25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22"/>
        </w:trPr>
        <w:tc>
          <w:tcPr>
            <w:tcW w:w="8740" w:type="dxa"/>
            <w:vAlign w:val="bottom"/>
          </w:tcPr>
          <w:p>
            <w:pPr>
              <w:spacing w:after="0"/>
              <w:rPr>
                <w:sz w:val="20"/>
                <w:szCs w:val="20"/>
                <w:color w:val="auto"/>
              </w:rPr>
            </w:pPr>
            <w:r>
              <w:rPr>
                <w:rFonts w:ascii="Arial" w:cs="Arial" w:eastAsia="Arial" w:hAnsi="Arial"/>
                <w:sz w:val="18"/>
                <w:szCs w:val="18"/>
                <w:color w:val="auto"/>
              </w:rPr>
              <w:t>ARTICLE 1 DEFINITIONS AND OTHER PROVISIONS OF GENERAL APPLICATION</w:t>
            </w:r>
          </w:p>
        </w:tc>
        <w:tc>
          <w:tcPr>
            <w:tcW w:w="2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26"/>
        </w:trPr>
        <w:tc>
          <w:tcPr>
            <w:tcW w:w="8740" w:type="dxa"/>
            <w:vAlign w:val="bottom"/>
          </w:tcPr>
          <w:p>
            <w:pPr>
              <w:ind w:left="440"/>
              <w:spacing w:after="0"/>
              <w:rPr>
                <w:sz w:val="20"/>
                <w:szCs w:val="20"/>
                <w:color w:val="auto"/>
              </w:rPr>
            </w:pPr>
            <w:r>
              <w:rPr>
                <w:rFonts w:ascii="Arial" w:cs="Arial" w:eastAsia="Arial" w:hAnsi="Arial"/>
                <w:sz w:val="18"/>
                <w:szCs w:val="18"/>
                <w:color w:val="auto"/>
              </w:rPr>
              <w:t>Section 1.1 Definitions</w:t>
            </w:r>
          </w:p>
        </w:tc>
        <w:tc>
          <w:tcPr>
            <w:tcW w:w="2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Section 1.2 Compliance Certificates and Opinions</w:t>
            </w:r>
          </w:p>
        </w:tc>
        <w:tc>
          <w:tcPr>
            <w:tcW w:w="2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Section 1.3 Form of Document Delivered to Trustee</w:t>
            </w:r>
          </w:p>
        </w:tc>
        <w:tc>
          <w:tcPr>
            <w:tcW w:w="2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Section 1.4 Acts of Holders</w:t>
            </w:r>
          </w:p>
        </w:tc>
        <w:tc>
          <w:tcPr>
            <w:tcW w:w="2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Section 1.5 Notices, etc., to Trustee and Company</w:t>
            </w:r>
          </w:p>
        </w:tc>
        <w:tc>
          <w:tcPr>
            <w:tcW w:w="2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Section 1.6 Notice to Holders; Waiver</w:t>
            </w:r>
          </w:p>
        </w:tc>
        <w:tc>
          <w:tcPr>
            <w:tcW w:w="2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Section 1.7 Headings and Table of Contents</w:t>
            </w:r>
          </w:p>
        </w:tc>
        <w:tc>
          <w:tcPr>
            <w:tcW w:w="2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Section 1.8 Successors and Assigns</w:t>
            </w:r>
          </w:p>
        </w:tc>
        <w:tc>
          <w:tcPr>
            <w:tcW w:w="2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Section 1.9 Separability</w:t>
            </w:r>
          </w:p>
        </w:tc>
        <w:tc>
          <w:tcPr>
            <w:tcW w:w="2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Section 1.10 Benefits of Indenture</w:t>
            </w:r>
          </w:p>
        </w:tc>
        <w:tc>
          <w:tcPr>
            <w:tcW w:w="2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Section 1.11 Governing Law</w:t>
            </w:r>
          </w:p>
        </w:tc>
        <w:tc>
          <w:tcPr>
            <w:tcW w:w="2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Section 1.12 Legal Holidays</w:t>
            </w:r>
          </w:p>
        </w:tc>
        <w:tc>
          <w:tcPr>
            <w:tcW w:w="2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2"/>
        </w:trPr>
        <w:tc>
          <w:tcPr>
            <w:tcW w:w="8740" w:type="dxa"/>
            <w:vAlign w:val="bottom"/>
          </w:tcPr>
          <w:p>
            <w:pPr>
              <w:ind w:left="440"/>
              <w:spacing w:after="0"/>
              <w:rPr>
                <w:sz w:val="20"/>
                <w:szCs w:val="20"/>
                <w:color w:val="auto"/>
              </w:rPr>
            </w:pPr>
            <w:r>
              <w:rPr>
                <w:rFonts w:ascii="Arial" w:cs="Arial" w:eastAsia="Arial" w:hAnsi="Arial"/>
                <w:sz w:val="18"/>
                <w:szCs w:val="18"/>
                <w:color w:val="auto"/>
              </w:rPr>
              <w:t>Section 1.13 No Recourse Against Others</w:t>
            </w:r>
          </w:p>
        </w:tc>
        <w:tc>
          <w:tcPr>
            <w:tcW w:w="2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8740" w:type="dxa"/>
            <w:vAlign w:val="bottom"/>
          </w:tcPr>
          <w:p>
            <w:pPr>
              <w:spacing w:after="0"/>
              <w:rPr>
                <w:sz w:val="20"/>
                <w:szCs w:val="20"/>
                <w:color w:val="auto"/>
              </w:rPr>
            </w:pPr>
            <w:r>
              <w:rPr>
                <w:rFonts w:ascii="Arial" w:cs="Arial" w:eastAsia="Arial" w:hAnsi="Arial"/>
                <w:sz w:val="18"/>
                <w:szCs w:val="18"/>
                <w:color w:val="auto"/>
              </w:rPr>
              <w:t>ARTICLE 2 SECURITY FORMS</w:t>
            </w:r>
          </w:p>
        </w:tc>
        <w:tc>
          <w:tcPr>
            <w:tcW w:w="2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26"/>
        </w:trPr>
        <w:tc>
          <w:tcPr>
            <w:tcW w:w="8740" w:type="dxa"/>
            <w:vAlign w:val="bottom"/>
          </w:tcPr>
          <w:p>
            <w:pPr>
              <w:ind w:left="440"/>
              <w:spacing w:after="0"/>
              <w:rPr>
                <w:sz w:val="20"/>
                <w:szCs w:val="20"/>
                <w:color w:val="auto"/>
              </w:rPr>
            </w:pPr>
            <w:r>
              <w:rPr>
                <w:rFonts w:ascii="Arial" w:cs="Arial" w:eastAsia="Arial" w:hAnsi="Arial"/>
                <w:sz w:val="18"/>
                <w:szCs w:val="18"/>
                <w:color w:val="auto"/>
              </w:rPr>
              <w:t>Section 2.1 Forms Generally</w:t>
            </w:r>
          </w:p>
        </w:tc>
        <w:tc>
          <w:tcPr>
            <w:tcW w:w="2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8740" w:type="dxa"/>
            <w:vAlign w:val="bottom"/>
          </w:tcPr>
          <w:p>
            <w:pPr>
              <w:ind w:left="440"/>
              <w:spacing w:after="0"/>
              <w:rPr>
                <w:sz w:val="20"/>
                <w:szCs w:val="20"/>
                <w:color w:val="auto"/>
              </w:rPr>
            </w:pPr>
            <w:r>
              <w:rPr>
                <w:rFonts w:ascii="Arial" w:cs="Arial" w:eastAsia="Arial" w:hAnsi="Arial"/>
                <w:sz w:val="18"/>
                <w:szCs w:val="18"/>
                <w:color w:val="auto"/>
              </w:rPr>
              <w:t>Section 2.2 Form of Trustee’s Certificate of Authentication</w:t>
            </w:r>
          </w:p>
        </w:tc>
        <w:tc>
          <w:tcPr>
            <w:tcW w:w="2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8740" w:type="dxa"/>
            <w:vAlign w:val="bottom"/>
          </w:tcPr>
          <w:p>
            <w:pPr>
              <w:spacing w:after="0"/>
              <w:rPr>
                <w:sz w:val="20"/>
                <w:szCs w:val="20"/>
                <w:color w:val="auto"/>
              </w:rPr>
            </w:pPr>
            <w:r>
              <w:rPr>
                <w:rFonts w:ascii="Arial" w:cs="Arial" w:eastAsia="Arial" w:hAnsi="Arial"/>
                <w:sz w:val="18"/>
                <w:szCs w:val="18"/>
                <w:color w:val="auto"/>
              </w:rPr>
              <w:t>ARTICLE 3 THE SECURITIES</w:t>
            </w:r>
          </w:p>
        </w:tc>
        <w:tc>
          <w:tcPr>
            <w:tcW w:w="2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26"/>
        </w:trPr>
        <w:tc>
          <w:tcPr>
            <w:tcW w:w="8740" w:type="dxa"/>
            <w:vAlign w:val="bottom"/>
          </w:tcPr>
          <w:p>
            <w:pPr>
              <w:ind w:left="440"/>
              <w:spacing w:after="0"/>
              <w:rPr>
                <w:sz w:val="20"/>
                <w:szCs w:val="20"/>
                <w:color w:val="auto"/>
              </w:rPr>
            </w:pPr>
            <w:r>
              <w:rPr>
                <w:rFonts w:ascii="Arial" w:cs="Arial" w:eastAsia="Arial" w:hAnsi="Arial"/>
                <w:sz w:val="18"/>
                <w:szCs w:val="18"/>
                <w:color w:val="auto"/>
              </w:rPr>
              <w:t>Section 3.1 Amount Unlimited; Issuable in Series</w:t>
            </w:r>
          </w:p>
        </w:tc>
        <w:tc>
          <w:tcPr>
            <w:tcW w:w="2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Section 3.2 Denominations</w:t>
            </w:r>
          </w:p>
        </w:tc>
        <w:tc>
          <w:tcPr>
            <w:tcW w:w="2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Section 3.3 Execution, Authentication, Delivery and Dating</w:t>
            </w:r>
          </w:p>
        </w:tc>
        <w:tc>
          <w:tcPr>
            <w:tcW w:w="2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Section 3.4 Temporary Securities</w:t>
            </w: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Section 3.5 Registration, Registration of Transfer and Exchange</w:t>
            </w: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Section 3.6 Replacement Securities</w:t>
            </w:r>
          </w:p>
        </w:tc>
        <w:tc>
          <w:tcPr>
            <w:tcW w:w="2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Section 3.7 Payment of Interest; Interest Rights Preserved</w:t>
            </w:r>
          </w:p>
        </w:tc>
        <w:tc>
          <w:tcPr>
            <w:tcW w:w="25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Section 3.8 Persons Deemed Owners</w:t>
            </w:r>
          </w:p>
        </w:tc>
        <w:tc>
          <w:tcPr>
            <w:tcW w:w="2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Section 3.9 Cancellation</w:t>
            </w:r>
          </w:p>
        </w:tc>
        <w:tc>
          <w:tcPr>
            <w:tcW w:w="2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Section 3.10 Computation of Interest</w:t>
            </w:r>
          </w:p>
        </w:tc>
        <w:tc>
          <w:tcPr>
            <w:tcW w:w="2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2"/>
        </w:trPr>
        <w:tc>
          <w:tcPr>
            <w:tcW w:w="8740" w:type="dxa"/>
            <w:vAlign w:val="bottom"/>
          </w:tcPr>
          <w:p>
            <w:pPr>
              <w:ind w:left="440"/>
              <w:spacing w:after="0"/>
              <w:rPr>
                <w:sz w:val="20"/>
                <w:szCs w:val="20"/>
                <w:color w:val="auto"/>
              </w:rPr>
            </w:pPr>
            <w:r>
              <w:rPr>
                <w:rFonts w:ascii="Arial" w:cs="Arial" w:eastAsia="Arial" w:hAnsi="Arial"/>
                <w:sz w:val="18"/>
                <w:szCs w:val="18"/>
                <w:color w:val="auto"/>
              </w:rPr>
              <w:t>Section 3.11 CUSIP Numbers</w:t>
            </w:r>
          </w:p>
        </w:tc>
        <w:tc>
          <w:tcPr>
            <w:tcW w:w="258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88" w:name="page89"/>
    <w:bookmarkEnd w:id="88"/>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22"/>
        </w:trPr>
        <w:tc>
          <w:tcPr>
            <w:tcW w:w="9360" w:type="dxa"/>
            <w:vAlign w:val="bottom"/>
          </w:tcPr>
          <w:p>
            <w:pPr>
              <w:spacing w:after="0"/>
              <w:rPr>
                <w:sz w:val="20"/>
                <w:szCs w:val="20"/>
                <w:color w:val="auto"/>
              </w:rPr>
            </w:pPr>
            <w:r>
              <w:rPr>
                <w:rFonts w:ascii="Arial" w:cs="Arial" w:eastAsia="Arial" w:hAnsi="Arial"/>
                <w:sz w:val="18"/>
                <w:szCs w:val="18"/>
                <w:color w:val="auto"/>
              </w:rPr>
              <w:t>ARTICLE 4 SATISFACTION, DISCHARGE AND COVENANT DEFEASANCE</w:t>
            </w:r>
          </w:p>
        </w:tc>
        <w:tc>
          <w:tcPr>
            <w:tcW w:w="19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26"/>
        </w:trPr>
        <w:tc>
          <w:tcPr>
            <w:tcW w:w="9360" w:type="dxa"/>
            <w:vAlign w:val="bottom"/>
          </w:tcPr>
          <w:p>
            <w:pPr>
              <w:ind w:left="440"/>
              <w:spacing w:after="0"/>
              <w:rPr>
                <w:sz w:val="20"/>
                <w:szCs w:val="20"/>
                <w:color w:val="auto"/>
              </w:rPr>
            </w:pPr>
            <w:r>
              <w:rPr>
                <w:rFonts w:ascii="Arial" w:cs="Arial" w:eastAsia="Arial" w:hAnsi="Arial"/>
                <w:sz w:val="18"/>
                <w:szCs w:val="18"/>
                <w:color w:val="auto"/>
              </w:rPr>
              <w:t>Section 4.1 Termination of Company’s Obligations Under the Indenture</w:t>
            </w:r>
          </w:p>
        </w:tc>
        <w:tc>
          <w:tcPr>
            <w:tcW w:w="19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Section 4.2 Application of Trust Funds</w:t>
            </w:r>
          </w:p>
        </w:tc>
        <w:tc>
          <w:tcPr>
            <w:tcW w:w="19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Section 4.3 Applicability of Defeasance Provisions; Company’s Option to Effect Covenant Defeasance</w:t>
            </w:r>
          </w:p>
        </w:tc>
        <w:tc>
          <w:tcPr>
            <w:tcW w:w="19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Section 4.4 Covenant Defeasance</w:t>
            </w:r>
          </w:p>
        </w:tc>
        <w:tc>
          <w:tcPr>
            <w:tcW w:w="19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Section 4.5 Conditions to Covenant Defeasance</w:t>
            </w:r>
          </w:p>
        </w:tc>
        <w:tc>
          <w:tcPr>
            <w:tcW w:w="19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Section 4.6 Deposited Money and Government Obligations to Be Held in Trust</w:t>
            </w:r>
          </w:p>
        </w:tc>
        <w:tc>
          <w:tcPr>
            <w:tcW w:w="19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2"/>
        </w:trPr>
        <w:tc>
          <w:tcPr>
            <w:tcW w:w="9360" w:type="dxa"/>
            <w:vAlign w:val="bottom"/>
          </w:tcPr>
          <w:p>
            <w:pPr>
              <w:ind w:left="440"/>
              <w:spacing w:after="0"/>
              <w:rPr>
                <w:sz w:val="20"/>
                <w:szCs w:val="20"/>
                <w:color w:val="auto"/>
              </w:rPr>
            </w:pPr>
            <w:r>
              <w:rPr>
                <w:rFonts w:ascii="Arial" w:cs="Arial" w:eastAsia="Arial" w:hAnsi="Arial"/>
                <w:sz w:val="18"/>
                <w:szCs w:val="18"/>
                <w:color w:val="auto"/>
              </w:rPr>
              <w:t>Section 4.7 Transfers and Distribution at Company Request</w:t>
            </w:r>
          </w:p>
        </w:tc>
        <w:tc>
          <w:tcPr>
            <w:tcW w:w="19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9360" w:type="dxa"/>
            <w:vAlign w:val="bottom"/>
          </w:tcPr>
          <w:p>
            <w:pPr>
              <w:spacing w:after="0"/>
              <w:rPr>
                <w:sz w:val="20"/>
                <w:szCs w:val="20"/>
                <w:color w:val="auto"/>
              </w:rPr>
            </w:pPr>
            <w:r>
              <w:rPr>
                <w:rFonts w:ascii="Arial" w:cs="Arial" w:eastAsia="Arial" w:hAnsi="Arial"/>
                <w:sz w:val="18"/>
                <w:szCs w:val="18"/>
                <w:color w:val="auto"/>
              </w:rPr>
              <w:t>ARTICLE 5 DEFAULTS AND REMEDIES</w:t>
            </w:r>
          </w:p>
        </w:tc>
        <w:tc>
          <w:tcPr>
            <w:tcW w:w="19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26"/>
        </w:trPr>
        <w:tc>
          <w:tcPr>
            <w:tcW w:w="9360" w:type="dxa"/>
            <w:vAlign w:val="bottom"/>
          </w:tcPr>
          <w:p>
            <w:pPr>
              <w:ind w:left="440"/>
              <w:spacing w:after="0"/>
              <w:rPr>
                <w:sz w:val="20"/>
                <w:szCs w:val="20"/>
                <w:color w:val="auto"/>
              </w:rPr>
            </w:pPr>
            <w:r>
              <w:rPr>
                <w:rFonts w:ascii="Arial" w:cs="Arial" w:eastAsia="Arial" w:hAnsi="Arial"/>
                <w:sz w:val="18"/>
                <w:szCs w:val="18"/>
                <w:color w:val="auto"/>
              </w:rPr>
              <w:t>Section 5.1 Events of Default</w:t>
            </w:r>
          </w:p>
        </w:tc>
        <w:tc>
          <w:tcPr>
            <w:tcW w:w="19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Section 5.2 Acceleration, Rescission and Annulment</w:t>
            </w:r>
          </w:p>
        </w:tc>
        <w:tc>
          <w:tcPr>
            <w:tcW w:w="1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Section 5.3 Collection of Indebtedness and Suits for Enforcement by Trustee</w:t>
            </w:r>
          </w:p>
        </w:tc>
        <w:tc>
          <w:tcPr>
            <w:tcW w:w="1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Section 5.4 Trustee May File Proofs of Claim</w:t>
            </w:r>
          </w:p>
        </w:tc>
        <w:tc>
          <w:tcPr>
            <w:tcW w:w="1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Section 5.5 Trustee May Enforce Claims Without Possession of Securities</w:t>
            </w:r>
          </w:p>
        </w:tc>
        <w:tc>
          <w:tcPr>
            <w:tcW w:w="1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Section 5.6 Delay or Omission Not Waiver</w:t>
            </w:r>
          </w:p>
        </w:tc>
        <w:tc>
          <w:tcPr>
            <w:tcW w:w="1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Section 5.7 Waiver of Past Defaults</w:t>
            </w:r>
          </w:p>
        </w:tc>
        <w:tc>
          <w:tcPr>
            <w:tcW w:w="1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Section 5.8 Control by Majority</w:t>
            </w:r>
          </w:p>
        </w:tc>
        <w:tc>
          <w:tcPr>
            <w:tcW w:w="1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Section 5.9 Limitation on Suits by Holders</w:t>
            </w:r>
          </w:p>
        </w:tc>
        <w:tc>
          <w:tcPr>
            <w:tcW w:w="19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Section 5.10 Rights of Holders to Receive Payment</w:t>
            </w:r>
          </w:p>
        </w:tc>
        <w:tc>
          <w:tcPr>
            <w:tcW w:w="19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Section 5.11 Application of Money Collected</w:t>
            </w:r>
          </w:p>
        </w:tc>
        <w:tc>
          <w:tcPr>
            <w:tcW w:w="19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Section 5.12 Restoration of Rights and Remedies</w:t>
            </w:r>
          </w:p>
        </w:tc>
        <w:tc>
          <w:tcPr>
            <w:tcW w:w="1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2"/>
        </w:trPr>
        <w:tc>
          <w:tcPr>
            <w:tcW w:w="9360" w:type="dxa"/>
            <w:vAlign w:val="bottom"/>
          </w:tcPr>
          <w:p>
            <w:pPr>
              <w:ind w:left="440"/>
              <w:spacing w:after="0"/>
              <w:rPr>
                <w:sz w:val="20"/>
                <w:szCs w:val="20"/>
                <w:color w:val="auto"/>
              </w:rPr>
            </w:pPr>
            <w:r>
              <w:rPr>
                <w:rFonts w:ascii="Arial" w:cs="Arial" w:eastAsia="Arial" w:hAnsi="Arial"/>
                <w:sz w:val="18"/>
                <w:szCs w:val="18"/>
                <w:color w:val="auto"/>
              </w:rPr>
              <w:t>Section 5.13 Rights and Remedies Cumulative</w:t>
            </w:r>
          </w:p>
        </w:tc>
        <w:tc>
          <w:tcPr>
            <w:tcW w:w="1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9360" w:type="dxa"/>
            <w:vAlign w:val="bottom"/>
          </w:tcPr>
          <w:p>
            <w:pPr>
              <w:spacing w:after="0"/>
              <w:rPr>
                <w:sz w:val="20"/>
                <w:szCs w:val="20"/>
                <w:color w:val="auto"/>
              </w:rPr>
            </w:pPr>
            <w:r>
              <w:rPr>
                <w:rFonts w:ascii="Arial" w:cs="Arial" w:eastAsia="Arial" w:hAnsi="Arial"/>
                <w:sz w:val="18"/>
                <w:szCs w:val="18"/>
                <w:color w:val="auto"/>
              </w:rPr>
              <w:t>ARTICLE 6 THE TRUSTEE</w:t>
            </w:r>
          </w:p>
        </w:tc>
        <w:tc>
          <w:tcPr>
            <w:tcW w:w="1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26"/>
        </w:trPr>
        <w:tc>
          <w:tcPr>
            <w:tcW w:w="9360" w:type="dxa"/>
            <w:vAlign w:val="bottom"/>
          </w:tcPr>
          <w:p>
            <w:pPr>
              <w:ind w:left="440"/>
              <w:spacing w:after="0"/>
              <w:rPr>
                <w:sz w:val="20"/>
                <w:szCs w:val="20"/>
                <w:color w:val="auto"/>
              </w:rPr>
            </w:pPr>
            <w:r>
              <w:rPr>
                <w:rFonts w:ascii="Arial" w:cs="Arial" w:eastAsia="Arial" w:hAnsi="Arial"/>
                <w:sz w:val="18"/>
                <w:szCs w:val="18"/>
                <w:color w:val="auto"/>
              </w:rPr>
              <w:t>Section 6.1 Certain Duties and Responsibilities</w:t>
            </w:r>
          </w:p>
        </w:tc>
        <w:tc>
          <w:tcPr>
            <w:tcW w:w="1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Section 6.2 Rights of Trustee</w:t>
            </w:r>
          </w:p>
        </w:tc>
        <w:tc>
          <w:tcPr>
            <w:tcW w:w="19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Section 6.3 Trustee May Hold Securities</w:t>
            </w:r>
          </w:p>
        </w:tc>
        <w:tc>
          <w:tcPr>
            <w:tcW w:w="19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Section 6.4 Money Held in Trust</w:t>
            </w:r>
          </w:p>
        </w:tc>
        <w:tc>
          <w:tcPr>
            <w:tcW w:w="19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Section 6.5 Trustee’s Disclaimer</w:t>
            </w:r>
          </w:p>
        </w:tc>
        <w:tc>
          <w:tcPr>
            <w:tcW w:w="19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Section 6.6 Notice of Defaults</w:t>
            </w:r>
          </w:p>
        </w:tc>
        <w:tc>
          <w:tcPr>
            <w:tcW w:w="19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2"/>
        </w:trPr>
        <w:tc>
          <w:tcPr>
            <w:tcW w:w="9360" w:type="dxa"/>
            <w:vAlign w:val="bottom"/>
          </w:tcPr>
          <w:p>
            <w:pPr>
              <w:ind w:left="440"/>
              <w:spacing w:after="0"/>
              <w:rPr>
                <w:sz w:val="20"/>
                <w:szCs w:val="20"/>
                <w:color w:val="auto"/>
              </w:rPr>
            </w:pPr>
            <w:r>
              <w:rPr>
                <w:rFonts w:ascii="Arial" w:cs="Arial" w:eastAsia="Arial" w:hAnsi="Arial"/>
                <w:sz w:val="18"/>
                <w:szCs w:val="18"/>
                <w:color w:val="auto"/>
              </w:rPr>
              <w:t>Section 6.7 Reports by Trustee to Holders</w:t>
            </w:r>
          </w:p>
        </w:tc>
        <w:tc>
          <w:tcPr>
            <w:tcW w:w="196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4"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22"/>
        </w:trPr>
        <w:tc>
          <w:tcPr>
            <w:tcW w:w="8840" w:type="dxa"/>
            <w:vAlign w:val="bottom"/>
          </w:tcPr>
          <w:p>
            <w:pPr>
              <w:ind w:left="4780"/>
              <w:spacing w:after="0"/>
              <w:rPr>
                <w:sz w:val="20"/>
                <w:szCs w:val="20"/>
                <w:color w:val="auto"/>
              </w:rPr>
            </w:pPr>
            <w:r>
              <w:rPr>
                <w:rFonts w:ascii="Arial" w:cs="Arial" w:eastAsia="Arial" w:hAnsi="Arial"/>
                <w:sz w:val="18"/>
                <w:szCs w:val="18"/>
                <w:b w:val="1"/>
                <w:bCs w:val="1"/>
                <w:color w:val="auto"/>
              </w:rPr>
              <w:t>TABLE OF CONTENTS</w:t>
            </w:r>
          </w:p>
        </w:tc>
        <w:tc>
          <w:tcPr>
            <w:tcW w:w="2480" w:type="dxa"/>
            <w:vAlign w:val="bottom"/>
          </w:tcPr>
          <w:p>
            <w:pPr>
              <w:spacing w:after="0"/>
              <w:rPr>
                <w:sz w:val="19"/>
                <w:szCs w:val="19"/>
                <w:color w:val="auto"/>
              </w:rPr>
            </w:pPr>
          </w:p>
        </w:tc>
      </w:tr>
      <w:tr>
        <w:trPr>
          <w:trHeight w:val="222"/>
        </w:trPr>
        <w:tc>
          <w:tcPr>
            <w:tcW w:w="8840" w:type="dxa"/>
            <w:vAlign w:val="bottom"/>
          </w:tcPr>
          <w:p>
            <w:pPr>
              <w:ind w:left="5300"/>
              <w:spacing w:after="0"/>
              <w:rPr>
                <w:sz w:val="20"/>
                <w:szCs w:val="20"/>
                <w:color w:val="auto"/>
              </w:rPr>
            </w:pPr>
            <w:r>
              <w:rPr>
                <w:rFonts w:ascii="Arial" w:cs="Arial" w:eastAsia="Arial" w:hAnsi="Arial"/>
                <w:sz w:val="18"/>
                <w:szCs w:val="18"/>
                <w:color w:val="auto"/>
              </w:rPr>
              <w:t>(continued)</w:t>
            </w:r>
          </w:p>
        </w:tc>
        <w:tc>
          <w:tcPr>
            <w:tcW w:w="2480" w:type="dxa"/>
            <w:vAlign w:val="bottom"/>
          </w:tcPr>
          <w:p>
            <w:pPr>
              <w:spacing w:after="0"/>
              <w:rPr>
                <w:sz w:val="19"/>
                <w:szCs w:val="19"/>
                <w:color w:val="auto"/>
              </w:rPr>
            </w:pPr>
          </w:p>
        </w:tc>
      </w:tr>
      <w:tr>
        <w:trPr>
          <w:trHeight w:val="493"/>
        </w:trPr>
        <w:tc>
          <w:tcPr>
            <w:tcW w:w="884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Section 6.8 Securityholder Lists</w:t>
            </w:r>
          </w:p>
        </w:tc>
        <w:tc>
          <w:tcPr>
            <w:tcW w:w="24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Section 6.9 Compensation and Indemnity</w:t>
            </w:r>
          </w:p>
        </w:tc>
        <w:tc>
          <w:tcPr>
            <w:tcW w:w="24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Section 6.10 Replacement of Trustee</w:t>
            </w:r>
          </w:p>
        </w:tc>
        <w:tc>
          <w:tcPr>
            <w:tcW w:w="24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Section 6.11 Acceptance of Appointment by Successor</w:t>
            </w:r>
          </w:p>
        </w:tc>
        <w:tc>
          <w:tcPr>
            <w:tcW w:w="2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Section 6.12 Eligibility; Disqualification</w:t>
            </w:r>
          </w:p>
        </w:tc>
        <w:tc>
          <w:tcPr>
            <w:tcW w:w="24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Section 6.13 Merger, Conversion, Consolidation or Succession to Business</w:t>
            </w:r>
          </w:p>
        </w:tc>
        <w:tc>
          <w:tcPr>
            <w:tcW w:w="24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Section 6.14 Appointment of Authenticating Agent</w:t>
            </w:r>
          </w:p>
        </w:tc>
        <w:tc>
          <w:tcPr>
            <w:tcW w:w="24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2"/>
        </w:trPr>
        <w:tc>
          <w:tcPr>
            <w:tcW w:w="8840" w:type="dxa"/>
            <w:vAlign w:val="bottom"/>
          </w:tcPr>
          <w:p>
            <w:pPr>
              <w:ind w:left="440"/>
              <w:spacing w:after="0"/>
              <w:rPr>
                <w:sz w:val="20"/>
                <w:szCs w:val="20"/>
                <w:color w:val="auto"/>
              </w:rPr>
            </w:pPr>
            <w:r>
              <w:rPr>
                <w:rFonts w:ascii="Arial" w:cs="Arial" w:eastAsia="Arial" w:hAnsi="Arial"/>
                <w:sz w:val="18"/>
                <w:szCs w:val="18"/>
                <w:color w:val="auto"/>
              </w:rPr>
              <w:t>Section 6.15 Trustee’s Application for Instructions From the Company</w:t>
            </w:r>
          </w:p>
        </w:tc>
        <w:tc>
          <w:tcPr>
            <w:tcW w:w="2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8840" w:type="dxa"/>
            <w:vAlign w:val="bottom"/>
          </w:tcPr>
          <w:p>
            <w:pPr>
              <w:spacing w:after="0"/>
              <w:rPr>
                <w:sz w:val="20"/>
                <w:szCs w:val="20"/>
                <w:color w:val="auto"/>
              </w:rPr>
            </w:pPr>
            <w:r>
              <w:rPr>
                <w:rFonts w:ascii="Arial" w:cs="Arial" w:eastAsia="Arial" w:hAnsi="Arial"/>
                <w:sz w:val="18"/>
                <w:szCs w:val="18"/>
                <w:color w:val="auto"/>
              </w:rPr>
              <w:t>ARTICLE 7 CONSOLIDATION, MERGER OR SALE BY THE COMPANY</w:t>
            </w:r>
          </w:p>
        </w:tc>
        <w:tc>
          <w:tcPr>
            <w:tcW w:w="2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26"/>
        </w:trPr>
        <w:tc>
          <w:tcPr>
            <w:tcW w:w="8840" w:type="dxa"/>
            <w:vAlign w:val="bottom"/>
          </w:tcPr>
          <w:p>
            <w:pPr>
              <w:ind w:left="440"/>
              <w:spacing w:after="0"/>
              <w:rPr>
                <w:sz w:val="20"/>
                <w:szCs w:val="20"/>
                <w:color w:val="auto"/>
              </w:rPr>
            </w:pPr>
            <w:r>
              <w:rPr>
                <w:rFonts w:ascii="Arial" w:cs="Arial" w:eastAsia="Arial" w:hAnsi="Arial"/>
                <w:sz w:val="18"/>
                <w:szCs w:val="18"/>
                <w:color w:val="auto"/>
              </w:rPr>
              <w:t>Section 7.1 Consolidation, Merger or Sale of Assets Permitted</w:t>
            </w:r>
          </w:p>
        </w:tc>
        <w:tc>
          <w:tcPr>
            <w:tcW w:w="2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2"/>
        </w:trPr>
        <w:tc>
          <w:tcPr>
            <w:tcW w:w="8840" w:type="dxa"/>
            <w:vAlign w:val="bottom"/>
          </w:tcPr>
          <w:p>
            <w:pPr>
              <w:ind w:left="440"/>
              <w:spacing w:after="0"/>
              <w:rPr>
                <w:sz w:val="20"/>
                <w:szCs w:val="20"/>
                <w:color w:val="auto"/>
              </w:rPr>
            </w:pPr>
            <w:r>
              <w:rPr>
                <w:rFonts w:ascii="Arial" w:cs="Arial" w:eastAsia="Arial" w:hAnsi="Arial"/>
                <w:sz w:val="18"/>
                <w:szCs w:val="18"/>
                <w:color w:val="auto"/>
              </w:rPr>
              <w:t>Section 7.2 No Limitations</w:t>
            </w:r>
          </w:p>
        </w:tc>
        <w:tc>
          <w:tcPr>
            <w:tcW w:w="24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8840" w:type="dxa"/>
            <w:vAlign w:val="bottom"/>
          </w:tcPr>
          <w:p>
            <w:pPr>
              <w:spacing w:after="0"/>
              <w:rPr>
                <w:sz w:val="20"/>
                <w:szCs w:val="20"/>
                <w:color w:val="auto"/>
              </w:rPr>
            </w:pPr>
            <w:r>
              <w:rPr>
                <w:rFonts w:ascii="Arial" w:cs="Arial" w:eastAsia="Arial" w:hAnsi="Arial"/>
                <w:sz w:val="18"/>
                <w:szCs w:val="18"/>
                <w:color w:val="auto"/>
              </w:rPr>
              <w:t>ARTICLE 8 SUPPLEMENTAL INDENTURES</w:t>
            </w:r>
          </w:p>
        </w:tc>
        <w:tc>
          <w:tcPr>
            <w:tcW w:w="24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26"/>
        </w:trPr>
        <w:tc>
          <w:tcPr>
            <w:tcW w:w="8840" w:type="dxa"/>
            <w:vAlign w:val="bottom"/>
          </w:tcPr>
          <w:p>
            <w:pPr>
              <w:ind w:left="440"/>
              <w:spacing w:after="0"/>
              <w:rPr>
                <w:sz w:val="20"/>
                <w:szCs w:val="20"/>
                <w:color w:val="auto"/>
              </w:rPr>
            </w:pPr>
            <w:r>
              <w:rPr>
                <w:rFonts w:ascii="Arial" w:cs="Arial" w:eastAsia="Arial" w:hAnsi="Arial"/>
                <w:sz w:val="18"/>
                <w:szCs w:val="18"/>
                <w:color w:val="auto"/>
              </w:rPr>
              <w:t>Section 8.1 Supplemental Indentures Without Consent of Holders</w:t>
            </w:r>
          </w:p>
        </w:tc>
        <w:tc>
          <w:tcPr>
            <w:tcW w:w="24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Section 8.2 With Consent of Holders</w:t>
            </w:r>
          </w:p>
        </w:tc>
        <w:tc>
          <w:tcPr>
            <w:tcW w:w="24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Section 8.3 Compliance With Trust Indenture Act</w:t>
            </w:r>
          </w:p>
        </w:tc>
        <w:tc>
          <w:tcPr>
            <w:tcW w:w="24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Section 8.4 Execution of Supplemental Indentures</w:t>
            </w:r>
          </w:p>
        </w:tc>
        <w:tc>
          <w:tcPr>
            <w:tcW w:w="24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Section 8.5 Effect of Supplemental Indentures</w:t>
            </w:r>
          </w:p>
        </w:tc>
        <w:tc>
          <w:tcPr>
            <w:tcW w:w="2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2"/>
        </w:trPr>
        <w:tc>
          <w:tcPr>
            <w:tcW w:w="8840" w:type="dxa"/>
            <w:vAlign w:val="bottom"/>
          </w:tcPr>
          <w:p>
            <w:pPr>
              <w:ind w:left="440"/>
              <w:spacing w:after="0"/>
              <w:rPr>
                <w:sz w:val="20"/>
                <w:szCs w:val="20"/>
                <w:color w:val="auto"/>
              </w:rPr>
            </w:pPr>
            <w:r>
              <w:rPr>
                <w:rFonts w:ascii="Arial" w:cs="Arial" w:eastAsia="Arial" w:hAnsi="Arial"/>
                <w:sz w:val="18"/>
                <w:szCs w:val="18"/>
                <w:color w:val="auto"/>
              </w:rPr>
              <w:t>Section 8.6 Reference in Securities to Supplemental Indentures</w:t>
            </w:r>
          </w:p>
        </w:tc>
        <w:tc>
          <w:tcPr>
            <w:tcW w:w="2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8840" w:type="dxa"/>
            <w:vAlign w:val="bottom"/>
          </w:tcPr>
          <w:p>
            <w:pPr>
              <w:spacing w:after="0"/>
              <w:rPr>
                <w:sz w:val="20"/>
                <w:szCs w:val="20"/>
                <w:color w:val="auto"/>
              </w:rPr>
            </w:pPr>
            <w:r>
              <w:rPr>
                <w:rFonts w:ascii="Arial" w:cs="Arial" w:eastAsia="Arial" w:hAnsi="Arial"/>
                <w:sz w:val="18"/>
                <w:szCs w:val="18"/>
                <w:color w:val="auto"/>
              </w:rPr>
              <w:t>ARTICLE 9 COVENANTS</w:t>
            </w:r>
          </w:p>
        </w:tc>
        <w:tc>
          <w:tcPr>
            <w:tcW w:w="2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26"/>
        </w:trPr>
        <w:tc>
          <w:tcPr>
            <w:tcW w:w="8840" w:type="dxa"/>
            <w:vAlign w:val="bottom"/>
          </w:tcPr>
          <w:p>
            <w:pPr>
              <w:ind w:left="440"/>
              <w:spacing w:after="0"/>
              <w:rPr>
                <w:sz w:val="20"/>
                <w:szCs w:val="20"/>
                <w:color w:val="auto"/>
              </w:rPr>
            </w:pPr>
            <w:r>
              <w:rPr>
                <w:rFonts w:ascii="Arial" w:cs="Arial" w:eastAsia="Arial" w:hAnsi="Arial"/>
                <w:sz w:val="18"/>
                <w:szCs w:val="18"/>
                <w:color w:val="auto"/>
              </w:rPr>
              <w:t>Section 9.1 Payment of Principal, Premium, if Any, and Interest</w:t>
            </w:r>
          </w:p>
        </w:tc>
        <w:tc>
          <w:tcPr>
            <w:tcW w:w="2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Section 9.2 Maintenance of Office or Agency</w:t>
            </w:r>
          </w:p>
        </w:tc>
        <w:tc>
          <w:tcPr>
            <w:tcW w:w="2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Section 9.3 Money for Securities to Be Held in Trust; Unclaimed Money</w:t>
            </w:r>
          </w:p>
        </w:tc>
        <w:tc>
          <w:tcPr>
            <w:tcW w:w="24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Section 9.4 Corporate Existence</w:t>
            </w:r>
          </w:p>
        </w:tc>
        <w:tc>
          <w:tcPr>
            <w:tcW w:w="24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Section 9.5 Reports by the Company</w:t>
            </w:r>
          </w:p>
        </w:tc>
        <w:tc>
          <w:tcPr>
            <w:tcW w:w="24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Section 9.6 Annual Review Certificate; Notice of Default</w:t>
            </w:r>
          </w:p>
        </w:tc>
        <w:tc>
          <w:tcPr>
            <w:tcW w:w="24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2"/>
        </w:trPr>
        <w:tc>
          <w:tcPr>
            <w:tcW w:w="8840" w:type="dxa"/>
            <w:vAlign w:val="bottom"/>
          </w:tcPr>
          <w:p>
            <w:pPr>
              <w:ind w:left="440"/>
              <w:spacing w:after="0"/>
              <w:rPr>
                <w:sz w:val="20"/>
                <w:szCs w:val="20"/>
                <w:color w:val="auto"/>
              </w:rPr>
            </w:pPr>
            <w:r>
              <w:rPr>
                <w:rFonts w:ascii="Arial" w:cs="Arial" w:eastAsia="Arial" w:hAnsi="Arial"/>
                <w:sz w:val="18"/>
                <w:szCs w:val="18"/>
                <w:color w:val="auto"/>
              </w:rPr>
              <w:t>Section 9.7 Provision of Financial Statements</w:t>
            </w:r>
          </w:p>
        </w:tc>
        <w:tc>
          <w:tcPr>
            <w:tcW w:w="24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8840" w:type="dxa"/>
            <w:vAlign w:val="bottom"/>
          </w:tcPr>
          <w:p>
            <w:pPr>
              <w:spacing w:after="0"/>
              <w:rPr>
                <w:sz w:val="20"/>
                <w:szCs w:val="20"/>
                <w:color w:val="auto"/>
              </w:rPr>
            </w:pPr>
            <w:r>
              <w:rPr>
                <w:rFonts w:ascii="Arial" w:cs="Arial" w:eastAsia="Arial" w:hAnsi="Arial"/>
                <w:sz w:val="18"/>
                <w:szCs w:val="18"/>
                <w:color w:val="auto"/>
              </w:rPr>
              <w:t>ARTICLE 10 REDEMPTION</w:t>
            </w:r>
          </w:p>
        </w:tc>
        <w:tc>
          <w:tcPr>
            <w:tcW w:w="24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26"/>
        </w:trPr>
        <w:tc>
          <w:tcPr>
            <w:tcW w:w="8840" w:type="dxa"/>
            <w:vAlign w:val="bottom"/>
          </w:tcPr>
          <w:p>
            <w:pPr>
              <w:ind w:left="440"/>
              <w:spacing w:after="0"/>
              <w:rPr>
                <w:sz w:val="20"/>
                <w:szCs w:val="20"/>
                <w:color w:val="auto"/>
              </w:rPr>
            </w:pPr>
            <w:r>
              <w:rPr>
                <w:rFonts w:ascii="Arial" w:cs="Arial" w:eastAsia="Arial" w:hAnsi="Arial"/>
                <w:sz w:val="18"/>
                <w:szCs w:val="18"/>
                <w:color w:val="auto"/>
              </w:rPr>
              <w:t>Section 10.1 Applicability of Article</w:t>
            </w:r>
          </w:p>
        </w:tc>
        <w:tc>
          <w:tcPr>
            <w:tcW w:w="24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Section 10.2 Election to Redeem; Notice to Trustee</w:t>
            </w:r>
          </w:p>
        </w:tc>
        <w:tc>
          <w:tcPr>
            <w:tcW w:w="24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2"/>
        </w:trPr>
        <w:tc>
          <w:tcPr>
            <w:tcW w:w="8840" w:type="dxa"/>
            <w:vAlign w:val="bottom"/>
          </w:tcPr>
          <w:p>
            <w:pPr>
              <w:ind w:left="440"/>
              <w:spacing w:after="0"/>
              <w:rPr>
                <w:sz w:val="20"/>
                <w:szCs w:val="20"/>
                <w:color w:val="auto"/>
              </w:rPr>
            </w:pPr>
            <w:r>
              <w:rPr>
                <w:rFonts w:ascii="Arial" w:cs="Arial" w:eastAsia="Arial" w:hAnsi="Arial"/>
                <w:sz w:val="18"/>
                <w:szCs w:val="18"/>
                <w:color w:val="auto"/>
              </w:rPr>
              <w:t>Section 10.3 Selection of Securities to Be Redeemed</w:t>
            </w:r>
          </w:p>
        </w:tc>
        <w:tc>
          <w:tcPr>
            <w:tcW w:w="2480" w:type="dxa"/>
            <w:vAlign w:val="bottom"/>
          </w:tcPr>
          <w:p>
            <w:pPr>
              <w:jc w:val="right"/>
              <w:spacing w:after="0"/>
              <w:rPr>
                <w:sz w:val="20"/>
                <w:szCs w:val="20"/>
                <w:color w:val="auto"/>
              </w:rPr>
            </w:pPr>
            <w:r>
              <w:rPr>
                <w:rFonts w:ascii="Arial" w:cs="Arial" w:eastAsia="Arial" w:hAnsi="Arial"/>
                <w:sz w:val="18"/>
                <w:szCs w:val="18"/>
                <w:color w:val="auto"/>
              </w:rPr>
              <w:t>47</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274"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22"/>
        </w:trPr>
        <w:tc>
          <w:tcPr>
            <w:tcW w:w="10760" w:type="dxa"/>
            <w:vAlign w:val="bottom"/>
          </w:tcPr>
          <w:p>
            <w:pPr>
              <w:ind w:left="478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19"/>
                <w:szCs w:val="19"/>
                <w:color w:val="auto"/>
              </w:rPr>
            </w:pPr>
          </w:p>
        </w:tc>
      </w:tr>
      <w:tr>
        <w:trPr>
          <w:trHeight w:val="222"/>
        </w:trPr>
        <w:tc>
          <w:tcPr>
            <w:tcW w:w="10760" w:type="dxa"/>
            <w:vAlign w:val="bottom"/>
          </w:tcPr>
          <w:p>
            <w:pPr>
              <w:ind w:left="5300"/>
              <w:spacing w:after="0"/>
              <w:rPr>
                <w:sz w:val="20"/>
                <w:szCs w:val="20"/>
                <w:color w:val="auto"/>
              </w:rPr>
            </w:pPr>
            <w:r>
              <w:rPr>
                <w:rFonts w:ascii="Arial" w:cs="Arial" w:eastAsia="Arial" w:hAnsi="Arial"/>
                <w:sz w:val="18"/>
                <w:szCs w:val="18"/>
                <w:color w:val="auto"/>
              </w:rPr>
              <w:t>(continued)</w:t>
            </w:r>
          </w:p>
        </w:tc>
        <w:tc>
          <w:tcPr>
            <w:tcW w:w="560" w:type="dxa"/>
            <w:vAlign w:val="bottom"/>
          </w:tcPr>
          <w:p>
            <w:pPr>
              <w:spacing w:after="0"/>
              <w:rPr>
                <w:sz w:val="19"/>
                <w:szCs w:val="19"/>
                <w:color w:val="auto"/>
              </w:rPr>
            </w:pPr>
          </w:p>
        </w:tc>
      </w:tr>
      <w:tr>
        <w:trPr>
          <w:trHeight w:val="291"/>
        </w:trPr>
        <w:tc>
          <w:tcPr>
            <w:tcW w:w="107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10760" w:type="dxa"/>
            <w:vAlign w:val="bottom"/>
          </w:tcPr>
          <w:p>
            <w:pPr>
              <w:ind w:left="440"/>
              <w:spacing w:after="0"/>
              <w:rPr>
                <w:sz w:val="20"/>
                <w:szCs w:val="20"/>
                <w:color w:val="auto"/>
              </w:rPr>
            </w:pPr>
            <w:r>
              <w:rPr>
                <w:rFonts w:ascii="Arial" w:cs="Arial" w:eastAsia="Arial" w:hAnsi="Arial"/>
                <w:sz w:val="18"/>
                <w:szCs w:val="18"/>
                <w:color w:val="auto"/>
              </w:rPr>
              <w:t>Section 10.4 Notice of Redemption</w:t>
            </w: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760" w:type="dxa"/>
            <w:vAlign w:val="bottom"/>
          </w:tcPr>
          <w:p>
            <w:pPr>
              <w:ind w:left="440"/>
              <w:spacing w:after="0"/>
              <w:rPr>
                <w:sz w:val="20"/>
                <w:szCs w:val="20"/>
                <w:color w:val="auto"/>
              </w:rPr>
            </w:pPr>
            <w:r>
              <w:rPr>
                <w:rFonts w:ascii="Arial" w:cs="Arial" w:eastAsia="Arial" w:hAnsi="Arial"/>
                <w:sz w:val="18"/>
                <w:szCs w:val="18"/>
                <w:color w:val="auto"/>
              </w:rPr>
              <w:t>Section 10.5 Deposit of Redemption Price</w:t>
            </w: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760" w:type="dxa"/>
            <w:vAlign w:val="bottom"/>
          </w:tcPr>
          <w:p>
            <w:pPr>
              <w:ind w:left="440"/>
              <w:spacing w:after="0"/>
              <w:rPr>
                <w:sz w:val="20"/>
                <w:szCs w:val="20"/>
                <w:color w:val="auto"/>
              </w:rPr>
            </w:pPr>
            <w:r>
              <w:rPr>
                <w:rFonts w:ascii="Arial" w:cs="Arial" w:eastAsia="Arial" w:hAnsi="Arial"/>
                <w:sz w:val="18"/>
                <w:szCs w:val="18"/>
                <w:color w:val="auto"/>
              </w:rPr>
              <w:t>Section 10.6 Securities Payable on Redemption Date</w:t>
            </w: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2"/>
        </w:trPr>
        <w:tc>
          <w:tcPr>
            <w:tcW w:w="10760" w:type="dxa"/>
            <w:vAlign w:val="bottom"/>
          </w:tcPr>
          <w:p>
            <w:pPr>
              <w:ind w:left="440"/>
              <w:spacing w:after="0"/>
              <w:rPr>
                <w:sz w:val="20"/>
                <w:szCs w:val="20"/>
                <w:color w:val="auto"/>
              </w:rPr>
            </w:pPr>
            <w:r>
              <w:rPr>
                <w:rFonts w:ascii="Arial" w:cs="Arial" w:eastAsia="Arial" w:hAnsi="Arial"/>
                <w:sz w:val="18"/>
                <w:szCs w:val="18"/>
                <w:color w:val="auto"/>
              </w:rPr>
              <w:t>Section 10.7 Securities Redeemed in Part</w:t>
            </w: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32"/>
        </w:trPr>
        <w:tc>
          <w:tcPr>
            <w:tcW w:w="10760" w:type="dxa"/>
            <w:vAlign w:val="bottom"/>
          </w:tcPr>
          <w:p>
            <w:pPr>
              <w:spacing w:after="0"/>
              <w:rPr>
                <w:sz w:val="20"/>
                <w:szCs w:val="20"/>
                <w:color w:val="auto"/>
              </w:rPr>
            </w:pPr>
            <w:r>
              <w:rPr>
                <w:rFonts w:ascii="Arial" w:cs="Arial" w:eastAsia="Arial" w:hAnsi="Arial"/>
                <w:sz w:val="18"/>
                <w:szCs w:val="18"/>
                <w:color w:val="auto"/>
              </w:rPr>
              <w:t>ARTICLE 11 SINKING FUNDS</w:t>
            </w: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26"/>
        </w:trPr>
        <w:tc>
          <w:tcPr>
            <w:tcW w:w="10760" w:type="dxa"/>
            <w:vAlign w:val="bottom"/>
          </w:tcPr>
          <w:p>
            <w:pPr>
              <w:ind w:left="440"/>
              <w:spacing w:after="0"/>
              <w:rPr>
                <w:sz w:val="20"/>
                <w:szCs w:val="20"/>
                <w:color w:val="auto"/>
              </w:rPr>
            </w:pPr>
            <w:r>
              <w:rPr>
                <w:rFonts w:ascii="Arial" w:cs="Arial" w:eastAsia="Arial" w:hAnsi="Arial"/>
                <w:sz w:val="18"/>
                <w:szCs w:val="18"/>
                <w:color w:val="auto"/>
              </w:rPr>
              <w:t>Section 11.1 Applicability of Article</w:t>
            </w: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760" w:type="dxa"/>
            <w:vAlign w:val="bottom"/>
          </w:tcPr>
          <w:p>
            <w:pPr>
              <w:ind w:left="440"/>
              <w:spacing w:after="0"/>
              <w:rPr>
                <w:sz w:val="20"/>
                <w:szCs w:val="20"/>
                <w:color w:val="auto"/>
              </w:rPr>
            </w:pPr>
            <w:r>
              <w:rPr>
                <w:rFonts w:ascii="Arial" w:cs="Arial" w:eastAsia="Arial" w:hAnsi="Arial"/>
                <w:sz w:val="18"/>
                <w:szCs w:val="18"/>
                <w:color w:val="auto"/>
              </w:rPr>
              <w:t>Section 11.2 Satisfaction of Sinking Fund Payments With Securities</w:t>
            </w: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2"/>
        </w:trPr>
        <w:tc>
          <w:tcPr>
            <w:tcW w:w="10760" w:type="dxa"/>
            <w:vAlign w:val="bottom"/>
          </w:tcPr>
          <w:p>
            <w:pPr>
              <w:ind w:left="440"/>
              <w:spacing w:after="0"/>
              <w:rPr>
                <w:sz w:val="20"/>
                <w:szCs w:val="20"/>
                <w:color w:val="auto"/>
              </w:rPr>
            </w:pPr>
            <w:r>
              <w:rPr>
                <w:rFonts w:ascii="Arial" w:cs="Arial" w:eastAsia="Arial" w:hAnsi="Arial"/>
                <w:sz w:val="18"/>
                <w:szCs w:val="18"/>
                <w:color w:val="auto"/>
              </w:rPr>
              <w:t>Section 11.3 Redemption of Securities for Sinking Fund</w:t>
            </w: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32"/>
        </w:trPr>
        <w:tc>
          <w:tcPr>
            <w:tcW w:w="10760" w:type="dxa"/>
            <w:vAlign w:val="bottom"/>
          </w:tcPr>
          <w:p>
            <w:pPr>
              <w:spacing w:after="0"/>
              <w:rPr>
                <w:sz w:val="20"/>
                <w:szCs w:val="20"/>
                <w:color w:val="auto"/>
              </w:rPr>
            </w:pPr>
            <w:r>
              <w:rPr>
                <w:rFonts w:ascii="Arial" w:cs="Arial" w:eastAsia="Arial" w:hAnsi="Arial"/>
                <w:sz w:val="18"/>
                <w:szCs w:val="18"/>
                <w:color w:val="auto"/>
              </w:rPr>
              <w:t>ARTICLE 12 CONVERSION OF SECURITIES</w:t>
            </w: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26"/>
        </w:trPr>
        <w:tc>
          <w:tcPr>
            <w:tcW w:w="10760" w:type="dxa"/>
            <w:vAlign w:val="bottom"/>
          </w:tcPr>
          <w:p>
            <w:pPr>
              <w:ind w:left="440"/>
              <w:spacing w:after="0"/>
              <w:rPr>
                <w:sz w:val="20"/>
                <w:szCs w:val="20"/>
                <w:color w:val="auto"/>
              </w:rPr>
            </w:pPr>
            <w:r>
              <w:rPr>
                <w:rFonts w:ascii="Arial" w:cs="Arial" w:eastAsia="Arial" w:hAnsi="Arial"/>
                <w:sz w:val="18"/>
                <w:szCs w:val="18"/>
                <w:color w:val="auto"/>
              </w:rPr>
              <w:t>Section 12.1 Conversion Privilege</w:t>
            </w: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760" w:type="dxa"/>
            <w:vAlign w:val="bottom"/>
          </w:tcPr>
          <w:p>
            <w:pPr>
              <w:ind w:left="440"/>
              <w:spacing w:after="0"/>
              <w:rPr>
                <w:sz w:val="20"/>
                <w:szCs w:val="20"/>
                <w:color w:val="auto"/>
              </w:rPr>
            </w:pPr>
            <w:r>
              <w:rPr>
                <w:rFonts w:ascii="Arial" w:cs="Arial" w:eastAsia="Arial" w:hAnsi="Arial"/>
                <w:sz w:val="18"/>
                <w:szCs w:val="18"/>
                <w:color w:val="auto"/>
              </w:rPr>
              <w:t>Section 12.2 Exercise of Conversion Privilege</w:t>
            </w: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760" w:type="dxa"/>
            <w:vAlign w:val="bottom"/>
          </w:tcPr>
          <w:p>
            <w:pPr>
              <w:ind w:left="440"/>
              <w:spacing w:after="0"/>
              <w:rPr>
                <w:sz w:val="20"/>
                <w:szCs w:val="20"/>
                <w:color w:val="auto"/>
              </w:rPr>
            </w:pPr>
            <w:r>
              <w:rPr>
                <w:rFonts w:ascii="Arial" w:cs="Arial" w:eastAsia="Arial" w:hAnsi="Arial"/>
                <w:sz w:val="18"/>
                <w:szCs w:val="18"/>
                <w:color w:val="auto"/>
              </w:rPr>
              <w:t>Section 12.3 Fractions of Shares</w:t>
            </w: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760" w:type="dxa"/>
            <w:vAlign w:val="bottom"/>
          </w:tcPr>
          <w:p>
            <w:pPr>
              <w:ind w:left="440"/>
              <w:spacing w:after="0"/>
              <w:rPr>
                <w:sz w:val="20"/>
                <w:szCs w:val="20"/>
                <w:color w:val="auto"/>
              </w:rPr>
            </w:pPr>
            <w:r>
              <w:rPr>
                <w:rFonts w:ascii="Arial" w:cs="Arial" w:eastAsia="Arial" w:hAnsi="Arial"/>
                <w:sz w:val="18"/>
                <w:szCs w:val="18"/>
                <w:color w:val="auto"/>
              </w:rPr>
              <w:t>Section 12.4 Adjustment of Conversion Price</w:t>
            </w: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760" w:type="dxa"/>
            <w:vAlign w:val="bottom"/>
          </w:tcPr>
          <w:p>
            <w:pPr>
              <w:ind w:left="440"/>
              <w:spacing w:after="0"/>
              <w:rPr>
                <w:sz w:val="20"/>
                <w:szCs w:val="20"/>
                <w:color w:val="auto"/>
              </w:rPr>
            </w:pPr>
            <w:r>
              <w:rPr>
                <w:rFonts w:ascii="Arial" w:cs="Arial" w:eastAsia="Arial" w:hAnsi="Arial"/>
                <w:sz w:val="18"/>
                <w:szCs w:val="18"/>
                <w:color w:val="auto"/>
              </w:rPr>
              <w:t>Section 12.5 Notice of Adjustments of Conversion Price</w:t>
            </w: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760" w:type="dxa"/>
            <w:vAlign w:val="bottom"/>
          </w:tcPr>
          <w:p>
            <w:pPr>
              <w:ind w:left="440"/>
              <w:spacing w:after="0"/>
              <w:rPr>
                <w:sz w:val="20"/>
                <w:szCs w:val="20"/>
                <w:color w:val="auto"/>
              </w:rPr>
            </w:pPr>
            <w:r>
              <w:rPr>
                <w:rFonts w:ascii="Arial" w:cs="Arial" w:eastAsia="Arial" w:hAnsi="Arial"/>
                <w:sz w:val="18"/>
                <w:szCs w:val="18"/>
                <w:color w:val="auto"/>
              </w:rPr>
              <w:t>Section 12.6 Notice of Certain Corporate Action</w:t>
            </w: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760" w:type="dxa"/>
            <w:vAlign w:val="bottom"/>
          </w:tcPr>
          <w:p>
            <w:pPr>
              <w:ind w:left="440"/>
              <w:spacing w:after="0"/>
              <w:rPr>
                <w:sz w:val="20"/>
                <w:szCs w:val="20"/>
                <w:color w:val="auto"/>
              </w:rPr>
            </w:pPr>
            <w:r>
              <w:rPr>
                <w:rFonts w:ascii="Arial" w:cs="Arial" w:eastAsia="Arial" w:hAnsi="Arial"/>
                <w:sz w:val="18"/>
                <w:szCs w:val="18"/>
                <w:color w:val="auto"/>
              </w:rPr>
              <w:t>Section 12.7 Company to Reserve Common Stock</w:t>
            </w: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760" w:type="dxa"/>
            <w:vAlign w:val="bottom"/>
          </w:tcPr>
          <w:p>
            <w:pPr>
              <w:ind w:left="440"/>
              <w:spacing w:after="0"/>
              <w:rPr>
                <w:sz w:val="20"/>
                <w:szCs w:val="20"/>
                <w:color w:val="auto"/>
              </w:rPr>
            </w:pPr>
            <w:r>
              <w:rPr>
                <w:rFonts w:ascii="Arial" w:cs="Arial" w:eastAsia="Arial" w:hAnsi="Arial"/>
                <w:sz w:val="18"/>
                <w:szCs w:val="18"/>
                <w:color w:val="auto"/>
              </w:rPr>
              <w:t>Section 12.8 Taxes on Conversions</w:t>
            </w: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760" w:type="dxa"/>
            <w:vAlign w:val="bottom"/>
          </w:tcPr>
          <w:p>
            <w:pPr>
              <w:ind w:left="440"/>
              <w:spacing w:after="0"/>
              <w:rPr>
                <w:sz w:val="20"/>
                <w:szCs w:val="20"/>
                <w:color w:val="auto"/>
              </w:rPr>
            </w:pPr>
            <w:r>
              <w:rPr>
                <w:rFonts w:ascii="Arial" w:cs="Arial" w:eastAsia="Arial" w:hAnsi="Arial"/>
                <w:sz w:val="18"/>
                <w:szCs w:val="18"/>
                <w:color w:val="auto"/>
              </w:rPr>
              <w:t>Section 12.9 Covenant as to Common Stock</w:t>
            </w: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760" w:type="dxa"/>
            <w:vAlign w:val="bottom"/>
          </w:tcPr>
          <w:p>
            <w:pPr>
              <w:ind w:left="440"/>
              <w:spacing w:after="0"/>
              <w:rPr>
                <w:sz w:val="20"/>
                <w:szCs w:val="20"/>
                <w:color w:val="auto"/>
              </w:rPr>
            </w:pPr>
            <w:r>
              <w:rPr>
                <w:rFonts w:ascii="Arial" w:cs="Arial" w:eastAsia="Arial" w:hAnsi="Arial"/>
                <w:sz w:val="18"/>
                <w:szCs w:val="18"/>
                <w:color w:val="auto"/>
              </w:rPr>
              <w:t>Section 12.10 Cancellation of Converted Securities</w:t>
            </w: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2"/>
        </w:trPr>
        <w:tc>
          <w:tcPr>
            <w:tcW w:w="10760" w:type="dxa"/>
            <w:vAlign w:val="bottom"/>
          </w:tcPr>
          <w:p>
            <w:pPr>
              <w:ind w:left="440"/>
              <w:spacing w:after="0"/>
              <w:rPr>
                <w:sz w:val="20"/>
                <w:szCs w:val="20"/>
                <w:color w:val="auto"/>
              </w:rPr>
            </w:pPr>
            <w:r>
              <w:rPr>
                <w:rFonts w:ascii="Arial" w:cs="Arial" w:eastAsia="Arial" w:hAnsi="Arial"/>
                <w:sz w:val="18"/>
                <w:szCs w:val="18"/>
                <w:color w:val="auto"/>
              </w:rPr>
              <w:t>Section 12.11 Provisions in Case of Consolidation, Merger of Sale of Assets</w:t>
            </w: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32"/>
        </w:trPr>
        <w:tc>
          <w:tcPr>
            <w:tcW w:w="10760" w:type="dxa"/>
            <w:vAlign w:val="bottom"/>
          </w:tcPr>
          <w:p>
            <w:pPr>
              <w:spacing w:after="0"/>
              <w:rPr>
                <w:sz w:val="20"/>
                <w:szCs w:val="20"/>
                <w:color w:val="auto"/>
              </w:rPr>
            </w:pPr>
            <w:r>
              <w:rPr>
                <w:rFonts w:ascii="Arial" w:cs="Arial" w:eastAsia="Arial" w:hAnsi="Arial"/>
                <w:sz w:val="18"/>
                <w:szCs w:val="18"/>
                <w:color w:val="auto"/>
              </w:rPr>
              <w:t>ARTICLE 13 SUBORDINATION OF SECURITIES</w:t>
            </w: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26"/>
        </w:trPr>
        <w:tc>
          <w:tcPr>
            <w:tcW w:w="10760" w:type="dxa"/>
            <w:vAlign w:val="bottom"/>
          </w:tcPr>
          <w:p>
            <w:pPr>
              <w:ind w:left="440"/>
              <w:spacing w:after="0"/>
              <w:rPr>
                <w:sz w:val="20"/>
                <w:szCs w:val="20"/>
                <w:color w:val="auto"/>
              </w:rPr>
            </w:pPr>
            <w:r>
              <w:rPr>
                <w:rFonts w:ascii="Arial" w:cs="Arial" w:eastAsia="Arial" w:hAnsi="Arial"/>
                <w:sz w:val="18"/>
                <w:szCs w:val="18"/>
                <w:color w:val="auto"/>
              </w:rPr>
              <w:t>Section 13.1 Securities Subordinated to Senior Indebtedness</w:t>
            </w: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760" w:type="dxa"/>
            <w:vAlign w:val="bottom"/>
          </w:tcPr>
          <w:p>
            <w:pPr>
              <w:ind w:left="440"/>
              <w:spacing w:after="0"/>
              <w:rPr>
                <w:sz w:val="20"/>
                <w:szCs w:val="20"/>
                <w:color w:val="auto"/>
              </w:rPr>
            </w:pPr>
            <w:r>
              <w:rPr>
                <w:rFonts w:ascii="Arial" w:cs="Arial" w:eastAsia="Arial" w:hAnsi="Arial"/>
                <w:sz w:val="18"/>
                <w:szCs w:val="18"/>
                <w:color w:val="auto"/>
                <w:w w:val="91"/>
              </w:rPr>
              <w:t>Section 13.2 Company Not to Make Payments with Respect to Securities in Certain Circumstances; Limitations on  Acceleration of Securities</w:t>
            </w: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760" w:type="dxa"/>
            <w:vAlign w:val="bottom"/>
          </w:tcPr>
          <w:p>
            <w:pPr>
              <w:ind w:left="440"/>
              <w:spacing w:after="0"/>
              <w:rPr>
                <w:sz w:val="20"/>
                <w:szCs w:val="20"/>
                <w:color w:val="auto"/>
              </w:rPr>
            </w:pPr>
            <w:r>
              <w:rPr>
                <w:rFonts w:ascii="Arial" w:cs="Arial" w:eastAsia="Arial" w:hAnsi="Arial"/>
                <w:sz w:val="18"/>
                <w:szCs w:val="18"/>
                <w:color w:val="auto"/>
                <w:w w:val="96"/>
              </w:rPr>
              <w:t>Section 13.3 Securities Subordinated to Prior Payment of All Senior Indebtedness on Dissolution, Liquidation or  Reorganization of the</w:t>
            </w:r>
          </w:p>
        </w:tc>
        <w:tc>
          <w:tcPr>
            <w:tcW w:w="560" w:type="dxa"/>
            <w:vAlign w:val="bottom"/>
          </w:tcPr>
          <w:p>
            <w:pPr>
              <w:spacing w:after="0"/>
              <w:rPr>
                <w:sz w:val="18"/>
                <w:szCs w:val="18"/>
                <w:color w:val="auto"/>
              </w:rPr>
            </w:pPr>
          </w:p>
        </w:tc>
      </w:tr>
      <w:tr>
        <w:trPr>
          <w:trHeight w:val="216"/>
        </w:trPr>
        <w:tc>
          <w:tcPr>
            <w:tcW w:w="10760" w:type="dxa"/>
            <w:vAlign w:val="bottom"/>
          </w:tcPr>
          <w:p>
            <w:pPr>
              <w:ind w:left="1300"/>
              <w:spacing w:after="0"/>
              <w:rPr>
                <w:sz w:val="20"/>
                <w:szCs w:val="20"/>
                <w:color w:val="auto"/>
              </w:rPr>
            </w:pPr>
            <w:r>
              <w:rPr>
                <w:rFonts w:ascii="Arial" w:cs="Arial" w:eastAsia="Arial" w:hAnsi="Arial"/>
                <w:sz w:val="18"/>
                <w:szCs w:val="18"/>
                <w:color w:val="auto"/>
              </w:rPr>
              <w:t>Company</w:t>
            </w: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760" w:type="dxa"/>
            <w:vAlign w:val="bottom"/>
          </w:tcPr>
          <w:p>
            <w:pPr>
              <w:ind w:left="440"/>
              <w:spacing w:after="0"/>
              <w:rPr>
                <w:sz w:val="20"/>
                <w:szCs w:val="20"/>
                <w:color w:val="auto"/>
              </w:rPr>
            </w:pPr>
            <w:r>
              <w:rPr>
                <w:rFonts w:ascii="Arial" w:cs="Arial" w:eastAsia="Arial" w:hAnsi="Arial"/>
                <w:sz w:val="18"/>
                <w:szCs w:val="18"/>
                <w:color w:val="auto"/>
              </w:rPr>
              <w:t>Section 13.4 Holders to Be Subrogated to Rights of Holders of Senior Indebtedness</w:t>
            </w: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0760" w:type="dxa"/>
            <w:vAlign w:val="bottom"/>
          </w:tcPr>
          <w:p>
            <w:pPr>
              <w:ind w:left="440"/>
              <w:spacing w:after="0"/>
              <w:rPr>
                <w:sz w:val="20"/>
                <w:szCs w:val="20"/>
                <w:color w:val="auto"/>
              </w:rPr>
            </w:pPr>
            <w:r>
              <w:rPr>
                <w:rFonts w:ascii="Arial" w:cs="Arial" w:eastAsia="Arial" w:hAnsi="Arial"/>
                <w:sz w:val="18"/>
                <w:szCs w:val="18"/>
                <w:color w:val="auto"/>
              </w:rPr>
              <w:t>Section 13.5 Obligation of the Company Unconditional</w:t>
            </w: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0760" w:type="dxa"/>
            <w:vAlign w:val="bottom"/>
          </w:tcPr>
          <w:p>
            <w:pPr>
              <w:ind w:left="440"/>
              <w:spacing w:after="0"/>
              <w:rPr>
                <w:sz w:val="20"/>
                <w:szCs w:val="20"/>
                <w:color w:val="auto"/>
              </w:rPr>
            </w:pPr>
            <w:r>
              <w:rPr>
                <w:rFonts w:ascii="Arial" w:cs="Arial" w:eastAsia="Arial" w:hAnsi="Arial"/>
                <w:sz w:val="18"/>
                <w:szCs w:val="18"/>
                <w:color w:val="auto"/>
              </w:rPr>
              <w:t>Section 13.6 Knowledge of Trustee</w:t>
            </w: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2"/>
        </w:trPr>
        <w:tc>
          <w:tcPr>
            <w:tcW w:w="10760" w:type="dxa"/>
            <w:vAlign w:val="bottom"/>
          </w:tcPr>
          <w:p>
            <w:pPr>
              <w:ind w:left="440"/>
              <w:spacing w:after="0"/>
              <w:rPr>
                <w:sz w:val="20"/>
                <w:szCs w:val="20"/>
                <w:color w:val="auto"/>
              </w:rPr>
            </w:pPr>
            <w:r>
              <w:rPr>
                <w:rFonts w:ascii="Arial" w:cs="Arial" w:eastAsia="Arial" w:hAnsi="Arial"/>
                <w:sz w:val="18"/>
                <w:szCs w:val="18"/>
                <w:color w:val="auto"/>
              </w:rPr>
              <w:t>Section 13.7 Application by Trustee of Moneys Deposited With It</w:t>
            </w: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320"/>
          </w:cols>
          <w:pgMar w:left="240" w:top="274" w:right="339" w:bottom="1440" w:gutter="0" w:footer="0" w:header="0"/>
        </w:sectPr>
      </w:pPr>
    </w:p>
    <w:bookmarkStart w:id="91" w:name="page92"/>
    <w:bookmarkEnd w:id="9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w w:val="87"/>
              </w:rPr>
              <w:t>Section 13.8</w:t>
            </w:r>
          </w:p>
        </w:tc>
        <w:tc>
          <w:tcPr>
            <w:tcW w:w="8780" w:type="dxa"/>
            <w:vAlign w:val="bottom"/>
            <w:gridSpan w:val="2"/>
          </w:tcPr>
          <w:p>
            <w:pPr>
              <w:ind w:left="20"/>
              <w:spacing w:after="0"/>
              <w:rPr>
                <w:sz w:val="20"/>
                <w:szCs w:val="20"/>
                <w:color w:val="auto"/>
              </w:rPr>
            </w:pPr>
            <w:r>
              <w:rPr>
                <w:rFonts w:ascii="Arial" w:cs="Arial" w:eastAsia="Arial" w:hAnsi="Arial"/>
                <w:sz w:val="18"/>
                <w:szCs w:val="18"/>
                <w:color w:val="auto"/>
              </w:rPr>
              <w:t>Subordination Rights Not Impaired by Acts or Omissions of Company or Holders of Senior Indebtedness</w:t>
            </w:r>
          </w:p>
        </w:tc>
        <w:tc>
          <w:tcPr>
            <w:tcW w:w="16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w w:val="87"/>
              </w:rPr>
              <w:t>Section 13.9</w:t>
            </w:r>
          </w:p>
        </w:tc>
        <w:tc>
          <w:tcPr>
            <w:tcW w:w="8780" w:type="dxa"/>
            <w:vAlign w:val="bottom"/>
            <w:gridSpan w:val="2"/>
          </w:tcPr>
          <w:p>
            <w:pPr>
              <w:ind w:left="20"/>
              <w:spacing w:after="0"/>
              <w:rPr>
                <w:sz w:val="20"/>
                <w:szCs w:val="20"/>
                <w:color w:val="auto"/>
              </w:rPr>
            </w:pPr>
            <w:r>
              <w:rPr>
                <w:rFonts w:ascii="Arial" w:cs="Arial" w:eastAsia="Arial" w:hAnsi="Arial"/>
                <w:sz w:val="18"/>
                <w:szCs w:val="18"/>
                <w:color w:val="auto"/>
              </w:rPr>
              <w:t>Holders Authorize Trustee to Effectuate Subordination of Securities</w:t>
            </w:r>
          </w:p>
        </w:tc>
        <w:tc>
          <w:tcPr>
            <w:tcW w:w="16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680" w:type="dxa"/>
            <w:vAlign w:val="bottom"/>
            <w:gridSpan w:val="3"/>
          </w:tcPr>
          <w:p>
            <w:pPr>
              <w:spacing w:after="0"/>
              <w:rPr>
                <w:sz w:val="20"/>
                <w:szCs w:val="20"/>
                <w:color w:val="auto"/>
              </w:rPr>
            </w:pPr>
            <w:r>
              <w:rPr>
                <w:rFonts w:ascii="Arial" w:cs="Arial" w:eastAsia="Arial" w:hAnsi="Arial"/>
                <w:sz w:val="18"/>
                <w:szCs w:val="18"/>
                <w:color w:val="auto"/>
              </w:rPr>
              <w:t>Section 13.10 Right of Trustee to Hold Senior Indebtedness</w:t>
            </w:r>
          </w:p>
        </w:tc>
        <w:tc>
          <w:tcPr>
            <w:tcW w:w="16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680" w:type="dxa"/>
            <w:vAlign w:val="bottom"/>
            <w:gridSpan w:val="3"/>
          </w:tcPr>
          <w:p>
            <w:pPr>
              <w:spacing w:after="0"/>
              <w:rPr>
                <w:sz w:val="20"/>
                <w:szCs w:val="20"/>
                <w:color w:val="auto"/>
              </w:rPr>
            </w:pPr>
            <w:r>
              <w:rPr>
                <w:rFonts w:ascii="Arial" w:cs="Arial" w:eastAsia="Arial" w:hAnsi="Arial"/>
                <w:sz w:val="18"/>
                <w:szCs w:val="18"/>
                <w:color w:val="auto"/>
              </w:rPr>
              <w:t>Section 13.11 Article 13 Not to Prevent Events of Default</w:t>
            </w:r>
          </w:p>
        </w:tc>
        <w:tc>
          <w:tcPr>
            <w:tcW w:w="16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w w:val="88"/>
              </w:rPr>
              <w:t>Section 13.12</w:t>
            </w:r>
          </w:p>
        </w:tc>
        <w:tc>
          <w:tcPr>
            <w:tcW w:w="8680" w:type="dxa"/>
            <w:vAlign w:val="bottom"/>
          </w:tcPr>
          <w:p>
            <w:pPr>
              <w:ind w:left="20"/>
              <w:spacing w:after="0"/>
              <w:rPr>
                <w:sz w:val="20"/>
                <w:szCs w:val="20"/>
                <w:color w:val="auto"/>
              </w:rPr>
            </w:pPr>
            <w:r>
              <w:rPr>
                <w:rFonts w:ascii="Arial" w:cs="Arial" w:eastAsia="Arial" w:hAnsi="Arial"/>
                <w:sz w:val="18"/>
                <w:szCs w:val="18"/>
                <w:color w:val="auto"/>
              </w:rPr>
              <w:t>Paying Agents Other Than the Trustee</w:t>
            </w:r>
          </w:p>
        </w:tc>
        <w:tc>
          <w:tcPr>
            <w:tcW w:w="16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w w:val="88"/>
              </w:rPr>
              <w:t>Section 13.13</w:t>
            </w:r>
          </w:p>
        </w:tc>
        <w:tc>
          <w:tcPr>
            <w:tcW w:w="8680" w:type="dxa"/>
            <w:vAlign w:val="bottom"/>
          </w:tcPr>
          <w:p>
            <w:pPr>
              <w:ind w:left="20"/>
              <w:spacing w:after="0"/>
              <w:rPr>
                <w:sz w:val="20"/>
                <w:szCs w:val="20"/>
                <w:color w:val="auto"/>
              </w:rPr>
            </w:pPr>
            <w:r>
              <w:rPr>
                <w:rFonts w:ascii="Arial" w:cs="Arial" w:eastAsia="Arial" w:hAnsi="Arial"/>
                <w:sz w:val="18"/>
                <w:szCs w:val="18"/>
                <w:color w:val="auto"/>
              </w:rPr>
              <w:t>Trustee’s Compensation Not Prejudiced</w:t>
            </w:r>
          </w:p>
        </w:tc>
        <w:tc>
          <w:tcPr>
            <w:tcW w:w="16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2"/>
        </w:trPr>
        <w:tc>
          <w:tcPr>
            <w:tcW w:w="1000" w:type="dxa"/>
            <w:vAlign w:val="bottom"/>
            <w:gridSpan w:val="2"/>
          </w:tcPr>
          <w:p>
            <w:pPr>
              <w:spacing w:after="0"/>
              <w:rPr>
                <w:sz w:val="20"/>
                <w:szCs w:val="20"/>
                <w:color w:val="auto"/>
              </w:rPr>
            </w:pPr>
            <w:r>
              <w:rPr>
                <w:rFonts w:ascii="Arial" w:cs="Arial" w:eastAsia="Arial" w:hAnsi="Arial"/>
                <w:sz w:val="18"/>
                <w:szCs w:val="18"/>
                <w:color w:val="auto"/>
                <w:w w:val="88"/>
              </w:rPr>
              <w:t>Section 13.14</w:t>
            </w:r>
          </w:p>
        </w:tc>
        <w:tc>
          <w:tcPr>
            <w:tcW w:w="8680" w:type="dxa"/>
            <w:vAlign w:val="bottom"/>
          </w:tcPr>
          <w:p>
            <w:pPr>
              <w:ind w:left="20"/>
              <w:spacing w:after="0"/>
              <w:rPr>
                <w:sz w:val="20"/>
                <w:szCs w:val="20"/>
                <w:color w:val="auto"/>
              </w:rPr>
            </w:pPr>
            <w:r>
              <w:rPr>
                <w:rFonts w:ascii="Arial" w:cs="Arial" w:eastAsia="Arial" w:hAnsi="Arial"/>
                <w:sz w:val="18"/>
                <w:szCs w:val="18"/>
                <w:color w:val="auto"/>
              </w:rPr>
              <w:t>Trust Moneys Not Subordinated</w:t>
            </w:r>
          </w:p>
        </w:tc>
        <w:tc>
          <w:tcPr>
            <w:tcW w:w="164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EXHIBIT A – FORM OF FACE OF SECURITY</w:t>
            </w:r>
          </w:p>
        </w:tc>
        <w:tc>
          <w:tcPr>
            <w:tcW w:w="406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22"/>
        </w:trPr>
        <w:tc>
          <w:tcPr>
            <w:tcW w:w="7260" w:type="dxa"/>
            <w:vAlign w:val="bottom"/>
          </w:tcPr>
          <w:p>
            <w:pPr>
              <w:spacing w:after="0"/>
              <w:rPr>
                <w:sz w:val="20"/>
                <w:szCs w:val="20"/>
                <w:color w:val="auto"/>
              </w:rPr>
            </w:pPr>
            <w:r>
              <w:rPr>
                <w:rFonts w:ascii="Arial" w:cs="Arial" w:eastAsia="Arial" w:hAnsi="Arial"/>
                <w:sz w:val="18"/>
                <w:szCs w:val="18"/>
                <w:color w:val="auto"/>
              </w:rPr>
              <w:t>FORM OF REVERSE OF SECURITY</w:t>
            </w:r>
          </w:p>
        </w:tc>
        <w:tc>
          <w:tcPr>
            <w:tcW w:w="406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320"/>
          </w:cols>
          <w:pgMar w:left="240" w:top="274" w:right="339" w:bottom="1440" w:gutter="0" w:footer="0" w:header="0"/>
        </w:sectPr>
      </w:pPr>
    </w:p>
    <w:bookmarkStart w:id="92" w:name="page93"/>
    <w:bookmarkEnd w:id="9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w:t>
      </w:r>
    </w:p>
    <w:p>
      <w:pPr>
        <w:sectPr>
          <w:pgSz w:w="11900" w:h="16838" w:orient="portrait"/>
          <w:cols w:equalWidth="0" w:num="1">
            <w:col w:w="11260"/>
          </w:cols>
          <w:pgMar w:left="240" w:top="274" w:right="399" w:bottom="1440" w:gutter="0" w:footer="0" w:header="0"/>
        </w:sectPr>
      </w:pP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Indenture, dated as of</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 201</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 from Itron, Inc., a Washington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as issuer, to</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a</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 as Trustee (the</w:t>
      </w:r>
    </w:p>
    <w:p>
      <w:pPr>
        <w:spacing w:after="0" w:line="49" w:lineRule="exact"/>
        <w:rPr>
          <w:sz w:val="20"/>
          <w:szCs w:val="20"/>
          <w:color w:val="auto"/>
        </w:rPr>
      </w:pPr>
    </w:p>
    <w:p>
      <w:pPr>
        <w:sectPr>
          <w:pgSz w:w="11900" w:h="16838" w:orient="portrait"/>
          <w:cols w:equalWidth="0" w:num="5">
            <w:col w:w="1980" w:space="580"/>
            <w:col w:w="340" w:space="180"/>
            <w:col w:w="5240" w:space="580"/>
            <w:col w:w="160" w:space="560"/>
            <w:col w:w="1640"/>
          </w:cols>
          <w:pgMar w:left="240" w:top="274" w:right="39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w:t>
      </w:r>
    </w:p>
    <w:p>
      <w:pPr>
        <w:sectPr>
          <w:pgSz w:w="11900" w:h="16838" w:orient="portrait"/>
          <w:cols w:equalWidth="0" w:num="1">
            <w:col w:w="11260"/>
          </w:cols>
          <w:pgMar w:left="240" w:top="274" w:right="399" w:bottom="1440" w:gutter="0" w:footer="0" w:header="0"/>
          <w:type w:val="continuous"/>
        </w:sectPr>
      </w:pPr>
    </w:p>
    <w:p>
      <w:pPr>
        <w:spacing w:after="0" w:line="34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RECITALS</w:t>
      </w:r>
    </w:p>
    <w:p>
      <w:pPr>
        <w:spacing w:after="0" w:line="17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Company has duly authorized the execution and delivery of this Indenture to provide for the issuance from time to time of its unsecured convertible [subordinated] debentures, notes or other evidences of indebtedness (“</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 to be issued in one or more series as herein provided.</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All things necessary to make the Securities, when executed by the Company, the valid obligations of the Company, and to make this Indenture a valid agreement of the Company, in accordance with their and its terms, have been done.</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covenanted and agreed as follows for the equal and ratable benefit of the Holders of the Securities:</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ARTICLE 1</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Definitions and Other Provisions of General Application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Definitions</w:t>
      </w:r>
    </w:p>
    <w:p>
      <w:pPr>
        <w:spacing w:after="0" w:line="96" w:lineRule="exact"/>
        <w:rPr>
          <w:sz w:val="20"/>
          <w:szCs w:val="20"/>
          <w:color w:val="auto"/>
        </w:rPr>
      </w:pPr>
    </w:p>
    <w:p>
      <w:pPr>
        <w:ind w:left="700" w:hanging="236"/>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all purposes of this Indenture, except as otherwise expressly provided or unless the context otherwise requires:</w:t>
      </w:r>
    </w:p>
    <w:p>
      <w:pPr>
        <w:spacing w:after="0" w:line="171" w:lineRule="exact"/>
        <w:rPr>
          <w:rFonts w:ascii="Arial" w:cs="Arial" w:eastAsia="Arial" w:hAnsi="Arial"/>
          <w:sz w:val="18"/>
          <w:szCs w:val="18"/>
          <w:color w:val="auto"/>
        </w:rPr>
      </w:pPr>
    </w:p>
    <w:p>
      <w:pPr>
        <w:ind w:left="1120" w:hanging="217"/>
        <w:spacing w:after="0"/>
        <w:tabs>
          <w:tab w:leader="none" w:pos="1120"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the terms defined in this Article have the meanings assigned to them in this Article and include the plural as well as the singular;</w:t>
      </w:r>
    </w:p>
    <w:p>
      <w:pPr>
        <w:spacing w:after="0" w:line="194" w:lineRule="exact"/>
        <w:rPr>
          <w:rFonts w:ascii="Arial" w:cs="Arial" w:eastAsia="Arial" w:hAnsi="Arial"/>
          <w:sz w:val="16"/>
          <w:szCs w:val="16"/>
          <w:color w:val="auto"/>
        </w:rPr>
      </w:pPr>
    </w:p>
    <w:p>
      <w:pPr>
        <w:ind w:left="460" w:right="140" w:firstLine="443"/>
        <w:spacing w:after="0" w:line="268" w:lineRule="auto"/>
        <w:tabs>
          <w:tab w:leader="none" w:pos="1157"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Trust Indenture Act, either directly or by reference therein, have the meanings assigned to them therein;</w:t>
      </w:r>
    </w:p>
    <w:p>
      <w:pPr>
        <w:spacing w:after="0" w:line="131" w:lineRule="exact"/>
        <w:rPr>
          <w:rFonts w:ascii="Arial" w:cs="Arial" w:eastAsia="Arial" w:hAnsi="Arial"/>
          <w:sz w:val="18"/>
          <w:szCs w:val="18"/>
          <w:color w:val="auto"/>
        </w:rPr>
      </w:pPr>
    </w:p>
    <w:p>
      <w:pPr>
        <w:ind w:left="460" w:right="460" w:firstLine="443"/>
        <w:spacing w:after="0" w:line="268" w:lineRule="auto"/>
        <w:tabs>
          <w:tab w:leader="none" w:pos="1205"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generally accepted accounting principles; and</w:t>
      </w:r>
    </w:p>
    <w:p>
      <w:pPr>
        <w:spacing w:after="0" w:line="131" w:lineRule="exact"/>
        <w:rPr>
          <w:rFonts w:ascii="Arial" w:cs="Arial" w:eastAsia="Arial" w:hAnsi="Arial"/>
          <w:sz w:val="18"/>
          <w:szCs w:val="18"/>
          <w:color w:val="auto"/>
        </w:rPr>
      </w:pPr>
    </w:p>
    <w:p>
      <w:pPr>
        <w:ind w:left="460" w:right="320" w:firstLine="443"/>
        <w:spacing w:after="0" w:line="268" w:lineRule="auto"/>
        <w:tabs>
          <w:tab w:leader="none" w:pos="1196"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of any specified Person means any Person directly or indirectly controlling or controlled by, or under direct or indirect common control with such specified Person. For purposes of this definition, “</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when used with respect to any specified Person means the power to direct the management and policies of such Person, directly or indirectly, whether through the ownership of voting securities, by contract or otherwise; and the terms “</w:t>
      </w:r>
      <w:r>
        <w:rPr>
          <w:rFonts w:ascii="Arial" w:cs="Arial" w:eastAsia="Arial" w:hAnsi="Arial"/>
          <w:sz w:val="18"/>
          <w:szCs w:val="18"/>
          <w:b w:val="1"/>
          <w:bCs w:val="1"/>
          <w:i w:val="1"/>
          <w:iCs w:val="1"/>
          <w:color w:val="auto"/>
        </w:rPr>
        <w:t>controlling</w:t>
      </w:r>
      <w:r>
        <w:rPr>
          <w:rFonts w:ascii="Arial" w:cs="Arial" w:eastAsia="Arial" w:hAnsi="Arial"/>
          <w:sz w:val="18"/>
          <w:szCs w:val="18"/>
          <w:color w:val="auto"/>
        </w:rPr>
        <w:t>” and “</w:t>
      </w:r>
      <w:r>
        <w:rPr>
          <w:rFonts w:ascii="Arial" w:cs="Arial" w:eastAsia="Arial" w:hAnsi="Arial"/>
          <w:sz w:val="18"/>
          <w:szCs w:val="18"/>
          <w:b w:val="1"/>
          <w:bCs w:val="1"/>
          <w:i w:val="1"/>
          <w:iCs w:val="1"/>
          <w:color w:val="auto"/>
        </w:rPr>
        <w:t>controlled</w:t>
      </w:r>
      <w:r>
        <w:rPr>
          <w:rFonts w:ascii="Arial" w:cs="Arial" w:eastAsia="Arial" w:hAnsi="Arial"/>
          <w:sz w:val="18"/>
          <w:szCs w:val="18"/>
          <w:color w:val="auto"/>
        </w:rPr>
        <w:t>” have meanings correlative to the foregoing.</w:t>
      </w:r>
    </w:p>
    <w:p>
      <w:pPr>
        <w:sectPr>
          <w:pgSz w:w="11900" w:h="16838" w:orient="portrait"/>
          <w:cols w:equalWidth="0" w:num="1">
            <w:col w:w="11260"/>
          </w:cols>
          <w:pgMar w:left="240" w:top="274" w:right="399" w:bottom="1440" w:gutter="0" w:footer="0" w:header="0"/>
          <w:type w:val="continuous"/>
        </w:sectPr>
      </w:pPr>
    </w:p>
    <w:bookmarkStart w:id="93" w:name="page94"/>
    <w:bookmarkEnd w:id="9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means any Paying Agent or Registrar.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Authenticating Agent</w:t>
      </w:r>
      <w:r>
        <w:rPr>
          <w:rFonts w:ascii="Arial" w:cs="Arial" w:eastAsia="Arial" w:hAnsi="Arial"/>
          <w:sz w:val="18"/>
          <w:szCs w:val="18"/>
          <w:color w:val="auto"/>
        </w:rPr>
        <w:t>” means any authenticating agent appointed by the Trustee pursuant to Section 6.14.</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or “</w:t>
      </w:r>
      <w:r>
        <w:rPr>
          <w:rFonts w:ascii="Arial" w:cs="Arial" w:eastAsia="Arial" w:hAnsi="Arial"/>
          <w:sz w:val="16"/>
          <w:szCs w:val="16"/>
          <w:b w:val="1"/>
          <w:bCs w:val="1"/>
          <w:i w:val="1"/>
          <w:iCs w:val="1"/>
          <w:color w:val="auto"/>
        </w:rPr>
        <w:t>Board of Directors</w:t>
      </w:r>
      <w:r>
        <w:rPr>
          <w:rFonts w:ascii="Arial" w:cs="Arial" w:eastAsia="Arial" w:hAnsi="Arial"/>
          <w:sz w:val="16"/>
          <w:szCs w:val="16"/>
          <w:color w:val="auto"/>
        </w:rPr>
        <w:t>” means the Board of Directors of the Company, the Executive Committee or any other duly authorized committee thereof.</w:t>
      </w:r>
    </w:p>
    <w:p>
      <w:pPr>
        <w:spacing w:after="0" w:line="194"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Board Resolution</w:t>
      </w:r>
      <w:r>
        <w:rPr>
          <w:rFonts w:ascii="Arial" w:cs="Arial" w:eastAsia="Arial" w:hAnsi="Arial"/>
          <w:sz w:val="16"/>
          <w:szCs w:val="16"/>
          <w:color w:val="auto"/>
        </w:rPr>
        <w:t>” means a copy of a resolution of the Board of Directors, certified by the Corporate Secretary or an Assistant Secretary of the Company to have been duly adopted by the Board of Directors and to be in full force and effect on the date of such certification, and delivered to the Trustee.</w:t>
      </w:r>
    </w:p>
    <w:p>
      <w:pPr>
        <w:spacing w:after="0" w:line="8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when used with respect to any Place of Payment or any other particular location referred to in this Indenture or in the Securities, means, unless otherwise specified with respect to any Securities pursuant to Section 3.1, each Monday, Tuesday, Wednesday, Thursday and Friday which is not a day on which banking institutions in that Place of Payment or particular location are authorized or obligated by law or executive order to close.</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Securities and Exchange Commission, as from time to time constituted, created under the Securities Exchange Act of 1934, or, if at any time after the execution of this Indenture such Commission is not existing and performing the duties now assigned to it under the Trust Indenture Act, then the body performing such duties at such time.</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includes any stock of any class of the Company which has no preference in respect of dividends or of amounts payable in the event of any voluntary or involuntary liquidation, dissolution or winding-up of the Company and which is not subject to redemption by the Company. However, subject to the provisions of Section 12.11, shares issuable on conversion of Securities shall include only shares of the class designated as Common Stock of the Company at the date of this instrument or shares of any class or classes resulting from any reclassification or reclassifications thereof and which have no preference in respect of dividends or of amounts payable in the event of any voluntary or involuntary liquidation, dissolution or winding-up of the Company and which are not subject to redemption by the Company; provided that if at any time there shall be more than one such resulting class, the shares of each such class then so issuable shall be substantially in the proportion which the total number of shares of such class resulting from all such reclassifications bears to the total number of shares of all such classes resulting from all such reclassifications.</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the Person named as the Company in the first paragraph of this Indenture until one or more successor corporations shall have become such pursuant to the applicable provisions of this Indenture, and thereafter means such successors.</w:t>
      </w:r>
    </w:p>
    <w:p>
      <w:pPr>
        <w:spacing w:after="0" w:line="132"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Order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Company Request</w:t>
      </w:r>
      <w:r>
        <w:rPr>
          <w:rFonts w:ascii="Arial" w:cs="Arial" w:eastAsia="Arial" w:hAnsi="Arial"/>
          <w:sz w:val="18"/>
          <w:szCs w:val="18"/>
          <w:color w:val="auto"/>
        </w:rPr>
        <w:t>” mean, respectively, a written order or request signed in the name of the Company by the Chairman of the Board, the President or any Vice President, or, with respect to Sections 3.3, 3.4, 3.5 and 6.1, any other employee of the Company named in an Officers’ Certificate delivered to the Trustee.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94" w:name="page95"/>
    <w:bookmarkEnd w:id="94"/>
    <w:p>
      <w:pPr>
        <w:ind w:right="7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Corporate Trust Office</w:t>
      </w:r>
      <w:r>
        <w:rPr>
          <w:rFonts w:ascii="Arial" w:cs="Arial" w:eastAsia="Arial" w:hAnsi="Arial"/>
          <w:sz w:val="18"/>
          <w:szCs w:val="18"/>
          <w:color w:val="auto"/>
        </w:rPr>
        <w:t>” means the principal office of the Trustee at which at any particular time its corporate trust business shall be principally administered.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includes corporations, associations, companies and business trusts.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Government Obligations</w:t>
      </w:r>
      <w:r>
        <w:rPr>
          <w:rFonts w:ascii="Arial" w:cs="Arial" w:eastAsia="Arial" w:hAnsi="Arial"/>
          <w:sz w:val="16"/>
          <w:szCs w:val="16"/>
          <w:color w:val="auto"/>
        </w:rPr>
        <w:t xml:space="preserve">” means securities which are (a) direct obligations of the United States or (b) obligations of a Person controlled or supervised by and acting as an agency or instrumentality of the United States the payment of which is unconditionally guaranteed as a full faith and credit obligation by the United States, which are not callable or redeemable at the option of the issuer thereof, and shall also include a depositary receipt issued by a bank or trust company as custodian with respect to any such Government Obligation or a specific payment of interest on or principal of any such Government Obligation held by such custodian for the account of the holder of a depositary receipt,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required by law) such custodian is not authorized to make any deduction from the amount payable to the holder of such depositary receipt from any amount received by the custodian in respect of the Government Obligation evidenced by such depositary receipt.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means a person in whose name a Security is registered on the Register.</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Indebtedness</w:t>
      </w:r>
      <w:r>
        <w:rPr>
          <w:rFonts w:ascii="Arial" w:cs="Arial" w:eastAsia="Arial" w:hAnsi="Arial"/>
          <w:sz w:val="18"/>
          <w:szCs w:val="18"/>
          <w:color w:val="auto"/>
        </w:rPr>
        <w:t>” means all indebtedness, whether or not represented by bonds, debentures, notes or other securities, created or assumed for the repayment of money borrowed</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means this Indenture as originally executed or as amended or supplemented from time to time and shall include the forms and terms (but not defined terms established in an Officers’ Certificate or a Board Resolution) of particular series of Securities established as contemplated by Section 2.1 and Section 3.1.</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Indexed Security</w:t>
      </w:r>
      <w:r>
        <w:rPr>
          <w:rFonts w:ascii="Arial" w:cs="Arial" w:eastAsia="Arial" w:hAnsi="Arial"/>
          <w:sz w:val="18"/>
          <w:szCs w:val="18"/>
          <w:color w:val="auto"/>
        </w:rPr>
        <w:t>” means a Security the terms of which provide that the principal amount thereof payable at Stated Maturity may be more or less than the principal face amount thereof at original issuance.</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w:t>
      </w:r>
      <w:r>
        <w:rPr>
          <w:rFonts w:ascii="Arial" w:cs="Arial" w:eastAsia="Arial" w:hAnsi="Arial"/>
          <w:sz w:val="18"/>
          <w:szCs w:val="18"/>
          <w:color w:val="auto"/>
        </w:rPr>
        <w:t>,” when used with respect to an Original Issue Discount Security which by its terms bears interest only after maturity, means interest payable after maturity.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Interest Payment Date</w:t>
      </w:r>
      <w:r>
        <w:rPr>
          <w:rFonts w:ascii="Arial" w:cs="Arial" w:eastAsia="Arial" w:hAnsi="Arial"/>
          <w:sz w:val="16"/>
          <w:szCs w:val="16"/>
          <w:color w:val="auto"/>
        </w:rPr>
        <w:t>,” when used with respect to any Security, means the Stated Maturity of an installment of interest on such Security.</w:t>
      </w:r>
    </w:p>
    <w:p>
      <w:pPr>
        <w:spacing w:after="0" w:line="194"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Maturity</w:t>
      </w:r>
      <w:r>
        <w:rPr>
          <w:rFonts w:ascii="Arial" w:cs="Arial" w:eastAsia="Arial" w:hAnsi="Arial"/>
          <w:sz w:val="16"/>
          <w:szCs w:val="16"/>
          <w:color w:val="auto"/>
        </w:rPr>
        <w:t>,” when used with respect to any Security, means the date on which the principal of such Security or an installment of principal becomes due and payable as therein or herein provided, whether at the Stated Maturity or by declaration of acceleration, call for redemption or otherwise.</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the Chief Executive Officer, the President, any Vice President (whether or not designated by a number or numbers, or a word or words added before or after the title Vice-President), the Treasurer, the Secretary or assistant Secretary of the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95" w:name="page96"/>
    <w:bookmarkEnd w:id="9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Officers’ Certificat</w:t>
      </w:r>
      <w:r>
        <w:rPr>
          <w:rFonts w:ascii="Arial" w:cs="Arial" w:eastAsia="Arial" w:hAnsi="Arial"/>
          <w:sz w:val="18"/>
          <w:szCs w:val="18"/>
          <w:i w:val="1"/>
          <w:iCs w:val="1"/>
          <w:color w:val="auto"/>
        </w:rPr>
        <w:t>e</w:t>
      </w:r>
      <w:r>
        <w:rPr>
          <w:rFonts w:ascii="Arial" w:cs="Arial" w:eastAsia="Arial" w:hAnsi="Arial"/>
          <w:sz w:val="18"/>
          <w:szCs w:val="18"/>
          <w:color w:val="auto"/>
        </w:rPr>
        <w:t>” means a certificate signed by the Chairman of the Board, the President or any Vice President.</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Opinion of Counsel</w:t>
      </w:r>
      <w:r>
        <w:rPr>
          <w:rFonts w:ascii="Arial" w:cs="Arial" w:eastAsia="Arial" w:hAnsi="Arial"/>
          <w:sz w:val="18"/>
          <w:szCs w:val="18"/>
          <w:color w:val="auto"/>
        </w:rPr>
        <w:t>” means a written opinion of legal counsel, who may be (a) Perkins Coie LLP, or (b) other counsel designated by the Company and who shall be reasonably acceptable to the Trustee.</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Issue Discount Security</w:t>
      </w:r>
      <w:r>
        <w:rPr>
          <w:rFonts w:ascii="Arial" w:cs="Arial" w:eastAsia="Arial" w:hAnsi="Arial"/>
          <w:sz w:val="18"/>
          <w:szCs w:val="18"/>
          <w:color w:val="auto"/>
        </w:rPr>
        <w:t>” means any Security which provides for an amount less than the stated principal amount thereof to be due and payable upon declaration of acceleration of the Maturity thereof pursuant to Section 5.2.</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Outstanding</w:t>
      </w:r>
      <w:r>
        <w:rPr>
          <w:rFonts w:ascii="Arial" w:cs="Arial" w:eastAsia="Arial" w:hAnsi="Arial"/>
          <w:sz w:val="18"/>
          <w:szCs w:val="18"/>
          <w:color w:val="auto"/>
        </w:rPr>
        <w:t>,” when used with respect to Securities, means, as of the date of determination, all Securities theretofore authenticated and delivered under this Indenture, except:</w:t>
      </w:r>
    </w:p>
    <w:p>
      <w:pPr>
        <w:spacing w:after="0" w:line="132" w:lineRule="exact"/>
        <w:rPr>
          <w:sz w:val="20"/>
          <w:szCs w:val="20"/>
          <w:color w:val="auto"/>
        </w:rPr>
      </w:pPr>
    </w:p>
    <w:p>
      <w:pPr>
        <w:ind w:left="1140" w:hanging="237"/>
        <w:spacing w:after="0"/>
        <w:tabs>
          <w:tab w:leader="none" w:pos="11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Securities theretofore cancelled by the Trustee or delivered to the Trustee for cancellation;</w:t>
      </w:r>
    </w:p>
    <w:p>
      <w:pPr>
        <w:spacing w:after="0" w:line="171" w:lineRule="exact"/>
        <w:rPr>
          <w:rFonts w:ascii="Arial" w:cs="Arial" w:eastAsia="Arial" w:hAnsi="Arial"/>
          <w:sz w:val="18"/>
          <w:szCs w:val="18"/>
          <w:color w:val="auto"/>
        </w:rPr>
      </w:pPr>
    </w:p>
    <w:p>
      <w:pPr>
        <w:ind w:left="460" w:right="100" w:firstLine="443"/>
        <w:spacing w:after="0" w:line="298" w:lineRule="auto"/>
        <w:tabs>
          <w:tab w:leader="none" w:pos="1147"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Securities, or portions thereof,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Securities are to be redeemed, notice of such redemption has been duly given pursuant to this Indenture or provisions therefor satisfactory to the Trustee have been made;</w:t>
      </w:r>
    </w:p>
    <w:p>
      <w:pPr>
        <w:spacing w:after="0" w:line="112" w:lineRule="exact"/>
        <w:rPr>
          <w:rFonts w:ascii="Arial" w:cs="Arial" w:eastAsia="Arial" w:hAnsi="Arial"/>
          <w:sz w:val="16"/>
          <w:szCs w:val="16"/>
          <w:color w:val="auto"/>
        </w:rPr>
      </w:pPr>
    </w:p>
    <w:p>
      <w:pPr>
        <w:ind w:left="460" w:firstLine="443"/>
        <w:spacing w:after="0" w:line="268" w:lineRule="auto"/>
        <w:tabs>
          <w:tab w:leader="none" w:pos="1137"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Securities, except to the extent provided in Sections 4.4 and 4.5, with respect to which the Company has effected covenant defeasance as provided in Article 4; and</w:t>
      </w:r>
    </w:p>
    <w:p>
      <w:pPr>
        <w:spacing w:after="0" w:line="131" w:lineRule="exact"/>
        <w:rPr>
          <w:rFonts w:ascii="Arial" w:cs="Arial" w:eastAsia="Arial" w:hAnsi="Arial"/>
          <w:sz w:val="18"/>
          <w:szCs w:val="18"/>
          <w:color w:val="auto"/>
        </w:rPr>
      </w:pPr>
    </w:p>
    <w:p>
      <w:pPr>
        <w:ind w:left="460" w:right="40" w:firstLine="443"/>
        <w:spacing w:after="0" w:line="306" w:lineRule="auto"/>
        <w:tabs>
          <w:tab w:leader="none" w:pos="1147" w:val="left"/>
        </w:tabs>
        <w:numPr>
          <w:ilvl w:val="0"/>
          <w:numId w:val="69"/>
        </w:numPr>
        <w:rPr>
          <w:rFonts w:ascii="Arial" w:cs="Arial" w:eastAsia="Arial" w:hAnsi="Arial"/>
          <w:sz w:val="16"/>
          <w:szCs w:val="16"/>
          <w:color w:val="auto"/>
        </w:rPr>
      </w:pPr>
      <w:r>
        <w:rPr>
          <w:rFonts w:ascii="Arial" w:cs="Arial" w:eastAsia="Arial" w:hAnsi="Arial"/>
          <w:sz w:val="16"/>
          <w:szCs w:val="16"/>
          <w:color w:val="auto"/>
        </w:rPr>
        <w:t>Securities which have been paid pursuant to Section 3.6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07"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in determining whether the Holders of the requisite principal amount of the Outstanding Securities have given any request, demand,</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authorization, direction, notice, consent or waiver hereunder, or whether sufficient funds are available for redemption or for any other purpose, and for the purpose of making the calculations required by section 313 of the Trust Indenture Act, (x) the principal amount of any Original Issue Discount Securities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5.2, and (y) Securities owned by the Company or any other obligor upon the Securities or any Affiliate of the Company or of such other obligor shall be disregarded and deemed not to be outstanding, except that, in determining whether the Trustee shall be protected in making such calculation or in relying upon any such request, demand, authorization, direction, notice, consent or waiver, only Securities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96" w:name="page97"/>
    <w:bookmarkEnd w:id="9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Paying Agent</w:t>
      </w:r>
      <w:r>
        <w:rPr>
          <w:rFonts w:ascii="Arial" w:cs="Arial" w:eastAsia="Arial" w:hAnsi="Arial"/>
          <w:sz w:val="18"/>
          <w:szCs w:val="18"/>
          <w:color w:val="auto"/>
        </w:rPr>
        <w:t>” means any Person authorized by the Company to pay the principal of, premium, if any, or interest on any Securities on behalf of the Company.</w:t>
      </w:r>
    </w:p>
    <w:p>
      <w:pPr>
        <w:spacing w:after="0" w:line="132"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Periodic Offering</w:t>
      </w:r>
      <w:r>
        <w:rPr>
          <w:rFonts w:ascii="Arial" w:cs="Arial" w:eastAsia="Arial" w:hAnsi="Arial"/>
          <w:sz w:val="18"/>
          <w:szCs w:val="18"/>
          <w:color w:val="auto"/>
        </w:rPr>
        <w:t>” means an offering of Securities of a series from time to time the specific terms of which Securities, including, without limitation, the rate or rates of interest or formula for determining the rate or rates of interest thereon, if any, the Stated Maturity or Stated Maturities thereof, the original issue date or dates thereof, the redemption provisions, if any, with respect thereto, and any other terms specified as contemplated by Section 3.1 with respect thereto, are to be determined by the Company upon the issuance of such Securities.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or government or any agency or political subdivision thereof.</w:t>
      </w:r>
    </w:p>
    <w:p>
      <w:pPr>
        <w:spacing w:after="0" w:line="132"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Place of Payment</w:t>
      </w:r>
      <w:r>
        <w:rPr>
          <w:rFonts w:ascii="Arial" w:cs="Arial" w:eastAsia="Arial" w:hAnsi="Arial"/>
          <w:sz w:val="16"/>
          <w:szCs w:val="16"/>
          <w:color w:val="auto"/>
        </w:rPr>
        <w:t>,” when used with respect to the Securities of or within any series, means the place or places where, subject to the provisions of Section 9.2 the principal of, premium, if any, and interest on such Securities are payable as specified as contemplated by Section 3.1.</w:t>
      </w:r>
    </w:p>
    <w:p>
      <w:pPr>
        <w:spacing w:after="0" w:line="85"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Predecessor Security</w:t>
      </w:r>
      <w:r>
        <w:rPr>
          <w:rFonts w:ascii="Arial" w:cs="Arial" w:eastAsia="Arial" w:hAnsi="Arial"/>
          <w:sz w:val="16"/>
          <w:szCs w:val="16"/>
          <w:color w:val="auto"/>
        </w:rPr>
        <w:t>” of any particular Security means every previous Security evidencing all or a portion of the same debt as that evidenced by such particular Security; and, for the purposes of this definition, any Security authenticated and delivered under Section 3.6 in exchange for or in lieu of a mutilated, destroyed, lost or stolen Security shall be deemed to evidence the same debt as the mutilated, destroyed, lost or stolen Security.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Redemption Date</w:t>
      </w:r>
      <w:r>
        <w:rPr>
          <w:rFonts w:ascii="Arial" w:cs="Arial" w:eastAsia="Arial" w:hAnsi="Arial"/>
          <w:sz w:val="16"/>
          <w:szCs w:val="16"/>
          <w:color w:val="auto"/>
        </w:rPr>
        <w:t>,” when used with respect to any Security to be redeemed, means the date fixed for such redemption by or pursuant to this Indenture.</w:t>
      </w:r>
    </w:p>
    <w:p>
      <w:pPr>
        <w:spacing w:after="0" w:line="19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 Price</w:t>
      </w:r>
      <w:r>
        <w:rPr>
          <w:rFonts w:ascii="Arial" w:cs="Arial" w:eastAsia="Arial" w:hAnsi="Arial"/>
          <w:sz w:val="18"/>
          <w:szCs w:val="18"/>
          <w:color w:val="auto"/>
        </w:rPr>
        <w:t>,” when used with respect to any Security to be redeemed, in whole or in part, means the price at which it is to be redeemed pursuant to this Indenture.</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Regular Record Date</w:t>
      </w:r>
      <w:r>
        <w:rPr>
          <w:rFonts w:ascii="Arial" w:cs="Arial" w:eastAsia="Arial" w:hAnsi="Arial"/>
          <w:sz w:val="18"/>
          <w:szCs w:val="18"/>
          <w:color w:val="auto"/>
        </w:rPr>
        <w:t>” for the interest payable on any Interest Payment Date on the Securities of or within any series means the date specified for that purpose as contemplated by Section 3.1.</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Responsible Officer</w:t>
      </w:r>
      <w:r>
        <w:rPr>
          <w:rFonts w:ascii="Arial" w:cs="Arial" w:eastAsia="Arial" w:hAnsi="Arial"/>
          <w:sz w:val="16"/>
          <w:szCs w:val="16"/>
          <w:color w:val="auto"/>
        </w:rPr>
        <w:t>,” when used with respect to the Trustee, shall any vice president, any assistant vice president, any assistant treasurer, any trust officer, or any other officer of the Trustee customarily performing functions similar to those performed by the persons who at the time shall be such officers, respectively, and also means, with respect to a particular corporate trust matter, any other officer to whom such corporate trust matter is referred because of his knowledge of and familiarity with the particular subject and who shall have direct responsibility for the administration of this Indenture.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97" w:name="page98"/>
    <w:bookmarkEnd w:id="97"/>
    <w:p>
      <w:pPr>
        <w:ind w:right="5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Security</w:t>
      </w:r>
      <w:r>
        <w:rPr>
          <w:rFonts w:ascii="Arial" w:cs="Arial" w:eastAsia="Arial" w:hAnsi="Arial"/>
          <w:sz w:val="18"/>
          <w:szCs w:val="18"/>
          <w:color w:val="auto"/>
        </w:rPr>
        <w:t>” or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has the meaning stated in the first recital of this Indenture and more particularly means any Security or Securities of the Company issued, authenticated and delivered under this Indenture.</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Senior Indebtedness</w:t>
      </w:r>
      <w:r>
        <w:rPr>
          <w:rFonts w:ascii="Arial" w:cs="Arial" w:eastAsia="Arial" w:hAnsi="Arial"/>
          <w:sz w:val="18"/>
          <w:szCs w:val="18"/>
          <w:color w:val="auto"/>
        </w:rPr>
        <w:t>” means all Indebtedness of the Company (other than the Securities), unless such Indebtedness, by its terms or the terms of the instrument creating or evidencing it, is subordinate in right of payment to or pari passu with the Securities.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Special Record Date</w:t>
      </w:r>
      <w:r>
        <w:rPr>
          <w:rFonts w:ascii="Arial" w:cs="Arial" w:eastAsia="Arial" w:hAnsi="Arial"/>
          <w:sz w:val="15"/>
          <w:szCs w:val="15"/>
          <w:color w:val="auto"/>
        </w:rPr>
        <w:t>” for the payment of any Defaulted Interest on the Securities of any issue means a date fixed by the Trustee pursuant to Section 3.7.</w:t>
      </w:r>
    </w:p>
    <w:p>
      <w:pPr>
        <w:spacing w:after="0" w:line="20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Stated Maturity</w:t>
      </w:r>
      <w:r>
        <w:rPr>
          <w:rFonts w:ascii="Arial" w:cs="Arial" w:eastAsia="Arial" w:hAnsi="Arial"/>
          <w:sz w:val="16"/>
          <w:szCs w:val="16"/>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8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any corporation of which the Company at the time owns or controls, directly or indirectly, more than 50% of the shares of outstanding stock having general voting power under ordinary circumstances to elect a majority of the Board of Directors of such corporation (irrespective of whether or not at the time stock of any other class or classes of such corporation shall have or might have voting power by reason of the happening of any contingency).</w:t>
      </w:r>
    </w:p>
    <w:p>
      <w:pPr>
        <w:spacing w:after="0" w:line="10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means each Monday, Tuesday, Wednesday, Thursday and Friday, other than any day on which securities are not traded on the applicable securities exchange or in the applicable securities market.</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means the party named as such in the first paragraph of this Indenture until a successor Trustee replaces it pursuant to the applicable provisions of this Indenture, and thereafter means such successor Trustee and if, at any time, there is more than one Trustee,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as used with respect to the Securities of any series shall mean the Trustee with respect to the Securities of that series.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Trust Indenture Act</w:t>
      </w:r>
      <w:r>
        <w:rPr>
          <w:rFonts w:ascii="Arial" w:cs="Arial" w:eastAsia="Arial" w:hAnsi="Arial"/>
          <w:sz w:val="16"/>
          <w:szCs w:val="16"/>
          <w:color w:val="auto"/>
        </w:rPr>
        <w:t>” means the Trust Indenture Act of 1939, as amended, as in effect on the date of this Indenture, except as provided in Section 8.3.</w:t>
      </w:r>
    </w:p>
    <w:p>
      <w:pPr>
        <w:spacing w:after="0" w:line="19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Yield to Maturity</w:t>
      </w:r>
      <w:r>
        <w:rPr>
          <w:rFonts w:ascii="Arial" w:cs="Arial" w:eastAsia="Arial" w:hAnsi="Arial"/>
          <w:sz w:val="18"/>
          <w:szCs w:val="18"/>
          <w:color w:val="auto"/>
        </w:rPr>
        <w:t>” means the yield to maturity, calculated by the Company at the time of issuance of a series of Securities or, if applicable, at the most recent determination of interest on such series, in accordance with accepted financial practice.</w:t>
      </w:r>
    </w:p>
    <w:p>
      <w:pPr>
        <w:spacing w:after="0" w:line="132" w:lineRule="exact"/>
        <w:rPr>
          <w:sz w:val="20"/>
          <w:szCs w:val="20"/>
          <w:color w:val="auto"/>
        </w:rPr>
      </w:pPr>
    </w:p>
    <w:p>
      <w:pPr>
        <w:ind w:left="5620" w:right="3040" w:hanging="5156"/>
        <w:spacing w:after="0" w:line="440" w:lineRule="auto"/>
        <w:tabs>
          <w:tab w:leader="none" w:pos="721"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following terms shall have the meanings specified in the Sections referred to opposite such term below: -6-</w:t>
      </w:r>
    </w:p>
    <w:p>
      <w:pPr>
        <w:sectPr>
          <w:pgSz w:w="11900" w:h="16838" w:orient="portrait"/>
          <w:cols w:equalWidth="0" w:num="1">
            <w:col w:w="11340"/>
          </w:cols>
          <w:pgMar w:left="240" w:top="280" w:right="319" w:bottom="1440" w:gutter="0" w:footer="0" w:header="0"/>
        </w:sectPr>
      </w:pPr>
    </w:p>
    <w:bookmarkStart w:id="98" w:name="page99"/>
    <w:bookmarkEnd w:id="98"/>
    <w:tbl>
      <w:tblPr>
        <w:tblLayout w:type="fixed"/>
        <w:tblInd w:w="1840" w:type="dxa"/>
        <w:tblCellMar>
          <w:top w:w="0" w:type="dxa"/>
          <w:left w:w="0" w:type="dxa"/>
          <w:bottom w:w="0" w:type="dxa"/>
          <w:right w:w="0" w:type="dxa"/>
        </w:tblCellMar>
      </w:tblPr>
      <w:tr>
        <w:trPr>
          <w:trHeight w:val="16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3900" w:type="dxa"/>
            <w:vAlign w:val="bottom"/>
          </w:tcPr>
          <w:p>
            <w:pPr>
              <w:spacing w:after="0"/>
              <w:rPr>
                <w:sz w:val="14"/>
                <w:szCs w:val="14"/>
                <w:color w:val="auto"/>
              </w:rPr>
            </w:pPr>
          </w:p>
        </w:tc>
        <w:tc>
          <w:tcPr>
            <w:tcW w:w="3520" w:type="dxa"/>
            <w:vAlign w:val="bottom"/>
            <w:gridSpan w:val="3"/>
          </w:tcPr>
          <w:p>
            <w:pPr>
              <w:ind w:left="2820"/>
              <w:spacing w:after="0"/>
              <w:rPr>
                <w:sz w:val="20"/>
                <w:szCs w:val="20"/>
                <w:color w:val="auto"/>
              </w:rPr>
            </w:pPr>
            <w:r>
              <w:rPr>
                <w:rFonts w:ascii="Arial" w:cs="Arial" w:eastAsia="Arial" w:hAnsi="Arial"/>
                <w:sz w:val="14"/>
                <w:szCs w:val="14"/>
                <w:b w:val="1"/>
                <w:bCs w:val="1"/>
                <w:color w:val="auto"/>
              </w:rPr>
              <w:t>Section</w:t>
            </w:r>
          </w:p>
        </w:tc>
        <w:tc>
          <w:tcPr>
            <w:tcW w:w="0" w:type="dxa"/>
            <w:vAlign w:val="bottom"/>
          </w:tcPr>
          <w:p>
            <w:pPr>
              <w:spacing w:after="0"/>
              <w:rPr>
                <w:sz w:val="1"/>
                <w:szCs w:val="1"/>
                <w:color w:val="auto"/>
              </w:rPr>
            </w:pPr>
          </w:p>
        </w:tc>
      </w:tr>
      <w:tr>
        <w:trPr>
          <w:trHeight w:val="20"/>
        </w:trPr>
        <w:tc>
          <w:tcPr>
            <w:tcW w:w="42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“Act”</w:t>
            </w:r>
          </w:p>
        </w:tc>
        <w:tc>
          <w:tcPr>
            <w:tcW w:w="28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gridSpan w:val="2"/>
            <w:vMerge w:val="continue"/>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220"/>
              <w:spacing w:after="0" w:line="203" w:lineRule="exact"/>
              <w:rPr>
                <w:sz w:val="20"/>
                <w:szCs w:val="20"/>
                <w:color w:val="auto"/>
              </w:rPr>
            </w:pPr>
            <w:r>
              <w:rPr>
                <w:rFonts w:ascii="Arial" w:cs="Arial" w:eastAsia="Arial" w:hAnsi="Arial"/>
                <w:sz w:val="18"/>
                <w:szCs w:val="18"/>
                <w:color w:val="auto"/>
                <w:w w:val="97"/>
              </w:rPr>
              <w:t>1.4(a)</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“Bankruptcy Law”</w:t>
            </w:r>
          </w:p>
        </w:tc>
        <w:tc>
          <w:tcPr>
            <w:tcW w:w="3260" w:type="dxa"/>
            <w:vAlign w:val="bottom"/>
            <w:gridSpan w:val="2"/>
          </w:tcPr>
          <w:p>
            <w:pPr>
              <w:ind w:left="3040"/>
              <w:spacing w:after="0"/>
              <w:rPr>
                <w:sz w:val="20"/>
                <w:szCs w:val="20"/>
                <w:color w:val="auto"/>
              </w:rPr>
            </w:pPr>
            <w:r>
              <w:rPr>
                <w:rFonts w:ascii="Arial" w:cs="Arial" w:eastAsia="Arial" w:hAnsi="Arial"/>
                <w:sz w:val="18"/>
                <w:szCs w:val="18"/>
                <w:color w:val="auto"/>
                <w:w w:val="79"/>
              </w:rPr>
              <w:t>5.1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“Custodian”</w:t>
            </w:r>
          </w:p>
        </w:tc>
        <w:tc>
          <w:tcPr>
            <w:tcW w:w="3260" w:type="dxa"/>
            <w:vAlign w:val="bottom"/>
            <w:gridSpan w:val="2"/>
            <w:shd w:val="clear" w:color="auto" w:fill="CCEEFF"/>
          </w:tcPr>
          <w:p>
            <w:pPr>
              <w:ind w:left="3040"/>
              <w:spacing w:after="0"/>
              <w:rPr>
                <w:sz w:val="20"/>
                <w:szCs w:val="20"/>
                <w:color w:val="auto"/>
              </w:rPr>
            </w:pPr>
            <w:r>
              <w:rPr>
                <w:rFonts w:ascii="Arial" w:cs="Arial" w:eastAsia="Arial" w:hAnsi="Arial"/>
                <w:sz w:val="18"/>
                <w:szCs w:val="18"/>
                <w:color w:val="auto"/>
                <w:w w:val="79"/>
              </w:rPr>
              <w:t>5.1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“Defaulted Interest”</w:t>
            </w:r>
          </w:p>
        </w:tc>
        <w:tc>
          <w:tcPr>
            <w:tcW w:w="282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w w:val="97"/>
              </w:rPr>
              <w:t>3.7(b)</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“Event of Default”</w:t>
            </w:r>
          </w:p>
        </w:tc>
        <w:tc>
          <w:tcPr>
            <w:tcW w:w="3260" w:type="dxa"/>
            <w:vAlign w:val="bottom"/>
            <w:gridSpan w:val="2"/>
            <w:shd w:val="clear" w:color="auto" w:fill="CCEEFF"/>
          </w:tcPr>
          <w:p>
            <w:pPr>
              <w:ind w:left="3040"/>
              <w:spacing w:after="0"/>
              <w:rPr>
                <w:sz w:val="20"/>
                <w:szCs w:val="20"/>
                <w:color w:val="auto"/>
              </w:rPr>
            </w:pPr>
            <w:r>
              <w:rPr>
                <w:rFonts w:ascii="Arial" w:cs="Arial" w:eastAsia="Arial" w:hAnsi="Arial"/>
                <w:sz w:val="18"/>
                <w:szCs w:val="18"/>
                <w:color w:val="auto"/>
                <w:w w:val="79"/>
              </w:rPr>
              <w:t>5.1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“Register”</w:t>
            </w:r>
          </w:p>
        </w:tc>
        <w:tc>
          <w:tcPr>
            <w:tcW w:w="3260" w:type="dxa"/>
            <w:vAlign w:val="bottom"/>
            <w:gridSpan w:val="2"/>
          </w:tcPr>
          <w:p>
            <w:pPr>
              <w:ind w:left="3040"/>
              <w:spacing w:after="0"/>
              <w:rPr>
                <w:sz w:val="20"/>
                <w:szCs w:val="20"/>
                <w:color w:val="auto"/>
              </w:rPr>
            </w:pPr>
            <w:r>
              <w:rPr>
                <w:rFonts w:ascii="Arial" w:cs="Arial" w:eastAsia="Arial" w:hAnsi="Arial"/>
                <w:sz w:val="18"/>
                <w:szCs w:val="18"/>
                <w:color w:val="auto"/>
                <w:w w:val="79"/>
              </w:rPr>
              <w:t>3.5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“Registrar”</w:t>
            </w:r>
          </w:p>
        </w:tc>
        <w:tc>
          <w:tcPr>
            <w:tcW w:w="3260" w:type="dxa"/>
            <w:vAlign w:val="bottom"/>
            <w:gridSpan w:val="2"/>
            <w:shd w:val="clear" w:color="auto" w:fill="CCEEFF"/>
          </w:tcPr>
          <w:p>
            <w:pPr>
              <w:ind w:left="3040"/>
              <w:spacing w:after="0"/>
              <w:rPr>
                <w:sz w:val="20"/>
                <w:szCs w:val="20"/>
                <w:color w:val="auto"/>
              </w:rPr>
            </w:pPr>
            <w:r>
              <w:rPr>
                <w:rFonts w:ascii="Arial" w:cs="Arial" w:eastAsia="Arial" w:hAnsi="Arial"/>
                <w:sz w:val="18"/>
                <w:szCs w:val="18"/>
                <w:color w:val="auto"/>
                <w:w w:val="79"/>
              </w:rPr>
              <w:t>3.5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Section 1.2 Compliance Certificates and Opinions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(other than pursuant to Sections 2.3, 3.3 and 9.6) shall include:</w:t>
      </w:r>
    </w:p>
    <w:p>
      <w:pPr>
        <w:spacing w:after="0" w:line="51" w:lineRule="exact"/>
        <w:rPr>
          <w:sz w:val="20"/>
          <w:szCs w:val="20"/>
          <w:color w:val="auto"/>
        </w:rPr>
      </w:pPr>
    </w:p>
    <w:p>
      <w:pPr>
        <w:ind w:left="1140" w:hanging="237"/>
        <w:spacing w:after="0"/>
        <w:tabs>
          <w:tab w:leader="none" w:pos="11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 statement that each individual signing such certificate or opinion has read such condition or covenant and the definitions herein relating thereto;</w:t>
      </w:r>
    </w:p>
    <w:p>
      <w:pPr>
        <w:spacing w:after="0" w:line="194" w:lineRule="exact"/>
        <w:rPr>
          <w:rFonts w:ascii="Arial" w:cs="Arial" w:eastAsia="Arial" w:hAnsi="Arial"/>
          <w:sz w:val="16"/>
          <w:szCs w:val="16"/>
          <w:color w:val="auto"/>
        </w:rPr>
      </w:pPr>
    </w:p>
    <w:p>
      <w:pPr>
        <w:ind w:left="460" w:right="720" w:firstLine="443"/>
        <w:spacing w:after="0" w:line="268" w:lineRule="auto"/>
        <w:tabs>
          <w:tab w:leader="none" w:pos="1147"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31" w:lineRule="exact"/>
        <w:rPr>
          <w:rFonts w:ascii="Arial" w:cs="Arial" w:eastAsia="Arial" w:hAnsi="Arial"/>
          <w:sz w:val="18"/>
          <w:szCs w:val="18"/>
          <w:color w:val="auto"/>
        </w:rPr>
      </w:pPr>
    </w:p>
    <w:p>
      <w:pPr>
        <w:ind w:left="460" w:right="20" w:firstLine="443"/>
        <w:spacing w:after="0" w:line="268" w:lineRule="auto"/>
        <w:tabs>
          <w:tab w:leader="none" w:pos="1137"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statement that, in the opinion of each such individual, he has made such examination or investigation as is necessary to enable him to express an informed opinion as to whether or not such condition or covenant has been complied with; and</w:t>
      </w:r>
    </w:p>
    <w:p>
      <w:pPr>
        <w:spacing w:after="0" w:line="131" w:lineRule="exact"/>
        <w:rPr>
          <w:rFonts w:ascii="Arial" w:cs="Arial" w:eastAsia="Arial" w:hAnsi="Arial"/>
          <w:sz w:val="18"/>
          <w:szCs w:val="18"/>
          <w:color w:val="auto"/>
        </w:rPr>
      </w:pPr>
    </w:p>
    <w:p>
      <w:pPr>
        <w:ind w:left="1160" w:hanging="257"/>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Form of Document Delivered to Trustee</w:t>
      </w:r>
    </w:p>
    <w:p>
      <w:pPr>
        <w:spacing w:after="0" w:line="96"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5" w:right="239" w:bottom="1440" w:gutter="0" w:footer="0" w:header="0"/>
        </w:sectPr>
      </w:pPr>
    </w:p>
    <w:bookmarkStart w:id="99" w:name="page100"/>
    <w:bookmarkEnd w:id="99"/>
    <w:p>
      <w:pPr>
        <w:ind w:right="16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certificates or opinions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as to such matters are erroneous.</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Acts of Holders</w:t>
      </w:r>
    </w:p>
    <w:p>
      <w:pPr>
        <w:spacing w:after="0" w:line="177" w:lineRule="exact"/>
        <w:rPr>
          <w:sz w:val="20"/>
          <w:szCs w:val="20"/>
          <w:color w:val="auto"/>
        </w:rPr>
      </w:pPr>
    </w:p>
    <w:p>
      <w:pPr>
        <w:ind w:left="460" w:right="20" w:firstLine="443"/>
        <w:spacing w:after="0" w:line="290" w:lineRule="auto"/>
        <w:tabs>
          <w:tab w:leader="none" w:pos="1137"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agent duly appointed in writing.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conclusive in favor of the Trustee and the Company, if made in the manner provided in this Section.</w:t>
      </w:r>
    </w:p>
    <w:p>
      <w:pPr>
        <w:spacing w:after="0" w:line="118" w:lineRule="exact"/>
        <w:rPr>
          <w:rFonts w:ascii="Arial" w:cs="Arial" w:eastAsia="Arial" w:hAnsi="Arial"/>
          <w:sz w:val="16"/>
          <w:szCs w:val="16"/>
          <w:color w:val="auto"/>
        </w:rPr>
      </w:pPr>
    </w:p>
    <w:p>
      <w:pPr>
        <w:ind w:left="460" w:right="80" w:firstLine="443"/>
        <w:spacing w:after="0" w:line="294" w:lineRule="auto"/>
        <w:tabs>
          <w:tab w:leader="none" w:pos="1147"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reasonable manner which the Trustee deems sufficient.</w:t>
      </w:r>
    </w:p>
    <w:p>
      <w:pPr>
        <w:spacing w:after="0" w:line="115" w:lineRule="exact"/>
        <w:rPr>
          <w:rFonts w:ascii="Arial" w:cs="Arial" w:eastAsia="Arial" w:hAnsi="Arial"/>
          <w:sz w:val="16"/>
          <w:szCs w:val="16"/>
          <w:color w:val="auto"/>
        </w:rPr>
      </w:pPr>
    </w:p>
    <w:p>
      <w:pPr>
        <w:ind w:left="1140" w:hanging="237"/>
        <w:spacing w:after="0"/>
        <w:tabs>
          <w:tab w:leader="none" w:pos="11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ownership of Securities shall be proved by the Register.</w:t>
      </w:r>
    </w:p>
    <w:p>
      <w:pPr>
        <w:spacing w:after="0" w:line="171" w:lineRule="exact"/>
        <w:rPr>
          <w:rFonts w:ascii="Arial" w:cs="Arial" w:eastAsia="Arial" w:hAnsi="Arial"/>
          <w:sz w:val="18"/>
          <w:szCs w:val="18"/>
          <w:color w:val="auto"/>
        </w:rPr>
      </w:pPr>
    </w:p>
    <w:p>
      <w:pPr>
        <w:ind w:left="460" w:firstLine="443"/>
        <w:spacing w:after="0" w:line="256" w:lineRule="auto"/>
        <w:tabs>
          <w:tab w:leader="none" w:pos="1147"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00" w:name="page101"/>
    <w:bookmarkEnd w:id="100"/>
    <w:p>
      <w:pPr>
        <w:ind w:left="460" w:right="20" w:firstLine="443"/>
        <w:spacing w:after="0" w:line="288" w:lineRule="auto"/>
        <w:tabs>
          <w:tab w:leader="none" w:pos="1137" w:val="left"/>
        </w:tabs>
        <w:numPr>
          <w:ilvl w:val="0"/>
          <w:numId w:val="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the Company shall solicit from the Holders any request, demand, authorization, direction, notice, consent, waiver or other Act, the Company may, at its option, by or pursuant to an Officers’ Certificate delivered to the Trustee, fix in advance a record date for the determination of Holders entitled to give such request, demand, authorization, direction, notice, consent, waiver or other Act, but the Company shall have no obligation to do so.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to consented to such request, demand, authorization, direction, notice, consent, waiver or other Act, and for that purpose the Outstanding Securities shall be computed as of such record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authorization, agreement or consent by the Holders on such record date shall be deemed effective unless it shall become effective pursuant to the provisions of clause (a) of this Section 1.4 not later than six months after the record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Notices, etc., to Trustee and Company</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Any request, demand, authorization, direction, notice, consent, waiver or Act of Holders or other document provided or permitted by this Indenture to be made upon, given or furnished to, or filed with,</w:t>
      </w:r>
    </w:p>
    <w:p>
      <w:pPr>
        <w:spacing w:after="0" w:line="132" w:lineRule="exact"/>
        <w:rPr>
          <w:sz w:val="20"/>
          <w:szCs w:val="20"/>
          <w:color w:val="auto"/>
        </w:rPr>
      </w:pPr>
    </w:p>
    <w:p>
      <w:pPr>
        <w:ind w:left="460" w:right="260" w:firstLine="443"/>
        <w:spacing w:after="0" w:line="268" w:lineRule="auto"/>
        <w:tabs>
          <w:tab w:leader="none" w:pos="1137"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Trustee by any Holder or by the Company shall be sufficient for every purpose hereunder if made, given, furnished or filed in writing to or with the Trustee at its Corporate Trust Office, Attention: Corporate Trust Trustee Administration, or</w:t>
      </w:r>
    </w:p>
    <w:p>
      <w:pPr>
        <w:spacing w:after="0" w:line="131" w:lineRule="exact"/>
        <w:rPr>
          <w:rFonts w:ascii="Arial" w:cs="Arial" w:eastAsia="Arial" w:hAnsi="Arial"/>
          <w:sz w:val="18"/>
          <w:szCs w:val="18"/>
          <w:color w:val="auto"/>
        </w:rPr>
      </w:pPr>
    </w:p>
    <w:p>
      <w:pPr>
        <w:ind w:left="460" w:right="200" w:firstLine="443"/>
        <w:spacing w:after="0" w:line="306" w:lineRule="auto"/>
        <w:tabs>
          <w:tab w:leader="none" w:pos="1147"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Company by the Trustee or by any Holder shall be sufficient for every purpose hereunder (unless otherwise herein expressly provided) if in writing and mailed, first-class postage prepaid, to the Company addressed to it at Itron, Inc., 2111 N. Molter Road, Liberty Lake, WA 99019, Attention: Chief Financial Officer or at any other address previously furnished in writing to the Trustee by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Notice to Holders; Waiver</w:t>
      </w:r>
    </w:p>
    <w:p>
      <w:pPr>
        <w:spacing w:after="0" w:line="9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Where this Indenture provides for notice to Holders of any event, such notice shall be sufficiently given (unless otherwise herein expressly provided or otherwise agreed to by a Holder) if in writing and mailed, first-class postage prepaid, to each Holder affected by such event, at his address as it appears in the Register, within the time prescribed for the giving of such notice.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any case where notice to Holders is given by mail, neither the failure to mail such notice, nor any defect in any notice so mailed, to any particular Holder shall affect the sufficiency of such notice with respect to other Holders. Any notice mailed to a Holder in the manner herein prescribed shall be conclusively deemed to have been received by such Holder, whether or not such Holder actually receives such notice.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01" w:name="page102"/>
    <w:bookmarkEnd w:id="101"/>
    <w:p>
      <w:pPr>
        <w:ind w:right="18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by reason of the suspension of regular mail service or by reason of any other cause it shall be impracticable to give such notice as provided above, then such notification as shall be made with the approval of the Trustee shall constitute a sufficient notification for every purpose hereunder.</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equivalent of such notice. Waivers of notice by Holders shall be filed with the Trustee, but such filing shall not be a condition precedent to the validity of any action taken in reliance upon such waiver.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 Headings and Table of Contents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 and Section headings herein and the Table of Contents are for convenience only and shall not affect the construction hereof.</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1.8 Successors and Assigns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covenants and agreements in this Indenture by the Company shall bind its successors and assigns, whether so expressed or not.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 Separability</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case any provision of this Indenture or the Securities shall be invalid, illegal or unenforceable, the validity, legality and enforceability of the remaining provisions shall not in any way be affected or impaired thereby.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 Benefits of Indenture</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Nothing in this Indenture or in the Securities, expressed or implied, shall give to any Person, other than the parties hereto and their successors hereunder and the Holders, any benefit or any legal or equitable right, remedy or claim under this Indenture.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 Governing Law</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INDENTURE AND THE SECURITIES SHALL BE GOVERNED BY AND CONSTRUED IN ACCORDANCE WITH THE LAWS OF THE STATE OF NEW YORK, AND FOR ALL PURPOSES SHALL BE CONSTRUED IN ACCORDANCE WITH THE LAWS OF SAID STATE WITHOUT GIVING EFFECT TO THE PRINCIPLES OF CONFLICT OF LAWS THEREOF. This Indenture is subject to the Trust Indenture Act and if any provision hereof limits, qualifies or conflicts with the Trust Indenture Act, the Trust Indenture Act shall control.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1.12 Legal Holidays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any case where any Interest Payment Date, Redemption Date, sinking fund payment date, Stated Maturity or Maturity of any Security or the last date on which a Holder has the right to convert his Securities shall not be a Business Day at any Place of Payment, then (notwithstanding any other provision of this Indenture of any Security other than a provision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02" w:name="page103"/>
    <w:bookmarkEnd w:id="102"/>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Securities of any series which specifically states that such provision shall apply in lieu of this Section) payment of principal, premium, if any, or interest or conversion of the Securities need not be made at such Place of Payment on such date, but may be made on the next succeeding Business Day at such Place of Payment with the same force and effect as if made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interest shall accrue on the amount so payable for the period from and after such Interest Payment Date, Redemption Date, sinking fund payment date, Stated Maturity or Maturity, or on such last day for conversion, as the case may be.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1.13 No Recourse Against Others</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No director, officer, employee or stockholder, as such, of the Company shall have any liability for any obligations of the Company under the Securities or the Indenture or for any claim based on, in respect of or by reason of such obligations or their creation. Each Holder by accepting a Security waives and releases all such liability. The waiver and release are part of the consideration for the issue of the Securities.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Forms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 Forms Generally</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Securities of each series shall be in substantially the form attached as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and as set forth pursuant to this Article, or in such other form or forms as shall be established by delivery to the Trustee of an Officers’ Certificate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officers executing such Securities as evidenced by their execution of the Securities. If temporary Securities of any series are issued as permitted by Section 3.4, the form thereof also shall be established as provided in the preceding sentence. If the form of Securities of any series are established by an Officers’ Certificate, such Officers’ Certificate shall be delivered to the Trustee at or prior to the delivery of the Company Order contemplated by Section 3.3 for the authentication and delivery of such Securities.</w:t>
      </w:r>
    </w:p>
    <w:p>
      <w:pPr>
        <w:spacing w:after="0" w:line="118"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permanent Securities shall be printed, lithographed or engraved or produced by any combination of these methods or may be produced in any other manner, all as determined by the officers executing such Securities as evidenced by their execution of such Securities.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2.2 Form of Trustee’s Certificate of Authentication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Trustee’s certificate of authentication shall be in substantially the following form: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a series issued under the within-mentioned Indenture.</w:t>
      </w:r>
    </w:p>
    <w:p>
      <w:pPr>
        <w:spacing w:after="0" w:line="212" w:lineRule="exact"/>
        <w:rPr>
          <w:sz w:val="20"/>
          <w:szCs w:val="20"/>
          <w:color w:val="auto"/>
        </w:rPr>
      </w:pPr>
    </w:p>
    <w:p>
      <w:pPr>
        <w:spacing w:after="0"/>
        <w:tabs>
          <w:tab w:leader="none" w:pos="11340" w:val="left"/>
        </w:tabs>
        <w:rPr>
          <w:sz w:val="20"/>
          <w:szCs w:val="20"/>
          <w:color w:val="auto"/>
        </w:rPr>
      </w:pPr>
      <w:r>
        <w:rPr>
          <w:rFonts w:ascii="Arial" w:cs="Arial" w:eastAsia="Arial" w:hAnsi="Arial"/>
          <w:sz w:val="14"/>
          <w:szCs w:val="14"/>
          <w:color w:val="auto"/>
        </w:rPr>
        <w:t>Dated: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40005</wp:posOffset>
            </wp:positionV>
            <wp:extent cx="355028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4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10795</wp:posOffset>
            </wp:positionV>
            <wp:extent cx="331914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 Amount Unlimited; Issuable in Series</w:t>
      </w:r>
    </w:p>
    <w:p>
      <w:pPr>
        <w:spacing w:after="0" w:line="96" w:lineRule="exact"/>
        <w:rPr>
          <w:sz w:val="20"/>
          <w:szCs w:val="20"/>
          <w:color w:val="auto"/>
        </w:rPr>
      </w:pPr>
    </w:p>
    <w:p>
      <w:pPr>
        <w:ind w:right="60" w:firstLine="464"/>
        <w:spacing w:after="0" w:line="268" w:lineRule="auto"/>
        <w:tabs>
          <w:tab w:leader="none" w:pos="6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aggregate principal amount of Securities which may be authenticated and delivered under this Indenture is unlimited. The Securities may be issued from time to time in one or more series.</w:t>
      </w:r>
    </w:p>
    <w:p>
      <w:pPr>
        <w:spacing w:after="0" w:line="131" w:lineRule="exact"/>
        <w:rPr>
          <w:rFonts w:ascii="Arial" w:cs="Arial" w:eastAsia="Arial" w:hAnsi="Arial"/>
          <w:sz w:val="18"/>
          <w:szCs w:val="18"/>
          <w:color w:val="auto"/>
        </w:rPr>
      </w:pPr>
    </w:p>
    <w:p>
      <w:pPr>
        <w:ind w:right="180" w:firstLine="464"/>
        <w:spacing w:after="0" w:line="268" w:lineRule="auto"/>
        <w:tabs>
          <w:tab w:leader="none" w:pos="70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following matters shall be established and (subject to Section 3.3) set forth, or determined in the manner provided, in an Officers’ Certificate or a Board Resolution of the Company or one or more indentures supplemental hereto:</w:t>
      </w:r>
    </w:p>
    <w:p>
      <w:pPr>
        <w:spacing w:after="0" w:line="131" w:lineRule="exact"/>
        <w:rPr>
          <w:rFonts w:ascii="Arial" w:cs="Arial" w:eastAsia="Arial" w:hAnsi="Arial"/>
          <w:sz w:val="18"/>
          <w:szCs w:val="18"/>
          <w:color w:val="auto"/>
        </w:rPr>
      </w:pPr>
    </w:p>
    <w:p>
      <w:pPr>
        <w:ind w:left="1120" w:hanging="217"/>
        <w:spacing w:after="0"/>
        <w:tabs>
          <w:tab w:leader="none" w:pos="11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title of the Securities of the series (which title shall distinguish the Securities of the series from all other Securities);</w:t>
      </w:r>
    </w:p>
    <w:p>
      <w:pPr>
        <w:spacing w:after="0" w:line="171" w:lineRule="exact"/>
        <w:rPr>
          <w:rFonts w:ascii="Arial" w:cs="Arial" w:eastAsia="Arial" w:hAnsi="Arial"/>
          <w:sz w:val="18"/>
          <w:szCs w:val="18"/>
          <w:color w:val="auto"/>
        </w:rPr>
      </w:pPr>
    </w:p>
    <w:p>
      <w:pPr>
        <w:ind w:left="460" w:right="60" w:firstLine="443"/>
        <w:spacing w:after="0" w:line="256" w:lineRule="auto"/>
        <w:tabs>
          <w:tab w:leader="none" w:pos="1157"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which may be authenticated and delivered under this Indenture (which limit shall not pertain to (A) Securities authenticated and delivered upon registration of transfer of, or in exchange for, or in lieu of, other Securities of the series pursuant to Section 3.4, 3.5, 3.6, 8.6, or 10.7 and (B) any Securities which, pursuant to the last paragraph of Section 3.3, are deemed never to have been authenticated and delivered thereunder);</w:t>
      </w:r>
    </w:p>
    <w:p>
      <w:pPr>
        <w:spacing w:after="0" w:line="143" w:lineRule="exact"/>
        <w:rPr>
          <w:rFonts w:ascii="Arial" w:cs="Arial" w:eastAsia="Arial" w:hAnsi="Arial"/>
          <w:sz w:val="18"/>
          <w:szCs w:val="18"/>
          <w:color w:val="auto"/>
        </w:rPr>
      </w:pPr>
    </w:p>
    <w:p>
      <w:pPr>
        <w:ind w:left="1200" w:hanging="297"/>
        <w:spacing w:after="0"/>
        <w:tabs>
          <w:tab w:leader="none" w:pos="12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 or the method of determination thereof;</w:t>
      </w:r>
    </w:p>
    <w:p>
      <w:pPr>
        <w:spacing w:after="0" w:line="171" w:lineRule="exact"/>
        <w:rPr>
          <w:rFonts w:ascii="Arial" w:cs="Arial" w:eastAsia="Arial" w:hAnsi="Arial"/>
          <w:sz w:val="18"/>
          <w:szCs w:val="18"/>
          <w:color w:val="auto"/>
        </w:rPr>
      </w:pPr>
    </w:p>
    <w:p>
      <w:pPr>
        <w:ind w:left="460" w:right="120" w:firstLine="443"/>
        <w:spacing w:after="0" w:line="306" w:lineRule="auto"/>
        <w:tabs>
          <w:tab w:leader="none" w:pos="1196"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rate or rates at which the Securities of the series shall bear interest, if any, or the method of calculating such rate or rates of interest, the date or dates from which such interest shall accrue or the method by which such date or dates shall be determined, the Interest Payment Dates on which any such interest shall be payable and the Regular Record Date, if any, for the interest payable on any Interest Payment Date;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04" w:name="page105"/>
    <w:bookmarkEnd w:id="104"/>
    <w:p>
      <w:pPr>
        <w:ind w:right="20" w:firstLine="443"/>
        <w:spacing w:after="0" w:line="268" w:lineRule="auto"/>
        <w:tabs>
          <w:tab w:leader="none" w:pos="687"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place or places where, subject to the provisions of Section 9.2, the principal of, premium, if any, and interest, if any, on Securities of the series shall be payable;</w:t>
      </w:r>
    </w:p>
    <w:p>
      <w:pPr>
        <w:spacing w:after="0" w:line="131" w:lineRule="exact"/>
        <w:rPr>
          <w:rFonts w:ascii="Arial" w:cs="Arial" w:eastAsia="Arial" w:hAnsi="Arial"/>
          <w:sz w:val="18"/>
          <w:szCs w:val="18"/>
          <w:color w:val="auto"/>
        </w:rPr>
      </w:pPr>
    </w:p>
    <w:p>
      <w:pPr>
        <w:ind w:right="100" w:firstLine="443"/>
        <w:spacing w:after="0" w:line="306" w:lineRule="auto"/>
        <w:tabs>
          <w:tab w:leader="none" w:pos="736"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period or periods within which, the price or prices at which, and the other terms and conditions upon which, Securities of the series may be redeemed, in whole or in part, at the option of the Company and, if other than as provided in Section 10.3, the manner in which the particular Securities of such series (if less than all Securities of such series are to be redeemed) are to be selected for redemption;</w:t>
      </w:r>
    </w:p>
    <w:p>
      <w:pPr>
        <w:spacing w:after="0" w:line="106" w:lineRule="exact"/>
        <w:rPr>
          <w:rFonts w:ascii="Arial" w:cs="Arial" w:eastAsia="Arial" w:hAnsi="Arial"/>
          <w:sz w:val="16"/>
          <w:szCs w:val="16"/>
          <w:color w:val="auto"/>
        </w:rPr>
      </w:pPr>
    </w:p>
    <w:p>
      <w:pPr>
        <w:jc w:val="both"/>
        <w:ind w:right="280" w:firstLine="443"/>
        <w:spacing w:after="0" w:line="306" w:lineRule="auto"/>
        <w:tabs>
          <w:tab w:leader="none" w:pos="784"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obligation, if any, of the Company to redeem or purchase Securities of the series pursuant to any sinking fund or analogous provisions or upon the happening of a specified event or at the option of a Holder thereof and the period or periods within which, the price or prices at which, and the other terms and conditions upon which, Securities of the series shall be redeemed or purchased, in whole or in part, pursuant to such obligation;</w:t>
      </w:r>
    </w:p>
    <w:p>
      <w:pPr>
        <w:spacing w:after="0" w:line="106" w:lineRule="exact"/>
        <w:rPr>
          <w:rFonts w:ascii="Arial" w:cs="Arial" w:eastAsia="Arial" w:hAnsi="Arial"/>
          <w:sz w:val="16"/>
          <w:szCs w:val="16"/>
          <w:color w:val="auto"/>
        </w:rPr>
      </w:pPr>
    </w:p>
    <w:p>
      <w:pPr>
        <w:ind w:left="840" w:hanging="397"/>
        <w:spacing w:after="0"/>
        <w:tabs>
          <w:tab w:leader="none" w:pos="8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Securities of the series shall be issuable;</w:t>
      </w:r>
    </w:p>
    <w:p>
      <w:pPr>
        <w:spacing w:after="0" w:line="194" w:lineRule="exact"/>
        <w:rPr>
          <w:rFonts w:ascii="Arial" w:cs="Arial" w:eastAsia="Arial" w:hAnsi="Arial"/>
          <w:sz w:val="16"/>
          <w:szCs w:val="16"/>
          <w:color w:val="auto"/>
        </w:rPr>
      </w:pPr>
    </w:p>
    <w:p>
      <w:pPr>
        <w:ind w:right="100" w:firstLine="443"/>
        <w:spacing w:after="0" w:line="332" w:lineRule="auto"/>
        <w:tabs>
          <w:tab w:leader="none" w:pos="736" w:val="left"/>
        </w:tabs>
        <w:numPr>
          <w:ilvl w:val="0"/>
          <w:numId w:val="76"/>
        </w:numPr>
        <w:rPr>
          <w:rFonts w:ascii="Arial" w:cs="Arial" w:eastAsia="Arial" w:hAnsi="Arial"/>
          <w:sz w:val="16"/>
          <w:szCs w:val="16"/>
          <w:color w:val="auto"/>
        </w:rPr>
      </w:pPr>
      <w:r>
        <w:rPr>
          <w:rFonts w:ascii="Arial" w:cs="Arial" w:eastAsia="Arial" w:hAnsi="Arial"/>
          <w:sz w:val="16"/>
          <w:szCs w:val="16"/>
          <w:color w:val="auto"/>
        </w:rPr>
        <w:t>if the amount of payments or principal of, premium, if any, and interest, if any, on the Securities of the series shall be determined with reference to an index, formula or other method, the index, formula or other method by which such amounts shall be determined;</w:t>
      </w:r>
    </w:p>
    <w:p>
      <w:pPr>
        <w:spacing w:after="0" w:line="85" w:lineRule="exact"/>
        <w:rPr>
          <w:rFonts w:ascii="Arial" w:cs="Arial" w:eastAsia="Arial" w:hAnsi="Arial"/>
          <w:sz w:val="16"/>
          <w:szCs w:val="16"/>
          <w:color w:val="auto"/>
        </w:rPr>
      </w:pPr>
    </w:p>
    <w:p>
      <w:pPr>
        <w:ind w:right="580" w:firstLine="443"/>
        <w:spacing w:after="0" w:line="332" w:lineRule="auto"/>
        <w:tabs>
          <w:tab w:leader="none" w:pos="687" w:val="left"/>
        </w:tabs>
        <w:numPr>
          <w:ilvl w:val="0"/>
          <w:numId w:val="76"/>
        </w:numPr>
        <w:rPr>
          <w:rFonts w:ascii="Arial" w:cs="Arial" w:eastAsia="Arial" w:hAnsi="Arial"/>
          <w:sz w:val="16"/>
          <w:szCs w:val="16"/>
          <w:color w:val="auto"/>
        </w:rPr>
      </w:pPr>
      <w:r>
        <w:rPr>
          <w:rFonts w:ascii="Arial" w:cs="Arial" w:eastAsia="Arial" w:hAnsi="Arial"/>
          <w:sz w:val="16"/>
          <w:szCs w:val="16"/>
          <w:color w:val="auto"/>
        </w:rPr>
        <w:t>if other than the principal amount thereof, the portion of the principal amount of such Securities of the series which shall be payable upon declaration of the acceleration thereof pursuant to Section 5.2 or the method by which such portion shall be determined;</w:t>
      </w:r>
    </w:p>
    <w:p>
      <w:pPr>
        <w:spacing w:after="0" w:line="85" w:lineRule="exact"/>
        <w:rPr>
          <w:rFonts w:ascii="Arial" w:cs="Arial" w:eastAsia="Arial" w:hAnsi="Arial"/>
          <w:sz w:val="16"/>
          <w:szCs w:val="16"/>
          <w:color w:val="auto"/>
        </w:rPr>
      </w:pPr>
    </w:p>
    <w:p>
      <w:pPr>
        <w:jc w:val="both"/>
        <w:ind w:firstLine="443"/>
        <w:spacing w:after="0" w:line="306" w:lineRule="auto"/>
        <w:tabs>
          <w:tab w:leader="none" w:pos="736" w:val="left"/>
        </w:tabs>
        <w:numPr>
          <w:ilvl w:val="0"/>
          <w:numId w:val="76"/>
        </w:numPr>
        <w:rPr>
          <w:rFonts w:ascii="Arial" w:cs="Arial" w:eastAsia="Arial" w:hAnsi="Arial"/>
          <w:sz w:val="16"/>
          <w:szCs w:val="16"/>
          <w:color w:val="auto"/>
        </w:rPr>
      </w:pPr>
      <w:r>
        <w:rPr>
          <w:rFonts w:ascii="Arial" w:cs="Arial" w:eastAsia="Arial" w:hAnsi="Arial"/>
          <w:sz w:val="16"/>
          <w:szCs w:val="16"/>
          <w:color w:val="auto"/>
        </w:rPr>
        <w:t>if other than as provided in Section 3.7, the Person to whom any interest on any Security of the series shall be payable and the extent to which, or the manner in which (including any certification requirement and other terms and conditions under which), any interest payable on a temporary Security on an Interest Payment Date will be paid if other than in the manner provided in Section 3.4, as applicable;</w:t>
      </w:r>
    </w:p>
    <w:p>
      <w:pPr>
        <w:spacing w:after="0" w:line="106" w:lineRule="exact"/>
        <w:rPr>
          <w:rFonts w:ascii="Arial" w:cs="Arial" w:eastAsia="Arial" w:hAnsi="Arial"/>
          <w:sz w:val="16"/>
          <w:szCs w:val="16"/>
          <w:color w:val="auto"/>
        </w:rPr>
      </w:pPr>
    </w:p>
    <w:p>
      <w:pPr>
        <w:ind w:left="780" w:hanging="337"/>
        <w:spacing w:after="0"/>
        <w:tabs>
          <w:tab w:leader="none" w:pos="7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provisions, if any, granting special rights to the Holders of Securities of the series upon the occurrence of such events as may be specified;</w:t>
      </w:r>
    </w:p>
    <w:p>
      <w:pPr>
        <w:spacing w:after="0" w:line="194" w:lineRule="exact"/>
        <w:rPr>
          <w:rFonts w:ascii="Arial" w:cs="Arial" w:eastAsia="Arial" w:hAnsi="Arial"/>
          <w:sz w:val="16"/>
          <w:szCs w:val="16"/>
          <w:color w:val="auto"/>
        </w:rPr>
      </w:pPr>
    </w:p>
    <w:p>
      <w:pPr>
        <w:ind w:right="380" w:firstLine="443"/>
        <w:spacing w:after="0" w:line="268" w:lineRule="auto"/>
        <w:tabs>
          <w:tab w:leader="none" w:pos="833"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deletions from, modifications of or additions to the Events of Default set forth in Section 5.1 or covenants of the Company set forth in Article 9 pertaining to the Securities of the series;</w:t>
      </w:r>
    </w:p>
    <w:p>
      <w:pPr>
        <w:spacing w:after="0" w:line="131" w:lineRule="exact"/>
        <w:rPr>
          <w:rFonts w:ascii="Arial" w:cs="Arial" w:eastAsia="Arial" w:hAnsi="Arial"/>
          <w:sz w:val="18"/>
          <w:szCs w:val="18"/>
          <w:color w:val="auto"/>
        </w:rPr>
      </w:pPr>
    </w:p>
    <w:p>
      <w:pPr>
        <w:ind w:right="160" w:firstLine="443"/>
        <w:spacing w:after="0" w:line="259" w:lineRule="auto"/>
        <w:tabs>
          <w:tab w:leader="none" w:pos="823" w:val="left"/>
        </w:tabs>
        <w:numPr>
          <w:ilvl w:val="0"/>
          <w:numId w:val="76"/>
        </w:numPr>
        <w:rPr>
          <w:rFonts w:ascii="Arial" w:cs="Arial" w:eastAsia="Arial" w:hAnsi="Arial"/>
          <w:sz w:val="18"/>
          <w:szCs w:val="18"/>
          <w:color w:val="auto"/>
        </w:rPr>
      </w:pPr>
      <w:r>
        <w:rPr>
          <w:rFonts w:ascii="Arial" w:cs="Arial" w:eastAsia="Arial" w:hAnsi="Arial"/>
          <w:sz w:val="18"/>
          <w:szCs w:val="18"/>
          <w:color w:val="auto"/>
        </w:rPr>
        <w:t>under what circumstances, if any, the Company will pay additional amounts on the Securities of that series held by a Person who is not a U.S. Person in respect of taxes or similar charges withheld or deducted and, if so, whether the Company will have the option to redeem such Securities rather than pay such additional amounts (and the terms of any such option);</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80" w:right="259" w:bottom="1440" w:gutter="0" w:footer="0" w:header="0"/>
        </w:sectPr>
      </w:pPr>
    </w:p>
    <w:bookmarkStart w:id="105" w:name="page106"/>
    <w:bookmarkEnd w:id="105"/>
    <w:p>
      <w:pPr>
        <w:ind w:left="440" w:right="380" w:firstLine="443"/>
        <w:spacing w:after="0" w:line="268" w:lineRule="auto"/>
        <w:tabs>
          <w:tab w:leader="none" w:pos="1215" w:val="left"/>
        </w:tabs>
        <w:numPr>
          <w:ilvl w:val="1"/>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date as of which any temporary Security representing outstanding Securities of the series shall be dated if other than the date of original issuance of the first Security of the series to be issued;</w:t>
      </w:r>
    </w:p>
    <w:p>
      <w:pPr>
        <w:spacing w:after="0" w:line="131" w:lineRule="exact"/>
        <w:rPr>
          <w:rFonts w:ascii="Arial" w:cs="Arial" w:eastAsia="Arial" w:hAnsi="Arial"/>
          <w:sz w:val="18"/>
          <w:szCs w:val="18"/>
          <w:color w:val="auto"/>
        </w:rPr>
      </w:pPr>
    </w:p>
    <w:p>
      <w:pPr>
        <w:ind w:left="440" w:right="140" w:firstLine="443"/>
        <w:spacing w:after="0" w:line="268" w:lineRule="auto"/>
        <w:tabs>
          <w:tab w:leader="none" w:pos="1263"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applicability, if any, to the Securities of or within the series of Sections 4.4 and 4.5, or such other means of covenant defeasance as may be specified for the Securities of such series;</w:t>
      </w:r>
    </w:p>
    <w:p>
      <w:pPr>
        <w:spacing w:after="0" w:line="131" w:lineRule="exact"/>
        <w:rPr>
          <w:rFonts w:ascii="Arial" w:cs="Arial" w:eastAsia="Arial" w:hAnsi="Arial"/>
          <w:sz w:val="18"/>
          <w:szCs w:val="18"/>
          <w:color w:val="auto"/>
        </w:rPr>
      </w:pPr>
    </w:p>
    <w:p>
      <w:pPr>
        <w:ind w:left="1320" w:hanging="437"/>
        <w:spacing w:after="0"/>
        <w:tabs>
          <w:tab w:leader="none" w:pos="13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if other than the Trustee, the identity of the Registrar and any Paying Agent or transfer agent;</w:t>
      </w:r>
    </w:p>
    <w:p>
      <w:pPr>
        <w:spacing w:after="0" w:line="171" w:lineRule="exact"/>
        <w:rPr>
          <w:rFonts w:ascii="Arial" w:cs="Arial" w:eastAsia="Arial" w:hAnsi="Arial"/>
          <w:sz w:val="18"/>
          <w:szCs w:val="18"/>
          <w:color w:val="auto"/>
        </w:rPr>
      </w:pPr>
    </w:p>
    <w:p>
      <w:pPr>
        <w:ind w:left="440" w:right="480" w:firstLine="443"/>
        <w:spacing w:after="0" w:line="332" w:lineRule="auto"/>
        <w:tabs>
          <w:tab w:leader="none" w:pos="1361" w:val="left"/>
        </w:tabs>
        <w:numPr>
          <w:ilvl w:val="1"/>
          <w:numId w:val="77"/>
        </w:numPr>
        <w:rPr>
          <w:rFonts w:ascii="Arial" w:cs="Arial" w:eastAsia="Arial" w:hAnsi="Arial"/>
          <w:sz w:val="16"/>
          <w:szCs w:val="16"/>
          <w:color w:val="auto"/>
        </w:rPr>
      </w:pPr>
      <w:r>
        <w:rPr>
          <w:rFonts w:ascii="Arial" w:cs="Arial" w:eastAsia="Arial" w:hAnsi="Arial"/>
          <w:sz w:val="16"/>
          <w:szCs w:val="16"/>
          <w:color w:val="auto"/>
        </w:rPr>
        <w:t>any terms which may be related to warrants issued by the Company in connection with, or for the purchase of, Securities of such series, including whether and under what circumstances the Securities of any series may be used toward the exercise price of any such warrants</w:t>
      </w:r>
    </w:p>
    <w:p>
      <w:pPr>
        <w:spacing w:after="0" w:line="85" w:lineRule="exact"/>
        <w:rPr>
          <w:rFonts w:ascii="Arial" w:cs="Arial" w:eastAsia="Arial" w:hAnsi="Arial"/>
          <w:sz w:val="16"/>
          <w:szCs w:val="16"/>
          <w:color w:val="auto"/>
        </w:rPr>
      </w:pPr>
    </w:p>
    <w:p>
      <w:pPr>
        <w:ind w:left="440" w:right="80" w:firstLine="443"/>
        <w:spacing w:after="0" w:line="268" w:lineRule="auto"/>
        <w:tabs>
          <w:tab w:leader="none" w:pos="1263"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[if applicable, insert</w:t>
      </w:r>
      <w:r>
        <w:rPr>
          <w:rFonts w:ascii="Arial" w:cs="Arial" w:eastAsia="Arial" w:hAnsi="Arial"/>
          <w:sz w:val="18"/>
          <w:szCs w:val="18"/>
          <w:color w:val="auto"/>
        </w:rPr>
        <w:t>—any deletions from, modifications of or additions to the subordination provisions set forth in Section 13 pertaining to the Securities of the series;]</w:t>
      </w:r>
    </w:p>
    <w:p>
      <w:pPr>
        <w:spacing w:after="0" w:line="131" w:lineRule="exact"/>
        <w:rPr>
          <w:rFonts w:ascii="Arial" w:cs="Arial" w:eastAsia="Arial" w:hAnsi="Arial"/>
          <w:sz w:val="18"/>
          <w:szCs w:val="18"/>
          <w:color w:val="auto"/>
        </w:rPr>
      </w:pPr>
    </w:p>
    <w:p>
      <w:pPr>
        <w:ind w:left="1220" w:hanging="337"/>
        <w:spacing w:after="0"/>
        <w:tabs>
          <w:tab w:leader="none" w:pos="1220" w:val="left"/>
        </w:tabs>
        <w:numPr>
          <w:ilvl w:val="1"/>
          <w:numId w:val="77"/>
        </w:numPr>
        <w:rPr>
          <w:rFonts w:ascii="Arial" w:cs="Arial" w:eastAsia="Arial" w:hAnsi="Arial"/>
          <w:sz w:val="16"/>
          <w:szCs w:val="16"/>
          <w:color w:val="auto"/>
        </w:rPr>
      </w:pPr>
      <w:r>
        <w:rPr>
          <w:rFonts w:ascii="Arial" w:cs="Arial" w:eastAsia="Arial" w:hAnsi="Arial"/>
          <w:sz w:val="16"/>
          <w:szCs w:val="16"/>
          <w:color w:val="auto"/>
        </w:rPr>
        <w:t>the terms and conditions upon which Securities of the series will be convertible into shares of Common Stock of the Company; and</w:t>
      </w:r>
    </w:p>
    <w:p>
      <w:pPr>
        <w:spacing w:after="0" w:line="194" w:lineRule="exact"/>
        <w:rPr>
          <w:rFonts w:ascii="Arial" w:cs="Arial" w:eastAsia="Arial" w:hAnsi="Arial"/>
          <w:sz w:val="16"/>
          <w:szCs w:val="16"/>
          <w:color w:val="auto"/>
        </w:rPr>
      </w:pPr>
    </w:p>
    <w:p>
      <w:pPr>
        <w:ind w:left="440" w:right="260" w:firstLine="443"/>
        <w:spacing w:after="0" w:line="332" w:lineRule="auto"/>
        <w:tabs>
          <w:tab w:leader="none" w:pos="1263" w:val="left"/>
        </w:tabs>
        <w:numPr>
          <w:ilvl w:val="1"/>
          <w:numId w:val="77"/>
        </w:numPr>
        <w:rPr>
          <w:rFonts w:ascii="Arial" w:cs="Arial" w:eastAsia="Arial" w:hAnsi="Arial"/>
          <w:sz w:val="16"/>
          <w:szCs w:val="16"/>
          <w:color w:val="auto"/>
        </w:rPr>
      </w:pPr>
      <w:r>
        <w:rPr>
          <w:rFonts w:ascii="Arial" w:cs="Arial" w:eastAsia="Arial" w:hAnsi="Arial"/>
          <w:sz w:val="16"/>
          <w:szCs w:val="16"/>
          <w:color w:val="auto"/>
        </w:rPr>
        <w:t>any other terms of the series (which terms shall not be inconsistent with the provisions of this Indenture), including any terms which may be required by or advisable under United States laws or regulations or advisable in connection with the marketing of Securities of the series.</w:t>
      </w:r>
    </w:p>
    <w:p>
      <w:pPr>
        <w:spacing w:after="0" w:line="85" w:lineRule="exact"/>
        <w:rPr>
          <w:rFonts w:ascii="Arial" w:cs="Arial" w:eastAsia="Arial" w:hAnsi="Arial"/>
          <w:sz w:val="16"/>
          <w:szCs w:val="16"/>
          <w:color w:val="auto"/>
        </w:rPr>
      </w:pPr>
    </w:p>
    <w:p>
      <w:pPr>
        <w:ind w:left="-20" w:right="20" w:firstLine="464"/>
        <w:spacing w:after="0" w:line="255" w:lineRule="auto"/>
        <w:tabs>
          <w:tab w:leader="none" w:pos="67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Securities of any one series shall be substantially identical except as to denomination and the rate or rates of interest, if any, and Stated Maturity, the date from which interest, if any, shall accrue and except as may otherwise be provided in or pursuant to an Officers’ Certificate pursuant to this Section 3.1 or in an indenture supplemental hereto. All Securities of any one series need not be issued at the same time and, unless otherwise provided, a series may be reopened, without the consent of the Holders, for issuances of additional Securities of such series or for the establishment of additional terms with respect to the Securities of such series.</w:t>
      </w:r>
    </w:p>
    <w:p>
      <w:pPr>
        <w:spacing w:after="0" w:line="142" w:lineRule="exact"/>
        <w:rPr>
          <w:rFonts w:ascii="Arial" w:cs="Arial" w:eastAsia="Arial" w:hAnsi="Arial"/>
          <w:sz w:val="18"/>
          <w:szCs w:val="18"/>
          <w:color w:val="auto"/>
        </w:rPr>
      </w:pPr>
    </w:p>
    <w:p>
      <w:pPr>
        <w:ind w:left="-20" w:firstLine="464"/>
        <w:spacing w:after="0" w:line="289" w:lineRule="auto"/>
        <w:tabs>
          <w:tab w:leader="none" w:pos="685"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any of the terms of the Securities of any series are established by action taken pursuant to a Board Resolution, a copy of such Board Resolution shall be certified by the Corporate Secretary or an Assistant Secretary of the Company and delivered to the Trustee at or prior to the delivery of the Officers’ Certificate setting forth, or providing the manner for determining, the terms of the Securities of such series, and an appropriate record of any action taken pursuant thereto in connection with the issuance of any Securities of such series shall be delivered to the Trustee prior to the authentication and delivery thereof. With respect to Securities of a series subject to a Periodic Offering, such Board Resolution or Officers’ Certificate may provide general terms for Securities of such series and provide either that the specific terms of particular Securities of such series shall be specified in a Company Order or that such terms shall be determined by the Company, or one or more of the Company’s agents designated in an Officers’ Certificate, in accordance with the Company Order as contemplated by the first proviso of the third paragraph of Section 3.3.</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60" w:top="280" w:right="2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3.2 Denominations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Securities of each series shall be issuable only in definitive registered form without coupons and in such denominations as shall be specified as contemplated by Section 3.1. In the absence of any such provisions with respect to the Securities of any series, the Securities of such series shall be issuable in denominations of $1,000 and any integral multiple thereof.</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3.3 Execution, Authentication, Delivery and Dating</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Securities shall be executed on behalf of the Company by the Chairman, President or any Vice President or Chief Executive Officer and attested to by the Secretary or Assistant Secretary of the Company. The signatures of such officers on the Securities may be manual or facsimile signatures of the present or any future such authorized officers and may be imprinted or otherwise reproduced on the Securities.</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At any time and from time to time, the Company may deliver Securities of any series executed by the Company to the Trustee for authentication, together with a Company Order for the authentication and make available for delivery such Securities, and the Trustee in accordance with the Company Order shall authenticate and deliver such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case of Securities offered in a Periodic Offering, the Trustee shall authenticate and deliver such Securities from time to time in accordance with such other procedures (including, without limitation, the receipt by the Trustee of oral or electronic instructions from the Company or its duly authorized agents, promptly confirmed in writing) acceptable to the Trustee as may be specified by or pursuant to a Company Order delivered to the Trustee prior to the time of the first authentication of Securities of such series.</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the form or terms of the Securities of a series have been established by or pursuant to one or more Officers’ Certificates as permitted by Sections 2.1 and 3.1, in authenticating such Securities and accepting the additional responsibilities under this Indenture in relation to such Securities, the Trustee shall be entitled to receive, and (subject to section 315(a) through (d) of the Trust Indenture Act) shall be fully protected in relying upon, an Opinion of Counsel stating,</w:t>
      </w:r>
    </w:p>
    <w:p>
      <w:pPr>
        <w:spacing w:after="0" w:line="107" w:lineRule="exact"/>
        <w:rPr>
          <w:sz w:val="20"/>
          <w:szCs w:val="20"/>
          <w:color w:val="auto"/>
        </w:rPr>
      </w:pPr>
    </w:p>
    <w:p>
      <w:pPr>
        <w:ind w:left="1140" w:hanging="237"/>
        <w:spacing w:after="0"/>
        <w:tabs>
          <w:tab w:leader="none" w:pos="11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that the forms and terms of such Securities have been established in conformity with the provisions of this Indenture; and</w:t>
      </w:r>
    </w:p>
    <w:p>
      <w:pPr>
        <w:spacing w:after="0" w:line="171" w:lineRule="exact"/>
        <w:rPr>
          <w:rFonts w:ascii="Arial" w:cs="Arial" w:eastAsia="Arial" w:hAnsi="Arial"/>
          <w:sz w:val="18"/>
          <w:szCs w:val="18"/>
          <w:color w:val="auto"/>
        </w:rPr>
      </w:pPr>
    </w:p>
    <w:p>
      <w:pPr>
        <w:jc w:val="both"/>
        <w:ind w:left="460" w:right="260" w:firstLine="443"/>
        <w:spacing w:after="0" w:line="259" w:lineRule="auto"/>
        <w:tabs>
          <w:tab w:leader="none" w:pos="1147"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customary exceptions;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274" w:right="319" w:bottom="1440" w:gutter="0" w:footer="0" w:header="0"/>
        </w:sectPr>
      </w:pPr>
    </w:p>
    <w:bookmarkStart w:id="107" w:name="page108"/>
    <w:bookmarkEnd w:id="107"/>
    <w:p>
      <w:pPr>
        <w:ind w:right="100"/>
        <w:spacing w:after="0" w:line="332"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with respect to Securities of a series subject to a Periodic Offering, the Trustee shall be entitled to receive such Opinion of Counsel only</w:t>
      </w:r>
      <w:r>
        <w:rPr>
          <w:rFonts w:ascii="Arial" w:cs="Arial" w:eastAsia="Arial" w:hAnsi="Arial"/>
          <w:sz w:val="16"/>
          <w:szCs w:val="16"/>
          <w:i w:val="1"/>
          <w:iCs w:val="1"/>
          <w:color w:val="auto"/>
        </w:rPr>
        <w:t xml:space="preserve"> </w:t>
      </w:r>
      <w:r>
        <w:rPr>
          <w:rFonts w:ascii="Arial" w:cs="Arial" w:eastAsia="Arial" w:hAnsi="Arial"/>
          <w:sz w:val="16"/>
          <w:szCs w:val="16"/>
          <w:color w:val="auto"/>
        </w:rPr>
        <w:t>once at or prior to the time of the first authentication of Securities of such series and that the Opinion of Counsel above may state:</w:t>
      </w:r>
    </w:p>
    <w:p>
      <w:pPr>
        <w:spacing w:after="0" w:line="85" w:lineRule="exact"/>
        <w:rPr>
          <w:sz w:val="20"/>
          <w:szCs w:val="20"/>
          <w:color w:val="auto"/>
        </w:rPr>
      </w:pPr>
    </w:p>
    <w:p>
      <w:pPr>
        <w:ind w:left="460" w:right="140" w:firstLine="443"/>
        <w:spacing w:after="0" w:line="306" w:lineRule="auto"/>
        <w:tabs>
          <w:tab w:leader="none" w:pos="1147"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that the forms of such Securities have been, and the terms of such Securities (when established in accordance with such procedures as may be specified from time to time in a Company Order, all as contemplated by and in accordance with a Board Resolution or an Officers’ Certificate pursuant to Section 3.1, as the case may be) will have been, established in conformity with the provisions of this Indenture; and</w:t>
      </w:r>
    </w:p>
    <w:p>
      <w:pPr>
        <w:spacing w:after="0" w:line="106" w:lineRule="exact"/>
        <w:rPr>
          <w:rFonts w:ascii="Arial" w:cs="Arial" w:eastAsia="Arial" w:hAnsi="Arial"/>
          <w:sz w:val="16"/>
          <w:szCs w:val="16"/>
          <w:color w:val="auto"/>
        </w:rPr>
      </w:pPr>
    </w:p>
    <w:p>
      <w:pPr>
        <w:jc w:val="both"/>
        <w:ind w:left="460" w:right="460" w:firstLine="443"/>
        <w:spacing w:after="0" w:line="306" w:lineRule="auto"/>
        <w:tabs>
          <w:tab w:leader="none" w:pos="1147"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that such Securities, when (1) executed by the Company, (2) completed, authenticated and delivered by the Trustee in accordance with this Indenture, and (3) issued by the Company in the manner and subject to any conditions specified in such Opinion of Counsel, will constitute valid and legally binding obligations of the Company, enforceable in accordance with their terms, subject to customary exceptions.</w:t>
      </w:r>
    </w:p>
    <w:p>
      <w:pPr>
        <w:spacing w:after="0" w:line="10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With respect to Securities of a series subject to a Periodic Offering, the Trustee may conclusively rely, as to the authorization by the Company of any of such Securities, the form and terms thereof and the legality, validity, binding effect and enforceability thereof, upon the Opinion of Counsel and other documents delivered pursuant to Sections 2.1 and 3.1 of this Section, as applicable, at or prior to the time of the first authentication of Securities of such series unless and until it has received written notification that such opinion or other documents have been superseded or revoked. In connection with the authentication and delivery of Securities of a series subject to a Periodic Offering, the Trustee shall be entitled to assume that the Company’s instructions to authenticate and deliver such Securities do not violate any rules, regulations or orders of any governmental agency or commission having jurisdiction over the Company.</w:t>
      </w:r>
    </w:p>
    <w:p>
      <w:pPr>
        <w:spacing w:after="0" w:line="12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the form or terms of the Securities of a series have been established by or pursuant to one or more Officers’ Certificates as permitted by Sections 2.1 and 3.1, the Trustee shall have the right to decline to authenticate such Securities if the issue of such Securities pursuant to this Indenture will adversely affect the Trustee’s own rights, duties or immunities under this Indenture or otherwise in a manner which is not reasonably acceptable to the Trustee.</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Notwithstanding the provisions of Section 3.1 and of the two preceding paragraphs, if all of the Securities of any series are not to be issued at one time, it shall not be necessary to deliver the Officers’ Certificate otherwise required pursuant to Section 3.1 at or prior to the time of the authentication of each Security of such series if the Officers’ Certificate is delivered at or prior to the authentication upon original issuance of the first Security of such series to be issued.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Security shall be dated the date of its authentication.</w:t>
      </w:r>
    </w:p>
    <w:p>
      <w:pPr>
        <w:spacing w:after="0" w:line="17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No Security shall be entitled to any benefits under this Indenture or be valid or obligatory for any purpose until authenticated by the manual signature of one of the authorized signatories of the Trustee or an Authenticating Agent. Such signature upon any Security shall be conclusive evidence, and the only evidence, that such Security has been duly authenticated and delivered under this Indenture and is entitled to the benefits of this Indenture.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08" w:name="page109"/>
    <w:bookmarkEnd w:id="108"/>
    <w:p>
      <w:pPr>
        <w:ind w:firstLine="456"/>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if any Security shall have been authenticated and delivered hereunder but never issued and sold by the Company, and the Company shall deliver such Security to the Trustee for cancellation as provided in Section 3.9 together with a written statement (which need not comply with Section 1.2 and need not be accompanied by an Opinion of Counsel) stating that such Security has never been issued and sold by the Company, for all purposes of this Indenture such Security shall be deemed never to have been authenticated and delivered hereunder and shall not be entitled to the benefits of this Indenture.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3.4 Temporary Securities</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Pending the preparation of definitive Securities of any series, the Company may execute and, upon Company Order, the Trustee shall authenticate and deliver temporary Securities of such series which are printed, lithographed, typewritten, mimeographed or otherwise produced, in any authorized denomination, substantially of the tenor and form of the definitive Securities in lieu of which they are issued and with such appropriate insertions, omissions, substitutions and other variations as the officers executing such Securities may determine, as conclusively evidenced by their execution of such Securities.</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temporary Securities of any series are issued, the Company will cause permanent Securities of such series to be prepared without unreasonable delay. After preparation of such permanent Securities, the temporary Securities shall be exchangeable for such permanent Securities of like tenor upon surrender of the temporary Securities of such series at the office or agency of the Company pursuant to Section 9.2 in a Place of Payment for such series, without charge to the Holder. Upon surrender for cancellation of any one or more temporary Securities of any series, the Company shall execute and the Trustee shall authenticate and deliver in exchange therefor a like principal amount of Permanent Securities of the same series of authorized denominations and of like tenor. Until so exchanged, the temporary Securities of any series shall in all respects be entitled to the same benefits under this Indenture as permanent Securities of such series except as otherwise specified as contemplated by Section 3.1.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3.5 Registration, Registration of Transfer and Exchange</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shall cause to be kept at the Corporate Trust Office of the Trustee or in any office or agency to be maintained by the Company in accordance with Section 9.2 in a Place of Payment a register (the “</w:t>
      </w:r>
      <w:r>
        <w:rPr>
          <w:rFonts w:ascii="Arial" w:cs="Arial" w:eastAsia="Arial" w:hAnsi="Arial"/>
          <w:sz w:val="18"/>
          <w:szCs w:val="18"/>
          <w:b w:val="1"/>
          <w:bCs w:val="1"/>
          <w:i w:val="1"/>
          <w:iCs w:val="1"/>
          <w:color w:val="auto"/>
        </w:rPr>
        <w:t>Register</w:t>
      </w:r>
      <w:r>
        <w:rPr>
          <w:rFonts w:ascii="Arial" w:cs="Arial" w:eastAsia="Arial" w:hAnsi="Arial"/>
          <w:sz w:val="18"/>
          <w:szCs w:val="18"/>
          <w:color w:val="auto"/>
        </w:rPr>
        <w:t>”) in which, subject to such reasonable regulations as it may prescribe, the Company shall provide for the registration of Securities and the registration of transfers of Securities. The Register shall be in written form or any other form capable of being converted into written form within a reasonable time. The Trustee is hereby appointed “Registrar” for the purpose of registering Securities and transfers of Securities as herein provided.</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Upon surrender for registration of transfer of any Security of any series at the office or agency maintained pursuant to Section 9.2 in a Place of Payment for that series, the Company shall execute, and the Trustee shall authenticate and deliver, in the name of the designated transferee or transferees, one or more new Securities of the same series, of any authorized denominations and of a like aggregate principal amount and tenor.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09" w:name="page110"/>
    <w:bookmarkEnd w:id="109"/>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the option of the Holder, Securities of any series may be exchanged for other Securities of the same series, of any authorized denominations and of like aggregate principal amount containing identical terms and provisions, upon surrender of the Securities to be exchanged at such office or agency. Whenever any Securities are so surrendered for exchange, the Company shall execute, and the Trustee shall authenticate and deliver, the Securities which the Holder making the exchange is entitled to receive.</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Whenever any Securities are surrendered for exchange, the Company shall execute, and the Trustee shall authenticate and deliver, the Securities which the Holder making the exchange is entitled to receive.</w:t>
      </w:r>
    </w:p>
    <w:p>
      <w:pPr>
        <w:spacing w:after="0" w:line="132"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All Securities issued upon any registration of transfer or upon any exchange of Securities shall be the valid obligations of the Company, evidencing the same debt, and entitled to the same benefits under this Indenture, as the Securities surrendered upon such registration of such transfer or exchange.</w:t>
      </w:r>
    </w:p>
    <w:p>
      <w:pPr>
        <w:spacing w:after="0" w:line="85"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Every Security presented or surrendered for registration of transfer or for exchange shall (if so required by the Company, the Registrar or the Trustee) be duly endorsed, or be accompanied by a written instrument of transfer in form satisfactory to those of the Company, the Registrar and the Trustee requiring such written instrument of transfer duly executed by the Holder thereof or his attorney duly authorized in writing.</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 service change shall be made for any registration of transfer or for any exchange of Securities, but the Company may require payment of a sum sufficient to cover any tax or other governmental charge that may be imposed in connection with any registration or transfer or exchange of Securities, other than exchanges pursuant to Section 3.4 or 10.7 not involving any transfer.</w:t>
      </w:r>
    </w:p>
    <w:p>
      <w:pPr>
        <w:spacing w:after="0" w:line="14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Company shall not be required (a) to issue, register the transfer of, or exchange any Securities for a period beginning at the opening of business</w:t>
      </w:r>
    </w:p>
    <w:p>
      <w:pPr>
        <w:spacing w:after="0" w:line="38"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15 days before any selection for redemption of Securities of like tenor and of the series of which such Security is a part and ending at the close of business on the earliest date on which the relevant notice of redemption is deemed to have been given to all Holders of Securities of like tenor and of such series to be redeemed or (b) to register the transfer of or exchange of any Security so selected for redemption, in whole or in part, except the unredeemed portion of any Security being redeemed in part.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3.6 Replacement Securities</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If a mutilated Security is surrendered to the Trustee, together with, in proper cases, such security or indemnity as may be required by the Company or the Trustee to save each of them harmless, the Company shall execute and the Trustee shall authenticate and deliver a replacement Security of the same series and date of maturity, if the Trustee’s requirements are met.</w:t>
      </w:r>
    </w:p>
    <w:p>
      <w:pPr>
        <w:spacing w:after="0" w:line="14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If there shall be delivered to the Company and the Trustee (a) evidence to their satisfaction of the destruction, loss or theft of any Security and (b) such security or indemnity as may be required by them to save each of them and any agency of either of them harmless, then,</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80" w:right="299" w:bottom="1440" w:gutter="0" w:footer="0" w:header="0"/>
        </w:sectPr>
      </w:pPr>
    </w:p>
    <w:bookmarkStart w:id="110" w:name="page111"/>
    <w:bookmarkEnd w:id="110"/>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absence of notice to the Company or the Trustee that such Security has been acquired by a bona fide purchaser, the Company shall execute and the Trustee shall authenticate and deliver in lieu of any such destroyed, lost or stolen Security, a replacement Security of the same series and principal amount, containing identical terms and provisions and bearing a number not contemporaneously outstanding.</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32" w:lineRule="exact"/>
        <w:rPr>
          <w:sz w:val="20"/>
          <w:szCs w:val="20"/>
          <w:color w:val="auto"/>
        </w:rPr>
      </w:pPr>
    </w:p>
    <w:p>
      <w:pPr>
        <w:ind w:right="540" w:firstLine="456"/>
        <w:spacing w:after="0" w:line="370" w:lineRule="auto"/>
        <w:rPr>
          <w:sz w:val="20"/>
          <w:szCs w:val="20"/>
          <w:color w:val="auto"/>
        </w:rPr>
      </w:pPr>
      <w:r>
        <w:rPr>
          <w:rFonts w:ascii="Arial" w:cs="Arial" w:eastAsia="Arial" w:hAnsi="Arial"/>
          <w:sz w:val="15"/>
          <w:szCs w:val="15"/>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6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0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3.7 Payment of Interest; Interest Rights Preserved</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Unless otherwise provided as contemplated by Section 3.1, interest, if any,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 at the office or agency maintained for such purpose pursuant to Section 9.2;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the option of the Company, interest on any series of Securities that bear interest may be paid (a) by check mailed to the address of the Person entitled thereto as it shall appear on the Register of Holders of Securities of such series or (b) to the extent specified as contemplated by Section 3.1, by wire transfer to an account maintained by the Person entitled thereto as specified in the Register of Holders of Securities of such series.</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Unless otherwise provided as contemplated by Section 3.1, any interest on any Security of any series which is payable, but is not punctually paid or duly provided for, on any interest payment date (herein called “</w:t>
      </w:r>
      <w:r>
        <w:rPr>
          <w:rFonts w:ascii="Arial" w:cs="Arial" w:eastAsia="Arial" w:hAnsi="Arial"/>
          <w:sz w:val="18"/>
          <w:szCs w:val="18"/>
          <w:b w:val="1"/>
          <w:bCs w:val="1"/>
          <w:i w:val="1"/>
          <w:iCs w:val="1"/>
          <w:color w:val="auto"/>
        </w:rPr>
        <w:t>Defaulted Interest</w:t>
      </w:r>
      <w:r>
        <w:rPr>
          <w:rFonts w:ascii="Arial" w:cs="Arial" w:eastAsia="Arial" w:hAnsi="Arial"/>
          <w:sz w:val="18"/>
          <w:szCs w:val="18"/>
          <w:color w:val="auto"/>
        </w:rPr>
        <w:t>”) shall forthwith cease to be payable to the Holder on the relevant Regular Record Date by virtue of having been such Holder, and such Defaulted Interest may be paid by the Company, at its election in each case, as provided in clause (i) or (ii) below:</w:t>
      </w:r>
    </w:p>
    <w:p>
      <w:pPr>
        <w:spacing w:after="0" w:line="143" w:lineRule="exact"/>
        <w:rPr>
          <w:sz w:val="20"/>
          <w:szCs w:val="20"/>
          <w:color w:val="auto"/>
        </w:rPr>
      </w:pPr>
    </w:p>
    <w:p>
      <w:pPr>
        <w:ind w:left="460" w:right="720" w:firstLine="443"/>
        <w:spacing w:after="0" w:line="268" w:lineRule="auto"/>
        <w:tabs>
          <w:tab w:leader="none" w:pos="1108"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 may elect to make payment of any Defaulted Interest to the Persons in whose names the Securities of such series (or their respective Predecessor Securities) are registered at the close of business on a Special Record Date for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11" w:name="page112"/>
    <w:bookmarkEnd w:id="111"/>
    <w:p>
      <w:pPr>
        <w:ind w:left="460"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of such Defaulted Interest, which shall be fixed in the following manner.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(i)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Securities of such series at his address as it appears in the Register,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(ii).</w:t>
      </w:r>
    </w:p>
    <w:p>
      <w:pPr>
        <w:spacing w:after="0" w:line="46" w:lineRule="exact"/>
        <w:rPr>
          <w:sz w:val="20"/>
          <w:szCs w:val="20"/>
          <w:color w:val="auto"/>
        </w:rPr>
      </w:pPr>
    </w:p>
    <w:p>
      <w:pPr>
        <w:ind w:left="460" w:right="160" w:firstLine="443"/>
        <w:spacing w:after="0" w:line="298" w:lineRule="auto"/>
        <w:tabs>
          <w:tab w:leader="none" w:pos="1157"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Company may make payment of any Defaulted Interest to the Persons in whose names the Securities of such series (or their respective Predecessor Securities) are registered at the close of business on a specified date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(ii), such manner of payment shall be deemed practicable by the Trustee.</w:t>
      </w:r>
    </w:p>
    <w:p>
      <w:pPr>
        <w:spacing w:after="0" w:line="113" w:lineRule="exact"/>
        <w:rPr>
          <w:sz w:val="20"/>
          <w:szCs w:val="20"/>
          <w:color w:val="auto"/>
        </w:rPr>
      </w:pPr>
    </w:p>
    <w:p>
      <w:pPr>
        <w:jc w:val="both"/>
        <w:ind w:right="540" w:firstLine="456"/>
        <w:spacing w:after="0" w:line="370" w:lineRule="auto"/>
        <w:rPr>
          <w:sz w:val="20"/>
          <w:szCs w:val="20"/>
          <w:color w:val="auto"/>
        </w:rPr>
      </w:pPr>
      <w:r>
        <w:rPr>
          <w:rFonts w:ascii="Arial" w:cs="Arial" w:eastAsia="Arial" w:hAnsi="Arial"/>
          <w:sz w:val="15"/>
          <w:szCs w:val="15"/>
          <w:color w:val="auto"/>
        </w:rPr>
        <w:t>Subject to the foregoing provisions of this Section and Section 3.5, each Security delivered under this Indenture upon registration of transfer of or in exchange for or in lieu of any other Security shall carry the rights to interest accrued and unpaid, and to accrue, which were carried by such other Security.</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the case of any Security which is converted after any Regular Record Date and on or prior to the next succeeding Interest Payment Date (other than any Security whose Maturity is prior to such Interest Payment Date), interest whose Stated Maturity is on such Interest Payment Date shall be payable on such Interest Payment Date notwithstanding such conversion, and such interest (whether or not punctually paid or duly provided for) shall be paid to the Person in whose name that Security (or one or more Predecessor Securities) is registered at the close of business on such Regular Record Date. Except as otherwise expressly provided in the immediately preceding sentence, in the case of any Security which is converted, interest whose Stated Maturity is after the date of conversion of such Security shall not be payable.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3.8 Persons Deemed Owners</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Prior to due presentment of any Security for registration of transfer, the Company, the Trustee and any agent of the Company or the Trustee may treat the Person in whose name such Security is registered as the owner of such Security for the purpose of receiving payment of principal of, premium, if any, and (subject to Section 3.7) interest on such Security and for all other purposes whatsoever, whether or not such Security be overdue, and neither the Company, the Trustee nor any agent of the Company or the Trustee shall be affected by notice to the contrary.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3.9 Cancellation</w:t>
      </w:r>
    </w:p>
    <w:p>
      <w:pPr>
        <w:spacing w:after="0" w:line="96"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The Company at any time may deliver Securities to the Trustee for cancellation. The Registrar and any Paying Agent shall forward to the Trustee any Securities surrendered to them for replacement, for registration of transfer, or for exchange, conversion or payment. The Trustee shall cancel all Securities surrendered for replacement, for registration of transfer, or for exchange, conversion, payment, redemption or cancellation and may dispose of cancelled Securities and issue a certificate of disposition to the Company. The Company may not issue new Securities to replace Securities that it has paid or delivered to the Trustee for cancellation, except as expressly permitted in the terms of Securities for any particular series or as permitted pursuant to the terms of this Indenture.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3.10 Computation of Interest</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Except as otherwise specified as contemplated by Section 3.1 (a) interest of any Securities that bear interest at a fixed rate shall be computed on the basis of a 360-day year of twelve 30-day months and (b) interest on any Securities the bear interest at a variable rate shall be computed on the basis of the actual number of days in an interest period divided by 360 or the actual number of days in the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3.11 CUSIP Numbers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Company in issuing the Securities may use “CUSIP” numbers (if then generally in use), and, if so, the Trustee shall use “CUSIP” numbers (in addition to the other identification numbers printed on the Securities) in notices of redemption as a convenience to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Satisfaction, Discharge and Covenant Defeasance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4.1 Termination of Company’s Obligations Under the Indenture</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Except as otherwise provided as contemplated by Section 3.1, this Indenture shall upon Company Request cease to be of further effect with respect to Securities of or within any series (except as to any surviving rights of registration of transfer or exchange of such Securities and replacement of such Securities which may have been lost, stolen or mutilated as herein expressly provided for) and the Trustee, at the expense of the Company, shall execute proper instruments acknowledging satisfaction and discharge of this Indenture with respect to such Securities when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113" w:name="page114"/>
    <w:bookmarkEnd w:id="113"/>
    <w:p>
      <w:pPr>
        <w:ind w:left="1140" w:hanging="237"/>
        <w:spacing w:after="0"/>
        <w:tabs>
          <w:tab w:leader="none" w:pos="1140"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either</w:t>
      </w:r>
    </w:p>
    <w:p>
      <w:pPr>
        <w:spacing w:after="0" w:line="90" w:lineRule="exact"/>
        <w:rPr>
          <w:rFonts w:ascii="Arial" w:cs="Arial" w:eastAsia="Arial" w:hAnsi="Arial"/>
          <w:sz w:val="18"/>
          <w:szCs w:val="18"/>
          <w:color w:val="auto"/>
        </w:rPr>
      </w:pPr>
    </w:p>
    <w:p>
      <w:pPr>
        <w:ind w:left="920" w:right="60" w:firstLine="421"/>
        <w:spacing w:after="0" w:line="256" w:lineRule="auto"/>
        <w:tabs>
          <w:tab w:leader="none" w:pos="1549"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such Securities previously authenticated and delivered (other than (i) such Securities which have been destroyed, lost or stolen and which have been replaced or paid as provided in Section 3.6, and (ii) such Securities for whose payment money has theretofore been deposited in trust or segregated and held in trust by the Company and thereafter repaid to the Company or discharged from such trust, as provided in Section 9.3) have been delivered to the Trustee for cancellation; or</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Securities of such series not theretofore delivered to the Trustee for cancellation</w:t>
      </w:r>
    </w:p>
    <w:p>
      <w:pPr>
        <w:spacing w:after="0" w:line="90" w:lineRule="exact"/>
        <w:rPr>
          <w:rFonts w:ascii="Arial" w:cs="Arial" w:eastAsia="Arial" w:hAnsi="Arial"/>
          <w:sz w:val="18"/>
          <w:szCs w:val="18"/>
          <w:color w:val="auto"/>
        </w:rPr>
      </w:pPr>
    </w:p>
    <w:p>
      <w:pPr>
        <w:ind w:left="2140" w:hanging="251"/>
        <w:spacing w:after="0"/>
        <w:tabs>
          <w:tab w:leader="none" w:pos="2140" w:val="left"/>
        </w:tabs>
        <w:numPr>
          <w:ilvl w:val="2"/>
          <w:numId w:val="83"/>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90" w:lineRule="exact"/>
        <w:rPr>
          <w:rFonts w:ascii="Arial" w:cs="Arial" w:eastAsia="Arial" w:hAnsi="Arial"/>
          <w:sz w:val="18"/>
          <w:szCs w:val="18"/>
          <w:color w:val="auto"/>
        </w:rPr>
      </w:pPr>
    </w:p>
    <w:p>
      <w:pPr>
        <w:ind w:left="2140" w:hanging="251"/>
        <w:spacing w:after="0"/>
        <w:tabs>
          <w:tab w:leader="none" w:pos="2140" w:val="left"/>
        </w:tabs>
        <w:numPr>
          <w:ilvl w:val="2"/>
          <w:numId w:val="83"/>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90" w:lineRule="exact"/>
        <w:rPr>
          <w:rFonts w:ascii="Arial" w:cs="Arial" w:eastAsia="Arial" w:hAnsi="Arial"/>
          <w:sz w:val="18"/>
          <w:szCs w:val="18"/>
          <w:color w:val="auto"/>
        </w:rPr>
      </w:pPr>
    </w:p>
    <w:p>
      <w:pPr>
        <w:ind w:left="1500" w:right="100" w:firstLine="389"/>
        <w:spacing w:after="0" w:line="332" w:lineRule="auto"/>
        <w:tabs>
          <w:tab w:leader="none" w:pos="2146" w:val="left"/>
        </w:tabs>
        <w:numPr>
          <w:ilvl w:val="2"/>
          <w:numId w:val="83"/>
        </w:numPr>
        <w:rPr>
          <w:rFonts w:ascii="Arial" w:cs="Arial" w:eastAsia="Arial" w:hAnsi="Arial"/>
          <w:sz w:val="16"/>
          <w:szCs w:val="16"/>
          <w:color w:val="auto"/>
        </w:rPr>
      </w:pPr>
      <w:r>
        <w:rPr>
          <w:rFonts w:ascii="Arial" w:cs="Arial" w:eastAsia="Arial" w:hAnsi="Arial"/>
          <w:sz w:val="16"/>
          <w:szCs w:val="16"/>
          <w:color w:val="auto"/>
        </w:rPr>
        <w:t>if redeemable at the option of the Company, are to be called for redemption within one year under arrangements satisfactory to the Trustee for giving of notice of redemption by the Trustee in the name, and at the expense, of the Company,</w:t>
      </w:r>
    </w:p>
    <w:p>
      <w:pPr>
        <w:spacing w:after="0" w:line="4" w:lineRule="exact"/>
        <w:rPr>
          <w:sz w:val="20"/>
          <w:szCs w:val="20"/>
          <w:color w:val="auto"/>
        </w:rPr>
      </w:pPr>
    </w:p>
    <w:p>
      <w:pPr>
        <w:ind w:left="920" w:right="140"/>
        <w:spacing w:after="0" w:line="298" w:lineRule="auto"/>
        <w:rPr>
          <w:sz w:val="20"/>
          <w:szCs w:val="20"/>
          <w:color w:val="auto"/>
        </w:rPr>
      </w:pPr>
      <w:r>
        <w:rPr>
          <w:rFonts w:ascii="Arial" w:cs="Arial" w:eastAsia="Arial" w:hAnsi="Arial"/>
          <w:sz w:val="16"/>
          <w:szCs w:val="16"/>
          <w:color w:val="auto"/>
        </w:rPr>
        <w:t>and the Company, in the case of (1), (2) or (3) above, has irrevocably deposited or caused to be deposited with the Trustee as trust funds in trust for the purpose an amount sufficient to pay and discharge the entire indebtedness on such Securities not theretofore delivered to the Trustee for cancellation, for principal, premium, if any, and interest, with respect thereto, to the date of such deposit (in the case of Securities which have become due and payable) or to the Stated Maturity or Redemption Date, as the case may be;</w:t>
      </w:r>
    </w:p>
    <w:p>
      <w:pPr>
        <w:spacing w:after="0" w:line="32" w:lineRule="exact"/>
        <w:rPr>
          <w:sz w:val="20"/>
          <w:szCs w:val="20"/>
          <w:color w:val="auto"/>
        </w:rPr>
      </w:pPr>
    </w:p>
    <w:p>
      <w:pPr>
        <w:ind w:left="1160" w:hanging="257"/>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90" w:lineRule="exact"/>
        <w:rPr>
          <w:rFonts w:ascii="Arial" w:cs="Arial" w:eastAsia="Arial" w:hAnsi="Arial"/>
          <w:sz w:val="18"/>
          <w:szCs w:val="18"/>
          <w:color w:val="auto"/>
        </w:rPr>
      </w:pPr>
    </w:p>
    <w:p>
      <w:pPr>
        <w:ind w:left="460" w:right="300" w:firstLine="443"/>
        <w:spacing w:after="0" w:line="268" w:lineRule="auto"/>
        <w:tabs>
          <w:tab w:leader="none" w:pos="113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3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Notwithstanding the satisfaction and discharge of this Indenture, the obligation of the Company to the Trustee and any predecessor Trustee under Section 6.8, the obligations of the Company to any Authenticating Agent under Section 6.13 and, if money shall have been deposited with the Trustee pursuant to subclause (ii) of clause (a) of this Section, the obligations of the Trustee under Section 4.2 and the last paragraph of Section 9.3 shall survive.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4.2 Application of Trust Funds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Subject to the provisions of the last paragraph of Section 9.3, all money deposited with the Trustee pursuant to Section 4.1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premium, if any, and any interest for whose payment such money has been deposited with or received by the Trustee, but such money need not be segregated from other funds except to the extent required by law. All moneys deposited with the Trustee pursuant to Section 4.1 (and held by it or any Paying Agent) for the payment of Securities subsequently converted shall be returned to the Company upon Company Request.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4.3 Applicability of Defeasance Provisions; Company’s Option to Effect Covenant Defeasance</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If pursuant to Section 3.1 provision is made for covenant defeasance of the Securities of or within a series under Section 4.4, then the provisions of such Section, together with the provisions of Sections 4.5 through 4.8 inclusive, with such modifications thereto as may be specified pursuant to Section 3.1 with respect to any Securities, shall be applicable to such Securities, and the Company may at its option by Board Resolution, at any time, with respect to such Securities, elect to have Section 4.4 (if applicable) be applied to such Outstanding Securities upon compliance with the conditions set forth below in this Article.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4.4 Covenant Defeasance</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Upon the Company’s exercise of the option specified in Section 4.3 applicable to this Section with respect to any Securities of or within a series, the Company shall be released from its obligations under Sections 7.1 and 9.4, and, if specified pursuant to Section 3.1, its obligations under any other covenant, with respect to such Securities on and after the date the conditions set forth in Section 4.5 are satisfied (hereinafter, “</w:t>
      </w:r>
      <w:r>
        <w:rPr>
          <w:rFonts w:ascii="Arial" w:cs="Arial" w:eastAsia="Arial" w:hAnsi="Arial"/>
          <w:sz w:val="16"/>
          <w:szCs w:val="16"/>
          <w:b w:val="1"/>
          <w:bCs w:val="1"/>
          <w:i w:val="1"/>
          <w:iCs w:val="1"/>
          <w:color w:val="auto"/>
        </w:rPr>
        <w:t>covenant defeasance</w:t>
      </w:r>
      <w:r>
        <w:rPr>
          <w:rFonts w:ascii="Arial" w:cs="Arial" w:eastAsia="Arial" w:hAnsi="Arial"/>
          <w:sz w:val="16"/>
          <w:szCs w:val="16"/>
          <w:color w:val="auto"/>
        </w:rPr>
        <w:t>”), and such Securities shall thereafter be deemed to be not “Outstanding” for the purposes of any direction, waiver, consent or declaration or Act of Holders (and the consequences of any thereof) in connection with Sections 7.1 and 9.4, or such other covenant, but shall continue to be deemed “Outstanding” for all other purposes hereunder. For this purpose, such covenant defeasance means that, with respect to such Securities,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5.1(c) or otherwise, as the case may be, but, except as specified above, the remainder of this Indenture and such Securities shall be unaffected thereby.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4.5 Conditions to Covenant Defeasance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shall be the conditions to application of Section 4.4 to any Securities of or within a series: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115" w:name="page116"/>
    <w:bookmarkEnd w:id="115"/>
    <w:p>
      <w:pPr>
        <w:ind w:firstLine="443"/>
        <w:spacing w:after="0" w:line="286" w:lineRule="auto"/>
        <w:tabs>
          <w:tab w:leader="none" w:pos="677" w:val="left"/>
        </w:tabs>
        <w:numPr>
          <w:ilvl w:val="0"/>
          <w:numId w:val="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have deposited or caused to be deposited irrevocably with the Trustee (or another trustee satisfying the requirements of Section 6.11 who shall agree to comply with, and shall be entitled to the benefits of, the provisions of Sections 4.3 through 4.8 inclusive and the last paragraph of Section 9.3 applicable to the Trustee, for purposes of such Sections also a “Trustee”) as trust funds in trust for the purpose of making the payments referred to in clauses (x) and (y) of this Section 4.5(a), specifically pledged as security for, and dedicated solely to, the benefit of the Holders of such Securities, with instructions to the Trustee as to the application thereof, (i) money in an amount, or (ii) if Securities of such series are not subject to repayment at the option of Holders, Government Obligations which through the payment of interest and principal in respect thereof in accordance with their terms will provide, not later than one day before the due date of any payment referred to in clause (x) or (y) of this Section 4.5(a), money in an amount or (iii) a combination thereof in an amount, sufficient, in the opinion of a nationally recognized firm of independent certified public accountants expressed in a written certification thereof delivered to the Trustee, to pay and discharge, and which shall be applied by the Trustee to pay and discharge, (x) the principal of, premium, if any, and interest, if any, on such Securities on the Maturity of such principal or installment of principal or interest and (y) any mandatory sinking fund payments applicable to such Securities on the day on which such payments are due and payable in accordance with the terms of this Indenture and such Securities. Before such a deposit the Company may make arrangements satisfactory to the Trustee for the redemption of Securities at a future date or dates in accordance with Article 10 which shall be given effect in applying the foregoing.</w:t>
      </w:r>
    </w:p>
    <w:p>
      <w:pPr>
        <w:spacing w:after="0" w:line="120" w:lineRule="exact"/>
        <w:rPr>
          <w:rFonts w:ascii="Arial" w:cs="Arial" w:eastAsia="Arial" w:hAnsi="Arial"/>
          <w:sz w:val="16"/>
          <w:szCs w:val="16"/>
          <w:color w:val="auto"/>
        </w:rPr>
      </w:pPr>
    </w:p>
    <w:p>
      <w:pPr>
        <w:ind w:firstLine="443"/>
        <w:spacing w:after="0" w:line="332" w:lineRule="auto"/>
        <w:tabs>
          <w:tab w:leader="none" w:pos="687" w:val="left"/>
        </w:tabs>
        <w:numPr>
          <w:ilvl w:val="0"/>
          <w:numId w:val="85"/>
        </w:numPr>
        <w:rPr>
          <w:rFonts w:ascii="Arial" w:cs="Arial" w:eastAsia="Arial" w:hAnsi="Arial"/>
          <w:sz w:val="16"/>
          <w:szCs w:val="16"/>
          <w:color w:val="auto"/>
        </w:rPr>
      </w:pPr>
      <w:r>
        <w:rPr>
          <w:rFonts w:ascii="Arial" w:cs="Arial" w:eastAsia="Arial" w:hAnsi="Arial"/>
          <w:sz w:val="16"/>
          <w:szCs w:val="16"/>
          <w:color w:val="auto"/>
        </w:rPr>
        <w:t>Such covenant defeasance shall not result in a breach or violation of, or constitute a Default or Event of Default under, this Indenture or result in a breach or violation of, or constitute a default under, any other material agreement or instrument to which the Company is a party or by which it is bound.</w:t>
      </w:r>
    </w:p>
    <w:p>
      <w:pPr>
        <w:spacing w:after="0" w:line="85" w:lineRule="exact"/>
        <w:rPr>
          <w:rFonts w:ascii="Arial" w:cs="Arial" w:eastAsia="Arial" w:hAnsi="Arial"/>
          <w:sz w:val="16"/>
          <w:szCs w:val="16"/>
          <w:color w:val="auto"/>
        </w:rPr>
      </w:pPr>
    </w:p>
    <w:p>
      <w:pPr>
        <w:ind w:right="340" w:firstLine="443"/>
        <w:spacing w:after="0" w:line="259" w:lineRule="auto"/>
        <w:tabs>
          <w:tab w:leader="none" w:pos="677"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 Default or Event of Default under Section 5.1(e) or 5.1(f) with respect to such Securities shall have occurred and be continuing during the period commencing on the date of such deposit and ending on the 91st day after such date (it being understood that this condition shall not be deemed satisfied until the expiration of such period).</w:t>
      </w:r>
    </w:p>
    <w:p>
      <w:pPr>
        <w:spacing w:after="0" w:line="140" w:lineRule="exact"/>
        <w:rPr>
          <w:rFonts w:ascii="Arial" w:cs="Arial" w:eastAsia="Arial" w:hAnsi="Arial"/>
          <w:sz w:val="18"/>
          <w:szCs w:val="18"/>
          <w:color w:val="auto"/>
        </w:rPr>
      </w:pPr>
    </w:p>
    <w:p>
      <w:pPr>
        <w:ind w:right="540" w:firstLine="443"/>
        <w:spacing w:after="0" w:line="306" w:lineRule="auto"/>
        <w:tabs>
          <w:tab w:leader="none" w:pos="687"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Opinion of Counsel to the effect that the Holders of such Securities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06" w:lineRule="exact"/>
        <w:rPr>
          <w:rFonts w:ascii="Arial" w:cs="Arial" w:eastAsia="Arial" w:hAnsi="Arial"/>
          <w:sz w:val="16"/>
          <w:szCs w:val="16"/>
          <w:color w:val="auto"/>
        </w:rPr>
      </w:pPr>
    </w:p>
    <w:p>
      <w:pPr>
        <w:ind w:right="80" w:firstLine="443"/>
        <w:spacing w:after="0" w:line="294" w:lineRule="auto"/>
        <w:tabs>
          <w:tab w:leader="none" w:pos="677"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Officers’ Certificate and an Opinion of Counsel, each stating that all conditions precedent to the covenant defeasance under Section 4.4 have been complied with and an Opinion of Counsel to the effect that either (i) as a result of a deposit pursuant to subsection (a) above and the related exercise of the Company’s option under Section 4.4, registration is not required under the Investment Company Act of 1940, as amended, by the Company, with respect to the trust funds representing such deposit or by the trustee for such trust funds or (ii) all necessary registrations under said act have been effected.</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700" w:top="280" w:right="239" w:bottom="1440" w:gutter="0" w:footer="0" w:header="0"/>
        </w:sectPr>
      </w:pPr>
    </w:p>
    <w:bookmarkStart w:id="116" w:name="page117"/>
    <w:bookmarkEnd w:id="116"/>
    <w:p>
      <w:pPr>
        <w:ind w:left="460" w:firstLine="443"/>
        <w:spacing w:after="0" w:line="268" w:lineRule="auto"/>
        <w:tabs>
          <w:tab w:leader="none" w:pos="1117" w:val="left"/>
        </w:tabs>
        <w:numPr>
          <w:ilvl w:val="0"/>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covenant defeasance shall be effected in compliance with any additional or substitute terms, conditions or limitations which may be imposed on the Company in connection therewith as contemplated by Section 3.1.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4.6 Deposited Money and Government Obligations to Be Held in Trust</w:t>
      </w:r>
    </w:p>
    <w:p>
      <w:pPr>
        <w:spacing w:after="0" w:line="96"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Subject to the provisions of the last paragraph of Section 9.3, all money and Government Obligations (or other property as may be provided pursuant to Section 3.1) (including the proceeds thereof) deposited with the Trustee pursuant to Section 4.5 in respect of any Securities of any series shall be held in trust and applied by the Trustee, in accordance with the provisions of such Securities and this Indenture, to the payment, either directly or through any Paying Agent (including the Company acting as its own Paying Agent) as the Trustee may determine, to the Holders of such Securities of all sums due and to become due thereon in respect of principal, premium, if any, and interest, if any, but such money need not be segregated from other funds except to the extent required by law.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4.7 Transfers and Distribution at Company Request</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To the extent permitted by the Financial Accounting Standards Board Statement of Financial Accounting Standards No. 76, as amended or interpreted by the Financial Accounting Standards Board from time to time, or any successor thereto (“</w:t>
      </w:r>
      <w:r>
        <w:rPr>
          <w:rFonts w:ascii="Arial" w:cs="Arial" w:eastAsia="Arial" w:hAnsi="Arial"/>
          <w:sz w:val="16"/>
          <w:szCs w:val="16"/>
          <w:b w:val="1"/>
          <w:bCs w:val="1"/>
          <w:i w:val="1"/>
          <w:iCs w:val="1"/>
          <w:color w:val="auto"/>
        </w:rPr>
        <w:t>Standard No. 76</w:t>
      </w:r>
      <w:r>
        <w:rPr>
          <w:rFonts w:ascii="Arial" w:cs="Arial" w:eastAsia="Arial" w:hAnsi="Arial"/>
          <w:sz w:val="16"/>
          <w:szCs w:val="16"/>
          <w:color w:val="auto"/>
        </w:rPr>
        <w:t>”), or to the extent permitted by the Commission, the Trustee shall, from time to time, take one or more of the following actions as specified in a Company Request:</w:t>
      </w:r>
    </w:p>
    <w:p>
      <w:pPr>
        <w:spacing w:after="0" w:line="107" w:lineRule="exact"/>
        <w:rPr>
          <w:sz w:val="20"/>
          <w:szCs w:val="20"/>
          <w:color w:val="auto"/>
        </w:rPr>
      </w:pPr>
    </w:p>
    <w:p>
      <w:pPr>
        <w:jc w:val="both"/>
        <w:ind w:left="460" w:right="60" w:firstLine="443"/>
        <w:spacing w:after="0" w:line="259" w:lineRule="auto"/>
        <w:tabs>
          <w:tab w:leader="none" w:pos="1137"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Retransfer, reassign and deliver to the Company any securities deposited with the Trustee pursuant to Section 4.5(a), provided that the Company shall in substitution therefor, simultaneously transfer, assign and deliver to the Trustee other Government Obligations appropriate to satisfy the Company’s obligations in respect of the relevant Securities; and</w:t>
      </w:r>
    </w:p>
    <w:p>
      <w:pPr>
        <w:spacing w:after="0" w:line="140"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Trustee (and any Paying Agent) shall promptly pay to the Company upon Company Request any excess money or securities held by them at any time, including, without limitation, any assets deposited with the Trustee pursuant to Section 4.5(a) exceeding those necessary for the purposes of Section 4.5(a).</w:t>
      </w:r>
    </w:p>
    <w:p>
      <w:pPr>
        <w:spacing w:after="0" w:line="140" w:lineRule="exact"/>
        <w:rPr>
          <w:sz w:val="20"/>
          <w:szCs w:val="20"/>
          <w:color w:val="auto"/>
        </w:rPr>
      </w:pPr>
    </w:p>
    <w:p>
      <w:pPr>
        <w:ind w:right="320" w:firstLine="456"/>
        <w:spacing w:after="0" w:line="254" w:lineRule="auto"/>
        <w:rPr>
          <w:sz w:val="20"/>
          <w:szCs w:val="20"/>
          <w:color w:val="auto"/>
        </w:rPr>
      </w:pPr>
      <w:r>
        <w:rPr>
          <w:rFonts w:ascii="Arial" w:cs="Arial" w:eastAsia="Arial" w:hAnsi="Arial"/>
          <w:sz w:val="18"/>
          <w:szCs w:val="18"/>
          <w:color w:val="auto"/>
        </w:rPr>
        <w:t>The Trustee shall not take the actions described in subsections (a) and (b) of this Section 4.7 unless it shall have first received a written report of a nationally recognized independent public accounting firm selected by the Company, (i) expressing their opinion that the contemplated action is permitted by Standard No. 76 or the Commission, for transactions accounted for as extinguishment of debt under the circumstances described in paragraph 3.c of Standard No. 76 or any successor provision and (ii) verifying the accuracy, after giving effect to such action or actions, of the computations which demonstrate that the amounts remaining to be earned on the Government Obligations deposited with the Trustee pursuant to Section 4.5(a) will be sufficient for purposes of Section 4.5(a).</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5</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Defaults and Remedies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 Events of Default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 occurs with respect to the Securities of any series if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40" w:lineRule="exact"/>
        <w:rPr>
          <w:sz w:val="20"/>
          <w:szCs w:val="20"/>
          <w:color w:val="auto"/>
        </w:rPr>
      </w:pPr>
    </w:p>
    <w:p>
      <w:pPr>
        <w:ind w:left="460" w:right="220" w:firstLine="443"/>
        <w:spacing w:after="0" w:line="332" w:lineRule="auto"/>
        <w:tabs>
          <w:tab w:leader="none" w:pos="1137"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Company defaults in the payment of interest on any Security of that series or any additional amount payable with respect to any Security of that series as specified pursuant to Section 3.1(b)(xiv) when the same becomes due and payable and such default continues for a period of 30 days;</w:t>
      </w:r>
    </w:p>
    <w:p>
      <w:pPr>
        <w:spacing w:after="0" w:line="85" w:lineRule="exact"/>
        <w:rPr>
          <w:rFonts w:ascii="Arial" w:cs="Arial" w:eastAsia="Arial" w:hAnsi="Arial"/>
          <w:sz w:val="16"/>
          <w:szCs w:val="16"/>
          <w:color w:val="auto"/>
        </w:rPr>
      </w:pPr>
    </w:p>
    <w:p>
      <w:pPr>
        <w:ind w:left="460" w:right="160" w:firstLine="443"/>
        <w:spacing w:after="0" w:line="259" w:lineRule="auto"/>
        <w:tabs>
          <w:tab w:leader="none" w:pos="1147"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 defaults in the payment of the principal of or any premium on any Security of that series when the same becomes due and payable at its Maturity or on redemption or otherwise, or in the payment of a mandatory sinking fund payment when and as due by the terms of the Securities of that series and in each case such default continues for a period of 10 days;</w:t>
      </w:r>
    </w:p>
    <w:p>
      <w:pPr>
        <w:spacing w:after="0" w:line="140" w:lineRule="exact"/>
        <w:rPr>
          <w:rFonts w:ascii="Arial" w:cs="Arial" w:eastAsia="Arial" w:hAnsi="Arial"/>
          <w:sz w:val="18"/>
          <w:szCs w:val="18"/>
          <w:color w:val="auto"/>
        </w:rPr>
      </w:pPr>
    </w:p>
    <w:p>
      <w:pPr>
        <w:ind w:left="460" w:right="40" w:firstLine="443"/>
        <w:spacing w:after="0" w:line="294" w:lineRule="auto"/>
        <w:tabs>
          <w:tab w:leader="none" w:pos="1137"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Company defaults in the performance of, or breaches, any covenant or warranty of the Company in this Indenture with respect to any Security of that series (other than a covenant or warranty a default in whose performance or whose breach is elsewhere in this Section specifically dealt with), and such default or breach continues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w:t>
      </w:r>
    </w:p>
    <w:p>
      <w:pPr>
        <w:spacing w:after="0" w:line="115" w:lineRule="exact"/>
        <w:rPr>
          <w:rFonts w:ascii="Arial" w:cs="Arial" w:eastAsia="Arial" w:hAnsi="Arial"/>
          <w:sz w:val="16"/>
          <w:szCs w:val="16"/>
          <w:color w:val="auto"/>
        </w:rPr>
      </w:pPr>
    </w:p>
    <w:p>
      <w:pPr>
        <w:ind w:left="460" w:right="80" w:firstLine="443"/>
        <w:spacing w:after="0" w:line="259" w:lineRule="auto"/>
        <w:tabs>
          <w:tab w:leader="none" w:pos="1147"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w:t>
      </w:r>
    </w:p>
    <w:p>
      <w:pPr>
        <w:spacing w:after="0" w:line="140" w:lineRule="exact"/>
        <w:rPr>
          <w:rFonts w:ascii="Arial" w:cs="Arial" w:eastAsia="Arial" w:hAnsi="Arial"/>
          <w:sz w:val="18"/>
          <w:szCs w:val="18"/>
          <w:color w:val="auto"/>
        </w:rPr>
      </w:pPr>
    </w:p>
    <w:p>
      <w:pPr>
        <w:jc w:val="both"/>
        <w:ind w:left="460" w:right="140" w:firstLine="443"/>
        <w:spacing w:after="0" w:line="259" w:lineRule="auto"/>
        <w:tabs>
          <w:tab w:leader="none" w:pos="1137"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 (i) is for relief against the Company in an involuntary case, (ii) appoints a Custodian of the Company or for all or substantially all of its property, or (iii) orders the liquidation of the Company; and the order or decree remains unstayed and in effect for 90 consecutive days; or</w:t>
      </w:r>
    </w:p>
    <w:p>
      <w:pPr>
        <w:spacing w:after="0" w:line="140" w:lineRule="exact"/>
        <w:rPr>
          <w:rFonts w:ascii="Arial" w:cs="Arial" w:eastAsia="Arial" w:hAnsi="Arial"/>
          <w:sz w:val="18"/>
          <w:szCs w:val="18"/>
          <w:color w:val="auto"/>
        </w:rPr>
      </w:pPr>
    </w:p>
    <w:p>
      <w:pPr>
        <w:ind w:left="1120" w:hanging="217"/>
        <w:spacing w:after="0"/>
        <w:tabs>
          <w:tab w:leader="none" w:pos="11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other Event of Default provided as contemplated by Section 3.1 with respect to Securities of that series.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118" w:name="page119"/>
    <w:bookmarkEnd w:id="118"/>
    <w:p>
      <w:pPr>
        <w:ind w:right="4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 “</w:t>
      </w:r>
      <w:r>
        <w:rPr>
          <w:rFonts w:ascii="Arial" w:cs="Arial" w:eastAsia="Arial" w:hAnsi="Arial"/>
          <w:sz w:val="18"/>
          <w:szCs w:val="18"/>
          <w:b w:val="1"/>
          <w:bCs w:val="1"/>
          <w:i w:val="1"/>
          <w:iCs w:val="1"/>
          <w:color w:val="auto"/>
        </w:rPr>
        <w:t>Bankruptcy Law</w:t>
      </w:r>
      <w:r>
        <w:rPr>
          <w:rFonts w:ascii="Arial" w:cs="Arial" w:eastAsia="Arial" w:hAnsi="Arial"/>
          <w:sz w:val="18"/>
          <w:szCs w:val="18"/>
          <w:color w:val="auto"/>
        </w:rPr>
        <w:t>” means Title 11, U.S. Code, or any similar federal or state law for the relief of debtors. The term “</w:t>
      </w:r>
      <w:r>
        <w:rPr>
          <w:rFonts w:ascii="Arial" w:cs="Arial" w:eastAsia="Arial" w:hAnsi="Arial"/>
          <w:sz w:val="18"/>
          <w:szCs w:val="18"/>
          <w:b w:val="1"/>
          <w:bCs w:val="1"/>
          <w:i w:val="1"/>
          <w:i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5.2 Acceleration, Rescission and Annulment</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If an Event of Default with respect to the Securities of any series at the time Outstanding occurs and is continuing, the Trustee or the Holders of at least 25% in aggregate principal amount of all of the outstanding Securities of that series, by written notice to the Company (and, if given by the Holders, to the Trustee), may declare the principal (or, if the Securities of that series are Original Issue Discount Securities or Indexed Securities, such portion of the principal amount as may be specified in the terms of that series) of all the Securities of that series to be due and payable and upon any such declaration such principal (or, in the case of original Issue Discount Securities or Indexed Securities, such specified amount) shall be immediately due and payable.</w:t>
      </w:r>
    </w:p>
    <w:p>
      <w:pPr>
        <w:spacing w:after="0" w:line="1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aggregate principal amount of the outstanding Securities of that series, by written notice to the Trustee, may rescind and annul such declaration and its consequences if all existing Defaults and Events of Default with respect to Securities of that series, other than the nonpayment of the principal of Securities of that series which have become due solely by such declaration of acceleration, have been cured or waived as provided in Section 5.7. No such rescission shall affect any subsequent default or impair any right consequent thereon.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5.3 Collection of Indebtedness and Suits for Enforcement by Trustee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covenants that if</w:t>
      </w:r>
    </w:p>
    <w:p>
      <w:pPr>
        <w:spacing w:after="0" w:line="90" w:lineRule="exact"/>
        <w:rPr>
          <w:sz w:val="20"/>
          <w:szCs w:val="20"/>
          <w:color w:val="auto"/>
        </w:rPr>
      </w:pPr>
    </w:p>
    <w:p>
      <w:pPr>
        <w:ind w:left="460" w:right="420" w:firstLine="443"/>
        <w:spacing w:after="0" w:line="268" w:lineRule="auto"/>
        <w:tabs>
          <w:tab w:leader="none" w:pos="1137"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if any, on) any Security at the Maturity thereof and such default continues for a period of 10 days,</w:t>
      </w:r>
    </w:p>
    <w:p>
      <w:pPr>
        <w:spacing w:after="0" w:line="13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will, upon demand of the Trustee, pay to it, for the benefit of the Holders of such Securities, the whole amount then due and payable on such Securities for principal, premium, if any, and interest and, to the extent that payment of such interest shall be legally enforceable, interest on any overdue principal, premium, if any,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5.4 Trustee May File Proofs of Claim</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Trustee may file such proofs of claim and other papers or documents as may be necessary or advisable in order to have the claims of the Trustee and the Holders of Securities allowed in any judicial proceedings relating to the Company, its creditors or its property.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5.5 Trustee May Enforce Claims Without Possession of Securities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5.6 Delay or Omission Not Waiver</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 delay or omission by the Trustee or any Holder of any Securities to exercise any right or remedy accruing upon an Event of Default shall impair any such right or remedy or constitute a waiver of or acquiescence in any such Event of Default.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5.7 Waiver of Past Defaults</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Holders of a majority in aggregate principal amount of Outstanding Securities of any series by notice to the Trustee may waive on behalf of the Holders of all Securities of such series a past Default or Event of Default with respect to that series and its consequences except (a) a Default or Event of Default in the payment of the principal of, premium, if any, or interest on any Security of such series or (b) in respect of a covenant or provision hereof which pursuant to Section 8.2 cannot be amended or modified without the consent of the Holder of each outstanding Security of such series adversely affected. Upon any such waiver, such Default shall cease to exist, and any Event of Default arising therefrom shall be deemed to have been cured, for every purpose of this Indenture.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5.8 Control by Majority</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Holders of a majority in aggregate principal amount of the Outstanding Securities of each series affected (with each such series voting as a class) shall have the right to direct the time, method and place of conducting any proceeding for any remedy available to the Trustee or exercising any trust or power conferred on it with respect to Securities of that series;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the Trustee may refuse to follow any direction that conflicts with law or this Indenture, (b) the Trustee may refuse to follow any direction that is unduly prejudicial to the rights of the Holders of Securities of such series not consenting, or that would in the good-faith judgment of the Trustee have a substantial likelihood of involving the Trustee in personal liability and (c) the Trustee may take any other action deemed proper by the Trustee which is not inconsistent with such direction.</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274" w:right="31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5.9 Limitation on Suits by Holders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51" w:lineRule="exact"/>
        <w:rPr>
          <w:sz w:val="20"/>
          <w:szCs w:val="20"/>
          <w:color w:val="auto"/>
        </w:rPr>
      </w:pPr>
    </w:p>
    <w:p>
      <w:pPr>
        <w:ind w:left="1140" w:hanging="237"/>
        <w:spacing w:after="0"/>
        <w:tabs>
          <w:tab w:leader="none" w:pos="11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Holder has previously given written notice to the Trustee of a continuing Event of Default with respect to the Securities of that series;</w:t>
      </w:r>
    </w:p>
    <w:p>
      <w:pPr>
        <w:spacing w:after="0" w:line="113" w:lineRule="exact"/>
        <w:rPr>
          <w:rFonts w:ascii="Arial" w:cs="Arial" w:eastAsia="Arial" w:hAnsi="Arial"/>
          <w:sz w:val="16"/>
          <w:szCs w:val="16"/>
          <w:color w:val="auto"/>
        </w:rPr>
      </w:pPr>
    </w:p>
    <w:p>
      <w:pPr>
        <w:ind w:left="460" w:right="120" w:firstLine="443"/>
        <w:spacing w:after="0" w:line="268" w:lineRule="auto"/>
        <w:tabs>
          <w:tab w:leader="none" w:pos="1147"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Securities of that series have made a written request to the Trustee to institute proceedings in respect of such Event of Default in its own name as Trustee hereunder;</w:t>
      </w:r>
    </w:p>
    <w:p>
      <w:pPr>
        <w:spacing w:after="0" w:line="50" w:lineRule="exact"/>
        <w:rPr>
          <w:rFonts w:ascii="Arial" w:cs="Arial" w:eastAsia="Arial" w:hAnsi="Arial"/>
          <w:sz w:val="18"/>
          <w:szCs w:val="18"/>
          <w:color w:val="auto"/>
        </w:rPr>
      </w:pPr>
    </w:p>
    <w:p>
      <w:pPr>
        <w:ind w:left="460" w:firstLine="443"/>
        <w:spacing w:after="0" w:line="268" w:lineRule="auto"/>
        <w:tabs>
          <w:tab w:leader="none" w:pos="1137" w:val="left"/>
        </w:tabs>
        <w:numPr>
          <w:ilvl w:val="0"/>
          <w:numId w:val="90"/>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satisfactory to the Trustee against any loss, liability or expense to be, or which may be, incurred by the Trustee in pursuing the remedy;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the offer of indemnity has failed to institute any such proceedings; and</w:t>
      </w:r>
    </w:p>
    <w:p>
      <w:pPr>
        <w:spacing w:after="0" w:line="113" w:lineRule="exact"/>
        <w:rPr>
          <w:rFonts w:ascii="Arial" w:cs="Arial" w:eastAsia="Arial" w:hAnsi="Arial"/>
          <w:sz w:val="16"/>
          <w:szCs w:val="16"/>
          <w:color w:val="auto"/>
        </w:rPr>
      </w:pPr>
    </w:p>
    <w:p>
      <w:pPr>
        <w:ind w:left="460" w:right="180" w:firstLine="443"/>
        <w:spacing w:after="0" w:line="268" w:lineRule="auto"/>
        <w:tabs>
          <w:tab w:leader="none" w:pos="1137" w:val="left"/>
        </w:tabs>
        <w:numPr>
          <w:ilvl w:val="0"/>
          <w:numId w:val="90"/>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Outstanding Securities of that series has not given to the Trustee a direction inconsistent with such written request.</w:t>
      </w:r>
    </w:p>
    <w:p>
      <w:pPr>
        <w:spacing w:after="0" w:line="132"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No one or more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5.10 Rights of Holders to Receive Payment</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Notwithstanding any other provision of this Indenture, the right of any Holder of a Security to receive payment of principal of, premium, if any, and, subject to Section 3.7, interest on the Security, on or after the respective due dates expressed in the Security (or, in case of redemption, on the redemption dates) and to convert such Security in accordance with Article 12, and, subject to Section 5.9, to bring suit for the enforcement of any such payment and right to convert on or after such respective dates, shall not be impaired or affected without the consent of such Holder.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5.11 Application of Money Collected</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the Trustee collects any money pursuant to this Article, it shall pay out the money in the following order, at the date or dates fixed by the Trustee and, in case of the distribution of such money on account of principal, premium, if any, or interest, upon presentation of the Securities and the notation thereon of the payment if only partially paid and upon surrender thereof if fully paid: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274" w:right="299" w:bottom="1440" w:gutter="0" w:footer="0" w:header="0"/>
        </w:sectPr>
      </w:pPr>
    </w:p>
    <w:bookmarkStart w:id="121" w:name="page122"/>
    <w:bookmarkEnd w:id="121"/>
    <w:p>
      <w:pPr>
        <w:ind w:left="90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First:</w:t>
      </w:r>
      <w:r>
        <w:rPr>
          <w:rFonts w:ascii="Arial" w:cs="Arial" w:eastAsia="Arial" w:hAnsi="Arial"/>
          <w:sz w:val="18"/>
          <w:szCs w:val="18"/>
          <w:color w:val="auto"/>
        </w:rPr>
        <w:t xml:space="preserve"> to the Trustee for amounts due under Section 6.9;</w:t>
      </w:r>
    </w:p>
    <w:p>
      <w:pPr>
        <w:spacing w:after="0" w:line="90" w:lineRule="exact"/>
        <w:rPr>
          <w:sz w:val="20"/>
          <w:szCs w:val="20"/>
          <w:color w:val="auto"/>
        </w:rPr>
      </w:pPr>
    </w:p>
    <w:p>
      <w:pPr>
        <w:jc w:val="both"/>
        <w:ind w:left="460" w:right="120" w:firstLine="438"/>
        <w:spacing w:after="0" w:line="259"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Holders of Securities in respect of which or for the benefit of which such money has been collected for amounts due and unpaid on such Securities for principal of, premium, if any, and interest, ratably, without preference or priority of any kind, according to the amounts due and payable on such Securities for principal, premium, if any, and interest, respectively; and</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the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5.12 Restoration of Rights and Remedies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5.13 Rights and Remedies Cumulative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otherwise provided with respect to the replacement or payment of mutilated, destroyed, lost or stolen Securities in the last paragraph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Section 3.6, no right or remedy herein conferred upon or reserved to the Trustee or the Holders is intended to be exclusive of any other right or remedy, and every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right and remedy shall, to the extent permitted by law, be cumulative and in addition to every other right and remedy given hereunder or now or hereafter existing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law or in equity or otherwise. The assertion or employment of any right or remedy hereunder, or otherwise, shall not prevent the concurrent assertion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employment of any other appropriate right or remedy.</w:t>
      </w:r>
    </w:p>
    <w:p>
      <w:pPr>
        <w:spacing w:after="0" w:line="3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6</w:t>
      </w:r>
    </w:p>
    <w:p>
      <w:pPr>
        <w:spacing w:after="0" w:line="17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The Trustee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 Certain Duties and Responsibilities</w:t>
      </w:r>
    </w:p>
    <w:p>
      <w:pPr>
        <w:spacing w:after="0" w:line="96"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90" w:lineRule="exact"/>
        <w:rPr>
          <w:rFonts w:ascii="Arial" w:cs="Arial" w:eastAsia="Arial" w:hAnsi="Arial"/>
          <w:sz w:val="18"/>
          <w:szCs w:val="18"/>
          <w:color w:val="auto"/>
        </w:rPr>
      </w:pPr>
    </w:p>
    <w:p>
      <w:pPr>
        <w:ind w:left="460" w:right="380" w:firstLine="443"/>
        <w:spacing w:after="0" w:line="268" w:lineRule="auto"/>
        <w:tabs>
          <w:tab w:leader="none" w:pos="1108"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Trustee undertakes to perform such duties and only such duties as are specifically set forth in this Indenture, and no implied covenants or obligations shall be read into this Indenture against the Trustee; and</w:t>
      </w:r>
    </w:p>
    <w:p>
      <w:pPr>
        <w:spacing w:after="0" w:line="50" w:lineRule="exact"/>
        <w:rPr>
          <w:rFonts w:ascii="Arial" w:cs="Arial" w:eastAsia="Arial" w:hAnsi="Arial"/>
          <w:sz w:val="18"/>
          <w:szCs w:val="18"/>
          <w:color w:val="auto"/>
        </w:rPr>
      </w:pPr>
    </w:p>
    <w:p>
      <w:pPr>
        <w:ind w:left="460" w:right="80" w:firstLine="443"/>
        <w:spacing w:after="0" w:line="298" w:lineRule="auto"/>
        <w:tabs>
          <w:tab w:leader="none" w:pos="1157" w:val="left"/>
        </w:tabs>
        <w:numPr>
          <w:ilvl w:val="1"/>
          <w:numId w:val="91"/>
        </w:numPr>
        <w:rPr>
          <w:rFonts w:ascii="Arial" w:cs="Arial" w:eastAsia="Arial" w:hAnsi="Arial"/>
          <w:sz w:val="16"/>
          <w:szCs w:val="16"/>
          <w:color w:val="auto"/>
        </w:rPr>
      </w:pPr>
      <w:r>
        <w:rPr>
          <w:rFonts w:ascii="Arial" w:cs="Arial" w:eastAsia="Arial" w:hAnsi="Arial"/>
          <w:sz w:val="16"/>
          <w:szCs w:val="16"/>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80" w:right="279" w:bottom="1440" w:gutter="0" w:footer="0" w:header="0"/>
        </w:sectPr>
      </w:pPr>
    </w:p>
    <w:bookmarkStart w:id="122" w:name="page123"/>
    <w:bookmarkEnd w:id="122"/>
    <w:p>
      <w:pPr>
        <w:jc w:val="both"/>
        <w:ind w:right="180" w:firstLine="464"/>
        <w:spacing w:after="0" w:line="259" w:lineRule="auto"/>
        <w:tabs>
          <w:tab w:leader="none" w:pos="705" w:val="left"/>
        </w:tabs>
        <w:numPr>
          <w:ilvl w:val="0"/>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case an Event of Default has occurred and is continuing with respect to the Securities of any series, the Trustee shall exercise such of the rights and powers vested in it by this Indenture with respect to the Securities of such series, and use the same degree of care and skill in their exercise, as a prudent person would exercise or use under the circumstances in the conduct of his own affairs.</w:t>
      </w:r>
    </w:p>
    <w:p>
      <w:pPr>
        <w:spacing w:after="0" w:line="140" w:lineRule="exact"/>
        <w:rPr>
          <w:rFonts w:ascii="Arial" w:cs="Arial" w:eastAsia="Arial" w:hAnsi="Arial"/>
          <w:sz w:val="18"/>
          <w:szCs w:val="18"/>
          <w:color w:val="auto"/>
        </w:rPr>
      </w:pPr>
    </w:p>
    <w:p>
      <w:pPr>
        <w:ind w:right="140" w:firstLine="464"/>
        <w:spacing w:after="0" w:line="268" w:lineRule="auto"/>
        <w:tabs>
          <w:tab w:leader="none" w:pos="695"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this subsection shall not be construed to limit the effect of subsection (a) of this Section;</w:t>
      </w:r>
    </w:p>
    <w:p>
      <w:pPr>
        <w:spacing w:after="0" w:line="90" w:lineRule="exact"/>
        <w:rPr>
          <w:rFonts w:ascii="Arial" w:cs="Arial" w:eastAsia="Arial" w:hAnsi="Arial"/>
          <w:sz w:val="18"/>
          <w:szCs w:val="18"/>
          <w:color w:val="auto"/>
        </w:rPr>
      </w:pPr>
    </w:p>
    <w:p>
      <w:pPr>
        <w:ind w:left="460" w:right="300" w:firstLine="443"/>
        <w:spacing w:after="0" w:line="268" w:lineRule="auto"/>
        <w:tabs>
          <w:tab w:leader="none" w:pos="1157"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shall be proved that the Trustee was negligent in ascertaining the pertinent facts; and</w:t>
      </w:r>
    </w:p>
    <w:p>
      <w:pPr>
        <w:spacing w:after="0" w:line="50" w:lineRule="exact"/>
        <w:rPr>
          <w:rFonts w:ascii="Arial" w:cs="Arial" w:eastAsia="Arial" w:hAnsi="Arial"/>
          <w:sz w:val="18"/>
          <w:szCs w:val="18"/>
          <w:color w:val="auto"/>
        </w:rPr>
      </w:pPr>
    </w:p>
    <w:p>
      <w:pPr>
        <w:ind w:left="460" w:right="180" w:firstLine="443"/>
        <w:spacing w:after="0" w:line="256" w:lineRule="auto"/>
        <w:tabs>
          <w:tab w:leader="none" w:pos="1205"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a majority in principal amount of the Outstanding Securities of any series relating to the time, method and place of conducting any proceeding for any remedy available to the Trustee, or exercising any trust or power conferred upon the Trustee, under this Indenture with respect to the Securities of such series.</w:t>
      </w:r>
    </w:p>
    <w:p>
      <w:pPr>
        <w:spacing w:after="0" w:line="62" w:lineRule="exact"/>
        <w:rPr>
          <w:rFonts w:ascii="Arial" w:cs="Arial" w:eastAsia="Arial" w:hAnsi="Arial"/>
          <w:sz w:val="18"/>
          <w:szCs w:val="18"/>
          <w:color w:val="auto"/>
        </w:rPr>
      </w:pPr>
    </w:p>
    <w:p>
      <w:pPr>
        <w:ind w:right="200" w:firstLine="464"/>
        <w:spacing w:after="0" w:line="259" w:lineRule="auto"/>
        <w:tabs>
          <w:tab w:leader="none" w:pos="705"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59" w:lineRule="exact"/>
        <w:rPr>
          <w:rFonts w:ascii="Arial" w:cs="Arial" w:eastAsia="Arial" w:hAnsi="Arial"/>
          <w:sz w:val="18"/>
          <w:szCs w:val="18"/>
          <w:color w:val="auto"/>
        </w:rPr>
      </w:pPr>
    </w:p>
    <w:p>
      <w:pPr>
        <w:ind w:firstLine="464"/>
        <w:spacing w:after="0" w:line="268" w:lineRule="auto"/>
        <w:tabs>
          <w:tab w:leader="none" w:pos="695" w:val="left"/>
        </w:tabs>
        <w:numPr>
          <w:ilvl w:val="0"/>
          <w:numId w:val="92"/>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relating to the conduct or affecting the liability of or affording protection to the Trustee shall be subject to the provisions of this Section.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6.2 Rights of Trustee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provisions of the Trust Indenture Act:</w:t>
      </w:r>
    </w:p>
    <w:p>
      <w:pPr>
        <w:spacing w:after="0" w:line="90" w:lineRule="exact"/>
        <w:rPr>
          <w:sz w:val="20"/>
          <w:szCs w:val="20"/>
          <w:color w:val="auto"/>
        </w:rPr>
      </w:pPr>
    </w:p>
    <w:p>
      <w:pPr>
        <w:ind w:left="460" w:right="160" w:firstLine="443"/>
        <w:spacing w:after="0" w:line="259" w:lineRule="auto"/>
        <w:tabs>
          <w:tab w:leader="none" w:pos="113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statement, instrument, opinion, report, notice, request, direction, consent, order, bond, debenture, note or other paper or document believed by it to be genuine and to have been signed or presented by the proper party or parties.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123" w:name="page124"/>
    <w:bookmarkEnd w:id="123"/>
    <w:p>
      <w:pPr>
        <w:ind w:right="60" w:firstLine="443"/>
        <w:spacing w:after="0" w:line="306" w:lineRule="auto"/>
        <w:tabs>
          <w:tab w:leader="none" w:pos="687" w:val="left"/>
        </w:tabs>
        <w:numPr>
          <w:ilvl w:val="0"/>
          <w:numId w:val="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request or direction of the Company mentioned herein shall be sufficiently evidenced by a Company Request or Company Order (other than delivery of any Security to the Trustee for authentication and delivery pursuant to Section 3.3, which shall be sufficiently evidenced as provided therein) and any resolution of the Board of Directors may be sufficiently evidenced by a Board Resolution.</w:t>
      </w:r>
    </w:p>
    <w:p>
      <w:pPr>
        <w:spacing w:after="0" w:line="25" w:lineRule="exact"/>
        <w:rPr>
          <w:rFonts w:ascii="Arial" w:cs="Arial" w:eastAsia="Arial" w:hAnsi="Arial"/>
          <w:sz w:val="16"/>
          <w:szCs w:val="16"/>
          <w:color w:val="auto"/>
        </w:rPr>
      </w:pPr>
    </w:p>
    <w:p>
      <w:pPr>
        <w:ind w:right="40" w:firstLine="443"/>
        <w:spacing w:after="0" w:line="259" w:lineRule="auto"/>
        <w:tabs>
          <w:tab w:leader="none" w:pos="677" w:val="left"/>
        </w:tabs>
        <w:numPr>
          <w:ilvl w:val="0"/>
          <w:numId w:val="94"/>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59" w:lineRule="exact"/>
        <w:rPr>
          <w:rFonts w:ascii="Arial" w:cs="Arial" w:eastAsia="Arial" w:hAnsi="Arial"/>
          <w:sz w:val="18"/>
          <w:szCs w:val="18"/>
          <w:color w:val="auto"/>
        </w:rPr>
      </w:pPr>
    </w:p>
    <w:p>
      <w:pPr>
        <w:ind w:firstLine="443"/>
        <w:spacing w:after="0" w:line="332" w:lineRule="auto"/>
        <w:tabs>
          <w:tab w:leader="none" w:pos="687"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Trustee may consult with counsel of its selection and the written advice of such counsel or any Opinion of Counsel shall be full and complete authorization and protection in respect of any action taken, suffered or omitted by it hereunder in good faith and in reliance thereon.</w:t>
      </w:r>
    </w:p>
    <w:p>
      <w:pPr>
        <w:spacing w:after="0" w:line="4" w:lineRule="exact"/>
        <w:rPr>
          <w:rFonts w:ascii="Arial" w:cs="Arial" w:eastAsia="Arial" w:hAnsi="Arial"/>
          <w:sz w:val="16"/>
          <w:szCs w:val="16"/>
          <w:color w:val="auto"/>
        </w:rPr>
      </w:pPr>
    </w:p>
    <w:p>
      <w:pPr>
        <w:jc w:val="both"/>
        <w:ind w:right="120" w:firstLine="443"/>
        <w:spacing w:after="0" w:line="306" w:lineRule="auto"/>
        <w:tabs>
          <w:tab w:leader="none" w:pos="677"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at the request or direction of any of the Holders pursuant to this Indenture, unless such Holders shall have offered to the Trustee security or indemnity reasonably satisfactory to it against the costs, expenses and liabilities which might be incurred by it in compliance with such request or direction.</w:t>
      </w:r>
    </w:p>
    <w:p>
      <w:pPr>
        <w:spacing w:after="0" w:line="25" w:lineRule="exact"/>
        <w:rPr>
          <w:rFonts w:ascii="Arial" w:cs="Arial" w:eastAsia="Arial" w:hAnsi="Arial"/>
          <w:sz w:val="16"/>
          <w:szCs w:val="16"/>
          <w:color w:val="auto"/>
        </w:rPr>
      </w:pPr>
    </w:p>
    <w:p>
      <w:pPr>
        <w:ind w:right="60" w:firstLine="443"/>
        <w:spacing w:after="0" w:line="255" w:lineRule="auto"/>
        <w:tabs>
          <w:tab w:leader="none" w:pos="657"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note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 shall incur no liability or additional liability of any kind by reason of such inquiry or investigation.</w:t>
      </w:r>
    </w:p>
    <w:p>
      <w:pPr>
        <w:spacing w:after="0" w:line="61" w:lineRule="exact"/>
        <w:rPr>
          <w:rFonts w:ascii="Arial" w:cs="Arial" w:eastAsia="Arial" w:hAnsi="Arial"/>
          <w:sz w:val="18"/>
          <w:szCs w:val="18"/>
          <w:color w:val="auto"/>
        </w:rPr>
      </w:pPr>
    </w:p>
    <w:p>
      <w:pPr>
        <w:ind w:right="40" w:firstLine="443"/>
        <w:spacing w:after="0" w:line="268" w:lineRule="auto"/>
        <w:tabs>
          <w:tab w:leader="none" w:pos="687"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Trustee may act through agents or attorneys and shall not be responsible for the misconduct or negligence of any agent or attorney appointed with due care.</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Trustee shall not be liable for any action it takes or omits to take in good faith which it believes to be authorized or within its rights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powers.</w:t>
      </w:r>
    </w:p>
    <w:p>
      <w:pPr>
        <w:spacing w:after="0" w:line="83" w:lineRule="exact"/>
        <w:rPr>
          <w:rFonts w:ascii="Arial" w:cs="Arial" w:eastAsia="Arial" w:hAnsi="Arial"/>
          <w:sz w:val="16"/>
          <w:szCs w:val="16"/>
          <w:color w:val="auto"/>
        </w:rPr>
      </w:pPr>
    </w:p>
    <w:p>
      <w:pPr>
        <w:ind w:right="160" w:firstLine="443"/>
        <w:spacing w:after="0" w:line="259" w:lineRule="auto"/>
        <w:tabs>
          <w:tab w:leader="none" w:pos="64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Trustee shall not be required to expend or risk its own funds or otherwise incur any financial liability in the performance of any of its duties hereunder, or in the exercise of its rights or powers, if it shall have reasonable grounds for believing that repayment of such funds or adequate indemnity against such risk or liability is not reasonably assured to it.</w:t>
      </w:r>
    </w:p>
    <w:p>
      <w:pPr>
        <w:spacing w:after="0" w:line="59" w:lineRule="exact"/>
        <w:rPr>
          <w:rFonts w:ascii="Arial" w:cs="Arial" w:eastAsia="Arial" w:hAnsi="Arial"/>
          <w:sz w:val="18"/>
          <w:szCs w:val="18"/>
          <w:color w:val="auto"/>
        </w:rPr>
      </w:pPr>
    </w:p>
    <w:p>
      <w:pPr>
        <w:ind w:right="520" w:firstLine="443"/>
        <w:spacing w:after="0" w:line="259" w:lineRule="auto"/>
        <w:tabs>
          <w:tab w:leader="none" w:pos="64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and this Indenture;</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40"/>
          </w:cols>
          <w:pgMar w:left="700" w:top="280" w:right="259" w:bottom="1440" w:gutter="0" w:footer="0" w:header="0"/>
        </w:sectPr>
      </w:pPr>
    </w:p>
    <w:bookmarkStart w:id="124" w:name="page125"/>
    <w:bookmarkEnd w:id="124"/>
    <w:p>
      <w:pPr>
        <w:ind w:left="460" w:right="380" w:firstLine="443"/>
        <w:spacing w:after="0" w:line="259" w:lineRule="auto"/>
        <w:tabs>
          <w:tab w:leader="none" w:pos="1147" w:val="left"/>
        </w:tabs>
        <w:numPr>
          <w:ilvl w:val="0"/>
          <w:numId w:val="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59" w:lineRule="exact"/>
        <w:rPr>
          <w:rFonts w:ascii="Arial" w:cs="Arial" w:eastAsia="Arial" w:hAnsi="Arial"/>
          <w:sz w:val="18"/>
          <w:szCs w:val="18"/>
          <w:color w:val="auto"/>
        </w:rPr>
      </w:pPr>
    </w:p>
    <w:p>
      <w:pPr>
        <w:ind w:left="460" w:right="160" w:firstLine="443"/>
        <w:spacing w:after="0" w:line="306" w:lineRule="auto"/>
        <w:tabs>
          <w:tab w:leader="none" w:pos="1108"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so as authorized in any such certificate previously delivered and not superseded.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6.3 Trustee May Hold Securities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Trustee, any Paying Agent, any Registrar or any other agent of the Company, in its individual or any other capacity, may become the owner or pledgee of Securities and, subject to Sections 310(b) and 311 of the Trust Indenture Act, may otherwise deal with the Company, an Affiliate or Subsidiary with the same rights it would have if it were not Trustee, Paying Agent, Registrar or such other agent.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6.4 Money Held in Trust</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6.5 Trustee’s Disclaimer</w:t>
      </w:r>
    </w:p>
    <w:p>
      <w:pPr>
        <w:spacing w:after="0" w:line="9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recitals contained herein and in the Securities, except the Trustee’s certificate of authentication, shall be taken as the statements of the Company, and the Trustee assumes no responsibility for their correctness. The Trustee makes no representation as to the validity or adequacy of this Indenture or the Securities. The Trustee shall not be accountable for the Company’s use of the proceeds from the Securities or for monies paid over to the Company pursuant to the Indenture.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6.6 Notice of Defaults</w:t>
      </w:r>
    </w:p>
    <w:p>
      <w:pPr>
        <w:spacing w:after="0" w:line="9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 xml:space="preserve">If a Default occurs and is continuing with respect to the Securities of any series and if it is known to the Trustee, the Trustee shall, within 30 days after it occurs, transmit, in the manner and to the extent provided in Section 313(c) of the Trust Indenture Act, notice of all uncured Defaults known to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except in the case of a Default in payment on the Securities of any series, the Trustee may withhold the notice if and so long as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directors, the executive committee or a committee of its Responsible Officers in good faith determines that withholding such notice is in the interests of Holders of Securities of that series;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the case of any default or breach of the character specified in Section 5.1(c) with respect to the Securities of such series, no such notice to Holders shall be given until at least 60 days after the occurrence thereof.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6.7 Reports by Trustee to Holders</w:t>
      </w:r>
    </w:p>
    <w:p>
      <w:pPr>
        <w:spacing w:after="0" w:line="96"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Within 60 days after each May 15 of each year commencing with the first May 15 after the first issuance of Securities pursuant to this Indenture, the Trustee shall transmit by mail to all Holders of Securities as provided in Section 313(c) of the Trust Indenture Act a brief report dated as of such May 15 if required by Section 313(a) of the Trust Indenture Act. The Trustee also shall comply with Section 313(b) and (d) of the Trust Indenture Act, if applicable.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6.8 Securityholder Lists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Trustee shall preserve in as current a form as is reasonably practicable the most recent list available to it of the names and addresses of Holders of Securities of each series. If the Trustee is not the Registrar, the Company shall furnish to the Trustee semiannually on or before the last day of June and December in each year, and at such other times as the Trustee may request in writing, a list, in such form and as of such date as the Trustee may reasonably require, containing all the information in the possession of the Registrar, the Company or any of its Paying Agents other than the Trustee as to the names and addresses of Holders of Securities of each such series.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6.9 Compensation and Indemnity</w:t>
      </w:r>
    </w:p>
    <w:p>
      <w:pPr>
        <w:spacing w:after="0" w:line="96" w:lineRule="exact"/>
        <w:rPr>
          <w:sz w:val="20"/>
          <w:szCs w:val="20"/>
          <w:color w:val="auto"/>
        </w:rPr>
      </w:pPr>
    </w:p>
    <w:p>
      <w:pPr>
        <w:ind w:right="120" w:firstLine="464"/>
        <w:spacing w:after="0" w:line="255" w:lineRule="auto"/>
        <w:tabs>
          <w:tab w:leader="none" w:pos="69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 shall pay to the Trustee from time to time such compensation as shall be agreed between the Company and the Trustee in writing for all services rendered by it hereunder. The Trustee’s compensation shall not be limited by any law on compensation of a trustee of an express trust. The Company shall reimburse the Trustee upon request for all reasonable out-of-pocket expenses incurred by it in connection with the performance of its duties under this Indenture, except any such expense as may be attributable to its negligence or bad faith. Such expenses shall include the reasonable compensation and expenses of the Trustee’s agents and counsel.</w:t>
      </w:r>
    </w:p>
    <w:p>
      <w:pPr>
        <w:spacing w:after="0" w:line="142" w:lineRule="exact"/>
        <w:rPr>
          <w:rFonts w:ascii="Arial" w:cs="Arial" w:eastAsia="Arial" w:hAnsi="Arial"/>
          <w:sz w:val="18"/>
          <w:szCs w:val="18"/>
          <w:color w:val="auto"/>
        </w:rPr>
      </w:pPr>
    </w:p>
    <w:p>
      <w:pPr>
        <w:jc w:val="both"/>
        <w:ind w:right="100" w:firstLine="464"/>
        <w:spacing w:after="0" w:line="323" w:lineRule="auto"/>
        <w:tabs>
          <w:tab w:leader="none" w:pos="705" w:val="left"/>
        </w:tabs>
        <w:numPr>
          <w:ilvl w:val="0"/>
          <w:numId w:val="96"/>
        </w:numPr>
        <w:rPr>
          <w:rFonts w:ascii="Arial" w:cs="Arial" w:eastAsia="Arial" w:hAnsi="Arial"/>
          <w:sz w:val="15"/>
          <w:szCs w:val="15"/>
          <w:color w:val="auto"/>
        </w:rPr>
      </w:pPr>
      <w:r>
        <w:rPr>
          <w:rFonts w:ascii="Arial" w:cs="Arial" w:eastAsia="Arial" w:hAnsi="Arial"/>
          <w:sz w:val="15"/>
          <w:szCs w:val="15"/>
          <w:color w:val="auto"/>
        </w:rPr>
        <w:t>The Company shall indemnify the Trustee for, and hold it harmless against, any loss, liability or expense incurred by it without negligence or bad faith on its part arising out of or in connection with its acceptance or administration of the trust or trusts hereunder. The Trustee shall notify the Company promptly of any claim for which it may seek indemnity. The Company shall defend the claim and the Trustee shall cooperate in the defense. The Trustee may have separate counsel and the Company shall pay the reasonable fees and expenses of such counsel. The Company need not pay for any settlement made without its consent.</w:t>
      </w:r>
    </w:p>
    <w:p>
      <w:pPr>
        <w:spacing w:after="0" w:line="97" w:lineRule="exact"/>
        <w:rPr>
          <w:rFonts w:ascii="Arial" w:cs="Arial" w:eastAsia="Arial" w:hAnsi="Arial"/>
          <w:sz w:val="15"/>
          <w:szCs w:val="15"/>
          <w:color w:val="auto"/>
        </w:rPr>
      </w:pPr>
    </w:p>
    <w:p>
      <w:pPr>
        <w:ind w:left="700" w:hanging="236"/>
        <w:spacing w:after="0"/>
        <w:tabs>
          <w:tab w:leader="none" w:pos="7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Company need not reimburse any expense or indemnify against any loss or liability incurred by the Trustee through its negligence or bad faith.</w:t>
      </w:r>
    </w:p>
    <w:p>
      <w:pPr>
        <w:spacing w:after="0" w:line="194" w:lineRule="exact"/>
        <w:rPr>
          <w:rFonts w:ascii="Arial" w:cs="Arial" w:eastAsia="Arial" w:hAnsi="Arial"/>
          <w:sz w:val="16"/>
          <w:szCs w:val="16"/>
          <w:color w:val="auto"/>
        </w:rPr>
      </w:pPr>
    </w:p>
    <w:p>
      <w:pPr>
        <w:ind w:right="420" w:firstLine="464"/>
        <w:spacing w:after="0" w:line="332" w:lineRule="auto"/>
        <w:tabs>
          <w:tab w:leader="none" w:pos="705" w:val="left"/>
        </w:tabs>
        <w:numPr>
          <w:ilvl w:val="0"/>
          <w:numId w:val="96"/>
        </w:numPr>
        <w:rPr>
          <w:rFonts w:ascii="Arial" w:cs="Arial" w:eastAsia="Arial" w:hAnsi="Arial"/>
          <w:sz w:val="16"/>
          <w:szCs w:val="16"/>
          <w:color w:val="auto"/>
        </w:rPr>
      </w:pPr>
      <w:r>
        <w:rPr>
          <w:rFonts w:ascii="Arial" w:cs="Arial" w:eastAsia="Arial" w:hAnsi="Arial"/>
          <w:sz w:val="16"/>
          <w:szCs w:val="16"/>
          <w:color w:val="auto"/>
        </w:rPr>
        <w:t>To secure the payment obligations of the Company pursuant to this Section, the Trustee shall have a lien prior to the Securities of any series on all money or property held or collected by the Trustee, except that held in trust to pay principal, premium, if any, and interest on particular Securities.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74" w:right="279" w:bottom="1440" w:gutter="0" w:footer="0" w:header="0"/>
        </w:sectPr>
      </w:pPr>
    </w:p>
    <w:bookmarkStart w:id="126" w:name="page127"/>
    <w:bookmarkEnd w:id="126"/>
    <w:p>
      <w:pPr>
        <w:jc w:val="both"/>
        <w:ind w:right="140" w:firstLine="464"/>
        <w:spacing w:after="0" w:line="259" w:lineRule="auto"/>
        <w:tabs>
          <w:tab w:leader="none" w:pos="695" w:val="left"/>
        </w:tabs>
        <w:numPr>
          <w:ilvl w:val="0"/>
          <w:numId w:val="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when the Trustee incurs expenses or renders services in connection with an Event of Default specified in Section 5.1(e) or Section 5.1(f),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provisions of this Section shall survive the termination of this Indenture.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6.10 Replacement of Trustee</w:t>
      </w:r>
    </w:p>
    <w:p>
      <w:pPr>
        <w:spacing w:after="0" w:line="96" w:lineRule="exact"/>
        <w:rPr>
          <w:sz w:val="20"/>
          <w:szCs w:val="20"/>
          <w:color w:val="auto"/>
        </w:rPr>
      </w:pPr>
    </w:p>
    <w:p>
      <w:pPr>
        <w:ind w:right="680" w:firstLine="464"/>
        <w:spacing w:after="0" w:line="268" w:lineRule="auto"/>
        <w:tabs>
          <w:tab w:leader="none" w:pos="695"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resignation or removal of the Trustee and the appointment of a successor Trustee shall become effective only upon the successor Trustee’s acceptance of appointment as provided in Section 6.11.</w:t>
      </w:r>
    </w:p>
    <w:p>
      <w:pPr>
        <w:spacing w:after="0" w:line="131" w:lineRule="exact"/>
        <w:rPr>
          <w:rFonts w:ascii="Arial" w:cs="Arial" w:eastAsia="Arial" w:hAnsi="Arial"/>
          <w:sz w:val="18"/>
          <w:szCs w:val="18"/>
          <w:color w:val="auto"/>
        </w:rPr>
      </w:pPr>
    </w:p>
    <w:p>
      <w:pPr>
        <w:ind w:right="320" w:firstLine="464"/>
        <w:spacing w:after="0" w:line="256" w:lineRule="auto"/>
        <w:tabs>
          <w:tab w:leader="none" w:pos="705"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Trustee may resign at any time with respect to the Securities of any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or such series.</w:t>
      </w:r>
    </w:p>
    <w:p>
      <w:pPr>
        <w:spacing w:after="0" w:line="143" w:lineRule="exact"/>
        <w:rPr>
          <w:rFonts w:ascii="Arial" w:cs="Arial" w:eastAsia="Arial" w:hAnsi="Arial"/>
          <w:sz w:val="18"/>
          <w:szCs w:val="18"/>
          <w:color w:val="auto"/>
        </w:rPr>
      </w:pPr>
    </w:p>
    <w:p>
      <w:pPr>
        <w:ind w:right="140" w:firstLine="464"/>
        <w:spacing w:after="0" w:line="332" w:lineRule="auto"/>
        <w:tabs>
          <w:tab w:leader="none" w:pos="695"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Holders of a majority in aggregate principal amount of the Outstanding Securities of any series may remove the Trustee with respect to that series by so notifying the Trustee and the Company and may appoint a successor Trustee for such series with the Company’s consent.</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at any time:</w:t>
      </w:r>
    </w:p>
    <w:p>
      <w:pPr>
        <w:spacing w:after="0" w:line="90" w:lineRule="exact"/>
        <w:rPr>
          <w:rFonts w:ascii="Arial" w:cs="Arial" w:eastAsia="Arial" w:hAnsi="Arial"/>
          <w:sz w:val="18"/>
          <w:szCs w:val="18"/>
          <w:color w:val="auto"/>
        </w:rPr>
      </w:pPr>
    </w:p>
    <w:p>
      <w:pPr>
        <w:ind w:left="460" w:right="260" w:firstLine="443"/>
        <w:spacing w:after="0" w:line="268" w:lineRule="auto"/>
        <w:tabs>
          <w:tab w:leader="none" w:pos="1108"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Trustee fails to comply with Section 310(b) of the Trust Indenture Act after written request therefor by the Company or by any Holder who has been a bona fide Holder of a Security for at least six months; or</w:t>
      </w:r>
    </w:p>
    <w:p>
      <w:pPr>
        <w:spacing w:after="0" w:line="50" w:lineRule="exact"/>
        <w:rPr>
          <w:rFonts w:ascii="Arial" w:cs="Arial" w:eastAsia="Arial" w:hAnsi="Arial"/>
          <w:sz w:val="18"/>
          <w:szCs w:val="18"/>
          <w:color w:val="auto"/>
        </w:rPr>
      </w:pPr>
    </w:p>
    <w:p>
      <w:pPr>
        <w:ind w:left="460" w:right="180" w:firstLine="443"/>
        <w:spacing w:after="0" w:line="332" w:lineRule="auto"/>
        <w:tabs>
          <w:tab w:leader="none" w:pos="1157" w:val="left"/>
        </w:tabs>
        <w:numPr>
          <w:ilvl w:val="1"/>
          <w:numId w:val="98"/>
        </w:numPr>
        <w:rPr>
          <w:rFonts w:ascii="Arial" w:cs="Arial" w:eastAsia="Arial" w:hAnsi="Arial"/>
          <w:sz w:val="16"/>
          <w:szCs w:val="16"/>
          <w:color w:val="auto"/>
        </w:rPr>
      </w:pPr>
      <w:r>
        <w:rPr>
          <w:rFonts w:ascii="Arial" w:cs="Arial" w:eastAsia="Arial" w:hAnsi="Arial"/>
          <w:sz w:val="16"/>
          <w:szCs w:val="16"/>
          <w:color w:val="auto"/>
        </w:rPr>
        <w:t>the Trustee shall cease to be eligible under Section 310(a) of the Trust Indenture Act and shall fail to resign after written request therefor by the Company or by any Holder of a Security who has been a bona fide Holder of a Security for at least six months; or</w:t>
      </w:r>
    </w:p>
    <w:p>
      <w:pPr>
        <w:spacing w:after="0" w:line="4" w:lineRule="exact"/>
        <w:rPr>
          <w:rFonts w:ascii="Arial" w:cs="Arial" w:eastAsia="Arial" w:hAnsi="Arial"/>
          <w:sz w:val="16"/>
          <w:szCs w:val="16"/>
          <w:color w:val="auto"/>
        </w:rPr>
      </w:pPr>
    </w:p>
    <w:p>
      <w:pPr>
        <w:ind w:left="460" w:right="180" w:firstLine="443"/>
        <w:spacing w:after="0" w:line="268" w:lineRule="auto"/>
        <w:tabs>
          <w:tab w:leader="none" w:pos="1205"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Trustee becomes incapable of acting, is adjudged a bankrupt or an insolvent or a receiver or public officer takes charge of the Trustee or its property or affairs for the purpose of rehabilitation, conservation or liquidation,</w:t>
      </w:r>
    </w:p>
    <w:p>
      <w:pPr>
        <w:spacing w:after="0" w:line="51"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then, in any such case, (A) the Company by or pursuant to a Board Resolution may remove the Trustee with respect to all Securities, or (B) subject to Section 315(e) of the Trust Indenture Act, any Holder who has been a bona fide Holder of a Security for at least six months may, on behalf of himself and all other similarly situated, petition any court of competent jurisdiction for the removal of the Trustee with respect to all Securities and the appointment of a successor Trustee or Trustees.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127" w:name="page128"/>
    <w:bookmarkEnd w:id="127"/>
    <w:p>
      <w:pPr>
        <w:ind w:firstLine="464"/>
        <w:spacing w:after="0" w:line="286" w:lineRule="auto"/>
        <w:tabs>
          <w:tab w:leader="none" w:pos="695" w:val="left"/>
        </w:tabs>
        <w:numPr>
          <w:ilvl w:val="0"/>
          <w:numId w:val="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Trustee resigns or is removed or if a vacancy exists in the office of Trustee for any reason, with respect to Securities of one or more series, the Company, by or pursuant to Board Resolution, shall promptly appoint a successor Trustee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6.11 Acceptance of Appointment by Successor</w:t>
      </w:r>
    </w:p>
    <w:p>
      <w:pPr>
        <w:spacing w:after="0" w:line="96" w:lineRule="exact"/>
        <w:rPr>
          <w:sz w:val="20"/>
          <w:szCs w:val="20"/>
          <w:color w:val="auto"/>
        </w:rPr>
      </w:pPr>
    </w:p>
    <w:p>
      <w:pPr>
        <w:ind w:right="80" w:firstLine="464"/>
        <w:spacing w:after="0" w:line="291" w:lineRule="auto"/>
        <w:tabs>
          <w:tab w:leader="none" w:pos="69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all Securities, every such successor Trustee shall execute, acknowledge and deliver to the Company and to the retiring Trustee an instrument accepting such appointment. Thereupon, the resignation or removal of the retiring Trustee shall become effective, and the successor Trustee, without further act, deed or conveyance, shall become vested with all the rights, powers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20" w:lineRule="exact"/>
        <w:rPr>
          <w:rFonts w:ascii="Arial" w:cs="Arial" w:eastAsia="Arial" w:hAnsi="Arial"/>
          <w:sz w:val="16"/>
          <w:szCs w:val="16"/>
          <w:color w:val="auto"/>
        </w:rPr>
      </w:pPr>
    </w:p>
    <w:p>
      <w:pPr>
        <w:ind w:right="40" w:firstLine="464"/>
        <w:spacing w:after="0" w:line="288" w:lineRule="auto"/>
        <w:tabs>
          <w:tab w:leader="none" w:pos="70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such successor Trustee shall execute and deliver an indenture supplemental hereto wherein such successor Trustee shall accept such appointment and which (i) shall contain such provisions as shall be necessary or desirable to transfer and confirm to, and to vest in, such successor Trustee all the rights, powers, trusts and duties of the retiring Trustee with respect to the Securities of that or those series to which the appointment of such successor Trustee relates, (ii)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128" w:name="page129"/>
    <w:bookmarkEnd w:id="128"/>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20" w:lineRule="exact"/>
        <w:rPr>
          <w:sz w:val="20"/>
          <w:szCs w:val="20"/>
          <w:color w:val="auto"/>
        </w:rPr>
      </w:pPr>
    </w:p>
    <w:p>
      <w:pPr>
        <w:ind w:right="80" w:firstLine="464"/>
        <w:spacing w:after="0" w:line="332" w:lineRule="auto"/>
        <w:tabs>
          <w:tab w:leader="none" w:pos="69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85" w:lineRule="exact"/>
        <w:rPr>
          <w:rFonts w:ascii="Arial" w:cs="Arial" w:eastAsia="Arial" w:hAnsi="Arial"/>
          <w:sz w:val="16"/>
          <w:szCs w:val="16"/>
          <w:color w:val="auto"/>
        </w:rPr>
      </w:pPr>
    </w:p>
    <w:p>
      <w:pPr>
        <w:ind w:right="40" w:firstLine="464"/>
        <w:spacing w:after="0" w:line="268" w:lineRule="auto"/>
        <w:tabs>
          <w:tab w:leader="none" w:pos="70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the Trust Indenture Act.</w:t>
      </w:r>
    </w:p>
    <w:p>
      <w:pPr>
        <w:spacing w:after="0" w:line="131" w:lineRule="exact"/>
        <w:rPr>
          <w:rFonts w:ascii="Arial" w:cs="Arial" w:eastAsia="Arial" w:hAnsi="Arial"/>
          <w:sz w:val="18"/>
          <w:szCs w:val="18"/>
          <w:color w:val="auto"/>
        </w:rPr>
      </w:pPr>
    </w:p>
    <w:p>
      <w:pPr>
        <w:ind w:firstLine="464"/>
        <w:spacing w:after="0" w:line="306" w:lineRule="auto"/>
        <w:tabs>
          <w:tab w:leader="none" w:pos="69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 1.6. Each notice shall include the name of the successor Trustee with respect to the securities of such series and the address of its Corporate Trust office.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6.12 Eligibility; Disqualification</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There shall at all times be a Trustee hereunder which shall be eligible to act as Trustee under Section 310(a)(1) of the Trust Indenture Act and shall have a combined capital and surplus of at least $100 million. If such corporation publishes reports of condition at least annually, pursuant to law or the requirements of Federal, State Territorial or District of Columbia supervising or examining authority, then for the purposes of this Section,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6.13 Merger, Conversion, Consolidation or Succession to Business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280" w:right="29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6.14 Appointment of Authenticating Agent</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Trustee may appoint an Authenticating Agent or Agents with respect to one or more series of Securities which shall be authorized to act on behalf of the Trustee to authenticate Securities of such series issued upon original issue exchange, registration of transfer, partial conversion or partial redemption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authenticating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except as may otherwise be provided pursuant to Section 3.1, shall at all times be a bank or trust company or corporation organized and doing business and in good standing under the laws of the United States of America or of any State or the District of Columbia, authorized under such laws to act as Authenticating Agent, having a combined capital and surplus of not less than $10 million and subject to supervision or examination by Federal or State authorities. 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w:t>
      </w:r>
    </w:p>
    <w:p>
      <w:pPr>
        <w:spacing w:after="0" w:line="128"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such series may appoint a successor Authenticating Agent which shall be acceptable to the Company and shall give notice of such appointment to all Holders of Securities of the series with respect to which such Authenticating Agent will serve in the manner set forth in Section 1.6.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Section.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130" w:name="page131"/>
    <w:bookmarkEnd w:id="130"/>
    <w:p>
      <w:pPr>
        <w:ind w:right="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agrees to pay to each Authenticating Agent from time to time reasonable compensation, including reimbursement of its reasonable expenses for its services under this Section.</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a series issued under the within-mentioned Indenture.</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-129540</wp:posOffset>
            </wp:positionV>
            <wp:extent cx="355028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2"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10795</wp:posOffset>
            </wp:positionV>
            <wp:extent cx="331914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as Authenticating Agent</w:t>
      </w:r>
    </w:p>
    <w:p>
      <w:pPr>
        <w:spacing w:after="0" w:line="225"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10795</wp:posOffset>
            </wp:positionV>
            <wp:extent cx="331914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Authorized Officer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6.15 Trustee’s Application for Instructions From the Company</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Any application by the Trustee for written instructions from the Company may, at the option of the Trustee, set forth in writing any action proposed to be taken or omitted by the Trustee under this Indenture and the date on and/or after which such action shall be taken or such omission shall be effective. The Trustee shall not be liable for any action taken by, or omission of, the Trustee in accordance with a proposal included in such application on or after the date specified in such application (which date shall not be less than fifteen Business Days after the date any officer of the Company actually receives such application, unless any such officer shall have consented in writing to any earlier date) unless prior to taking any such action (or the effective date in the case of an omission), the Trustee shall have received written instructions in response to such application specifying the action to be taken or omitted.</w:t>
      </w:r>
    </w:p>
    <w:p>
      <w:pPr>
        <w:spacing w:after="0" w:line="27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7</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Consolidation, Merger or Sale by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 Consolidation, Merger or Sale of Assets Permitted</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may merge or consolidate with or into any other corporation or sell, convey, transfer, lease or otherwise dispose of all or substantially all of its assets to any person,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131" w:name="page132"/>
    <w:bookmarkEnd w:id="131"/>
    <w:p>
      <w:pPr>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firm or corporation, if (a) (i) in the case of a merger or consolidation, the Company is the surviving corporation or (ii) in the case of a merger or consolidation where the Company is not the surviving corporation and in the case of any such sale, conveyance or other disposition, the successor or acquiring corporation is a corporation organized and existing under the laws of the United States or a State thereof and such corporation expressly assumes by supplemental indenture all of the obligations of the Company under the Securities and under this Indenture and shall have provided for conversion rights in accordance with Section 12.11,</w:t>
      </w:r>
    </w:p>
    <w:p>
      <w:pPr>
        <w:spacing w:after="0" w:line="3" w:lineRule="exact"/>
        <w:rPr>
          <w:sz w:val="20"/>
          <w:szCs w:val="20"/>
          <w:color w:val="auto"/>
        </w:rPr>
      </w:pPr>
    </w:p>
    <w:p>
      <w:pPr>
        <w:ind w:right="40" w:firstLine="8"/>
        <w:spacing w:after="0" w:line="290" w:lineRule="auto"/>
        <w:tabs>
          <w:tab w:leader="none" w:pos="249"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immediately thereafter, giving effect to such merger or consolidation, or such sale, conveyance, transfer or other disposition, no Default or Event of Default shall have occurred and be continuing and (c) the company has delivered to the Trustee an Officers’ Certificate and an Opinion of Counsel each stating that such merger or consolidation, or such sale, conveyance, transfer or other disposition, complies with this Article and that all conditions precedent herein provided for relating to such transaction have been complied with. In the event of the assumption by a successor corporation of the obligations of the Company as provided in clause (a)(ii) of the immediately preceding sentence, such successor corporation shall succeed to and be substituted for the Company hereunder and under the Securities and all such obligations of the Company shall terminate.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7.2 No Limitations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Nothing contained in this Indenture or in any of the Securities shall prevent the Company from merging into itself any other corporation or entity (whether or not affiliated with the Company) or acquiring by purchase or otherwise all or any part of the property of any other corporation or entity (whether or not affiliated with the Company).</w:t>
      </w:r>
    </w:p>
    <w:p>
      <w:pPr>
        <w:spacing w:after="0" w:line="29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8</w:t>
      </w:r>
    </w:p>
    <w:p>
      <w:pPr>
        <w:spacing w:after="0" w:line="17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Supplemental Indentures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8.1 Supplemental Indentures Without Consent of Holders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Without the consent of any Holders, the Company, when authorized by a Board Resolution, and the Trustee, at any time and from time to time, may enter into indentures supplemental hereto, in form reasonably satisfactory to the Trustee, for any of the following purposes:</w:t>
      </w:r>
    </w:p>
    <w:p>
      <w:pPr>
        <w:spacing w:after="0" w:line="51" w:lineRule="exact"/>
        <w:rPr>
          <w:sz w:val="20"/>
          <w:szCs w:val="20"/>
          <w:color w:val="auto"/>
        </w:rPr>
      </w:pPr>
    </w:p>
    <w:p>
      <w:pPr>
        <w:ind w:left="460" w:right="220" w:firstLine="443"/>
        <w:spacing w:after="0" w:line="268" w:lineRule="auto"/>
        <w:tabs>
          <w:tab w:leader="none" w:pos="113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the Company and the assumption by any such successor of the covenants of the Company herein and in the Securities; or</w:t>
      </w:r>
    </w:p>
    <w:p>
      <w:pPr>
        <w:spacing w:after="0" w:line="50"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59" w:lineRule="exact"/>
        <w:rPr>
          <w:rFonts w:ascii="Arial" w:cs="Arial" w:eastAsia="Arial" w:hAnsi="Arial"/>
          <w:sz w:val="18"/>
          <w:szCs w:val="18"/>
          <w:color w:val="auto"/>
        </w:rPr>
      </w:pPr>
    </w:p>
    <w:p>
      <w:pPr>
        <w:ind w:left="1140" w:hanging="237"/>
        <w:spacing w:after="0"/>
        <w:tabs>
          <w:tab w:leader="none" w:pos="11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add any additional Events of Default with respect to all or any series of Securities; or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280" w:right="299" w:bottom="1440" w:gutter="0" w:footer="0" w:header="0"/>
        </w:sectPr>
      </w:pPr>
    </w:p>
    <w:bookmarkStart w:id="132" w:name="page133"/>
    <w:bookmarkEnd w:id="132"/>
    <w:p>
      <w:pPr>
        <w:ind w:left="460" w:right="340" w:firstLine="443"/>
        <w:spacing w:after="0" w:line="357" w:lineRule="auto"/>
        <w:tabs>
          <w:tab w:leader="none" w:pos="1147" w:val="left"/>
        </w:tabs>
        <w:numPr>
          <w:ilvl w:val="0"/>
          <w:numId w:val="10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add to or change any of the provisions of this Indenture to such extent as shall be necessary to facilitate the issuance of Securities in bearer form, registrable or not registrable as to principal, and with or without interest coupons, or to facilitate the issuance of Securities in global form; or</w:t>
      </w:r>
    </w:p>
    <w:p>
      <w:pPr>
        <w:ind w:left="460" w:right="320" w:firstLine="443"/>
        <w:spacing w:after="0" w:line="259" w:lineRule="auto"/>
        <w:tabs>
          <w:tab w:leader="none" w:pos="113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add to, change or eliminate any of the provisions of this Indenture, provided that any such addition, change or elimination shall become effective only when there is no Security Outstanding of any series created prior to the execution of such supplemental indenture which is entitled to the benefit of such provision; or</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secure the Securities;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2.1 and 3.2; or</w:t>
      </w:r>
    </w:p>
    <w:p>
      <w:pPr>
        <w:spacing w:after="0" w:line="90"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6.10; or</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make provision with respect to the conversion rights of Holders pursuant to the requirements of Section 12.11; or</w:t>
      </w:r>
    </w:p>
    <w:p>
      <w:pPr>
        <w:spacing w:after="0" w:line="90" w:lineRule="exact"/>
        <w:rPr>
          <w:rFonts w:ascii="Arial" w:cs="Arial" w:eastAsia="Arial" w:hAnsi="Arial"/>
          <w:sz w:val="18"/>
          <w:szCs w:val="18"/>
          <w:color w:val="auto"/>
        </w:rPr>
      </w:pPr>
    </w:p>
    <w:p>
      <w:pPr>
        <w:ind w:left="460" w:firstLine="443"/>
        <w:spacing w:after="0" w:line="259" w:lineRule="auto"/>
        <w:tabs>
          <w:tab w:leader="none" w:pos="110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to correct or supplement any provision herein which may be inconsistent with any other provision herein, to cure any ambiguity or correct any mistake or to make any other provisions with respect to matters or questions arising under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action shall not adversely affect the interests of the Holders of Securities of any series in any material respect.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8.2 With Consent of Holders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With the written consent of the Holders of a majority of the aggregate principal amount of the Outstanding Securities of each series adversely affected by such supplemental indenture, the Company and the Trustee may enter into an indenture or indentures supplemental hereto to add any provisions to or to change or eliminate any provisions of this Indenture or of any other indenture supplemental hereto or to modify the rights of the Holders of Securities of each such series;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without the consent of the Holder of each Outstanding Security affected thereby, an amendment under this Section may not:</w:t>
      </w:r>
    </w:p>
    <w:p>
      <w:pPr>
        <w:spacing w:after="0" w:line="32" w:lineRule="exact"/>
        <w:rPr>
          <w:sz w:val="20"/>
          <w:szCs w:val="20"/>
          <w:color w:val="auto"/>
        </w:rPr>
      </w:pPr>
    </w:p>
    <w:p>
      <w:pPr>
        <w:ind w:left="460" w:right="180" w:firstLine="443"/>
        <w:spacing w:after="0" w:line="294" w:lineRule="auto"/>
        <w:tabs>
          <w:tab w:leader="none" w:pos="113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any installment of principal of or interest on, any Security, or reduce the principal amount thereof or the rate of interest thereon or any premium payable upon the redemption thereof, or reduce the amount of the principal of an Original Issue Discount Security that would be due and payable upon a declaration of acceleration of the Maturity thereof pursuant to Section 5.2, or change the coin or currency in which, any Securities or any premium or the interest thereon is payable, or impair the right to institute suit for the enforcement of any such payment on or after the Stated Maturity thereof (or, in the case of redemption,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133" w:name="page134"/>
    <w:bookmarkEnd w:id="133"/>
    <w:p>
      <w:pPr>
        <w:ind w:left="460" w:right="1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or after the Redemption Date), or adversely affect the right to convert any Security as provided in Article 12 (except as permitted by Section 8.1(9)) [</w:t>
      </w:r>
      <w:r>
        <w:rPr>
          <w:rFonts w:ascii="Arial" w:cs="Arial" w:eastAsia="Arial" w:hAnsi="Arial"/>
          <w:sz w:val="16"/>
          <w:szCs w:val="16"/>
          <w:u w:val="single" w:color="auto"/>
          <w:color w:val="auto"/>
        </w:rPr>
        <w:t>if</w:t>
      </w:r>
      <w:r>
        <w:rPr>
          <w:rFonts w:ascii="Arial" w:cs="Arial" w:eastAsia="Arial" w:hAnsi="Arial"/>
          <w:sz w:val="16"/>
          <w:szCs w:val="16"/>
          <w:color w:val="auto"/>
        </w:rPr>
        <w:t xml:space="preserve"> </w:t>
      </w:r>
      <w:r>
        <w:rPr>
          <w:rFonts w:ascii="Arial" w:cs="Arial" w:eastAsia="Arial" w:hAnsi="Arial"/>
          <w:sz w:val="16"/>
          <w:szCs w:val="16"/>
          <w:u w:val="single" w:color="auto"/>
          <w:color w:val="auto"/>
        </w:rPr>
        <w:t>applicable, insert</w:t>
      </w:r>
      <w:r>
        <w:rPr>
          <w:rFonts w:ascii="Arial" w:cs="Arial" w:eastAsia="Arial" w:hAnsi="Arial"/>
          <w:sz w:val="16"/>
          <w:szCs w:val="16"/>
          <w:color w:val="auto"/>
        </w:rPr>
        <w:t>—, or modify the provisions of this Indenture with respect to the subordination of the Securities in a manner adverse to the Holders];</w:t>
      </w:r>
    </w:p>
    <w:p>
      <w:pPr>
        <w:spacing w:after="0" w:line="4" w:lineRule="exact"/>
        <w:rPr>
          <w:sz w:val="20"/>
          <w:szCs w:val="20"/>
          <w:color w:val="auto"/>
        </w:rPr>
      </w:pPr>
    </w:p>
    <w:p>
      <w:pPr>
        <w:jc w:val="both"/>
        <w:ind w:left="460" w:right="420" w:firstLine="443"/>
        <w:spacing w:after="0" w:line="259" w:lineRule="auto"/>
        <w:tabs>
          <w:tab w:leader="none" w:pos="114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w:t>
      </w:r>
    </w:p>
    <w:p>
      <w:pPr>
        <w:spacing w:after="0" w:line="59" w:lineRule="exact"/>
        <w:rPr>
          <w:rFonts w:ascii="Arial" w:cs="Arial" w:eastAsia="Arial" w:hAnsi="Arial"/>
          <w:sz w:val="18"/>
          <w:szCs w:val="18"/>
          <w:color w:val="auto"/>
        </w:rPr>
      </w:pPr>
    </w:p>
    <w:p>
      <w:pPr>
        <w:ind w:left="1140" w:hanging="237"/>
        <w:spacing w:after="0"/>
        <w:tabs>
          <w:tab w:leader="none" w:pos="11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change any obligation of the Company to maintain an office or agency in the places and for the purposes specified in Section 9.2; or</w:t>
      </w:r>
    </w:p>
    <w:p>
      <w:pPr>
        <w:spacing w:after="0" w:line="113"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make any change in Section 5.7 or this 8.2(a) except to increase any percentage or to provide that certain other provisions of this Indenture cannot be modified or waived with the consent of the Holders of each Outstanding Security affected thereby.</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 supplemental indenture that changes or eliminates any covenant or other provision of this Indenture, which has expressly been included solely for the benefit of one or more particular series of Securities, or that modifies the rights of the Holders of Securities of such series with respect to such covenant or other provision, shall be deemed not to affect the rights under this Indenture of the Holders of Securities of any other series.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It is not necessary under this Section 8.2 for the Holders to consent to the particular form of any proposed supplemental indenture, but it is sufficient if they consent to the substance thereof.</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8.3 Compliance With Trust Indenture Act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Every supplemental indenture executed pursuant to this Article shall comply with the requirements of the Trust Indenture Act as then in effect.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8.4 Execution of Supplemental Indentures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executing, or accepting the additional trusts created by, any supplemental indenture permitted by this Article or the modification thereby of the trusts created by this Indenture, the Trustee shall be entitled to receive, and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8.5 Effect of Supplemental Indentures</w:t>
      </w:r>
    </w:p>
    <w:p>
      <w:pPr>
        <w:spacing w:after="0" w:line="1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8.6 Reference in Securities to Supplemental Indentures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 Payment of Principal, Premium, if Any, and Interest</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covenants and agrees for the benefit of the Holders of each series of Securities that it will duly and punctually pay the principal of, premium, if any, and interest on the Securities of that series in accordance with the terms of the Securities of such series and this Indenture. An installment of principal or interest shall be considered paid on the date it is due if the Trustee or Paying Agent holds on that date money designated for and sufficient to pay the installment.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9.2 Maintenance of Office or Agency</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will maintain in each Place of Payment for any series of Securities an office or agency where Securities of that series may be presented or surrendered for payment, where Securities of that series may be surrendered for registration of transfer or exchange, where Securities may be surrendered for conversion and where notices and demands to or upon the Company in respect of the Securities of that series and this Indenture may be served. The Company will give prompt written notice to the Trustee of the location, and any change in the location, of any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118"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 xml:space="preserve">The Company may also from time to time designate one or more other offices or agencies where the Securities of one or more series may be presented or surrendered for any or all such purposes and may from time to time rescind such designations;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74" w:right="259" w:bottom="1440" w:gutter="0" w:footer="0" w:header="0"/>
        </w:sectPr>
      </w:pPr>
    </w:p>
    <w:bookmarkStart w:id="135" w:name="page136"/>
    <w:bookmarkEnd w:id="13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otherwise specified as contemplated by Section 3.1, the Trustee shall initially serve as Paying Agent.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9.3 Money for Securities to Be Held in Trust; Unclaimed Money</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the Company shall at any time act as its own Paying Agent with respect to any series of Securities, it will, on or before each due date of the principal of, premium, if any, or interest on any of the Securities of that series, segregate and hold in trust for the benefit of the Persons entitled thereto a sum sufficient to pay the principal, premium, if any, or interest so becoming due until such sums shall be paid to such persons or otherwise disposed of as herein provided and will promptly notify the Trustee in writing of its action or failure so to act.</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w:t>
      </w:r>
    </w:p>
    <w:p>
      <w:pPr>
        <w:spacing w:after="0" w:line="51" w:lineRule="exact"/>
        <w:rPr>
          <w:sz w:val="20"/>
          <w:szCs w:val="20"/>
          <w:color w:val="auto"/>
        </w:rPr>
      </w:pPr>
    </w:p>
    <w:p>
      <w:pPr>
        <w:ind w:left="460" w:right="220" w:firstLine="443"/>
        <w:spacing w:after="0" w:line="268" w:lineRule="auto"/>
        <w:tabs>
          <w:tab w:leader="none" w:pos="113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hold all sums held by it for the payment of the principal of, premium, if any, or interest on Securities of that series in trust for the benefit of the Persons entitled thereto until such sums shall be paid to such Persons or otherwise disposed of as herein provided;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give the Trustee notice of any default by the Company (or any other obligor upon the Securities of that series) in the making of any payment of principal, premium, if any, or interest on the Securities;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13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at any time during the continuance of any such default, upon the written request of the Trustee, forthwith pay to the Trustee all sums so held in trust by such Paying Agent.</w:t>
      </w:r>
    </w:p>
    <w:p>
      <w:pPr>
        <w:spacing w:after="0" w:line="132"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money deposited with the Trustee or any Paying Agent, or then held by the Company, in trust for the payment of any principal, premium or interest on any Security of any series and remaining unclaimed for two years after such principal, premium, if any,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280" w:right="279" w:bottom="1440" w:gutter="0" w:footer="0" w:header="0"/>
        </w:sectPr>
      </w:pPr>
    </w:p>
    <w:bookmarkStart w:id="136" w:name="page137"/>
    <w:bookmarkEnd w:id="136"/>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of the Company as trustee thereof, shall thereupon cease;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Trustee or such Paying Agent, before being required to make any such repayment, may at the expense of the Company cause to be published once, in a newspaper published in the English language, customarily published on each Business Day and of general circulation in The City of New York, or cause to be mailed to such Holder, notice that such money remains unclaimed and that, after a date specified therein, which shall not be less than 30 days from the date of such publication, any unclaimed balance of such money then remaining will be repaid to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9.4 Corporate Existence</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Subject to Article 7, the Company will at all times do or cause to be done all things necessary to preserve and keep in full force and effect its corporate existence and its rights and franchises;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in this Section 9.4 shall prevent the abandonment or termination of any right or franchise of the Company if, in the opinion of the Company, such abandonment or termination is in the best interests of the Company and does not materially adversely affect the ability of the Company to operate its business or to fulfill its obligations hereunder.</w:t>
      </w:r>
    </w:p>
    <w:p>
      <w:pPr>
        <w:spacing w:after="0" w:line="188" w:lineRule="exact"/>
        <w:rPr>
          <w:sz w:val="20"/>
          <w:szCs w:val="20"/>
          <w:color w:val="auto"/>
        </w:rPr>
      </w:pPr>
    </w:p>
    <w:p>
      <w:pPr>
        <w:jc w:val="center"/>
        <w:ind w:right="8660"/>
        <w:spacing w:after="0"/>
        <w:rPr>
          <w:sz w:val="20"/>
          <w:szCs w:val="20"/>
          <w:color w:val="auto"/>
        </w:rPr>
      </w:pPr>
      <w:r>
        <w:rPr>
          <w:rFonts w:ascii="Arial" w:cs="Arial" w:eastAsia="Arial" w:hAnsi="Arial"/>
          <w:sz w:val="15"/>
          <w:szCs w:val="15"/>
          <w:b w:val="1"/>
          <w:bCs w:val="1"/>
          <w:color w:val="auto"/>
        </w:rPr>
        <w:t>Section 9.5 Reports by the Company</w:t>
      </w:r>
    </w:p>
    <w:p>
      <w:pPr>
        <w:spacing w:after="0" w:line="131" w:lineRule="exact"/>
        <w:rPr>
          <w:sz w:val="20"/>
          <w:szCs w:val="20"/>
          <w:color w:val="auto"/>
        </w:rPr>
      </w:pPr>
    </w:p>
    <w:p>
      <w:pPr>
        <w:jc w:val="center"/>
        <w:ind w:right="8680"/>
        <w:spacing w:after="0"/>
        <w:rPr>
          <w:sz w:val="20"/>
          <w:szCs w:val="20"/>
          <w:color w:val="auto"/>
        </w:rPr>
      </w:pPr>
      <w:r>
        <w:rPr>
          <w:rFonts w:ascii="Arial" w:cs="Arial" w:eastAsia="Arial" w:hAnsi="Arial"/>
          <w:sz w:val="18"/>
          <w:szCs w:val="18"/>
          <w:color w:val="auto"/>
        </w:rPr>
        <w:t>The Company covenants:</w:t>
      </w:r>
    </w:p>
    <w:p>
      <w:pPr>
        <w:spacing w:after="0" w:line="90" w:lineRule="exact"/>
        <w:rPr>
          <w:sz w:val="20"/>
          <w:szCs w:val="20"/>
          <w:color w:val="auto"/>
        </w:rPr>
      </w:pPr>
    </w:p>
    <w:p>
      <w:pPr>
        <w:ind w:left="460" w:right="40" w:firstLine="443"/>
        <w:spacing w:after="0" w:line="312" w:lineRule="auto"/>
        <w:tabs>
          <w:tab w:leader="none" w:pos="1137" w:val="left"/>
        </w:tabs>
        <w:numPr>
          <w:ilvl w:val="0"/>
          <w:numId w:val="108"/>
        </w:numPr>
        <w:rPr>
          <w:rFonts w:ascii="Arial" w:cs="Arial" w:eastAsia="Arial" w:hAnsi="Arial"/>
          <w:sz w:val="15"/>
          <w:szCs w:val="15"/>
          <w:color w:val="auto"/>
        </w:rPr>
      </w:pPr>
      <w:r>
        <w:rPr>
          <w:rFonts w:ascii="Arial" w:cs="Arial" w:eastAsia="Arial" w:hAnsi="Arial"/>
          <w:sz w:val="15"/>
          <w:szCs w:val="15"/>
          <w:color w:val="auto"/>
        </w:rPr>
        <w:t>to file with the Trustee, within 30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Section 15(d) of the Securities Exchange Act of 1934, as amended; or, if the Company is not required to file information, documents or reports pursuant to either of such sections, then to file with the Trustee and the Commission, in accordance with rules and regulations prescribed from time to time by the Commission, such of the supplementary and periodic information, documents and reports which may be required pursuant to Section 13 of the Securities Exchange Act of 1934, as amended, in respect of a security listed and registered on a national securities exchange as may be prescribed from time to time in such rules and regulations;</w:t>
      </w:r>
    </w:p>
    <w:p>
      <w:pPr>
        <w:spacing w:after="0" w:line="24" w:lineRule="exact"/>
        <w:rPr>
          <w:rFonts w:ascii="Arial" w:cs="Arial" w:eastAsia="Arial" w:hAnsi="Arial"/>
          <w:sz w:val="15"/>
          <w:szCs w:val="15"/>
          <w:color w:val="auto"/>
        </w:rPr>
      </w:pPr>
    </w:p>
    <w:p>
      <w:pPr>
        <w:ind w:left="460" w:right="180" w:firstLine="443"/>
        <w:spacing w:after="0" w:line="306" w:lineRule="auto"/>
        <w:tabs>
          <w:tab w:leader="none" w:pos="114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to transmit to all Holders of Securities, within 30 days after the filing thereof with the Trustee, in the manner and to the extent provided in section 313(c) of the Trust Indenture Act, such information, documents and reports required to be filed by the Company pursuant to subsection (a) of this Section 9.5, as may be required by rules and regulations prescribed from time to time by the Commission.</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Such reports, information and documents will be deemed to be filed, furnished or transmitted to the Trustee and Holders of the Securities in compliance with this Section 9.5 on the date filed with the Commission. 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80" w:right="25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9.6 Annual Review Certificate; Notice of Default</w:t>
      </w:r>
    </w:p>
    <w:p>
      <w:pPr>
        <w:spacing w:after="0" w:line="96"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The Company covenants and agrees to deliver to the Trustee, within 120 days after the end of each fiscal year of the Company, a brief certificate from the principal executive officer, principal financial officer, or principal accounting officer as to his or her knowledge of the Company’s compliance with all conditions and covenants under this Indenture. The Company shall file with the Trustee written notice of occurrence of any Event of Default within 30 Business Days of its becoming aware of any such Event of Default.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9.7 Provision of Financial Statements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the Company is not required to file with the Commission periodic reports and other information pursuant to section 13(a), 13(c) or 15(d) of the Securities Exchange Act of 1934, the Company shall furnish without cost to each Holder and file with the Trustee (a) within 135 days after the end of each fiscal year, annual reports containing the information required to be contained in Items 1, 2, 3, 5, 6, 7, 8 and 9 of Form 10-K promulgated under the Securities Exchange Act of 1934, or substantially the same information required to be contained in comparable items of any successor form, (b) within 60 days after the end of each of the first three fiscal quarters of each fiscal year, quarterly reports containing the information required to be contained in Form 10-Q promulgated under the Securities Exchange Act of 1934, or substantially the same information required to be contained in any successor form and (c) promptly from the time after the occurrence of an event required to be therein reported, such other reports containing information required to be contained in Form 8-K promulgated under the Securities Exchange Act of 1934, or substantially the same information required to be contained in any successor form.</w:t>
      </w:r>
    </w:p>
    <w:p>
      <w:pPr>
        <w:spacing w:after="0" w:line="274"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10</w:t>
      </w:r>
    </w:p>
    <w:p>
      <w:pPr>
        <w:spacing w:after="0" w:line="17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Redemption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10.1 Applicability of Article</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Securities of any series which are redeemable before their Stated Maturity shall be redeemable in accordance with their terms and (except as otherwise specified as contemplated by Section 3.1 for Securities of any series) in accordance with this Article.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10.2 Election to Redeem; Notice to Trustee</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election of the Company to redeem any Securities shall be evidenced by or pursuant to a Board Resolution or any Officers’ Certificate. In the case of any redemption at the election of the Company of less than all the Securities, if any, of any series, the Company shall, at least 45 days prior to the Redemption Date fixed by the Company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(a) prior to the expiration of any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74" w:right="259" w:bottom="1440" w:gutter="0" w:footer="0" w:header="0"/>
        </w:sectPr>
      </w:pPr>
    </w:p>
    <w:bookmarkStart w:id="138" w:name="page139"/>
    <w:bookmarkEnd w:id="138"/>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restriction on such redemption provided in the terms of such Securities or elsewhere in this Indenture or (b) pursuant to an election of the Company which is subject to a condition specified in the terms of such Securities, the Company shall furnish the Trustee with an Officers’ Certificate evidencing compliance with such restriction or condition.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10.3 Selection of Securities to Be Redeemed</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Unless otherwise specified as contemplated by Section 3.1, if less than all the Securities of a series with the same original issue date, interest rate and Stated Maturity are to be redeemed, the Trustee, not more than 45 days prior to the redemption date, shall select the Securities of the series to be redeemed in such manner as the Trustee shall deem fair and appropriate. The Trustee shall make the selection from Securities of the series that are Outstanding and that have not previously been called for redemption and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 The Trustee shall promptly notify the Company in writing of the Securities selected by the Trustee for redemption and, in the case of any Securities selected for partial redemption, the principal amount thereof to be redeemed.</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If any Security selected for partial redemption is converted in part before termination of the conversion right with respect to the portion of the Security so selected, the converted portion of such Security shall be deemed (so far as may be) to be the portion selected for redemption. Securities which have been converted during a selection of Securities to be redeemed shall be treated by the Trustee as Outstanding for the purpose of such selection.</w:t>
      </w:r>
    </w:p>
    <w:p>
      <w:pPr>
        <w:spacing w:after="0" w:line="10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For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10.4 Notice of Redemption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Unless otherwise specified as contemplated by Section 3.1, notice of redemption shall be given in the manner provided in Section 1.6 not less than 30 days nor more than 60 days prior to the Redemption Date to the Holders of the Securities to be redeemed.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notices of redemption shall state:</w:t>
      </w:r>
    </w:p>
    <w:p>
      <w:pPr>
        <w:spacing w:after="0" w:line="90" w:lineRule="exact"/>
        <w:rPr>
          <w:sz w:val="20"/>
          <w:szCs w:val="20"/>
          <w:color w:val="auto"/>
        </w:rPr>
      </w:pPr>
    </w:p>
    <w:p>
      <w:pPr>
        <w:ind w:left="1480" w:hanging="567"/>
        <w:spacing w:after="0"/>
        <w:tabs>
          <w:tab w:leader="none" w:pos="14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90" w:lineRule="exact"/>
        <w:rPr>
          <w:rFonts w:ascii="Arial" w:cs="Arial" w:eastAsia="Arial" w:hAnsi="Arial"/>
          <w:sz w:val="18"/>
          <w:szCs w:val="18"/>
          <w:color w:val="auto"/>
        </w:rPr>
      </w:pPr>
    </w:p>
    <w:p>
      <w:pPr>
        <w:ind w:left="460" w:right="180" w:firstLine="443"/>
        <w:spacing w:after="0" w:line="268" w:lineRule="auto"/>
        <w:tabs>
          <w:tab w:leader="none" w:pos="113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fewer than all the Outstanding Securities of a series are to be redeemed, the identification (and, in the case of partial redemption, the principal amounts) of the particular Security or Securities to be redeemed;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139" w:name="page140"/>
    <w:bookmarkEnd w:id="139"/>
    <w:p>
      <w:pPr>
        <w:ind w:left="460" w:right="280" w:firstLine="443"/>
        <w:spacing w:after="0" w:line="259" w:lineRule="auto"/>
        <w:tabs>
          <w:tab w:leader="none" w:pos="1147" w:val="left"/>
        </w:tabs>
        <w:numPr>
          <w:ilvl w:val="0"/>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case any Security is to be redeemed in part only, the notice which relates to such Security shall state that on and after the Redemption Date, upon surrender of such Security, the holder will receive, without a charge, a new Security or Securities of authorized denominations for the principal amount thereof remaining unredeemed;</w:t>
      </w:r>
    </w:p>
    <w:p>
      <w:pPr>
        <w:spacing w:after="0" w:line="59" w:lineRule="exact"/>
        <w:rPr>
          <w:rFonts w:ascii="Arial" w:cs="Arial" w:eastAsia="Arial" w:hAnsi="Arial"/>
          <w:sz w:val="18"/>
          <w:szCs w:val="18"/>
          <w:color w:val="auto"/>
        </w:rPr>
      </w:pPr>
    </w:p>
    <w:p>
      <w:pPr>
        <w:ind w:left="460" w:right="220" w:firstLine="443"/>
        <w:spacing w:after="0" w:line="268" w:lineRule="auto"/>
        <w:tabs>
          <w:tab w:leader="none" w:pos="113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conversion price, the date on which the right to convert the principal of the Securities to be redeemed will terminate and the place or places where such Securities may be surrendered for conversion;</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the Place or Places of Payment where such Securities maturing after the Redemption Date, are to be surrendered for payment for the Redemption</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Price;</w:t>
      </w:r>
    </w:p>
    <w:p>
      <w:pPr>
        <w:spacing w:after="0" w:line="83" w:lineRule="exact"/>
        <w:rPr>
          <w:rFonts w:ascii="Arial" w:cs="Arial" w:eastAsia="Arial" w:hAnsi="Arial"/>
          <w:sz w:val="15"/>
          <w:szCs w:val="15"/>
          <w:color w:val="auto"/>
        </w:rPr>
      </w:pPr>
    </w:p>
    <w:p>
      <w:pPr>
        <w:ind w:left="1160" w:hanging="257"/>
        <w:spacing w:after="0"/>
        <w:tabs>
          <w:tab w:leader="none" w:pos="11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that Securities of the series called for redemption must be surrendered to the Paying Agent to collect the redemption price;</w:t>
      </w:r>
    </w:p>
    <w:p>
      <w:pPr>
        <w:spacing w:after="0" w:line="9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Security, or the portion thereof, to be redeemed and, if applicable, that interest thereon will cease to accrue on and after said date;</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 and</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17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Notice of redemption of Securities to be redeemed shall be given by the Company or, at the Company’s request, by the Trustee in the name and at the expense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10.5 Deposit of Redemption Price</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or prior to 10:00 a.m., New York City Time, on any Redemption Date, the Company shall deposit with the Trustee or with a Paying Agent (or, if the Company is acting as its own Paying Agent, segregate and hold in trust as provided in Section 9.3) an amount of money sufficient to pay on the Redemption Date the Redemption Price of, and (unless the Redemption Date shall be an Interest Payment Date) interest accrued to the Redemption Date on, all Securities or portions thereof which are to be redeemed on that date other than any Securities called for redemption on that date which have been converted prior to the date of such deposit.</w:t>
      </w:r>
    </w:p>
    <w:p>
      <w:pPr>
        <w:spacing w:after="0" w:line="143"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Unless any Security by its terms prohibits any sinking fund payment obligation from being satisfied by delivering and crediting Securities (including Securities redeemed otherwise than through a sinking fund), the Company may deliver such Securities to the Trustee for crediting against such payment obligation in accordance with the terms of such Securities and this Indenture.</w:t>
      </w:r>
    </w:p>
    <w:p>
      <w:pPr>
        <w:spacing w:after="0" w:line="14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If any Security called for redemption is converted, any money deposited with the Trustee or with any Paying Agent or so segregated and held in trust for the redemption of such Security shall (subject to any right of the Holder of such Security or any Predecessor Security to receive interest as provided in the last paragraph of Section 3.7) be paid to the Company upon Company Request or, if then held by the Company, shall be discharged from such trust.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10.6 Securities Payable on Redemption Date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Except as provided in the next succeeding paragraph, upon surrender of any such Security for redemption in accordance with said notice, such Security shall be paid by the Company at the Redemption Price, together with accrued interest to the Redemption Date;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unless otherwise specified as contemplated by Section 3.1, installments of interest on Securities whose Stated Maturity is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Redemption Date shall be payable to the Holders of such Securities, or one or more Predecessor Securities, registered as such at the close of business on the relevant Record Dates according to their terms and the provisions of Section 3.7.</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(and premium, if any) shall, until paid, bear interest from the Redemption Date at the rate prescribed therefor in the Security.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10.7 Securities Redeemed in Part</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Upon surrender of a Security that is redeemed in part at any Place of Payment therefor (with, if the Company or the Trustee so required, due endorsement by, or a written instrument of transfer in form satisfactory to the Company and the Trustee duly executed by, the Holder thereof or his attorney duly authorized in writing), the Company shall execute and the Trustee shall authenticate and deliver to the Holder of that Security, without service charge, a new Security or Securities of the same series, the same form and the same Maturity in any authorized denomination equal in aggregate principal amount to the unredeemed portion of the principal of the Security surrendered.</w:t>
      </w:r>
    </w:p>
    <w:p>
      <w:pPr>
        <w:spacing w:after="0" w:line="299"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11</w:t>
      </w:r>
    </w:p>
    <w:p>
      <w:pPr>
        <w:spacing w:after="0" w:line="17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Sinking Funds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 Applicability of Article</w:t>
      </w:r>
    </w:p>
    <w:p>
      <w:pPr>
        <w:spacing w:after="0" w:line="96"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provisions of this Article shall be applicable to any sinking fund for the retirement of Securities of a series except as otherwise specified as contemplated by Section 3.1 for Securities of such series.</w:t>
      </w:r>
    </w:p>
    <w:p>
      <w:pPr>
        <w:spacing w:after="0" w:line="132"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11.2. Each sinking fund payment shall be applied to the redemption of Securities of any series as provided for by the terms of Securities of such series.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274" w:right="29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11.2 Satisfaction of Sinking Fund Payments With Securities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Company (a) may deliver Outstanding Securities of a series (other than any previously called for redemption) and (b) may apply as a credit Securities of a series which have been converted pursuant to Article 12 or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11.3 Redemption of Securities for Sinking Fund</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Not less than 60 days prior to each sinking fund payment date for any series of Securities, the Company will deliver to the Trustee an Officers’ Certificate specifying the amount of the next ensuing sinking fund payment for that series pursuant to the terms of that series, the portion thereof, if any, which is to be satisfied by payment of cash and the portion thereof, if any, which is to be satisfied by delivering and crediting Securities of that series pursuant to Section 11.2 and will also deliver to the Trustee any Securities to be so delivered. Not less than 30 days before each such sinking fund payment date, the Trustee shall select the Securities to be redeemed upon such sinking fund payment date in the manner specified in Section 10.3 and cause notice of the redemption thereof to be given in the name of and at the expense of the Company in the manner provided in Section 10.4. Such notice having been duly given, the redemption of such Securities shall be made upon the terms and in the manner stated in Sections 10.6 and 10.7.</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Conversion of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 Conversion Privilege</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Subject to and upon compliance with the provisions of this Article, at the option of the Holder thereof, Securities of any series or any portion of the principal amount thereof which is $1,000 or an integral multiple of $1,000 may be converted at the principal amount thereof, or of such portion thereof, into fully paid and nonassessable shares (calculated as to each conversion to the nearest 1/100 of a share) of Common Stock of the Company, in accordance with the terms of such series of Securities and (except as otherwise specified as contemplated by Section 3.1) in accordance with this Article. In case a Security or portion thereof is called for redemption, such conversion right in respect of the Security or portion so called shall expire at the close of business on the Business Day which is ten days prior to the Redemption Date, unless the Company defaults in making the payment due upon redemption.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74" w:right="259" w:bottom="1440" w:gutter="0" w:footer="0" w:header="0"/>
        </w:sectPr>
      </w:pPr>
    </w:p>
    <w:bookmarkStart w:id="142" w:name="page143"/>
    <w:bookmarkEnd w:id="142"/>
    <w:p>
      <w:pPr>
        <w:jc w:val="both"/>
        <w:ind w:right="100" w:firstLine="456"/>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price at which shares of Common Stock shall be delivered upon conversion, which shall be specified as contemplated by Section 3.1, shall be referred to herein as the “</w:t>
      </w:r>
      <w:r>
        <w:rPr>
          <w:rFonts w:ascii="Arial" w:cs="Arial" w:eastAsia="Arial" w:hAnsi="Arial"/>
          <w:sz w:val="15"/>
          <w:szCs w:val="15"/>
          <w:b w:val="1"/>
          <w:bCs w:val="1"/>
          <w:i w:val="1"/>
          <w:iCs w:val="1"/>
          <w:color w:val="auto"/>
        </w:rPr>
        <w:t>conversion price</w:t>
      </w:r>
      <w:r>
        <w:rPr>
          <w:rFonts w:ascii="Arial" w:cs="Arial" w:eastAsia="Arial" w:hAnsi="Arial"/>
          <w:sz w:val="15"/>
          <w:szCs w:val="15"/>
          <w:color w:val="auto"/>
        </w:rPr>
        <w:t>.” The conversion price shall be adjusted in certain instances as provided in paragraphs (a), (b), (c), (d) and (g) of Section 12.4.</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12.2 Exercise of Conversion Privilege</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order to exercise the conversion privilege, the Holder of any Security to be converted shall surrender such Security, duly endorsed or assigned to the Company or in blank, at any office or agency of the Company maintained for that purpose pursuant to Section 9.2, accompanied by written notice to the Company at such office or agency that the Holder elects to convert such Security or, if less than the entire principal amount thereof is to be converted, the portion thereof to be converted. Securities surrendered for conversion during the period from the close of business on any Regular Record Date next preceding any Interest Payment Date to the opening of business on such Interest Payment Date shall (except in the case of Securities or portions thereof which have been called for redemption on a Redemption Date within such period) be accompanied by payment in New York Clearing House funds or other funds acceptable to the Company of an amount equal to the interest payable on such Interest Payment Date on the principal amount of Securities being surrendered for conversion. Except as provided in the preceding sentence and in Section 3.7, no payment or adjustment shall be made upon any conversion on account of any interest accrued on the Securities surrendered for conversion or on account of any dividends on the Common Stock issued upon conversion.</w:t>
      </w:r>
    </w:p>
    <w:p>
      <w:pPr>
        <w:spacing w:after="0" w:line="120"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Securities shall be deemed to have been converted immediately prior to the close of business on the day of surrender of such Securities for conversion in accordance with the foregoing provisions, and at such time the rights of the Holders of such Securities as Holders shall cease, and the Person or Persons entitled to receive the Common Stock issuable upon conversion shall be treated for all purposes as the record holder or holders of such Common Stock at such time. As promptly as practicable on or after the conversion date, the Company shall issue and shall deliver at such office or agency a certificate or certificates for the number of full shares of Common Stock issuable upon conversion, together with payment in lieu of any fraction of a share, as provided in Section 12.3.</w:t>
      </w:r>
    </w:p>
    <w:p>
      <w:pPr>
        <w:spacing w:after="0" w:line="10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the case of any Security which is converted in part only, upon such conversion the Company shall execute and the Trustee shall authenticate and deliver to the Holder thereof, at the expense of the Company, a new Security or Securities of authorized denominations in aggregate principal amount equal to the uncontroverted portion of the principal amount of such Security.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12.3 Fractions of Shares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No fractional shares of Common Stock shall be issued upon conversion of Securities. If more than one Security shall be surrendered for conversion at one time by the same Holder, the number of full shares which shall be issuable upon conversion thereof shall be computed on the basis of the aggregate principal amount of the Securities (or specified portions thereof) so surrendered. Instead of any fractional share of Common Stock which would otherwise be issuable upon conversion of any Security or Securities (or specified portions thereof), the Company shall pay a cash adjustment in respect of such fraction in an amount equal to the same fraction of the market price per share of Common Stock (as determined by the Board of Directors or in any manner prescribed by the Board of Directors) at the close of business on the day of conversion.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12.4 Adjustment of Conversion Price</w:t>
      </w:r>
    </w:p>
    <w:p>
      <w:pPr>
        <w:spacing w:after="0" w:line="96" w:lineRule="exact"/>
        <w:rPr>
          <w:sz w:val="20"/>
          <w:szCs w:val="20"/>
          <w:color w:val="auto"/>
        </w:rPr>
      </w:pPr>
    </w:p>
    <w:p>
      <w:pPr>
        <w:ind w:right="60" w:firstLine="464"/>
        <w:spacing w:after="0" w:line="289" w:lineRule="auto"/>
        <w:tabs>
          <w:tab w:leader="none" w:pos="69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In case the Company shall pay or make a dividend or other distribution on any class of capital stock of the Company in Common Stock, the conversion price in effect at the opening of business on the day following the date fixed for the determination of stockholders entitled to receive such dividend or other distribution shall be reduced by multiplying such conversion price by a fraction of which the numerator shall be the number of shares of Common Stock outstanding at the close of business on the date fixed for such determination and the denominator shall be the sum of such number of shares and the total number of shares constituting such dividend or other distribution, such reduction to become effective immediately after the opening of business on the day following the date fixed for such determination. For the purposes of this paragraph (a), the number of shares of Common Stock at any time outstanding shall not include shares held in the treasury of the Company but shall include shares issuable in respect of scrip certificates issued in lieu of fractions of shares of Common Stock. The Company will not pay any dividend or make any distribution on shares of Common Stock held in the treasury of the Company.</w:t>
      </w:r>
    </w:p>
    <w:p>
      <w:pPr>
        <w:spacing w:after="0" w:line="118" w:lineRule="exact"/>
        <w:rPr>
          <w:rFonts w:ascii="Arial" w:cs="Arial" w:eastAsia="Arial" w:hAnsi="Arial"/>
          <w:sz w:val="16"/>
          <w:szCs w:val="16"/>
          <w:color w:val="auto"/>
        </w:rPr>
      </w:pPr>
    </w:p>
    <w:p>
      <w:pPr>
        <w:ind w:firstLine="464"/>
        <w:spacing w:after="0" w:line="286" w:lineRule="auto"/>
        <w:tabs>
          <w:tab w:leader="none" w:pos="70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In case the Company shall issue rights or warrants to all holders of its Common Stock entitling them to subscribe for or purchase shares of Common Stock at a price per share less than the current market price per share (determined as provided in paragraph (f) of this Section) of the Common Stock on the dated fixed for the determination of stockholders entitled to receive such rights or warrants, the conversion price in effect at the opening of business on the day following the date fixed for such determination shall be reduced by multiplying such conversion price by a fraction of which the numerator shall be the number of shares of Common Stock outstanding at the close of business on the date fixed for such determination plus the number of shares of Common Stock which the aggregate of the offering price of the total number of shares of Common Stock so offered for subscription or purchase would purchase at such current market price and the denominator shall be the number of shares of Common Stock outstanding at the close of business on the date fixed for such determination plus the number of shares of Common Stock so offered for subscription or purchase, such reduction to become effective immediately after the opening of business on the day following the date fixed for determination. For the purposes of this paragraph (b), the number of shares of Common Stock at any time outstanding shall not include shares held in the treasury of the Company but shall include shares issuable in respect of scrip certificates issued in lieu of fractions of shares of Common Stock. The Company will not issue any rights or warrants in respect of shares of Common Stock held in the treasury of the Company.</w:t>
      </w:r>
    </w:p>
    <w:p>
      <w:pPr>
        <w:spacing w:after="0" w:line="127" w:lineRule="exact"/>
        <w:rPr>
          <w:rFonts w:ascii="Arial" w:cs="Arial" w:eastAsia="Arial" w:hAnsi="Arial"/>
          <w:sz w:val="16"/>
          <w:szCs w:val="16"/>
          <w:color w:val="auto"/>
        </w:rPr>
      </w:pPr>
    </w:p>
    <w:p>
      <w:pPr>
        <w:ind w:right="20" w:firstLine="464"/>
        <w:spacing w:after="0" w:line="254" w:lineRule="auto"/>
        <w:tabs>
          <w:tab w:leader="none" w:pos="69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case outstanding shares of Common Stock shall be subdivided into a greater number of shares of Common Stock, the conversion price in effect at the opening of business on the day following the day upon which such subdivision becomes effective shall be proportionately reduced, and, conversely, in case outstanding shares of Common Stock shall each be combined into a smaller number of shares of Common Stock, the conversion price in effect at the opening of business on the day following the day upon which such combination becomes effective shall be proportionately increased, such reduction or increase, as the case may be, to become effective immediately after the opening of business on the day following the day upon which such subdivision or combination becomes effective.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74" w:right="259" w:bottom="1440" w:gutter="0" w:footer="0" w:header="0"/>
        </w:sectPr>
      </w:pPr>
    </w:p>
    <w:bookmarkStart w:id="144" w:name="page145"/>
    <w:bookmarkEnd w:id="144"/>
    <w:p>
      <w:pPr>
        <w:ind w:right="20" w:firstLine="464"/>
        <w:spacing w:after="0" w:line="287" w:lineRule="auto"/>
        <w:tabs>
          <w:tab w:leader="none" w:pos="705" w:val="left"/>
        </w:tabs>
        <w:numPr>
          <w:ilvl w:val="0"/>
          <w:numId w:val="1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case the Company shall, by dividend or otherwise, distribute to all holders of its Common Stock evidences of its indebtedness or assets (including securities, but excluding any rights or warrants referred to in paragraph (b) of this Section, any dividend or distribution paid in cash out of the retained earnings of the Company and any dividend or distribution referred to in paragraph (a) of this Section), the conversion price shall be adjusted so that the same shall equal the price determined by multiplying the conversion price in effect immediately prior to the close of business on the date fixed for the determination of stockholders entitled to receive such distribution by a fraction of which the numerator shall be the current market price share (determined as provided in paragraph (f) of this Section) of the Common Stock on the date fixed for such determination less the then fair market value (as determined by the Board of Directors, whose determination shall be conclusive and described in a Board Resolution filed with the Trustee) of the portion of the assets or evidences of indebtedness so distributed applicable to one share of Common Stock and the denominator shall be such current market price per share of the Common Stock, such adjustment to become effective immediately prior to the opening of business on the day following the date fixed for the determination of stockholders entitled to receive such distribution.</w:t>
      </w:r>
    </w:p>
    <w:p>
      <w:pPr>
        <w:spacing w:after="0" w:line="122" w:lineRule="exact"/>
        <w:rPr>
          <w:rFonts w:ascii="Arial" w:cs="Arial" w:eastAsia="Arial" w:hAnsi="Arial"/>
          <w:sz w:val="16"/>
          <w:szCs w:val="16"/>
          <w:color w:val="auto"/>
        </w:rPr>
      </w:pPr>
    </w:p>
    <w:p>
      <w:pPr>
        <w:ind w:firstLine="464"/>
        <w:spacing w:after="0" w:line="289" w:lineRule="auto"/>
        <w:tabs>
          <w:tab w:leader="none" w:pos="69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reclassification of Common Stock into securities including other than Common Stock (other than any reclassification upon a consolidation or merger to which Section 12.11 applies) shall be deemed to involve (1) a distribution of such securities other than Common Stock to all holders of Common Stock (and the effective date of such reclassification shall be deemed to be “the date fixed for the determination of stockholders entitled to receive such distribution” and “the date fixed for such determination” within the meaning of paragraph (d) of this Section) and (2) a subdivision or combination, as the case may be, of the number of shares of Common Stock outstanding immediately prior to such reclassification into the number of shares of Common Stock outstanding immediately thereafter (and the effective date of such reclassification shall be deemed to be “the day upon which such subdivision becomes effective” or “the day upon which such combination becomes effective,” as the case may be, and “the day upon which such subdivision or combination becomes effective” within the meaning of paragraph (c) of this Section).</w:t>
      </w:r>
    </w:p>
    <w:p>
      <w:pPr>
        <w:spacing w:after="0" w:line="118" w:lineRule="exact"/>
        <w:rPr>
          <w:rFonts w:ascii="Arial" w:cs="Arial" w:eastAsia="Arial" w:hAnsi="Arial"/>
          <w:sz w:val="16"/>
          <w:szCs w:val="16"/>
          <w:color w:val="auto"/>
        </w:rPr>
      </w:pPr>
    </w:p>
    <w:p>
      <w:pPr>
        <w:ind w:right="20" w:firstLine="464"/>
        <w:spacing w:after="0" w:line="309" w:lineRule="auto"/>
        <w:tabs>
          <w:tab w:leader="none" w:pos="676" w:val="left"/>
        </w:tabs>
        <w:numPr>
          <w:ilvl w:val="0"/>
          <w:numId w:val="113"/>
        </w:numPr>
        <w:rPr>
          <w:rFonts w:ascii="Arial" w:cs="Arial" w:eastAsia="Arial" w:hAnsi="Arial"/>
          <w:sz w:val="15"/>
          <w:szCs w:val="15"/>
          <w:color w:val="auto"/>
        </w:rPr>
      </w:pPr>
      <w:r>
        <w:rPr>
          <w:rFonts w:ascii="Arial" w:cs="Arial" w:eastAsia="Arial" w:hAnsi="Arial"/>
          <w:sz w:val="15"/>
          <w:szCs w:val="15"/>
          <w:color w:val="auto"/>
        </w:rPr>
        <w:t>For the purpose of any computation under paragraphs (b) and (d) of this Section, the current market price per share of Common Stock on any date shall be deemed to be the average of the daily closing prices for the five consecutive Trading Days selected by the Company commencing not more than 20 Trading Days before, and ending not later than, the earlier of the day in question and the day before the “ex” date with respect to the issuance or distribution requiring such computation. The closing price for each day shall be the last reported sales price regular way or, in case no such reported sale takes place on such day, the average of the reported closing bid and asked prices regular way, in either case on the New York Stock Exchange or Nasdaq Stock Exchange or, if the Common Stock is not listed or admitted to trading on either such Exchange, on the principal national securities exchange on which the Common Stock is listed or admitted to trading or, the average of the closing bid and asked prices in the over-the-counter market as furnished by any Nasdaq Stock Exchange member firm selected from time to time by the Company for that purpose. For purposes of this paragraph, the term “‘ex’ date”, when used with respect to any issuance or distribution, means the first date on which the Common Stock trades regular way on such exchange or in such market without the right to receive such issuance or distribution.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0" w:right="239" w:bottom="1440" w:gutter="0" w:footer="0" w:header="0"/>
        </w:sectPr>
      </w:pPr>
    </w:p>
    <w:bookmarkStart w:id="145" w:name="page146"/>
    <w:bookmarkEnd w:id="145"/>
    <w:p>
      <w:pPr>
        <w:ind w:firstLine="464"/>
        <w:spacing w:after="0" w:line="370" w:lineRule="auto"/>
        <w:tabs>
          <w:tab w:leader="none" w:pos="705" w:val="left"/>
        </w:tabs>
        <w:numPr>
          <w:ilvl w:val="0"/>
          <w:numId w:val="11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may make such reductions in the conversion price, in addition to those required by paragraphs (a), (b), (c) and (d) of this Section, as it considers to be advisable in order that any event treated for federal income tax purposes as a dividend of stock or stock rights shall not be taxable to the recipients.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12.5 Notice of Adjustments of Conversion Price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Whenever the conversion price is adjusted as herein provided:</w:t>
      </w:r>
    </w:p>
    <w:p>
      <w:pPr>
        <w:spacing w:after="0" w:line="90" w:lineRule="exact"/>
        <w:rPr>
          <w:sz w:val="20"/>
          <w:szCs w:val="20"/>
          <w:color w:val="auto"/>
        </w:rPr>
      </w:pPr>
    </w:p>
    <w:p>
      <w:pPr>
        <w:ind w:left="460" w:right="120" w:firstLine="443"/>
        <w:spacing w:after="0" w:line="306" w:lineRule="auto"/>
        <w:tabs>
          <w:tab w:leader="none" w:pos="113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Company shall compute the adjusted conversion price in accordance with Section 12.4 and shall prepare a certificate signed by the Treasurer of the Company setting forth the adjusted conversion price and showing in reasonable detail the facts upon which such adjustment is based, and such certificate shall forthwith be filed at each office or agency maintained for the purpose of conversion of Securities pursuant to Section 9.2; and</w:t>
      </w:r>
    </w:p>
    <w:p>
      <w:pPr>
        <w:spacing w:after="0" w:line="25" w:lineRule="exact"/>
        <w:rPr>
          <w:rFonts w:ascii="Arial" w:cs="Arial" w:eastAsia="Arial" w:hAnsi="Arial"/>
          <w:sz w:val="16"/>
          <w:szCs w:val="16"/>
          <w:color w:val="auto"/>
        </w:rPr>
      </w:pPr>
    </w:p>
    <w:p>
      <w:pPr>
        <w:ind w:left="460" w:right="40" w:firstLine="443"/>
        <w:spacing w:after="0" w:line="370" w:lineRule="auto"/>
        <w:tabs>
          <w:tab w:leader="none" w:pos="1147" w:val="left"/>
        </w:tabs>
        <w:numPr>
          <w:ilvl w:val="0"/>
          <w:numId w:val="115"/>
        </w:numPr>
        <w:rPr>
          <w:rFonts w:ascii="Arial" w:cs="Arial" w:eastAsia="Arial" w:hAnsi="Arial"/>
          <w:sz w:val="15"/>
          <w:szCs w:val="15"/>
          <w:color w:val="auto"/>
        </w:rPr>
      </w:pPr>
      <w:r>
        <w:rPr>
          <w:rFonts w:ascii="Arial" w:cs="Arial" w:eastAsia="Arial" w:hAnsi="Arial"/>
          <w:sz w:val="15"/>
          <w:szCs w:val="15"/>
          <w:color w:val="auto"/>
        </w:rPr>
        <w:t>a notice stating that the conversion price has been adjusted and setting forth the adjusted conversion price shall forthwith be required, and as soon as practicable after it is required, such notice shall be mailed by the Company to all Holders at their last addresses as they shall appear in the Register.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12.6 Notice of Certain Corporate Action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case:</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 the Company shall declare a dividend (or any other distribution) on its Common Stock payable otherwise than in cash out of its retained earnings;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w:t>
      </w:r>
    </w:p>
    <w:p>
      <w:pPr>
        <w:spacing w:after="0" w:line="84" w:lineRule="exact"/>
        <w:rPr>
          <w:sz w:val="20"/>
          <w:szCs w:val="20"/>
          <w:color w:val="auto"/>
        </w:rPr>
      </w:pPr>
    </w:p>
    <w:p>
      <w:pPr>
        <w:ind w:left="460" w:right="380" w:firstLine="443"/>
        <w:spacing w:after="0" w:line="268" w:lineRule="auto"/>
        <w:tabs>
          <w:tab w:leader="none" w:pos="114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Company shall authorize the granting to the holders of its Common Stock of rights or warrants to subscribe for or purchase any shares of capital stock of any class or of any other rights; or</w:t>
      </w:r>
    </w:p>
    <w:p>
      <w:pPr>
        <w:spacing w:after="0" w:line="50" w:lineRule="exact"/>
        <w:rPr>
          <w:rFonts w:ascii="Arial" w:cs="Arial" w:eastAsia="Arial" w:hAnsi="Arial"/>
          <w:sz w:val="18"/>
          <w:szCs w:val="18"/>
          <w:color w:val="auto"/>
        </w:rPr>
      </w:pPr>
    </w:p>
    <w:p>
      <w:pPr>
        <w:ind w:left="460" w:right="240" w:firstLine="443"/>
        <w:spacing w:after="0" w:line="259" w:lineRule="auto"/>
        <w:tabs>
          <w:tab w:leader="none" w:pos="113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of any reclassification of the Common Stock of the Company (other than a subdivision or combination of its outstanding shares of Common Stock), or of any consolidation or merger to which the Company is a party and for which approval of any stockholders of the Company is required, or of the sale or transfer of all or substantially all of the assets of the Company; or</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 up of the Company;</w:t>
      </w:r>
    </w:p>
    <w:p>
      <w:pPr>
        <w:spacing w:after="0" w:line="17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then the Company shall cause to be filed at each office or agency maintained for the purpose of conversion of Securities pursuant to Section 9.2, and shall cause to be mailed to all Holders at their last addresses as they shall appear in the Register, at least 20 days (or ten days in any case specified in clause (a) or (b) above) prior to the applicable record or effective date hereinafter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146" w:name="page147"/>
    <w:bookmarkEnd w:id="146"/>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specified, a notice stating (x) the date on which a record is to be taken for the purpose of such dividend, distribution, rights or warrants, or, if a record is not to be taken, the date as of which the holders of Common Stock of record to be entitled to such dividend, distribution, rights or warrants are to be determined, or (y) the date on which such reclassification, consolidation, merger, sale, transfer, dissolution, liquidation or winding up is expected to become effective, and the date as of which it is expected that holders of Common Stock of record shall be entitled to exchange their shares of Common Stock for securities, cash or other property deliverable upon such reclassification, consolidation, merger, sale, transfer, dissolution, liquidation or winding up.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12.7 Company to Reserve Common Stock</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Company shall at all times reserve and keep available, free from preemptive rights, out of its authorized but unissued Common Stock, for the purpose of effecting the conversion of Securities, the full number of shares of Common Stock then issuable upon the conversion of all outstanding Securities.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12.8 Taxes on Conversions</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Company will pay any and all taxes that may be payable in respect of the issue or delivery of shares of Common Stock on conversion of Securities pursuant hereto. The Company shall not, however, be required to pay any tax which may be payable in respect of any transfer involved in the issue and delivery of shares of Common Stock in a name other than that of the Holder of the Security or Securities to be converted, and no such issue or delivery shall be made unless and until the Person requesting such issue has paid to the Company the amount of any such tax, or has established to the satisfaction of the Company that such tax has been paid.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12.9 Covenant as to Common Stock</w:t>
      </w:r>
    </w:p>
    <w:p>
      <w:pPr>
        <w:spacing w:after="0" w:line="96" w:lineRule="exact"/>
        <w:rPr>
          <w:sz w:val="20"/>
          <w:szCs w:val="20"/>
          <w:color w:val="auto"/>
        </w:rPr>
      </w:pPr>
    </w:p>
    <w:p>
      <w:pPr>
        <w:ind w:right="860" w:firstLine="456"/>
        <w:spacing w:after="0" w:line="332" w:lineRule="auto"/>
        <w:rPr>
          <w:sz w:val="20"/>
          <w:szCs w:val="20"/>
          <w:color w:val="auto"/>
        </w:rPr>
      </w:pPr>
      <w:r>
        <w:rPr>
          <w:rFonts w:ascii="Arial" w:cs="Arial" w:eastAsia="Arial" w:hAnsi="Arial"/>
          <w:sz w:val="16"/>
          <w:szCs w:val="16"/>
          <w:color w:val="auto"/>
        </w:rPr>
        <w:t>The Company covenants that all shares of Common Stock which may be issued upon conversion of Securities will upon issue be fully paid and nonassessable and, except as provided in Section 12.8, the Company will pay all taxes, liens and charges with respect to the issue thereof.</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12.10 Cancellation of Converted Securities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All Securities delivered for conversion shall be delivered to the Trustee to be cancelled by or at the direction of the Trustee, which shall dispose of the same as provided in Section 3.9.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12.11 Provisions in Case of Consolidation, Merger of Sale of Assets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case of any consolidation of the Company with, or merger of the Company into, any other Person, any merger of another Person into the Company (other than a merger which does not result in any reclassification, conversion, exchange or cancellation of outstanding shares of Common Stock of the Company) or any sale or transfer of all or substantially all of the assets of the Company, the Person formed by such consolidation or resulting from such merger or which acquires such assets, as the case may be, shall execute and deliver to the Trustee a supplemental indenture providing that the Holder of each Security then outstanding shall have the right thereafter, during the period such Security shall be convertible as specified in Section 12.1, to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80" w:right="259" w:bottom="1440" w:gutter="0" w:footer="0" w:header="0"/>
        </w:sectPr>
      </w:pPr>
    </w:p>
    <w:bookmarkStart w:id="147" w:name="page148"/>
    <w:bookmarkEnd w:id="147"/>
    <w:p>
      <w:pPr>
        <w:ind w:right="20"/>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convert such Security only into the kind and amount of securities, cash and other property receivable upon such consolidation, merger, sale or transfer by a holder of the number of shares of Common Stock of the Company into which such Security might have been converted immediately prior to such consolidation, merger, sale or transfer, assuming such holder of Common Stock of the Company (a) is not a Person with which the Company consolidated or into which the Company merged or which merged into the Company or to which such sale or transfer was made, as the case may be (“</w:t>
      </w:r>
      <w:r>
        <w:rPr>
          <w:rFonts w:ascii="Arial" w:cs="Arial" w:eastAsia="Arial" w:hAnsi="Arial"/>
          <w:sz w:val="15"/>
          <w:szCs w:val="15"/>
          <w:b w:val="1"/>
          <w:bCs w:val="1"/>
          <w:i w:val="1"/>
          <w:iCs w:val="1"/>
          <w:color w:val="auto"/>
        </w:rPr>
        <w:t>constituent Person</w:t>
      </w:r>
      <w:r>
        <w:rPr>
          <w:rFonts w:ascii="Arial" w:cs="Arial" w:eastAsia="Arial" w:hAnsi="Arial"/>
          <w:sz w:val="15"/>
          <w:szCs w:val="15"/>
          <w:color w:val="auto"/>
        </w:rPr>
        <w:t>”), or an Affiliate of a constituent Person and (b) failed to exercise his rights of election, if any, as to the kind or amount of securities, cash and other property receivable upon such consolidation, merger, sale or transfer (provided that if the kind or amount of securities, cash and other property receivable upon such consolidation, merger, sale or transfer is not the same for each share of Common Stock of the Company held immediately prior to such consolidation, merger, sale or transfer by others than a constituent Person or an Affiliate thereof and in respect of which such rights of election shall not have been exercised (“</w:t>
      </w:r>
      <w:r>
        <w:rPr>
          <w:rFonts w:ascii="Arial" w:cs="Arial" w:eastAsia="Arial" w:hAnsi="Arial"/>
          <w:sz w:val="15"/>
          <w:szCs w:val="15"/>
          <w:b w:val="1"/>
          <w:bCs w:val="1"/>
          <w:i w:val="1"/>
          <w:iCs w:val="1"/>
          <w:color w:val="auto"/>
        </w:rPr>
        <w:t>nonelecting share</w:t>
      </w:r>
      <w:r>
        <w:rPr>
          <w:rFonts w:ascii="Arial" w:cs="Arial" w:eastAsia="Arial" w:hAnsi="Arial"/>
          <w:sz w:val="15"/>
          <w:szCs w:val="15"/>
          <w:color w:val="auto"/>
        </w:rPr>
        <w:t>”), then for the purpose of this Section the kind and amount of securities, cash and other property receivable upon such consolidation, merger, sale or transfer by each nonelecting share shall be deemed to be the kind and amount so receivable per share by a plurality of the nonelecting shares). Such supplemental indenture shall provide for adjustments which, for events subsequent to the effective date of such supplemental indenture, shall be as nearly equivalent as may be practicable to the adjustments provided for in this Article. The above provisions of this Section shall similarly apply to successive consolidations, mergers, sales or transfers.</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shall be solely responsible for performing the duties and responsibilities contained in this Article and the Trustee shall have no responsibility therefor.</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 applicable, insert</w:t>
      </w:r>
      <w:r>
        <w:rPr>
          <w:rFonts w:ascii="Arial" w:cs="Arial" w:eastAsia="Arial" w:hAnsi="Arial"/>
          <w:sz w:val="18"/>
          <w:szCs w:val="18"/>
          <w:color w:val="auto"/>
        </w:rPr>
        <w:t>—</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13</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Subordination of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13.1 Securities Subordinated to Senior Indebtedness</w:t>
      </w:r>
    </w:p>
    <w:p>
      <w:pPr>
        <w:spacing w:after="0" w:line="96" w:lineRule="exact"/>
        <w:rPr>
          <w:sz w:val="20"/>
          <w:szCs w:val="20"/>
          <w:color w:val="auto"/>
        </w:rPr>
      </w:pPr>
    </w:p>
    <w:p>
      <w:pPr>
        <w:ind w:right="40" w:firstLine="464"/>
        <w:spacing w:after="0" w:line="259" w:lineRule="auto"/>
        <w:tabs>
          <w:tab w:leader="none" w:pos="69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agrees, and each Holder of the Securities by acceptance thereof likewise agrees, that the payment of the principal of, premium, if any, and interest on the Securities is subordinated, to the extent and in the manner provided in this Article 13, to the prior payment in full of all Senior Indebtedness of the Company.</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All provisions of this Article 13 shall be subject to Section 13.14.</w:t>
      </w:r>
    </w:p>
    <w:p>
      <w:pPr>
        <w:spacing w:after="0" w:line="2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13.2</w:t>
      </w:r>
      <w:r>
        <w:rPr>
          <w:sz w:val="20"/>
          <w:szCs w:val="20"/>
          <w:color w:val="auto"/>
        </w:rPr>
        <w:tab/>
      </w:r>
      <w:r>
        <w:rPr>
          <w:rFonts w:ascii="Arial" w:cs="Arial" w:eastAsia="Arial" w:hAnsi="Arial"/>
          <w:sz w:val="15"/>
          <w:szCs w:val="15"/>
          <w:b w:val="1"/>
          <w:bCs w:val="1"/>
          <w:color w:val="auto"/>
        </w:rPr>
        <w:t>Company Not to Make Payments with Respect to Securities in Certain Circumstances; Limitations on Acceleration of Securities</w:t>
      </w:r>
    </w:p>
    <w:p>
      <w:pPr>
        <w:spacing w:after="0" w:line="177" w:lineRule="exact"/>
        <w:rPr>
          <w:sz w:val="20"/>
          <w:szCs w:val="20"/>
          <w:color w:val="auto"/>
        </w:rPr>
      </w:pPr>
    </w:p>
    <w:p>
      <w:pPr>
        <w:jc w:val="both"/>
        <w:ind w:right="40" w:firstLine="464"/>
        <w:spacing w:after="0" w:line="256" w:lineRule="auto"/>
        <w:tabs>
          <w:tab w:leader="none" w:pos="69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Upon the maturity of any Senior Indebtedness of the Company by lapse of time, acceleration or otherwise, all obligations with respect thereto shall first be paid in full, or such payment duly provided for, in cash or in a manner satisfactory to the holders of such Senior Indebtedness, before any payment is made on account of the principal of, premium, if any, or interest on the Securities or to redeem, retire, purchase, deposit moneys for covenant defeasance of or acquire any of the Securities.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80" w:right="259" w:bottom="1440" w:gutter="0" w:footer="0" w:header="0"/>
        </w:sectPr>
      </w:pPr>
    </w:p>
    <w:bookmarkStart w:id="148" w:name="page149"/>
    <w:bookmarkEnd w:id="148"/>
    <w:p>
      <w:pPr>
        <w:ind w:left="-20" w:firstLine="464"/>
        <w:spacing w:after="0" w:line="288" w:lineRule="auto"/>
        <w:tabs>
          <w:tab w:leader="none" w:pos="685" w:val="left"/>
        </w:tabs>
        <w:numPr>
          <w:ilvl w:val="0"/>
          <w:numId w:val="1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the happening of (i) any default in payment of any Senior Indebtedness of the Company, or (ii) any other default on Senior Indebtedness of the Company and the maturity of such Senior Indebtedness is accelerated in accordance with its terms, then, unless (A) such default relates to Senior Indebtedness of the Company in an aggregate amount equal to or less than $50 million, (B) such default shall have been cured or waived or shall have ceased to exist, (C) any such acceleration has been rescinded, or (D) such Senior Indebtedness has been paid in full, no direct or indirect payment in cash, property or securities, by set-off or otherwise (except payment of the Securities from funds previously deposited in accordance with Section 4.1 at any time such deposit was not prohibited by this Indenture), shall be made or agreed to be made by the Company on account of the principal of or premium, if any, or interest on the Securities, or in respect of any redemption, retirement, purchase, deposit of moneys for the covenant defeasance or other acquisition of any of the Securities in the case of such a default in Senior Indebtedness of the Company and the Company shall not deposit money for any such payment or distribution with the Trustee or any Paying Agent nor shall the Company (if the Company is acting as its own Paying Agent) segregate and hold in trust money for any such payment or distribution.</w:t>
      </w:r>
    </w:p>
    <w:p>
      <w:pPr>
        <w:spacing w:after="0" w:line="119" w:lineRule="exact"/>
        <w:rPr>
          <w:rFonts w:ascii="Arial" w:cs="Arial" w:eastAsia="Arial" w:hAnsi="Arial"/>
          <w:sz w:val="16"/>
          <w:szCs w:val="16"/>
          <w:color w:val="auto"/>
        </w:rPr>
      </w:pPr>
    </w:p>
    <w:p>
      <w:pPr>
        <w:ind w:left="-20" w:right="20" w:firstLine="464"/>
        <w:spacing w:after="0" w:line="284" w:lineRule="auto"/>
        <w:tabs>
          <w:tab w:leader="none" w:pos="67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Upon the happening of an event of default (other than under circumstances when the terms of paragraph (b) of this Section 13.2 are applicable) with respect to any Senior Indebtedness of the Company pursuant to which the holders thereof are entitled under the terms of such Senior Indebtedness to immediately accelerate the maturity thereof (without further notice or expiration of any applicable grace periods), upon written notice thereof given to each of the Company and the Trustee by the trustee for or other representative of the holders of at least $50 million of Senior Indebtedness of the Company (a “</w:t>
      </w:r>
      <w:r>
        <w:rPr>
          <w:rFonts w:ascii="Arial" w:cs="Arial" w:eastAsia="Arial" w:hAnsi="Arial"/>
          <w:sz w:val="16"/>
          <w:szCs w:val="16"/>
          <w:b w:val="1"/>
          <w:bCs w:val="1"/>
          <w:i w:val="1"/>
          <w:iCs w:val="1"/>
          <w:color w:val="auto"/>
        </w:rPr>
        <w:t>Payment Notice</w:t>
      </w:r>
      <w:r>
        <w:rPr>
          <w:rFonts w:ascii="Arial" w:cs="Arial" w:eastAsia="Arial" w:hAnsi="Arial"/>
          <w:sz w:val="16"/>
          <w:szCs w:val="16"/>
          <w:color w:val="auto"/>
        </w:rPr>
        <w:t>”), then, unless and until such event of default shall have been cured or waived or shall have ceased to exist, no direct or indirect payment in cash, property or securities, by set-off or otherwise (except payment of the Securities from funds previously deposited in accordance with Section 4.1 at any time such deposit was not prohibited by this Indenture), shall be made or agreed to be made by the Company on account of the principal of or premium, if any, or interest on the Securities, or in respect of any redemption, retirement, purchase, deposit of moneys for the covenant defeasance or other acquisition of any of the Securities, in the case of Senior Indebtedness of the Company, and the Company shall not deposit money for any such payment or distribution with the Trustee or any Paying Agent nor shall the Company or a Subsidiary (if the Company or such Subsidiary is acting as Paying Agent) segregate and hold in trust money for any such payment or distribution (a “</w:t>
      </w:r>
      <w:r>
        <w:rPr>
          <w:rFonts w:ascii="Arial" w:cs="Arial" w:eastAsia="Arial" w:hAnsi="Arial"/>
          <w:sz w:val="16"/>
          <w:szCs w:val="16"/>
          <w:b w:val="1"/>
          <w:bCs w:val="1"/>
          <w:i w:val="1"/>
          <w:iCs w:val="1"/>
          <w:color w:val="auto"/>
        </w:rPr>
        <w:t>Payment Block</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Section 13.2(c) shall not prevent the making of any payment for more than 120 days after a Payment Notice shall have been given unless the Senior Indebtedness in respect of which such event of default exists has been declared due and payable in its entirety, in which case no such payment shall be made until such acceleration has been rescinded or annulled or such Senior Indebtedness has been paid in full in accordance with its terms. Notwithstanding the foregoing, (i) not more than one Payment Notice shall be given with respect to a particular event of default (which shall not bar subsequent Payment Notices for other such events of default), (ii) all events of default under Senior Indebtedness occurring within any 30-day period shall be treated as one event of default to the extent that one or more Payment Notices are issued in connection therewith and (iii) no more than two Payment Blocks shall be permitted within any period of 12 consecutive months. Any payment made in contravention of the provisions of this Section 13.2(c) shall be returned to the Company.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60" w:top="280" w:right="239" w:bottom="1440" w:gutter="0" w:footer="0" w:header="0"/>
        </w:sectPr>
      </w:pPr>
    </w:p>
    <w:bookmarkStart w:id="149" w:name="page150"/>
    <w:bookmarkEnd w:id="149"/>
    <w:p>
      <w:pPr>
        <w:ind w:left="-20" w:firstLine="464"/>
        <w:spacing w:after="0" w:line="287" w:lineRule="auto"/>
        <w:tabs>
          <w:tab w:leader="none" w:pos="685" w:val="left"/>
        </w:tabs>
        <w:numPr>
          <w:ilvl w:val="0"/>
          <w:numId w:val="1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notwithstanding the provisions of Section 13.2(a) or 13.2(b), the Trustee or the Holder of any Security shall have received any payment on account of the principal of or premium, if any, or interest on the Securities in contravention of Section 13.2(a) or 13.2(b) or after the happening of a default in payment of any Senior Indebtedness of the Company or any acceleration of the maturity of any Senior Indebtedness of the Company then, in either such case, except in the case of any such default which shall have been cured or waived or shall have ceased to exist, such payment (subject to the provisions of Sections 1306 and 1307) shall be held for the benefit of, and shall be paid over and delivered to, the holders of such Senior Indebtedness of the Company (pro rata as to each of such holders on the basis of the respective amounts of Senior Indebtedness of the Company held by them) or their representative or the trustee under the indenture or other agreement (if any) pursuant to which Senior Indebtedness of the Company may have been issued, as their respective interests may appear, for application to the payment of all Senior Indebtedness of the Company remaining unpaid to the extent necessary to pay all Senior Indebtedness of the Company in full in accordance with its terms, after giving effect to any concurrent payment or distribution to or for the holders of Senior Indebtedness of the Company.</w:t>
      </w:r>
    </w:p>
    <w:p>
      <w:pPr>
        <w:spacing w:after="0" w:line="122" w:lineRule="exact"/>
        <w:rPr>
          <w:rFonts w:ascii="Arial" w:cs="Arial" w:eastAsia="Arial" w:hAnsi="Arial"/>
          <w:sz w:val="16"/>
          <w:szCs w:val="16"/>
          <w:color w:val="auto"/>
        </w:rPr>
      </w:pPr>
    </w:p>
    <w:p>
      <w:pPr>
        <w:ind w:left="-20" w:right="20" w:firstLine="464"/>
        <w:spacing w:after="0" w:line="254" w:lineRule="auto"/>
        <w:tabs>
          <w:tab w:leader="none" w:pos="67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Upon the occurrence of an Event of Default under Section 5.1(a) through (d) and (g), the Trustee or holders of 25% of the outstanding principal amount of the Securities of any series must give notice of such Event of Default and the intention to accelerate to the Company and any holders of Senior Indebtedness which have theretofore requested of the Trustee such notice, and no acceleration of the Securities of any series shall be effective unless and until such Event of Default is continuing on the 60th day after the date of delivery of such notice. The Company may pay the holders of the Securities of any series any defaulted payment and all other amounts due following any such acceleration of the maturity of the Securities if this Section 13.2(a) would not prohibit such payment to be made at that time.</w:t>
      </w:r>
    </w:p>
    <w:p>
      <w:pPr>
        <w:spacing w:after="0" w:line="63" w:lineRule="exact"/>
        <w:rPr>
          <w:rFonts w:ascii="Arial" w:cs="Arial" w:eastAsia="Arial" w:hAnsi="Arial"/>
          <w:sz w:val="18"/>
          <w:szCs w:val="18"/>
          <w:color w:val="auto"/>
        </w:rPr>
      </w:pPr>
    </w:p>
    <w:p>
      <w:pPr>
        <w:ind w:left="440" w:right="320" w:firstLine="443"/>
        <w:spacing w:after="0" w:line="357" w:lineRule="auto"/>
        <w:tabs>
          <w:tab w:leader="none" w:pos="1137" w:val="left"/>
        </w:tabs>
        <w:numPr>
          <w:ilvl w:val="1"/>
          <w:numId w:val="120"/>
        </w:numPr>
        <w:rPr>
          <w:rFonts w:ascii="Arial" w:cs="Arial" w:eastAsia="Arial" w:hAnsi="Arial"/>
          <w:sz w:val="15"/>
          <w:szCs w:val="15"/>
          <w:color w:val="auto"/>
        </w:rPr>
      </w:pPr>
      <w:r>
        <w:rPr>
          <w:rFonts w:ascii="Arial" w:cs="Arial" w:eastAsia="Arial" w:hAnsi="Arial"/>
          <w:sz w:val="15"/>
          <w:szCs w:val="15"/>
          <w:color w:val="auto"/>
        </w:rPr>
        <w:t>Nothing in this Article 13 shall prevent or delay the Trustee or the holders of the Securities from taking any action in connection with the acceleration of the maturity of the Securities pursuant to Section 5.2 upon the occurrence of an Event of Default under either of Section 5.1(e) or 5.1(f).</w:t>
      </w:r>
    </w:p>
    <w:p>
      <w:pPr>
        <w:ind w:left="440" w:right="20" w:firstLine="443"/>
        <w:spacing w:after="0" w:line="291" w:lineRule="auto"/>
        <w:tabs>
          <w:tab w:leader="none" w:pos="1185" w:val="left"/>
        </w:tabs>
        <w:numPr>
          <w:ilvl w:val="1"/>
          <w:numId w:val="120"/>
        </w:numPr>
        <w:rPr>
          <w:rFonts w:ascii="Arial" w:cs="Arial" w:eastAsia="Arial" w:hAnsi="Arial"/>
          <w:sz w:val="16"/>
          <w:szCs w:val="16"/>
          <w:color w:val="auto"/>
        </w:rPr>
      </w:pPr>
      <w:r>
        <w:rPr>
          <w:rFonts w:ascii="Arial" w:cs="Arial" w:eastAsia="Arial" w:hAnsi="Arial"/>
          <w:sz w:val="16"/>
          <w:szCs w:val="16"/>
          <w:color w:val="auto"/>
        </w:rPr>
        <w:t>Except as provided in Section 13.2(e)(i), a failure to make any payment with respect to the Securities as a result of the rights of holders of Senior Indebtedness of the Company described in Section 13.2(b) or 13.2(c) will not have any effect on the right of holders of the Securities to accelerate the maturities thereof as a result of such payment default. The Company shall give prompt written notice to the Trustee of any default in the payment of principal of or interest on any Senior Indebtedness of the Company and in the event of any such default, shall provide to the Trustee, in the form of an Officers’ Certificate, the names, addresses and respective amounts due holders of such Senior Indebtedness or the name and address of the trustee acting on their behalf, if any. The Trustee shall be entitled to rely conclusively on such Officers’ Certificate without independent verification.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60" w:top="280" w:right="239" w:bottom="1440" w:gutter="0" w:footer="0" w:header="0"/>
        </w:sectPr>
      </w:pPr>
    </w:p>
    <w:bookmarkStart w:id="150" w:name="page151"/>
    <w:bookmarkEnd w:id="15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13.3  Securities Subordinated to Prior Payment of All Senior Indebtedness on Dissolution, Liquidation or Reorganization of the Company</w:t>
      </w:r>
    </w:p>
    <w:p>
      <w:pPr>
        <w:spacing w:after="0" w:line="20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Upon the distribution of assets of the Company in any dissolution, winding up, liquidation (total or partial) or similar proceeding relating to the Company (whether in bankruptcy, insolvency or receivership proceedings or upon an assignment for the benefit of creditors or otherwise):</w:t>
      </w:r>
    </w:p>
    <w:p>
      <w:pPr>
        <w:spacing w:after="0" w:line="4" w:lineRule="exact"/>
        <w:rPr>
          <w:sz w:val="20"/>
          <w:szCs w:val="20"/>
          <w:color w:val="auto"/>
        </w:rPr>
      </w:pPr>
    </w:p>
    <w:p>
      <w:pPr>
        <w:ind w:left="460" w:right="60" w:firstLine="443"/>
        <w:spacing w:after="0" w:line="335" w:lineRule="auto"/>
        <w:tabs>
          <w:tab w:leader="none" w:pos="1137"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holders of all Senior Indebtedness of the Company shall first be entitled to receive payment in full of all Senior Indebtedness (or to have such payment duly provided for in a manner satisfactory to them) in cash or in a manner satisfactory to the holders of Senior Indebtedness of the Company before the Holders of the Securities are entitled to receive any payment on account of the principal of, premium, if any, or interest on the Securities;</w:t>
      </w:r>
    </w:p>
    <w:p>
      <w:pPr>
        <w:spacing w:after="0" w:line="7" w:lineRule="exact"/>
        <w:rPr>
          <w:rFonts w:ascii="Arial" w:cs="Arial" w:eastAsia="Arial" w:hAnsi="Arial"/>
          <w:sz w:val="15"/>
          <w:szCs w:val="15"/>
          <w:color w:val="auto"/>
        </w:rPr>
      </w:pPr>
    </w:p>
    <w:p>
      <w:pPr>
        <w:ind w:left="460" w:right="40" w:firstLine="443"/>
        <w:spacing w:after="0" w:line="308" w:lineRule="auto"/>
        <w:tabs>
          <w:tab w:leader="none" w:pos="1147" w:val="left"/>
        </w:tabs>
        <w:numPr>
          <w:ilvl w:val="0"/>
          <w:numId w:val="121"/>
        </w:numPr>
        <w:rPr>
          <w:rFonts w:ascii="Arial" w:cs="Arial" w:eastAsia="Arial" w:hAnsi="Arial"/>
          <w:sz w:val="15"/>
          <w:szCs w:val="15"/>
          <w:color w:val="auto"/>
        </w:rPr>
      </w:pPr>
      <w:r>
        <w:rPr>
          <w:rFonts w:ascii="Arial" w:cs="Arial" w:eastAsia="Arial" w:hAnsi="Arial"/>
          <w:sz w:val="15"/>
          <w:szCs w:val="15"/>
          <w:color w:val="auto"/>
        </w:rPr>
        <w:t>any payment or distribution of assets of the Company of any kind or character, whether in cash, property or securities (other than securities of the Company as reorganized or readjusted or securities of the Company or any other company, trust or corporation provided for by a plan of reorganization or readjustment, the payment of which is junior or otherwise subordinate, at least to the extent provided in this Article 13 with respect to the Securities to the payment of all Senior Indebtedness of the Company at the time outstanding and to the payment of all securities issued in exchange therefor to the holders of the Senior Indebtedness of the Company at the time outstanding), to which the Holders of the Securities or the Trustee on behalf of the Holders of the Securities would be entitled except for the provisions of this Article 13, shall be paid by the liquidating trustee or agent or other person making such payment or distribution directly to the holders of the Senior Indebtedness of the Company or their representatives or to the trustee under any indenture under which such Senior Indebtedness may have been issued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as to each such holder, representative or trustee on the basis of respective amounts of unpaid Senior Indebtedness held or represented by each), to the extent necessary to make payment in full of all Senior Indebtedness of the Company remaining unpaid, after giving effect to any concurrent payment or distribution or provision therefor to the holders of such Senior Indebtedness; and</w:t>
      </w:r>
    </w:p>
    <w:p>
      <w:pPr>
        <w:spacing w:after="0" w:line="28" w:lineRule="exact"/>
        <w:rPr>
          <w:rFonts w:ascii="Arial" w:cs="Arial" w:eastAsia="Arial" w:hAnsi="Arial"/>
          <w:sz w:val="15"/>
          <w:szCs w:val="15"/>
          <w:color w:val="auto"/>
        </w:rPr>
      </w:pPr>
    </w:p>
    <w:p>
      <w:pPr>
        <w:ind w:left="460" w:firstLine="443"/>
        <w:spacing w:after="0" w:line="289" w:lineRule="auto"/>
        <w:tabs>
          <w:tab w:leader="none" w:pos="1137"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in the event that notwithstanding the foregoing provisions of this Section 13.3, any payment or distribution of assets of the Company of any kind or character, whether in cash, property or securities (other than securities of the Company as reorganized or readjusted or securities of the Company or any other company, trust or corporation provided for by a plan of reorganization or readjustment, the payment of which is junior or otherwise subordinate, at least to the extent provided in this Article 13 with respect to the Securities to the payment of all Senior Indebtedness of the Company at the time outstanding and to the payment of all securities issued in exchange therefor to the holders of the Senior Indebtedness of the Company as the case may be, at the time outstanding), shall be received by the Trustee or the Holders of the Securities on account of principal of, premium, if any, or interest on the Securities before all Senior Indebtedness of the Company is paid in full in cash or in a manner satisfactory to the holders of such Senior Indebtedness in accordance with its terms, or effective provision made for its payment, such payment or distribution (subject to the provisions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74" w:right="259" w:bottom="1440" w:gutter="0" w:footer="0" w:header="0"/>
        </w:sectPr>
      </w:pPr>
    </w:p>
    <w:bookmarkStart w:id="151" w:name="page152"/>
    <w:bookmarkEnd w:id="151"/>
    <w:p>
      <w:pPr>
        <w:ind w:left="4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Sections 13.6 and 13.7) shall be received and held for the benefit of and paid over to the holders of the Senior Indebtedness of the Company remaining unpaid or unprovided for or their representative, or to the trustee under any indenture under which such Senior Indebtedness of the Company may have been issued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as provided in Section 13.2(e)(ii)), for application to the payment of such Senior Indebtedness of the Company to the extent necessary to pay all such Senior Indebtedness of the Company in full in cash or in a manner satisfactory to the holders of Senior Indebtedness of the Company in accordance with its terms, after giving effect to any concurrent payment or distribution or provision therefor to the holders of such Senior Indebtedness of the Company.</w:t>
      </w:r>
    </w:p>
    <w:p>
      <w:pPr>
        <w:spacing w:after="0" w:line="144"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The Company shall give prompt written notice to the Trustee of any dissolution, winding up, liquidation or reorganization of the Company or any assignment for the benefit of the Company’s creditors, tending toward the liquidation of the business and assets of the Company.</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13.4</w:t>
      </w:r>
      <w:r>
        <w:rPr>
          <w:sz w:val="20"/>
          <w:szCs w:val="20"/>
          <w:color w:val="auto"/>
        </w:rPr>
        <w:tab/>
      </w:r>
      <w:r>
        <w:rPr>
          <w:rFonts w:ascii="Arial" w:cs="Arial" w:eastAsia="Arial" w:hAnsi="Arial"/>
          <w:sz w:val="15"/>
          <w:szCs w:val="15"/>
          <w:b w:val="1"/>
          <w:bCs w:val="1"/>
          <w:color w:val="auto"/>
        </w:rPr>
        <w:t>Holders to Be Subrogated to Rights of Holders of Senior Indebtedness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Upon the payment in full of all Senior Indebtedness of the Company in cash or in a manner satisfactory to the holders of such Senior Indebtedness, the Holders of the Securities shall be subrogated equally and ratably to the rights of the holders of Senior Indebtedness of the Company to receive payments or distributions of assets of the Company applicable to the Senior Indebtedness of the Company until all amounts owing on the Securities shall be paid in full, and for the purpose of such subrogation no payments or distributions to the holders of Senior Indebtedness of the Company by or on behalf of the Company or by or on behalf of Holders of the Securities by virtue of this Article 13 which otherwise would have been made to the Holders of the Securities shall, as between the Company and the Holders of the Securities be deemed to be payment by the Company to or on account of Senior Indebtedness of the Company it being understood that the provisions of this Article 13 are intended solely for the purpose of defining the relative rights of the Holders of the Securities, on the one hand, and the holders of Senior Indebtedness of the Company, on the other hand.</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13.5</w:t>
      </w:r>
      <w:r>
        <w:rPr>
          <w:sz w:val="20"/>
          <w:szCs w:val="20"/>
          <w:color w:val="auto"/>
        </w:rPr>
        <w:tab/>
      </w:r>
      <w:r>
        <w:rPr>
          <w:rFonts w:ascii="Arial" w:cs="Arial" w:eastAsia="Arial" w:hAnsi="Arial"/>
          <w:sz w:val="16"/>
          <w:szCs w:val="16"/>
          <w:b w:val="1"/>
          <w:bCs w:val="1"/>
          <w:color w:val="auto"/>
        </w:rPr>
        <w:t>Obligation of the Company Unconditional</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Nothing contained in this Article 13 or elsewhere in this Indenture or in any Security is intended to or shall impair, as between the Company and the Holders of the Securities the obligations of the Company which are absolute and unconditional, to pay to the Holders of the Securities the principal of (premium, if any) and interest on the Securities as and when the same shall become due and payable in accordance with their terms, or is intended to or shall affect the relative rights of the Holders of the Securities and creditors of the Company other than the holders of Senior Indebtedness of the Company nor, except as expressly provided in this Article 13, shall anything herein or in the Securities prevent the Trustee or the Holder of any Security from exercising all remedies otherwise permitted by applicable law upon default under this Indenture, subject to the rights, if any, under this Article 13 of the holders of Senior Indebtedness of the Company, in respect of cash, property or securities of the Company received upon the exercise of any such remedy. Upon any distribution of assets of the Company referred to in this Article 13, the Trustee, subject to the provisions of Section 6.1, and the Holders of the Securities endorsed thereon shall be entitled to rely upon any order or decree by any court of competent jurisdiction in which such dissolution, winding up, liquidation or reorganization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9" w:right="239" w:bottom="1440" w:gutter="0" w:footer="0" w:header="0"/>
        </w:sectPr>
      </w:pPr>
    </w:p>
    <w:bookmarkStart w:id="152" w:name="page153"/>
    <w:bookmarkEnd w:id="152"/>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proceedings are pending, or a certificate of the liquidating trustee or agent or other person making any distribution to the Trustee or the Holders of the Securities for the purpose of ascertaining the persons entitled to participate in such distribution, the holders of Senior Indebtedness of the Company and other indebtedness of the Company the amount thereof or payable thereon, the amount or amounts paid or distributed thereon and all other facts pertinent thereto or to this Article 13.</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Nothing contained in this Article 13 or elsewhere in this Indenture or in any Security is intended to or shall affect the obligations of the Company to make, or prevent the Company from making, at any time except during the pendency of any dissolution, winding up, liquidation (total or partial) or similar proceeding, and except during the continuance of any event specified in Section 13.2 (not cured or waived), payments at any time of the principal of (or premium, if any) or interest on the Securities.</w:t>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13.6</w:t>
      </w:r>
      <w:r>
        <w:rPr>
          <w:sz w:val="20"/>
          <w:szCs w:val="20"/>
          <w:color w:val="auto"/>
        </w:rPr>
        <w:tab/>
      </w:r>
      <w:r>
        <w:rPr>
          <w:rFonts w:ascii="Arial" w:cs="Arial" w:eastAsia="Arial" w:hAnsi="Arial"/>
          <w:sz w:val="15"/>
          <w:szCs w:val="15"/>
          <w:b w:val="1"/>
          <w:bCs w:val="1"/>
          <w:color w:val="auto"/>
        </w:rPr>
        <w:t>Knowledge of Trustee</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Notwithstanding any provision of this Indenture, the Trustee shall not at any time be charged with knowledge of the existence of any facts which would prohibit the making of any payment of moneys to or by the Trustee until three Business Days after a Responsible Officer of the Trustee on behalf of the Trustee shall have received at the Corporate Trust Office of the Trustee written notice thereof from the Company, any Holder, or the holder or representative of any class of Senior Indebtedness of the Company identifying the specific sections of this Indenture involved and describing in detail the facts that would obligate the Trustee to withhold payments to Holders of Securities, and prior to such time, the Trustee, subject to the provisions of Section 6.1, shall be entitled in all respects conclusively to assume that no such facts exist. The Trustee shall be entitled to rely on the delivery to it of a written notice by an individual representing himself to be a holder of Senior Indebtedness of the Company (or a trustee on behalf of such holder) to establish that such notice has been given by a holder of any such Senior Indebtedness or a trustee on behalf of any such holder.</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the event that the Trustee determines in good faith that further evidence is required with respect to the right of any person as a holder of Senior Indebtedness of the Company to participate in any payment or distribution pursuant to this Article, the Trustee may request such person to furnish evidence to the reasonable satisfaction of the Trustee as to amount of Senior Indebtedness of the Company held by such person, the extent to which such person is entitled to participate in such payment or distribution and any other facts pertinent to the rights of such person under this Article, and if such evidence is not furnished, the Trustee may defer any payment to such person pending judicial determination as to the right of such person to receive such payment.</w:t>
      </w:r>
    </w:p>
    <w:p>
      <w:pPr>
        <w:spacing w:after="0" w:line="2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13.7</w:t>
      </w:r>
      <w:r>
        <w:rPr>
          <w:sz w:val="20"/>
          <w:szCs w:val="20"/>
          <w:color w:val="auto"/>
        </w:rPr>
        <w:tab/>
      </w:r>
      <w:r>
        <w:rPr>
          <w:rFonts w:ascii="Arial" w:cs="Arial" w:eastAsia="Arial" w:hAnsi="Arial"/>
          <w:sz w:val="16"/>
          <w:szCs w:val="16"/>
          <w:b w:val="1"/>
          <w:bCs w:val="1"/>
          <w:color w:val="auto"/>
        </w:rPr>
        <w:t>Application by Trustee of Moneys Deposited With It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two Business Days prior to the date on which by the terms of this Indenture any moneys deposited with the Trustee or any Paying Agent (other than the Company or a Subsidiary) may become payable for any purpose (including, without limitation, the payment of the principal of, premium, if any, or interest on any Security) the Trustee shall not have received with respect to such moneys the notice provided for in Section 13.6, then the Trustee shall have full power and authority to receive such moneys and to apply the same to the purpose for which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80" w:right="239" w:bottom="1440" w:gutter="0" w:footer="0" w:header="0"/>
        </w:sectPr>
      </w:pPr>
    </w:p>
    <w:bookmarkStart w:id="153" w:name="page154"/>
    <w:bookmarkEnd w:id="153"/>
    <w:p>
      <w:pPr>
        <w:ind w:right="1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they were received and shall not be affected by any notice to the contrary which may be received by it on or after such date. This Section 13.7 shall be construed solely for the benefit of the Trustee and Paying Agent and shall not otherwise affect the rights of holders of such Senior Indebtedness.</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13.8</w:t>
      </w:r>
      <w:r>
        <w:rPr>
          <w:sz w:val="20"/>
          <w:szCs w:val="20"/>
          <w:color w:val="auto"/>
        </w:rPr>
        <w:tab/>
      </w:r>
      <w:r>
        <w:rPr>
          <w:rFonts w:ascii="Arial" w:cs="Arial" w:eastAsia="Arial" w:hAnsi="Arial"/>
          <w:sz w:val="15"/>
          <w:szCs w:val="15"/>
          <w:b w:val="1"/>
          <w:bCs w:val="1"/>
          <w:color w:val="auto"/>
        </w:rPr>
        <w:t>Subordination Rights Not Impaired by Acts or Omissions of Company or Holders of Senior Indebtedness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No right of any present or future holders of any Senior Indebtedness of the Company to enforce subordination as provided herein shall at any time in any way be prejudiced or impaired by any act or failure to act on the part of the Company or by any act or failure to act by any such holder, or by any noncompliance by the Company with the terms of this Indenture, regardless of any knowledge thereof which any such holder may have or be otherwise charged with.</w:t>
      </w:r>
    </w:p>
    <w:p>
      <w:pPr>
        <w:spacing w:after="0" w:line="2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13.9</w:t>
      </w:r>
      <w:r>
        <w:rPr>
          <w:sz w:val="20"/>
          <w:szCs w:val="20"/>
          <w:color w:val="auto"/>
        </w:rPr>
        <w:tab/>
      </w:r>
      <w:r>
        <w:rPr>
          <w:rFonts w:ascii="Arial" w:cs="Arial" w:eastAsia="Arial" w:hAnsi="Arial"/>
          <w:sz w:val="15"/>
          <w:szCs w:val="15"/>
          <w:b w:val="1"/>
          <w:bCs w:val="1"/>
          <w:color w:val="auto"/>
        </w:rPr>
        <w:t>Holders Authorize Trustee to Effectuate Subordination of Securities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Each Holder of the Securities by his acceptance thereof authorizes and expressly directs the Trustee on his behalf to take such action as may be necessary or appropriate in the discretion of the Trustee to effectuate the subordination provided in this Article 13 and appoints the Trustee his attorney-in-fact for such purpose, including, without limitation, in the event of any dissolution, winding up, liquidation or reorganization of the Company (whether in bankruptcy, insolvency or receivership proceedings or upon an assignment for the benefit of creditors or otherwise) tending towards liquidation of the business and assets of the Company the timely filing of a claim for the unpaid balance of its or his Securities in the form required in said proceedings. If the Trustee does not file a proper claim or proof of debt in the form required in such proceedings before the expiration of the time to file such claim or claims, then the holders of Senior Indebtedness of the Company are hereby authorized to have the right to file and are hereby authorized to file an appropriate claim for and on behalf of the Holders of said Securities.</w:t>
      </w:r>
    </w:p>
    <w:p>
      <w:pPr>
        <w:spacing w:after="0" w:line="23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13.10</w:t>
      </w:r>
      <w:r>
        <w:rPr>
          <w:sz w:val="20"/>
          <w:szCs w:val="20"/>
          <w:color w:val="auto"/>
        </w:rPr>
        <w:tab/>
      </w:r>
      <w:r>
        <w:rPr>
          <w:rFonts w:ascii="Arial" w:cs="Arial" w:eastAsia="Arial" w:hAnsi="Arial"/>
          <w:sz w:val="15"/>
          <w:szCs w:val="15"/>
          <w:b w:val="1"/>
          <w:bCs w:val="1"/>
          <w:color w:val="auto"/>
        </w:rPr>
        <w:t>Right of Trustee to Hold Senior Indebtedness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Trustee shall be entitled to all of the rights set forth in this Article 13 in respect of any Senior Indebtedness of the Company at any time held by it to the same extent as any other holder of such Senior Indebtedness of the Company and nothing in this Indenture shall be construed to deprive the Trustee of any of its rights as such holder. With respect to the holders of Senior Indebtedness of the Company the Trustee undertakes to perform or to observe only such of its covenants and obligations as are specifically set forth in this Article 13, and no implied covenants or obligations with respect to the holders of Senior Indebtedness of the Company shall be read into this Indenture against the Trustee. The Trustee shall not be deemed to owe any fiduciary duty to the holders of Senior Indebtedness of the Company and the Trustee shall not be liable to any holder of Senior Indebtedness of the Company if it shall mistakenly pay over or deliver to Holders of Securities, the Company or any other Person monies or assets to which any holder of such Senior Indebtedness shall be entitled by virtue of this Article 13 or otherwise.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80" w:right="239" w:bottom="1440" w:gutter="0" w:footer="0" w:header="0"/>
        </w:sectPr>
      </w:pPr>
    </w:p>
    <w:bookmarkStart w:id="154" w:name="page155"/>
    <w:bookmarkEnd w:id="154"/>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13.11</w:t>
      </w:r>
      <w:r>
        <w:rPr>
          <w:sz w:val="20"/>
          <w:szCs w:val="20"/>
          <w:color w:val="auto"/>
        </w:rPr>
        <w:tab/>
      </w:r>
      <w:r>
        <w:rPr>
          <w:rFonts w:ascii="Arial" w:cs="Arial" w:eastAsia="Arial" w:hAnsi="Arial"/>
          <w:sz w:val="15"/>
          <w:szCs w:val="15"/>
          <w:b w:val="1"/>
          <w:bCs w:val="1"/>
          <w:color w:val="auto"/>
        </w:rPr>
        <w:t>Article 13 Not to Prevent Events of Default</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failure to make a payment on account of principal or interest by reason of any provision in this Article 13 shall not be construed as preventing the occurrence of an Event of Default under Section 5.1.</w:t>
      </w:r>
    </w:p>
    <w:p>
      <w:pPr>
        <w:spacing w:after="0" w:line="24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13.12</w:t>
      </w:r>
      <w:r>
        <w:rPr>
          <w:sz w:val="20"/>
          <w:szCs w:val="20"/>
          <w:color w:val="auto"/>
        </w:rPr>
        <w:tab/>
      </w:r>
      <w:r>
        <w:rPr>
          <w:rFonts w:ascii="Arial" w:cs="Arial" w:eastAsia="Arial" w:hAnsi="Arial"/>
          <w:sz w:val="15"/>
          <w:szCs w:val="15"/>
          <w:b w:val="1"/>
          <w:bCs w:val="1"/>
          <w:color w:val="auto"/>
        </w:rPr>
        <w:t>Paying Agents Other Than the Trustee</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case at any time any Paying Agent (including, without limitation, the Company or any Subsidiary) other than the Trustee shall have been appointed by the Company and be then acting hereunder, the term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as used in this Article 13 shall in such case (unless the context shall otherwise require) be construed as extending to and including such Paying Agent (except the Company and their subsidiaries in the case of Sections 13.6 and 13.7) within its meaning as fully for all intents and purposes as if such Paying Agent were named in this Article 13 in addition to or in place of the Trustee.</w:t>
      </w:r>
    </w:p>
    <w:p>
      <w:pPr>
        <w:spacing w:after="0" w:line="22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13.13</w:t>
      </w:r>
      <w:r>
        <w:rPr>
          <w:sz w:val="20"/>
          <w:szCs w:val="20"/>
          <w:color w:val="auto"/>
        </w:rPr>
        <w:tab/>
      </w:r>
      <w:r>
        <w:rPr>
          <w:rFonts w:ascii="Arial" w:cs="Arial" w:eastAsia="Arial" w:hAnsi="Arial"/>
          <w:sz w:val="15"/>
          <w:szCs w:val="15"/>
          <w:b w:val="1"/>
          <w:bCs w:val="1"/>
          <w:color w:val="auto"/>
        </w:rPr>
        <w:t>Trustee’s Compensation Not Prejudiced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Nothing in this Article 13 shall apply to amounts due to the Trustee pursuant to Section 6.9.</w:t>
      </w:r>
    </w:p>
    <w:p>
      <w:pPr>
        <w:spacing w:after="0" w:line="28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13.14</w:t>
      </w:r>
      <w:r>
        <w:rPr>
          <w:sz w:val="20"/>
          <w:szCs w:val="20"/>
          <w:color w:val="auto"/>
        </w:rPr>
        <w:tab/>
      </w:r>
      <w:r>
        <w:rPr>
          <w:rFonts w:ascii="Arial" w:cs="Arial" w:eastAsia="Arial" w:hAnsi="Arial"/>
          <w:sz w:val="15"/>
          <w:szCs w:val="15"/>
          <w:b w:val="1"/>
          <w:bCs w:val="1"/>
          <w:color w:val="auto"/>
        </w:rPr>
        <w:t>Trust Moneys Not Subordinated</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Notwithstanding anything contained herein to the contrary, payments from money held in trust under Article 4 by the Trustee for the payment of principal of, premium, if any, and interest on the Securities shall not be subordinated to the prior payment of any Senior Indebtedness of the Company or subject to the restrictions set forth in this Article 13 and none of the Holders shall be obligated to pay over any such amount to the Company or any holder of Senior Indebtedness of the Company or any other creditor of the Company.]</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80"/>
          </w:cols>
          <w:pgMar w:left="240" w:top="274" w:right="379" w:bottom="1440" w:gutter="0" w:footer="0" w:header="0"/>
        </w:sectPr>
      </w:pPr>
    </w:p>
    <w:bookmarkStart w:id="155" w:name="page156"/>
    <w:bookmarkEnd w:id="155"/>
    <w:p>
      <w:pPr>
        <w:ind w:right="1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Indenture may be executed in any number of counterparts, each of which shall be an original, but such counterparts shall together constitute but one instrument.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caused this Indenture to be duly executed as of the day and year first above written.</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jc w:val="both"/>
        <w:ind w:left="6860"/>
        <w:spacing w:after="0"/>
        <w:tabs>
          <w:tab w:leader="none" w:pos="11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27940</wp:posOffset>
            </wp:positionV>
            <wp:extent cx="264985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30"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Title: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89877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 TRUSTEE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Title: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89877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TO INDENTURE]</w:t>
      </w:r>
    </w:p>
    <w:p>
      <w:pPr>
        <w:sectPr>
          <w:pgSz w:w="11900" w:h="16838" w:orient="portrait"/>
          <w:cols w:equalWidth="0" w:num="1">
            <w:col w:w="11400"/>
          </w:cols>
          <w:pgMar w:left="240" w:top="280" w:right="259" w:bottom="1440" w:gutter="0" w:footer="0" w:header="0"/>
        </w:sectPr>
      </w:pPr>
    </w:p>
    <w:bookmarkStart w:id="156" w:name="page157"/>
    <w:bookmarkEnd w:id="156"/>
    <w:p>
      <w:pPr>
        <w:ind w:left="52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FORM OF FACE OF SECURITY</w:t>
      </w:r>
    </w:p>
    <w:p>
      <w:pPr>
        <w:spacing w:after="0" w:line="17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If the Security is an Original Issue Discount Security, insert</w:t>
      </w:r>
      <w:r>
        <w:rPr>
          <w:rFonts w:ascii="Arial" w:cs="Arial" w:eastAsia="Arial" w:hAnsi="Arial"/>
          <w:sz w:val="16"/>
          <w:szCs w:val="16"/>
          <w:color w:val="auto"/>
        </w:rPr>
        <w:t>—FOR PURPOSES OF SECTIONS 1273 AND 1275 OF THE UNITED STATES INTERNAL REVENUE CODE, THE AMOUNT OF ORIGINAL ISSUE DISCOUNT ON THIS SECURITY IS % OF ITS PRINCIPAL AMOUNT AND THE ISSUE DATE IS , 201 [, AND] THE YIELD TO MATURITY IS %. [THE METHOD USED TO DETERMINE THE YIELD IS AND THE AMOUNT</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OF ORIGINAL ISSUE DISCOUNT APPLICABLE TO THE SHORT ACCRUAL PERIOD OF , 201 TO , 201 IS % OF THE PRINCIPAL AMOUNT OF THIS SECURITY.]]</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ITRON, INC.</w:t>
      </w:r>
    </w:p>
    <w:p>
      <w:pPr>
        <w:sectPr>
          <w:pgSz w:w="11900" w:h="16838" w:orient="portrait"/>
          <w:cols w:equalWidth="0" w:num="1">
            <w:col w:w="11420"/>
          </w:cols>
          <w:pgMar w:left="240" w:top="274" w:right="239" w:bottom="1440" w:gutter="0" w:footer="0" w:header="0"/>
        </w:sectPr>
      </w:pPr>
    </w:p>
    <w:p>
      <w:pPr>
        <w:spacing w:after="0" w:line="90"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 Convertible [Subordinated]</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Due</w:t>
      </w:r>
    </w:p>
    <w:p>
      <w:pPr>
        <w:spacing w:after="0" w:line="55" w:lineRule="exact"/>
        <w:rPr>
          <w:sz w:val="20"/>
          <w:szCs w:val="20"/>
          <w:color w:val="auto"/>
        </w:rPr>
      </w:pPr>
    </w:p>
    <w:p>
      <w:pPr>
        <w:sectPr>
          <w:pgSz w:w="11900" w:h="16838" w:orient="portrait"/>
          <w:cols w:equalWidth="0" w:num="2">
            <w:col w:w="9820" w:space="720"/>
            <w:col w:w="8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No.</w:t>
      </w:r>
    </w:p>
    <w:p>
      <w:pPr>
        <w:spacing w:after="0" w:line="188" w:lineRule="exact"/>
        <w:rPr>
          <w:sz w:val="20"/>
          <w:szCs w:val="20"/>
          <w:color w:val="auto"/>
        </w:rPr>
      </w:pPr>
    </w:p>
    <w:p>
      <w:pPr>
        <w:sectPr>
          <w:pgSz w:w="11900" w:h="16838" w:orient="portrait"/>
          <w:cols w:equalWidth="0" w:num="2">
            <w:col w:w="10440" w:space="720"/>
            <w:col w:w="260"/>
          </w:cols>
          <w:pgMar w:left="240" w:top="274" w:right="239" w:bottom="1440" w:gutter="0" w:footer="0" w:header="0"/>
          <w:type w:val="continuous"/>
        </w:sectPr>
      </w:pPr>
    </w:p>
    <w:p>
      <w:pPr>
        <w:ind w:right="40" w:firstLine="456"/>
        <w:spacing w:after="0" w:line="282" w:lineRule="auto"/>
        <w:rPr>
          <w:sz w:val="20"/>
          <w:szCs w:val="20"/>
          <w:color w:val="auto"/>
        </w:rPr>
      </w:pPr>
      <w:r>
        <w:rPr>
          <w:rFonts w:ascii="Arial" w:cs="Arial" w:eastAsia="Arial" w:hAnsi="Arial"/>
          <w:sz w:val="16"/>
          <w:szCs w:val="16"/>
          <w:color w:val="auto"/>
        </w:rPr>
        <w:t>ITRON, INC., a corporation duly organized and existing under the laws of the State of Washington (herein called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which term includes any successor corporation under the Indenture hereinafter referred to), for value received, hereby promises to pay to or registered assigns, the principal sum of Dollars on [</w:t>
      </w:r>
      <w:r>
        <w:rPr>
          <w:rFonts w:ascii="Arial" w:cs="Arial" w:eastAsia="Arial" w:hAnsi="Arial"/>
          <w:sz w:val="16"/>
          <w:szCs w:val="16"/>
          <w:u w:val="single" w:color="auto"/>
          <w:color w:val="auto"/>
        </w:rPr>
        <w:t>If the Security is to bear interest prior to Maturity, insert</w:t>
      </w:r>
      <w:r>
        <w:rPr>
          <w:rFonts w:ascii="Arial" w:cs="Arial" w:eastAsia="Arial" w:hAnsi="Arial"/>
          <w:sz w:val="16"/>
          <w:szCs w:val="16"/>
          <w:color w:val="auto"/>
        </w:rPr>
        <w:t>—, and to pay interest thereon from or from the most recent Interest Payment Date to which interest has been paid or duly provided for, semiannually on and in each year, commencing , [</w:t>
      </w:r>
      <w:r>
        <w:rPr>
          <w:rFonts w:ascii="Arial" w:cs="Arial" w:eastAsia="Arial" w:hAnsi="Arial"/>
          <w:sz w:val="16"/>
          <w:szCs w:val="16"/>
          <w:u w:val="single" w:color="auto"/>
          <w:color w:val="auto"/>
        </w:rPr>
        <w:t>If the Security is to bear interest at a fixed rate, insert</w:t>
      </w:r>
      <w:r>
        <w:rPr>
          <w:rFonts w:ascii="Arial" w:cs="Arial" w:eastAsia="Arial" w:hAnsi="Arial"/>
          <w:sz w:val="16"/>
          <w:szCs w:val="16"/>
          <w:color w:val="auto"/>
        </w:rPr>
        <w:t>—at the rate of % per annum] [</w:t>
      </w:r>
      <w:r>
        <w:rPr>
          <w:rFonts w:ascii="Arial" w:cs="Arial" w:eastAsia="Arial" w:hAnsi="Arial"/>
          <w:sz w:val="16"/>
          <w:szCs w:val="16"/>
          <w:u w:val="single" w:color="auto"/>
          <w:color w:val="auto"/>
        </w:rPr>
        <w:t>if the Security is to bear interest at an adjustable rate, insert</w:t>
      </w:r>
      <w:r>
        <w:rPr>
          <w:rFonts w:ascii="Arial" w:cs="Arial" w:eastAsia="Arial" w:hAnsi="Arial"/>
          <w:sz w:val="16"/>
          <w:szCs w:val="16"/>
          <w:color w:val="auto"/>
        </w:rPr>
        <w:t xml:space="preserve">—at a rate per annum computed or determined in accordance with the provisions below], until the principal hereof is paid or made available for payment </w:t>
      </w:r>
      <w:r>
        <w:rPr>
          <w:rFonts w:ascii="Arial" w:cs="Arial" w:eastAsia="Arial" w:hAnsi="Arial"/>
          <w:sz w:val="16"/>
          <w:szCs w:val="16"/>
          <w:u w:val="single" w:color="auto"/>
          <w:color w:val="auto"/>
        </w:rPr>
        <w:t>[If applicable, insert</w:t>
      </w:r>
      <w:r>
        <w:rPr>
          <w:rFonts w:ascii="Arial" w:cs="Arial" w:eastAsia="Arial" w:hAnsi="Arial"/>
          <w:sz w:val="16"/>
          <w:szCs w:val="16"/>
          <w:color w:val="auto"/>
        </w:rPr>
        <w:t>—, and (to the extent that the payment of such interest shall be legally enforceable) at the rate of % per annum on any overdue principal and premium and on any overdue installment of interest].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or</w:t>
      </w:r>
    </w:p>
    <w:p>
      <w:pPr>
        <w:spacing w:after="0" w:line="5" w:lineRule="exact"/>
        <w:rPr>
          <w:sz w:val="20"/>
          <w:szCs w:val="20"/>
          <w:color w:val="auto"/>
        </w:rPr>
      </w:pPr>
    </w:p>
    <w:p>
      <w:pPr>
        <w:ind w:right="20" w:firstLine="176"/>
        <w:spacing w:after="0" w:line="290" w:lineRule="auto"/>
        <w:rPr>
          <w:sz w:val="20"/>
          <w:szCs w:val="20"/>
          <w:color w:val="auto"/>
        </w:rPr>
      </w:pPr>
      <w:r>
        <w:rPr>
          <w:rFonts w:ascii="Arial" w:cs="Arial" w:eastAsia="Arial" w:hAnsi="Arial"/>
          <w:sz w:val="16"/>
          <w:szCs w:val="16"/>
          <w:color w:val="auto"/>
        </w:rPr>
        <w:t>(whether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18"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If the Security is not to bear interest prior to Maturity, insert</w:t>
      </w:r>
      <w:r>
        <w:rPr>
          <w:rFonts w:ascii="Arial" w:cs="Arial" w:eastAsia="Arial" w:hAnsi="Arial"/>
          <w:sz w:val="16"/>
          <w:szCs w:val="16"/>
          <w:color w:val="auto"/>
        </w:rPr>
        <w:t>—The principal of this Security shall not bear interest except in the case of a default in payment of principal upon acceleration or redemption or at the Stated Maturity and in such case the overdue principal of</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type w:val="continuous"/>
        </w:sectPr>
      </w:pPr>
    </w:p>
    <w:bookmarkStart w:id="157" w:name="page158"/>
    <w:bookmarkEnd w:id="157"/>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Security shall bear interest at the rate of % 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 Any such interest on any overdue principal that is not so paid on demand shall bear interest at the rate of % per annum (to the extent that the payment of such interest shall be legally enforceable), which shall accrue from the date of such demand for payment to the date payment of such interest has been made or duly provided for, and such interest shall also be payable on demand.]</w:t>
      </w:r>
    </w:p>
    <w:p>
      <w:pPr>
        <w:spacing w:after="0" w:line="116"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Payment of the principal of (and premium, if any, on) and [</w:t>
      </w:r>
      <w:r>
        <w:rPr>
          <w:rFonts w:ascii="Arial" w:cs="Arial" w:eastAsia="Arial" w:hAnsi="Arial"/>
          <w:sz w:val="15"/>
          <w:szCs w:val="15"/>
          <w:u w:val="single" w:color="auto"/>
          <w:color w:val="auto"/>
        </w:rPr>
        <w:t>if applicable, insert</w:t>
      </w:r>
      <w:r>
        <w:rPr>
          <w:rFonts w:ascii="Arial" w:cs="Arial" w:eastAsia="Arial" w:hAnsi="Arial"/>
          <w:sz w:val="15"/>
          <w:szCs w:val="15"/>
          <w:color w:val="auto"/>
        </w:rPr>
        <w:t>—any such] interest on this Security will be made at the office or agency of the Company maintained for that purpose in the City and State of New York in such coin or currency of the United States of America as at the time of payment is legal tender for payment of public and private debts [</w:t>
      </w:r>
      <w:r>
        <w:rPr>
          <w:rFonts w:ascii="Arial" w:cs="Arial" w:eastAsia="Arial" w:hAnsi="Arial"/>
          <w:sz w:val="15"/>
          <w:szCs w:val="15"/>
          <w:u w:val="single" w:color="auto"/>
          <w:color w:val="auto"/>
        </w:rPr>
        <w:t>if applicable, insert</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at the option of the Company payment of interest may be made by check mailed on or before the relevant Interest Payment Date to the address of the Person entitled thereto as such address shall appear in the Register].</w:t>
      </w:r>
    </w:p>
    <w:p>
      <w:pPr>
        <w:spacing w:after="0" w:line="9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Company has caused this instrument to be duly executed.</w:t>
      </w:r>
    </w:p>
    <w:p>
      <w:pPr>
        <w:spacing w:after="0" w:line="212"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spacing w:after="0"/>
        <w:tabs>
          <w:tab w:leader="none" w:pos="6200" w:val="left"/>
          <w:tab w:leader="none" w:pos="91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27940</wp:posOffset>
            </wp:positionV>
            <wp:extent cx="150939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3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Title:</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280" w:right="279"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REVERSE OF SECURITY</w:t>
      </w:r>
    </w:p>
    <w:p>
      <w:pPr>
        <w:spacing w:after="0" w:line="177"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This Security is one of a duly authorized issue of securities of the Company (herein called the “</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 issued and to be issued in one or more series under an Indenture, dated as of , 201 (herein called the “</w:t>
      </w:r>
      <w:r>
        <w:rPr>
          <w:rFonts w:ascii="Arial" w:cs="Arial" w:eastAsia="Arial" w:hAnsi="Arial"/>
          <w:sz w:val="16"/>
          <w:szCs w:val="16"/>
          <w:b w:val="1"/>
          <w:bCs w:val="1"/>
          <w:i w:val="1"/>
          <w:iCs w:val="1"/>
          <w:color w:val="auto"/>
        </w:rPr>
        <w:t>Indenture</w:t>
      </w:r>
      <w:r>
        <w:rPr>
          <w:rFonts w:ascii="Arial" w:cs="Arial" w:eastAsia="Arial" w:hAnsi="Arial"/>
          <w:sz w:val="16"/>
          <w:szCs w:val="16"/>
          <w:color w:val="auto"/>
        </w:rPr>
        <w:t>”), between the Company (which term includes any successor corporation under the Indenture) and , as Trustee (herein called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which term includes any successor trustee under the Indenture with respect to the series of</w:t>
      </w:r>
    </w:p>
    <w:p>
      <w:pPr>
        <w:spacing w:after="0" w:line="1" w:lineRule="exact"/>
        <w:rPr>
          <w:sz w:val="20"/>
          <w:szCs w:val="20"/>
          <w:color w:val="auto"/>
        </w:rPr>
      </w:pPr>
    </w:p>
    <w:p>
      <w:pPr>
        <w:ind w:right="180"/>
        <w:spacing w:after="0" w:line="331" w:lineRule="auto"/>
        <w:rPr>
          <w:sz w:val="20"/>
          <w:szCs w:val="20"/>
          <w:color w:val="auto"/>
        </w:rPr>
      </w:pPr>
      <w:r>
        <w:rPr>
          <w:rFonts w:ascii="Arial" w:cs="Arial" w:eastAsia="Arial" w:hAnsi="Arial"/>
          <w:sz w:val="15"/>
          <w:szCs w:val="15"/>
          <w:color w:val="auto"/>
        </w:rPr>
        <w:t>which this Security is a part), to which the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limited in aggregate principal amount to $ ].</w:t>
      </w:r>
    </w:p>
    <w:p>
      <w:pPr>
        <w:spacing w:after="0" w:line="9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Subject to and upon compliance with the provisions of the Indenture, the Holder of this Security is entitled, at his option, at any time on or before the close of business on , , or in case this Security or a portion hereof is called for redemption, then in respect of this Security or such portion hereof until and including, but (unless the Company defaults in making the payment due upon redemption) not after, the close of business on the Business Day which is ten days prior to the Redemption Date, to convert this Security (or any portion of the principal amount hereof which is $1,000 or an integral multiple thereof), at the principal amount hereof, or of such portion, into fully paid and non-assessable shares (calculated as to each conversion to the nearest 1/100 of a share) of Common Stock of the Company at a conversion price equal to $ aggregate principal amount of Securities for each share of Common Stock (or at the current adjusted conversion price if an adjustment has been made as provided in the Indenture) by surrender of this Security, duly endorsed or assigned to the Company or in blank, to the Company at its office or agency in , accompanied by written notice to the Company that the Holder hereof elects to convert this Security, or if less than the entire principal amount hereof is to be converted, the portion hereof to be converted, and, in case such surrender shall be made during the period from the close of business on any Regular Record Date next preceding any Interest Payment Date to the opening of business on such Interest Payment Date (unless this Security or the portion thereof being converted has been called for redemption on a Redemption Date within such period), also accompanied by payment in New York Clearing House or other funds acceptable to the Company of an amount equal to the interest payable on such Interest Payment Date on the principal amount of this Security then being converted. Subject to the aforesaid requirement for payment and, in the case of a conversion after the Regular Record Date next preceding any Interest Payment Date and on or before such Interest Payment Date, to the right of the Holder of this Security (or any Predecessor Security) of record at such Regular Record Date to receive an installment of interest (with certain exceptions provided in the Indenture), no payment or adjustment is to be made on conversion for interest accrued hereon or for dividends on the Common Stock issued on conversion. No fractions of shares or scrip representing fractions of shares will be issued on conversion, but instead of any fractional interest the Company shall pay a cash adjustment as provided in the Indenture. The conversion price is subject to adjustment as provided in the Indenture. In addition, the Indenture provides that in case of certain consolidations or mergers to which the Company is a party or the transfer of substantially all of the assets of the Company, the Indenture shall be amended, without the consent of any Holders of Securities, so that this Security, if then outstanding, will be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159" w:name="page160"/>
    <w:bookmarkEnd w:id="159"/>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convertible thereafter, during the period this Security shall be convertible as specified above, only into the kind and amount of securities, cash and other property receivable upon the consolidation, merger or transfer by a holder of the number of shares of Common Stock into which this Security might have been converted immediately prior to such consolidation, merger or transfer (assuming such holder of Common Stock failed to exercise any rights of election and received per share the kind and amount received per share by a plurality of nonelecting shares).</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 applicable, insert</w:t>
      </w:r>
      <w:r>
        <w:rPr>
          <w:rFonts w:ascii="Arial" w:cs="Arial" w:eastAsia="Arial" w:hAnsi="Arial"/>
          <w:sz w:val="18"/>
          <w:szCs w:val="18"/>
          <w:color w:val="auto"/>
        </w:rPr>
        <w:t>—The indebtedness evidenced by the Securities is, to the extent provided in the Indenture, subordinate and subject in right of payment to the prior payment in full of all indebtedness and obligations of the Company as are defined in the Indenture as “Senior Indebtedness,” and this Security is issued subject to the provisions of the Indenture with respect thereto, and each Holder of this Security, by accepting the same, agrees to and shall be bound by such provisions. Each Holder of this Security, by accepting the same, agrees that each holder of Senior Indebtedness, whether created or acquired before or after the issuance of this Security, shall be deemed conclusively to have relied on such subordination provisions in acquiring and continuing to hold, or in continuing to hold, such Senior Indebtedness.]</w:t>
      </w:r>
    </w:p>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If applicable, insert</w:t>
      </w:r>
      <w:r>
        <w:rPr>
          <w:rFonts w:ascii="Arial" w:cs="Arial" w:eastAsia="Arial" w:hAnsi="Arial"/>
          <w:sz w:val="16"/>
          <w:szCs w:val="16"/>
          <w:color w:val="auto"/>
        </w:rPr>
        <w:t>—The Securities of this series are subject to redemption upon not less than 30 days’ notice by mail, [</w:t>
      </w:r>
      <w:r>
        <w:rPr>
          <w:rFonts w:ascii="Arial" w:cs="Arial" w:eastAsia="Arial" w:hAnsi="Arial"/>
          <w:sz w:val="16"/>
          <w:szCs w:val="16"/>
          <w:u w:val="single" w:color="auto"/>
          <w:color w:val="auto"/>
        </w:rPr>
        <w:t>if applicable, insert</w:t>
      </w:r>
      <w:r>
        <w:rPr>
          <w:rFonts w:ascii="Arial" w:cs="Arial" w:eastAsia="Arial" w:hAnsi="Arial"/>
          <w:sz w:val="16"/>
          <w:szCs w:val="16"/>
          <w:color w:val="auto"/>
        </w:rPr>
        <w:t>—(a) on</w:t>
      </w:r>
    </w:p>
    <w:p>
      <w:pPr>
        <w:spacing w:after="0" w:line="38" w:lineRule="exact"/>
        <w:rPr>
          <w:sz w:val="20"/>
          <w:szCs w:val="20"/>
          <w:color w:val="auto"/>
        </w:rPr>
      </w:pPr>
    </w:p>
    <w:p>
      <w:pPr>
        <w:ind w:right="200" w:firstLine="527"/>
        <w:spacing w:after="0" w:line="281" w:lineRule="auto"/>
        <w:rPr>
          <w:sz w:val="20"/>
          <w:szCs w:val="20"/>
          <w:color w:val="auto"/>
        </w:rPr>
      </w:pPr>
      <w:r>
        <w:rPr>
          <w:rFonts w:ascii="Arial" w:cs="Arial" w:eastAsia="Arial" w:hAnsi="Arial"/>
          <w:sz w:val="16"/>
          <w:szCs w:val="16"/>
          <w:color w:val="auto"/>
        </w:rPr>
        <w:t>in any year commencing with the year and ending with the year at a Redemption Price equal to % of the principal amount and (b)] at any time [on or after 20__], as a whole or in part, at the election of the Company, at the following Redemption Prices (expressed as percentages of the principal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w w:val="98"/>
              </w:rPr>
              <w:t>amount): If redeemed [on or before</w:t>
            </w:r>
          </w:p>
        </w:tc>
        <w:tc>
          <w:tcPr>
            <w:tcW w:w="8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4360" w:type="dxa"/>
            <w:vAlign w:val="bottom"/>
            <w:gridSpan w:val="3"/>
          </w:tcPr>
          <w:p>
            <w:pPr>
              <w:ind w:left="60"/>
              <w:spacing w:after="0"/>
              <w:rPr>
                <w:sz w:val="20"/>
                <w:szCs w:val="20"/>
                <w:color w:val="auto"/>
              </w:rPr>
            </w:pPr>
            <w:r>
              <w:rPr>
                <w:rFonts w:ascii="Arial" w:cs="Arial" w:eastAsia="Arial" w:hAnsi="Arial"/>
                <w:sz w:val="18"/>
                <w:szCs w:val="18"/>
                <w:color w:val="auto"/>
                <w:w w:val="91"/>
              </w:rPr>
              <w:t>%, and if redeemed] during the 12-month period beginning</w:t>
            </w:r>
          </w:p>
        </w:tc>
        <w:tc>
          <w:tcPr>
            <w:tcW w:w="420" w:type="dxa"/>
            <w:vAlign w:val="bottom"/>
          </w:tcPr>
          <w:p>
            <w:pPr>
              <w:spacing w:after="0"/>
              <w:rPr>
                <w:sz w:val="19"/>
                <w:szCs w:val="19"/>
                <w:color w:val="auto"/>
              </w:rPr>
            </w:pPr>
          </w:p>
        </w:tc>
        <w:tc>
          <w:tcPr>
            <w:tcW w:w="3020" w:type="dxa"/>
            <w:vAlign w:val="bottom"/>
            <w:gridSpan w:val="3"/>
          </w:tcPr>
          <w:p>
            <w:pPr>
              <w:spacing w:after="0"/>
              <w:rPr>
                <w:sz w:val="20"/>
                <w:szCs w:val="20"/>
                <w:color w:val="auto"/>
              </w:rPr>
            </w:pPr>
            <w:r>
              <w:rPr>
                <w:rFonts w:ascii="Arial" w:cs="Arial" w:eastAsia="Arial" w:hAnsi="Arial"/>
                <w:sz w:val="18"/>
                <w:szCs w:val="18"/>
                <w:color w:val="auto"/>
              </w:rPr>
              <w:t>of the years indicated,</w:t>
            </w:r>
          </w:p>
        </w:tc>
      </w:tr>
      <w:tr>
        <w:trPr>
          <w:trHeight w:val="354"/>
        </w:trPr>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w:t>
            </w:r>
          </w:p>
        </w:tc>
        <w:tc>
          <w:tcPr>
            <w:tcW w:w="8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Redemption Price</w:t>
            </w:r>
          </w:p>
        </w:tc>
        <w:tc>
          <w:tcPr>
            <w:tcW w:w="8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w w:val="85"/>
              </w:rPr>
              <w:t>Year</w:t>
            </w:r>
          </w:p>
        </w:tc>
        <w:tc>
          <w:tcPr>
            <w:tcW w:w="116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Redemption Price</w:t>
            </w:r>
          </w:p>
        </w:tc>
      </w:tr>
      <w:tr>
        <w:trPr>
          <w:trHeight w:val="511"/>
        </w:trPr>
        <w:tc>
          <w:tcPr>
            <w:tcW w:w="3620" w:type="dxa"/>
            <w:vAlign w:val="bottom"/>
            <w:gridSpan w:val="3"/>
          </w:tcPr>
          <w:p>
            <w:pPr>
              <w:spacing w:after="0"/>
              <w:rPr>
                <w:sz w:val="20"/>
                <w:szCs w:val="20"/>
                <w:color w:val="auto"/>
              </w:rPr>
            </w:pPr>
            <w:r>
              <w:rPr>
                <w:rFonts w:ascii="Arial" w:cs="Arial" w:eastAsia="Arial" w:hAnsi="Arial"/>
                <w:sz w:val="18"/>
                <w:szCs w:val="18"/>
                <w:color w:val="auto"/>
                <w:w w:val="98"/>
              </w:rPr>
              <w:t>and thereafter at a Redemption Price equal to</w:t>
            </w:r>
          </w:p>
        </w:tc>
        <w:tc>
          <w:tcPr>
            <w:tcW w:w="7800" w:type="dxa"/>
            <w:vAlign w:val="bottom"/>
            <w:gridSpan w:val="7"/>
          </w:tcPr>
          <w:p>
            <w:pPr>
              <w:ind w:left="140"/>
              <w:spacing w:after="0"/>
              <w:rPr>
                <w:sz w:val="20"/>
                <w:szCs w:val="20"/>
                <w:color w:val="auto"/>
              </w:rPr>
            </w:pPr>
            <w:r>
              <w:rPr>
                <w:rFonts w:ascii="Arial" w:cs="Arial" w:eastAsia="Arial" w:hAnsi="Arial"/>
                <w:sz w:val="18"/>
                <w:szCs w:val="18"/>
                <w:color w:val="auto"/>
                <w:w w:val="97"/>
              </w:rPr>
              <w:t>% of the principal amount, together in the case of any such redemption with accrued interest to the</w:t>
            </w:r>
          </w:p>
        </w:tc>
      </w:tr>
    </w:tbl>
    <w:p>
      <w:pPr>
        <w:ind w:right="20"/>
        <w:spacing w:after="0" w:line="255" w:lineRule="auto"/>
        <w:rPr>
          <w:sz w:val="20"/>
          <w:szCs w:val="20"/>
          <w:color w:val="auto"/>
        </w:rPr>
      </w:pPr>
      <w:r>
        <w:rPr>
          <w:rFonts w:ascii="Arial" w:cs="Arial" w:eastAsia="Arial" w:hAnsi="Arial"/>
          <w:sz w:val="18"/>
          <w:szCs w:val="18"/>
          <w:color w:val="auto"/>
        </w:rPr>
        <w:t>Redemption Date, but interest installments whose Stated Maturity is on or prior to such Redemption Date will be payable to the Holders of such Securities, or one or more Predecessor Securities, of record at the close of business on the relevant Regular Record Dates referred to on the face hereof, all as provided in the Indenture.]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20" w:type="dxa"/>
            <w:vAlign w:val="bottom"/>
            <w:gridSpan w:val="4"/>
          </w:tcPr>
          <w:p>
            <w:pPr>
              <w:ind w:left="460"/>
              <w:spacing w:after="0"/>
              <w:rPr>
                <w:sz w:val="20"/>
                <w:szCs w:val="20"/>
                <w:color w:val="auto"/>
              </w:rPr>
            </w:pPr>
            <w:r>
              <w:rPr>
                <w:rFonts w:ascii="Arial" w:cs="Arial" w:eastAsia="Arial" w:hAnsi="Arial"/>
                <w:sz w:val="18"/>
                <w:szCs w:val="18"/>
                <w:color w:val="auto"/>
                <w:w w:val="91"/>
              </w:rPr>
              <w:t>[If applicable, insert—The Securities of this series are subject to redemption upon not less than 30 days’ notice by mail, (a) on</w:t>
            </w:r>
          </w:p>
        </w:tc>
        <w:tc>
          <w:tcPr>
            <w:tcW w:w="1180" w:type="dxa"/>
            <w:vAlign w:val="bottom"/>
          </w:tcPr>
          <w:p>
            <w:pPr>
              <w:ind w:left="280"/>
              <w:spacing w:after="0"/>
              <w:rPr>
                <w:sz w:val="20"/>
                <w:szCs w:val="20"/>
                <w:color w:val="auto"/>
              </w:rPr>
            </w:pPr>
            <w:r>
              <w:rPr>
                <w:rFonts w:ascii="Arial" w:cs="Arial" w:eastAsia="Arial" w:hAnsi="Arial"/>
                <w:sz w:val="18"/>
                <w:szCs w:val="18"/>
                <w:color w:val="auto"/>
                <w:w w:val="99"/>
              </w:rPr>
              <w:t>in any year</w:t>
            </w:r>
          </w:p>
        </w:tc>
        <w:tc>
          <w:tcPr>
            <w:tcW w:w="54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880" w:type="dxa"/>
            <w:vAlign w:val="bottom"/>
            <w:gridSpan w:val="3"/>
          </w:tcPr>
          <w:p>
            <w:pPr>
              <w:spacing w:after="0" w:line="20" w:lineRule="exact"/>
              <w:rPr>
                <w:sz w:val="1"/>
                <w:szCs w:val="1"/>
                <w:color w:val="auto"/>
              </w:rPr>
            </w:pPr>
          </w:p>
        </w:tc>
      </w:tr>
      <w:tr>
        <w:trPr>
          <w:trHeight w:val="228"/>
        </w:trPr>
        <w:tc>
          <w:tcPr>
            <w:tcW w:w="1880" w:type="dxa"/>
            <w:vAlign w:val="bottom"/>
            <w:gridSpan w:val="2"/>
          </w:tcPr>
          <w:p>
            <w:pPr>
              <w:spacing w:after="0"/>
              <w:rPr>
                <w:sz w:val="20"/>
                <w:szCs w:val="20"/>
                <w:color w:val="auto"/>
              </w:rPr>
            </w:pPr>
            <w:r>
              <w:rPr>
                <w:rFonts w:ascii="Arial" w:cs="Arial" w:eastAsia="Arial" w:hAnsi="Arial"/>
                <w:sz w:val="18"/>
                <w:szCs w:val="18"/>
                <w:color w:val="auto"/>
                <w:w w:val="88"/>
              </w:rPr>
              <w:t>commencing with the year</w:t>
            </w:r>
          </w:p>
        </w:tc>
        <w:tc>
          <w:tcPr>
            <w:tcW w:w="2580" w:type="dxa"/>
            <w:vAlign w:val="bottom"/>
          </w:tcPr>
          <w:p>
            <w:pPr>
              <w:ind w:left="560"/>
              <w:spacing w:after="0"/>
              <w:rPr>
                <w:sz w:val="20"/>
                <w:szCs w:val="20"/>
                <w:color w:val="auto"/>
              </w:rPr>
            </w:pPr>
            <w:r>
              <w:rPr>
                <w:rFonts w:ascii="Arial" w:cs="Arial" w:eastAsia="Arial" w:hAnsi="Arial"/>
                <w:sz w:val="18"/>
                <w:szCs w:val="18"/>
                <w:color w:val="auto"/>
              </w:rPr>
              <w:t>and ending with the year</w:t>
            </w:r>
          </w:p>
        </w:tc>
        <w:tc>
          <w:tcPr>
            <w:tcW w:w="6880" w:type="dxa"/>
            <w:vAlign w:val="bottom"/>
            <w:gridSpan w:val="3"/>
          </w:tcPr>
          <w:p>
            <w:pPr>
              <w:ind w:left="300"/>
              <w:spacing w:after="0"/>
              <w:rPr>
                <w:sz w:val="20"/>
                <w:szCs w:val="20"/>
                <w:color w:val="auto"/>
              </w:rPr>
            </w:pPr>
            <w:r>
              <w:rPr>
                <w:rFonts w:ascii="Arial" w:cs="Arial" w:eastAsia="Arial" w:hAnsi="Arial"/>
                <w:sz w:val="18"/>
                <w:szCs w:val="18"/>
                <w:color w:val="auto"/>
                <w:w w:val="89"/>
              </w:rPr>
              <w:t>through operation of the sinking fund for this series at the Redemption Prices for redemption</w:t>
            </w:r>
          </w:p>
        </w:tc>
      </w:tr>
      <w:tr>
        <w:trPr>
          <w:trHeight w:val="222"/>
        </w:trPr>
        <w:tc>
          <w:tcPr>
            <w:tcW w:w="10800" w:type="dxa"/>
            <w:vAlign w:val="bottom"/>
            <w:gridSpan w:val="5"/>
          </w:tcPr>
          <w:p>
            <w:pPr>
              <w:spacing w:after="0"/>
              <w:rPr>
                <w:sz w:val="20"/>
                <w:szCs w:val="20"/>
                <w:color w:val="auto"/>
              </w:rPr>
            </w:pPr>
            <w:r>
              <w:rPr>
                <w:rFonts w:ascii="Arial" w:cs="Arial" w:eastAsia="Arial" w:hAnsi="Arial"/>
                <w:sz w:val="18"/>
                <w:szCs w:val="18"/>
                <w:color w:val="auto"/>
                <w:w w:val="92"/>
              </w:rPr>
              <w:t>through operation of the sinking fund (expressed as percentages of the principal amount) set forth in the table below and (b) at any time [on or after</w:t>
            </w:r>
          </w:p>
        </w:tc>
        <w:tc>
          <w:tcPr>
            <w:tcW w:w="540" w:type="dxa"/>
            <w:vAlign w:val="bottom"/>
          </w:tcPr>
          <w:p>
            <w:pPr>
              <w:ind w:left="140"/>
              <w:spacing w:after="0"/>
              <w:rPr>
                <w:sz w:val="20"/>
                <w:szCs w:val="20"/>
                <w:color w:val="auto"/>
              </w:rPr>
            </w:pPr>
            <w:r>
              <w:rPr>
                <w:rFonts w:ascii="Arial" w:cs="Arial" w:eastAsia="Arial" w:hAnsi="Arial"/>
                <w:sz w:val="18"/>
                <w:szCs w:val="18"/>
                <w:color w:val="auto"/>
                <w:w w:val="77"/>
              </w:rPr>
              <w:t>], as a</w:t>
            </w:r>
          </w:p>
        </w:tc>
      </w:tr>
    </w:tbl>
    <w:p>
      <w:pPr>
        <w:spacing w:after="0"/>
        <w:rPr>
          <w:sz w:val="20"/>
          <w:szCs w:val="20"/>
          <w:color w:val="auto"/>
        </w:rPr>
      </w:pPr>
      <w:r>
        <w:rPr>
          <w:rFonts w:ascii="Arial" w:cs="Arial" w:eastAsia="Arial" w:hAnsi="Arial"/>
          <w:sz w:val="16"/>
          <w:szCs w:val="16"/>
          <w:color w:val="auto"/>
        </w:rPr>
        <w:t>whole or in part, at the election of the Company, at the Redemption Prices for redemption otherwise than through operation of the sinking fund (expressed as</w:t>
      </w:r>
    </w:p>
    <w:p>
      <w:pPr>
        <w:spacing w:after="0" w:line="394" w:lineRule="exact"/>
        <w:rPr>
          <w:sz w:val="20"/>
          <w:szCs w:val="20"/>
          <w:color w:val="auto"/>
        </w:rPr>
      </w:pPr>
    </w:p>
    <w:p>
      <w:pPr>
        <w:spacing w:after="0"/>
        <w:tabs>
          <w:tab w:leader="none" w:pos="8720" w:val="left"/>
        </w:tabs>
        <w:rPr>
          <w:sz w:val="20"/>
          <w:szCs w:val="20"/>
          <w:color w:val="auto"/>
        </w:rPr>
      </w:pPr>
      <w:r>
        <w:rPr>
          <w:rFonts w:ascii="Arial" w:cs="Arial" w:eastAsia="Arial" w:hAnsi="Arial"/>
          <w:sz w:val="18"/>
          <w:szCs w:val="18"/>
          <w:color w:val="auto"/>
        </w:rPr>
        <w:t>percentages of the principal amount) set forth in the table below: If redeemed during the 12-month period beginning</w:t>
      </w:r>
      <w:r>
        <w:rPr>
          <w:sz w:val="20"/>
          <w:szCs w:val="20"/>
          <w:color w:val="auto"/>
        </w:rPr>
        <w:tab/>
      </w:r>
      <w:r>
        <w:rPr>
          <w:rFonts w:ascii="Arial" w:cs="Arial" w:eastAsia="Arial" w:hAnsi="Arial"/>
          <w:sz w:val="15"/>
          <w:szCs w:val="15"/>
          <w:color w:val="auto"/>
        </w:rPr>
        <w:t>of the years indicated,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Redemption Price for Redemption Through</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87"/>
              </w:rPr>
              <w:t>Redemption Price for Redemption</w:t>
            </w:r>
          </w:p>
        </w:tc>
      </w:tr>
      <w:tr>
        <w:trPr>
          <w:trHeight w:val="149"/>
        </w:trPr>
        <w:tc>
          <w:tcPr>
            <w:tcW w:w="3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Operation of the Sinking</w:t>
            </w:r>
          </w:p>
        </w:tc>
        <w:tc>
          <w:tcPr>
            <w:tcW w:w="3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Otherwise Than Through</w:t>
            </w:r>
          </w:p>
        </w:tc>
      </w:tr>
      <w:tr>
        <w:trPr>
          <w:trHeight w:val="168"/>
        </w:trPr>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w:t>
            </w:r>
          </w:p>
        </w:tc>
        <w:tc>
          <w:tcPr>
            <w:tcW w:w="560" w:type="dxa"/>
            <w:vAlign w:val="bottom"/>
          </w:tcPr>
          <w:p>
            <w:pPr>
              <w:spacing w:after="0"/>
              <w:rPr>
                <w:sz w:val="14"/>
                <w:szCs w:val="14"/>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Fund</w:t>
            </w:r>
          </w:p>
        </w:tc>
        <w:tc>
          <w:tcPr>
            <w:tcW w:w="120" w:type="dxa"/>
            <w:vAlign w:val="bottom"/>
          </w:tcPr>
          <w:p>
            <w:pPr>
              <w:spacing w:after="0"/>
              <w:rPr>
                <w:sz w:val="14"/>
                <w:szCs w:val="14"/>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Operation of the Sinking Fund</w:t>
            </w:r>
          </w:p>
        </w:tc>
      </w:tr>
      <w:tr>
        <w:trPr>
          <w:trHeight w:val="511"/>
        </w:trPr>
        <w:tc>
          <w:tcPr>
            <w:tcW w:w="3460" w:type="dxa"/>
            <w:vAlign w:val="bottom"/>
            <w:gridSpan w:val="2"/>
          </w:tcPr>
          <w:p>
            <w:pPr>
              <w:spacing w:after="0"/>
              <w:rPr>
                <w:sz w:val="20"/>
                <w:szCs w:val="20"/>
                <w:color w:val="auto"/>
              </w:rPr>
            </w:pPr>
            <w:r>
              <w:rPr>
                <w:rFonts w:ascii="Arial" w:cs="Arial" w:eastAsia="Arial" w:hAnsi="Arial"/>
                <w:sz w:val="18"/>
                <w:szCs w:val="18"/>
                <w:color w:val="auto"/>
                <w:w w:val="94"/>
              </w:rPr>
              <w:t>and thereafter at a Redemption Price equal to</w:t>
            </w:r>
          </w:p>
        </w:tc>
        <w:tc>
          <w:tcPr>
            <w:tcW w:w="7960" w:type="dxa"/>
            <w:vAlign w:val="bottom"/>
            <w:gridSpan w:val="4"/>
          </w:tcPr>
          <w:p>
            <w:pPr>
              <w:ind w:left="300"/>
              <w:spacing w:after="0"/>
              <w:rPr>
                <w:sz w:val="20"/>
                <w:szCs w:val="20"/>
                <w:color w:val="auto"/>
              </w:rPr>
            </w:pPr>
            <w:r>
              <w:rPr>
                <w:rFonts w:ascii="Arial" w:cs="Arial" w:eastAsia="Arial" w:hAnsi="Arial"/>
                <w:sz w:val="18"/>
                <w:szCs w:val="18"/>
                <w:color w:val="auto"/>
                <w:w w:val="91"/>
              </w:rPr>
              <w:t>% of the principal amount, together in the case of any such redemption (whether through operation of the</w:t>
            </w:r>
          </w:p>
        </w:tc>
      </w:tr>
    </w:tbl>
    <w:p>
      <w:pPr>
        <w:jc w:val="both"/>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Regular Record Dates referred to on the face hereof, all as provided in the Indenture.]</w:t>
      </w:r>
    </w:p>
    <w:p>
      <w:pPr>
        <w:spacing w:after="0" w:line="144" w:lineRule="exact"/>
        <w:rPr>
          <w:sz w:val="20"/>
          <w:szCs w:val="20"/>
          <w:color w:val="auto"/>
        </w:rPr>
      </w:pPr>
    </w:p>
    <w:p>
      <w:pPr>
        <w:ind w:right="240" w:firstLine="456"/>
        <w:spacing w:after="0" w:line="286" w:lineRule="auto"/>
        <w:rPr>
          <w:sz w:val="20"/>
          <w:szCs w:val="20"/>
          <w:color w:val="auto"/>
        </w:rPr>
      </w:pPr>
      <w:r>
        <w:rPr>
          <w:rFonts w:ascii="Arial" w:cs="Arial" w:eastAsia="Arial" w:hAnsi="Arial"/>
          <w:sz w:val="16"/>
          <w:szCs w:val="16"/>
          <w:color w:val="auto"/>
        </w:rPr>
        <w:t>[Notwithstanding the foregoing, the Company may not, prior to , redeem any Securities of this series as contemplated by [clause (b) of] the preceding paragraph as a part of, or in anticipation of, any refunding operation by the application, directly or indirectly, of moneys borrowed having an interest</w:t>
      </w:r>
    </w:p>
    <w:p>
      <w:pPr>
        <w:spacing w:after="0"/>
        <w:tabs>
          <w:tab w:leader="none" w:pos="7700" w:val="left"/>
        </w:tabs>
        <w:rPr>
          <w:sz w:val="20"/>
          <w:szCs w:val="20"/>
          <w:color w:val="auto"/>
        </w:rPr>
      </w:pPr>
      <w:r>
        <w:rPr>
          <w:rFonts w:ascii="Arial" w:cs="Arial" w:eastAsia="Arial" w:hAnsi="Arial"/>
          <w:sz w:val="18"/>
          <w:szCs w:val="18"/>
          <w:color w:val="auto"/>
        </w:rPr>
        <w:t>cost to the Company (calculated in accordance with generally accepted financial practice) of less than</w:t>
      </w:r>
      <w:r>
        <w:rPr>
          <w:sz w:val="20"/>
          <w:szCs w:val="20"/>
          <w:color w:val="auto"/>
        </w:rPr>
        <w:tab/>
      </w:r>
      <w:r>
        <w:rPr>
          <w:rFonts w:ascii="Arial" w:cs="Arial" w:eastAsia="Arial" w:hAnsi="Arial"/>
          <w:sz w:val="15"/>
          <w:szCs w:val="15"/>
          <w:color w:val="auto"/>
        </w:rPr>
        <w:t>% per annum.]</w:t>
      </w:r>
    </w:p>
    <w:p>
      <w:pPr>
        <w:spacing w:after="0" w:line="16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sinking fund for this series provides for the redemption on in each year beginning with the year and ending with the year of [not less than] $ [(“</w:t>
      </w:r>
      <w:r>
        <w:rPr>
          <w:rFonts w:ascii="Arial" w:cs="Arial" w:eastAsia="Arial" w:hAnsi="Arial"/>
          <w:sz w:val="18"/>
          <w:szCs w:val="18"/>
          <w:b w:val="1"/>
          <w:bCs w:val="1"/>
          <w:i w:val="1"/>
          <w:iCs w:val="1"/>
          <w:color w:val="auto"/>
        </w:rPr>
        <w:t>mandatory sinking fund</w:t>
      </w:r>
      <w:r>
        <w:rPr>
          <w:rFonts w:ascii="Arial" w:cs="Arial" w:eastAsia="Arial" w:hAnsi="Arial"/>
          <w:sz w:val="18"/>
          <w:szCs w:val="18"/>
          <w:color w:val="auto"/>
        </w:rPr>
        <w:t>”)] and not more than $ aggregate principal amount of Securities of this series. [Securities of this series</w:t>
      </w:r>
    </w:p>
    <w:p>
      <w:pPr>
        <w:ind w:right="40"/>
        <w:spacing w:after="0" w:line="323" w:lineRule="auto"/>
        <w:rPr>
          <w:sz w:val="20"/>
          <w:szCs w:val="20"/>
          <w:color w:val="auto"/>
        </w:rPr>
      </w:pPr>
      <w:r>
        <w:rPr>
          <w:rFonts w:ascii="Arial" w:cs="Arial" w:eastAsia="Arial" w:hAnsi="Arial"/>
          <w:sz w:val="16"/>
          <w:szCs w:val="16"/>
          <w:color w:val="auto"/>
        </w:rPr>
        <w:t>converted pursuant to the Indenture or acquired or redeemed by the Company otherwise than through [mandatory] sinking fund payments may be credited against subsequent [mandatory] sinking fund payments otherwise required to be made in the [</w:t>
      </w:r>
      <w:r>
        <w:rPr>
          <w:rFonts w:ascii="Arial" w:cs="Arial" w:eastAsia="Arial" w:hAnsi="Arial"/>
          <w:sz w:val="16"/>
          <w:szCs w:val="16"/>
          <w:u w:val="single" w:color="auto"/>
          <w:color w:val="auto"/>
        </w:rPr>
        <w:t>describe order</w:t>
      </w:r>
      <w:r>
        <w:rPr>
          <w:rFonts w:ascii="Arial" w:cs="Arial" w:eastAsia="Arial" w:hAnsi="Arial"/>
          <w:sz w:val="16"/>
          <w:szCs w:val="16"/>
          <w:color w:val="auto"/>
        </w:rPr>
        <w:t>] order in which they become due.]]</w:t>
      </w:r>
    </w:p>
    <w:p>
      <w:pPr>
        <w:spacing w:after="0" w:line="9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the event of redemption or conversion of this Security in part only, a new Security or Securities of this series for the unredeemed or unconverted portion hereof will be issued in the name of the Holder hereof upon the cancellation 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If applicable, insert</w:t>
      </w:r>
      <w:r>
        <w:rPr>
          <w:rFonts w:ascii="Arial" w:cs="Arial" w:eastAsia="Arial" w:hAnsi="Arial"/>
          <w:sz w:val="16"/>
          <w:szCs w:val="16"/>
          <w:color w:val="auto"/>
        </w:rPr>
        <w:t>—The Securities of this series are subject to the covenant defeasance provisions set forth in Article Four of the Indenture.]</w:t>
      </w:r>
    </w:p>
    <w:p>
      <w:pPr>
        <w:spacing w:after="0" w:line="194"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[If the Security is not an Original Issue Discount Security, insert—If an Event of Default with respect to Securities of this series shall occur and be continuing, the principal of the Securities of this series may be declared due and payable in the manner and with the effect provided in the Indenture.]</w:t>
      </w:r>
    </w:p>
    <w:p>
      <w:pPr>
        <w:spacing w:after="0" w:line="85"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If the Security is an Original Issue Discount Security, insert</w:t>
      </w:r>
      <w:r>
        <w:rPr>
          <w:rFonts w:ascii="Arial" w:cs="Arial" w:eastAsia="Arial" w:hAnsi="Arial"/>
          <w:sz w:val="16"/>
          <w:szCs w:val="16"/>
          <w:color w:val="auto"/>
        </w:rPr>
        <w:t>—If an Event of Default with respect to Securities of this series shall occur and be continuing, an amount of principal of the Securities of this series may be declared due and payable in the manner and with the effect provided in the Indenture. Such amount shall be equal to—</w:t>
      </w:r>
      <w:r>
        <w:rPr>
          <w:rFonts w:ascii="Arial" w:cs="Arial" w:eastAsia="Arial" w:hAnsi="Arial"/>
          <w:sz w:val="16"/>
          <w:szCs w:val="16"/>
          <w:u w:val="single" w:color="auto"/>
          <w:color w:val="auto"/>
        </w:rPr>
        <w:t>insert formula for determining the amount</w:t>
      </w:r>
      <w:r>
        <w:rPr>
          <w:rFonts w:ascii="Arial" w:cs="Arial" w:eastAsia="Arial" w:hAnsi="Arial"/>
          <w:sz w:val="16"/>
          <w:szCs w:val="16"/>
          <w:color w:val="auto"/>
        </w:rPr>
        <w:t>. Upon payment (a) of the amount of principal so declared due and payable and (b) of interest on any overdue principal and overdue interest (in each case to the extent that the payment of such interest shall be legally enforceable), all the Company’s obligations in respect of the payment of the principal of and interest, if any, on the Securities of this series shall terminate.]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3" w:right="239" w:bottom="1440" w:gutter="0" w:footer="0" w:header="0"/>
        </w:sectPr>
      </w:pPr>
    </w:p>
    <w:bookmarkStart w:id="161" w:name="page162"/>
    <w:bookmarkEnd w:id="161"/>
    <w:p>
      <w:pPr>
        <w:ind w:right="2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Outstanding Securities of each series to be affected. The Indenture also contains provisions permitting the Holders of specified percentages in principal amount of the Outstanding Securities of each series, on behalf of the Holders of all Outstanding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or in lieu hereof, whether or not notation of such consent or waiver is made upon this Security.</w:t>
      </w:r>
    </w:p>
    <w:p>
      <w:pPr>
        <w:spacing w:after="0" w:line="118"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No reference herein to the Indenture and no provision of this Security or of the Indenture shall alter or impair the obligation of the Company, which is absolute and unconditional, to pay the amount of principal of (and premium, if any, on) and interest, if any, on this Security herein provided, and at the times, place and rate, and in the coin or currency, herein prescribed or to convert this Security as provided in the Indenture.</w:t>
      </w:r>
    </w:p>
    <w:p>
      <w:pPr>
        <w:spacing w:after="0" w:line="10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premium, if any, on) and interest, if any,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of authorized denominations and for the same aggregate principal amount, will be issued to the designated transferee or transferees.</w:t>
      </w:r>
    </w:p>
    <w:p>
      <w:pPr>
        <w:spacing w:after="0" w:line="11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Securities of this series are issuable only in registered form without coupons in denominations of $ and any integral multiple thereof. As provided in the Indenture and subject to certain limitations therein set forth, Securities of this series are exchangeable for a like aggregate principal amount of Securities of this series of different authorized denominations as requested by the Holder surrendering the same.</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3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nor the Trustee nor any such agent shall be affected by notice to the contrary.</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280" w:right="399" w:bottom="1440" w:gutter="0" w:footer="0" w:header="0"/>
        </w:sectPr>
      </w:pPr>
    </w:p>
    <w:bookmarkStart w:id="162" w:name="page163"/>
    <w:bookmarkEnd w:id="16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terms used in this Security which are defined in the Indenture shall have the meanings assigned to them in the Indenture.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CONVERSION NOTICE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ITRON, INC.</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undersigned owner of this Security hereby irrevocably exercises the option to convert this Security, or portion hereof (which is $1,000 or an integral multiple thereof) below designated, into shares of Common Stock of ITRON, INC., in accordance with the terms of the Indenture referred to in this Security, and directs that the shares issuable and deliverable upon the conversion, together with any check in payment for fractional shares and any Securities representing any unconverted principal amount hereof, be issued and delivered to the registered holder hereof unless a different name has been indicated below. If shares are to be issued in the name of a person other than the undersigned, the undersigned will pay all transfer taxes payable with respect thereto. Any amount required to be paid by the undersigned on account of interest accompanies this Security.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Fill in for registration of shares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Common Stock and Securities if to</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 issued otherwise than to the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registered holder.</w:t>
      </w:r>
    </w:p>
    <w:p>
      <w:pPr>
        <w:spacing w:after="0" w:line="84" w:lineRule="exact"/>
        <w:rPr>
          <w:sz w:val="20"/>
          <w:szCs w:val="20"/>
          <w:color w:val="auto"/>
        </w:rPr>
      </w:pPr>
    </w:p>
    <w:p>
      <w:pPr>
        <w:ind w:left="8320"/>
        <w:spacing w:after="0"/>
        <w:rPr>
          <w:sz w:val="20"/>
          <w:szCs w:val="20"/>
          <w:color w:val="auto"/>
        </w:rPr>
      </w:pPr>
      <w:r>
        <w:rPr>
          <w:rFonts w:ascii="Arial" w:cs="Arial" w:eastAsia="Arial" w:hAnsi="Arial"/>
          <w:sz w:val="16"/>
          <w:szCs w:val="16"/>
          <w:color w:val="auto"/>
        </w:rPr>
        <w:t>Principal Amount to be converted (in an</w:t>
      </w:r>
    </w:p>
    <w:p>
      <w:pPr>
        <w:spacing w:after="0" w:line="38" w:lineRule="exact"/>
        <w:rPr>
          <w:sz w:val="20"/>
          <w:szCs w:val="20"/>
          <w:color w:val="auto"/>
        </w:rPr>
      </w:pPr>
    </w:p>
    <w:p>
      <w:pPr>
        <w:ind w:left="8360"/>
        <w:spacing w:after="0"/>
        <w:rPr>
          <w:sz w:val="20"/>
          <w:szCs w:val="20"/>
          <w:color w:val="auto"/>
        </w:rPr>
      </w:pPr>
      <w:r>
        <w:rPr>
          <w:rFonts w:ascii="Arial" w:cs="Arial" w:eastAsia="Arial" w:hAnsi="Arial"/>
          <w:sz w:val="16"/>
          <w:szCs w:val="16"/>
          <w:color w:val="auto"/>
        </w:rPr>
        <w:t>integral multiple of $1,000, if less than all):</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360" w:type="dxa"/>
            <w:vAlign w:val="bottom"/>
            <w:tcBorders>
              <w:bottom w:val="single" w:sz="8" w:color="auto"/>
            </w:tcBorders>
          </w:tcPr>
          <w:p>
            <w:pPr>
              <w:spacing w:after="0"/>
              <w:rPr>
                <w:sz w:val="18"/>
                <w:szCs w:val="18"/>
                <w:color w:val="auto"/>
              </w:rPr>
            </w:pPr>
          </w:p>
        </w:tc>
        <w:tc>
          <w:tcPr>
            <w:tcW w:w="604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Name</w:t>
            </w:r>
          </w:p>
        </w:tc>
        <w:tc>
          <w:tcPr>
            <w:tcW w:w="68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223"/>
        </w:trPr>
        <w:tc>
          <w:tcPr>
            <w:tcW w:w="5380" w:type="dxa"/>
            <w:vAlign w:val="bottom"/>
            <w:tcBorders>
              <w:bottom w:val="single" w:sz="8" w:color="auto"/>
            </w:tcBorders>
            <w:gridSpan w:val="2"/>
          </w:tcPr>
          <w:p>
            <w:pPr>
              <w:spacing w:after="0"/>
              <w:rPr>
                <w:sz w:val="19"/>
                <w:szCs w:val="19"/>
                <w:color w:val="auto"/>
              </w:rPr>
            </w:pPr>
          </w:p>
        </w:tc>
        <w:tc>
          <w:tcPr>
            <w:tcW w:w="68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68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223"/>
        </w:trPr>
        <w:tc>
          <w:tcPr>
            <w:tcW w:w="5380" w:type="dxa"/>
            <w:vAlign w:val="bottom"/>
            <w:tcBorders>
              <w:bottom w:val="single" w:sz="8" w:color="auto"/>
            </w:tcBorders>
            <w:gridSpan w:val="2"/>
          </w:tcPr>
          <w:p>
            <w:pPr>
              <w:spacing w:after="0"/>
              <w:rPr>
                <w:sz w:val="19"/>
                <w:szCs w:val="19"/>
                <w:color w:val="auto"/>
              </w:rPr>
            </w:pPr>
          </w:p>
        </w:tc>
        <w:tc>
          <w:tcPr>
            <w:tcW w:w="680" w:type="dxa"/>
            <w:vAlign w:val="bottom"/>
          </w:tcPr>
          <w:p>
            <w:pPr>
              <w:spacing w:after="0"/>
              <w:rPr>
                <w:sz w:val="19"/>
                <w:szCs w:val="19"/>
                <w:color w:val="auto"/>
              </w:rPr>
            </w:pPr>
          </w:p>
        </w:tc>
        <w:tc>
          <w:tcPr>
            <w:tcW w:w="5360" w:type="dxa"/>
            <w:vAlign w:val="bottom"/>
            <w:tcBorders>
              <w:bottom w:val="single" w:sz="8" w:color="auto"/>
            </w:tcBorders>
          </w:tcPr>
          <w:p>
            <w:pPr>
              <w:spacing w:after="0"/>
              <w:rPr>
                <w:sz w:val="19"/>
                <w:szCs w:val="19"/>
                <w:color w:val="auto"/>
              </w:rPr>
            </w:pPr>
          </w:p>
        </w:tc>
      </w:tr>
      <w:tr>
        <w:trPr>
          <w:trHeight w:val="201"/>
        </w:trPr>
        <w:tc>
          <w:tcPr>
            <w:tcW w:w="5380" w:type="dxa"/>
            <w:vAlign w:val="bottom"/>
            <w:gridSpan w:val="2"/>
          </w:tcPr>
          <w:p>
            <w:pPr>
              <w:spacing w:after="0" w:line="201" w:lineRule="exact"/>
              <w:rPr>
                <w:sz w:val="20"/>
                <w:szCs w:val="20"/>
                <w:color w:val="auto"/>
              </w:rPr>
            </w:pPr>
            <w:r>
              <w:rPr>
                <w:rFonts w:ascii="Arial" w:cs="Arial" w:eastAsia="Arial" w:hAnsi="Arial"/>
                <w:sz w:val="18"/>
                <w:szCs w:val="18"/>
                <w:color w:val="auto"/>
              </w:rPr>
              <w:t>(Please print name and address</w:t>
            </w:r>
          </w:p>
        </w:tc>
        <w:tc>
          <w:tcPr>
            <w:tcW w:w="680" w:type="dxa"/>
            <w:vAlign w:val="bottom"/>
          </w:tcPr>
          <w:p>
            <w:pPr>
              <w:spacing w:after="0"/>
              <w:rPr>
                <w:sz w:val="17"/>
                <w:szCs w:val="17"/>
                <w:color w:val="auto"/>
              </w:rPr>
            </w:pPr>
          </w:p>
        </w:tc>
        <w:tc>
          <w:tcPr>
            <w:tcW w:w="5360" w:type="dxa"/>
            <w:vAlign w:val="bottom"/>
          </w:tcPr>
          <w:p>
            <w:pPr>
              <w:spacing w:after="0" w:line="201" w:lineRule="exact"/>
              <w:rPr>
                <w:sz w:val="20"/>
                <w:szCs w:val="20"/>
                <w:color w:val="auto"/>
              </w:rPr>
            </w:pPr>
            <w:r>
              <w:rPr>
                <w:rFonts w:ascii="Arial" w:cs="Arial" w:eastAsia="Arial" w:hAnsi="Arial"/>
                <w:sz w:val="18"/>
                <w:szCs w:val="18"/>
                <w:color w:val="auto"/>
              </w:rPr>
              <w:t>Signature</w:t>
            </w: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(including zip code number))</w:t>
            </w:r>
          </w:p>
        </w:tc>
        <w:tc>
          <w:tcPr>
            <w:tcW w:w="68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385"/>
        </w:trPr>
        <w:tc>
          <w:tcPr>
            <w:tcW w:w="2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SOCIAL SECURITY OR OTHER</w:t>
            </w:r>
          </w:p>
        </w:tc>
        <w:tc>
          <w:tcPr>
            <w:tcW w:w="68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TAXPAYER IDENTIFYING</w:t>
            </w:r>
          </w:p>
        </w:tc>
        <w:tc>
          <w:tcPr>
            <w:tcW w:w="68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NUMBER</w:t>
            </w:r>
          </w:p>
        </w:tc>
        <w:tc>
          <w:tcPr>
            <w:tcW w:w="68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365"/>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-5-</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color w:val="auto"/>
        </w:rPr>
        <w:t>Exhibit 5.1</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Perkins Coie LLP</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1201 Third Avenue, Suite 4800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Seattle, WA 98101-3099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Phone: 206 359-8000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206 359-9000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www.perkinscoie.com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May 24,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Itron,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2111 N. Molter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Washington 99019</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Registration Statement on Form S-3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We have acted as counsel to Itron, Inc., a Washington corporation (the “Company”), in connection with the preparation and filing of an automatic shelf registration statement on Form S-3 (the “Registration Statement”) with the Securities and Exchange Commission (the “Commission”) pursuant to the Securities Act of 1933, as amended (the “Securities Act”), and the rules and regulations promulgated thereunder (the “Rules”), for the registration of the sale from time to time of:</w:t>
      </w:r>
    </w:p>
    <w:p>
      <w:pPr>
        <w:spacing w:after="0" w:line="62" w:lineRule="exact"/>
        <w:rPr>
          <w:sz w:val="20"/>
          <w:szCs w:val="20"/>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shares of the Company’s common stock, no par value (the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shares of the Company’s preferred stock, no par value (the “Preferred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debt securities of the Company (the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convertible debt securities of the Company (the “Convertible Debt Securities”), and</w:t>
      </w:r>
    </w:p>
    <w:p>
      <w:pPr>
        <w:spacing w:after="0" w:line="90" w:lineRule="exact"/>
        <w:rPr>
          <w:rFonts w:ascii="Arial" w:cs="Arial" w:eastAsia="Arial" w:hAnsi="Arial"/>
          <w:sz w:val="18"/>
          <w:szCs w:val="18"/>
          <w:color w:val="auto"/>
        </w:rPr>
      </w:pPr>
    </w:p>
    <w:p>
      <w:pPr>
        <w:ind w:left="900" w:right="120" w:hanging="446"/>
        <w:spacing w:after="0" w:line="298" w:lineRule="auto"/>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preferred share purchase rights to purchase shares of the Company’s Series R Junior Participating Preferred Stock that attach to the Common Stock (the “Rights” and together with the Common Stock, Preferred Stock, Debt Securities and Convertible Debt Securities, collectively the “Securities”), when issued in accordance with the terms of the Rights Agreement, dated as of December 11, 2002, between the Company and Mellon Investor Services LLC, as rights agent (as it may be amended from time to time, the “Rights Agreement”).</w:t>
      </w:r>
    </w:p>
    <w:p>
      <w:pPr>
        <w:spacing w:after="0" w:line="113"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The Company has informed us that the Securities will be sold or delivered on a delayed or continuous basis from time to time as set forth in the Registration Statement (and any amendments thereto), the prospectus contained therein and any prospectus supplement. We understand that prior to the sale of any Securities under the Registration Statement, the Company will afford us an opportunity to review the operative documents pursuant to which such Securities are to be sold and will file the applicable amendment to the Registration Statement (which may include as an exhibit an amendment to this opinion) or prospectus supplement as we may reasonably consider necessary or appropriate by reason of the terms of the sale of such Securities.</w:t>
      </w:r>
    </w:p>
    <w:p>
      <w:pPr>
        <w:sectPr>
          <w:pgSz w:w="11900" w:h="16838" w:orient="portrait"/>
          <w:cols w:equalWidth="0" w:num="1">
            <w:col w:w="11420"/>
          </w:cols>
          <w:pgMar w:left="240" w:top="131" w:right="239" w:bottom="1440" w:gutter="0" w:footer="0" w:header="0"/>
        </w:sectPr>
      </w:pPr>
    </w:p>
    <w:bookmarkStart w:id="164" w:name="page165"/>
    <w:bookmarkEnd w:id="164"/>
    <w:p>
      <w:pPr>
        <w:ind w:firstLine="913"/>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each case, except as otherwise set forth in the applicable amendment to the Registration Statement or prospectus supplement, (a) any Debt Securities will be issued in one or more series pursuant to an applicable debt indenture (together with any supplemental indentures, the “Indenture”) to be entered into between the Company and a trustee thereunder (the “Debt Trustee”) in a form that either has been filed as an exhibit to the Registration Statement or will be filed as an exhibit to a post-effective amendment to the Registration Statement or incorporated by reference therein; (b) any Convertible Debt Securities will be issued in one or more series pursuant to an applicable convertible debt indenture (together with any supplemental indentures, the “Convertible Debt Indenture”) to be entered into between the Company and a trustee thereunder (the “Convertible Debt Trustee”) in a form that either has been filed as an exhibit to the Registration Statement or will be filed as an exhibit to a post-effective amendment to the Registration Statement or incorporated by reference therein; (c) any series of Preferred Stock will be issued under the Company’s Amended and Restated Articles of Incorporation, as may be amended from time to time after the date hereof (the “Articles”), and one or more resolutions of the Board of Directors setting forth the terms and conditions of the Preferred Stock; and (d) any Common Stock will be issued under the Company’s Articles.</w:t>
      </w:r>
    </w:p>
    <w:p>
      <w:pPr>
        <w:spacing w:after="0" w:line="123" w:lineRule="exact"/>
        <w:rPr>
          <w:sz w:val="20"/>
          <w:szCs w:val="20"/>
          <w:color w:val="auto"/>
        </w:rPr>
      </w:pPr>
    </w:p>
    <w:p>
      <w:pPr>
        <w:ind w:right="280" w:firstLine="913"/>
        <w:spacing w:after="0" w:line="294" w:lineRule="auto"/>
        <w:rPr>
          <w:sz w:val="20"/>
          <w:szCs w:val="20"/>
          <w:color w:val="auto"/>
        </w:rPr>
      </w:pPr>
      <w:r>
        <w:rPr>
          <w:rFonts w:ascii="Arial" w:cs="Arial" w:eastAsia="Arial" w:hAnsi="Arial"/>
          <w:sz w:val="16"/>
          <w:szCs w:val="16"/>
          <w:color w:val="auto"/>
        </w:rPr>
        <w:t>As part of the corporate actions taken and to be taken in connection with the issuance and sale of the Securities (the “corporate proceedings”), the Company has informed us that the Company’s Board of Directors or a committee thereof or, in the case of Debt Securities, certain authorized officers of the Company as authorized by the Board of Directors will, before the Securities are issued and sold under the Registration Statement, authorize the issuance and approve the terms of any Securities to be issued and sold by the Company from time to time under the Registration Statement, and such applicable corporate proceedings shall be in full force and effect at any such issuance and sale.</w:t>
      </w:r>
    </w:p>
    <w:p>
      <w:pPr>
        <w:spacing w:after="0" w:line="116"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In our capacity as counsel to the Company, we have examined or are otherwise familiar with the Company’s Articles and Amended and Restated Bylaws, the Registration Statement, such of the corporate proceedings as have occurred as of the date hereof, and such other documents, records and instruments as we have deemed necessary for the purposes of this opinion. In such examination, we have assumed the following: (i) the authenticity of original documents and the genuineness of all signatures; (ii) the conformity to the originals of all documents submitted to us as copies; and (iii) the truth, accuracy and completeness of the information, representations and warranties contained in the records, documents, instruments and certificates we have reviewed. For purposes of the opinions expressed below, we also assume that (a) the Registration Statement, and any amendments or prospectus supplements relating thereto (including any necessary post-effective amendments) shall have become and be effective pursuant to timely filings under the Securities Act, (b) a prospectus supplement describing each class and series of Securities offered pursuant to the Registration Statement, to the extent required by applicable law and the Rules, will be timely filed with the Commission, (c) with respect to the opinions in Paragraphs 3 and 5 below, compliance by the Company and the Trustee with the terms and conditions of the Debt Indenture or the Convertible Debt Indenture, as applicable, regarding the creation, authentication and delivery of any supplemental indenture to such Indenture, (d) all applicable corporate proceedings authorizing the issue, offer and sale of the Securities remain in full force and effect at all times any Securities are issued, offered or sold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65" w:name="page166"/>
    <w:bookmarkEnd w:id="165"/>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the Company, (e) any Securities issuable upon conversion, exchange, or exercise of any of the other Securities, will have been duly authorized and reserved for issuance (in each case within the limits of the then remaining authorized but unreserved and unissued amounts of such Securities), and duly executed and delivered and validly issued, as the case may be, and (f) at the time of issuance and sale of any of the Securities, the terms of the Securities, and their issuance and sale, will have been established so as not to violate any applicable law or result in a default under or a breach of any agreement or instrument binding upon the Company and so as to comply with any requirement or restriction imposed by any court or governmental body having jurisdiction over the Company.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and subject to the foregoing, we are of the opinion that:</w:t>
      </w:r>
    </w:p>
    <w:p>
      <w:pPr>
        <w:spacing w:after="0" w:line="90" w:lineRule="exact"/>
        <w:rPr>
          <w:sz w:val="20"/>
          <w:szCs w:val="20"/>
          <w:color w:val="auto"/>
        </w:rPr>
      </w:pPr>
    </w:p>
    <w:p>
      <w:pPr>
        <w:ind w:left="900" w:right="220" w:hanging="446"/>
        <w:spacing w:after="0" w:line="259"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Common Stock, when issued, sold and delivered in the manner and for the consideration stated in the Registration Statement (including any amendments thereto) and any prospectus supplements related thereto, and as contemplated by the applicable corporate proceedings, will be validly issued, fully paid and nonassessable</w:t>
      </w:r>
    </w:p>
    <w:p>
      <w:pPr>
        <w:spacing w:after="0" w:line="59" w:lineRule="exact"/>
        <w:rPr>
          <w:rFonts w:ascii="Arial" w:cs="Arial" w:eastAsia="Arial" w:hAnsi="Arial"/>
          <w:sz w:val="18"/>
          <w:szCs w:val="18"/>
          <w:color w:val="auto"/>
        </w:rPr>
      </w:pPr>
    </w:p>
    <w:p>
      <w:pPr>
        <w:ind w:left="900" w:right="300" w:hanging="446"/>
        <w:spacing w:after="0" w:line="291" w:lineRule="auto"/>
        <w:tabs>
          <w:tab w:leader="none" w:pos="9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When (a) the terms of any particular series of Preferred Stock have been established in accordance with the Articles and applicable corporate proceedings authorizing the issuance and sale of Preferred Stock, (b) a statement of designation conforming with Washington law regarding the Preferred Stock has been filed with and accepted by the Secretary of State of the State of Washington and (c) the Preferred Stock has been issued, sold and delivered in the manner and for the consideration stated in the Registration Statement (including any amendments thereto) and any prospectus supplements related thereto, and in accordance with the terms of the particular series as contemplated by the applicable corporate proceedings, the Preferred Stock will be validly issued, fully paid and nonassessable.</w:t>
      </w:r>
    </w:p>
    <w:p>
      <w:pPr>
        <w:spacing w:after="0" w:line="39" w:lineRule="exact"/>
        <w:rPr>
          <w:rFonts w:ascii="Arial" w:cs="Arial" w:eastAsia="Arial" w:hAnsi="Arial"/>
          <w:sz w:val="16"/>
          <w:szCs w:val="16"/>
          <w:color w:val="auto"/>
        </w:rPr>
      </w:pPr>
    </w:p>
    <w:p>
      <w:pPr>
        <w:ind w:left="900" w:right="120" w:hanging="446"/>
        <w:spacing w:after="0" w:line="306" w:lineRule="auto"/>
        <w:tabs>
          <w:tab w:leader="none" w:pos="9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When the Debt Indenture has been duly authorized, executed and delivered by the Company and qualified under the Trust Indenture Act of 1939, as amended (the “Trust Indenture Act”), and assuming due authorization, execution and delivery by the Debt Trustee, such Debt Indenture will constitute a valid and legally binding obligation of the Company, enforceable against the Company in accordance with its terms.</w:t>
      </w:r>
    </w:p>
    <w:p>
      <w:pPr>
        <w:spacing w:after="0" w:line="25" w:lineRule="exact"/>
        <w:rPr>
          <w:rFonts w:ascii="Arial" w:cs="Arial" w:eastAsia="Arial" w:hAnsi="Arial"/>
          <w:sz w:val="16"/>
          <w:szCs w:val="16"/>
          <w:color w:val="auto"/>
        </w:rPr>
      </w:pPr>
    </w:p>
    <w:p>
      <w:pPr>
        <w:ind w:left="900" w:right="60" w:hanging="446"/>
        <w:spacing w:after="0" w:line="291" w:lineRule="auto"/>
        <w:tabs>
          <w:tab w:leader="none" w:pos="9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When (a) the applicable Debt Securities have been duly authorized by the Company, (b) the final terms of the applicable Debt Securities have been duly established and approved, and (c) the applicable Debt Securities have been duly executed by the Company and authenticated by the Debt Trustee in accordance with the applicable Debt Indenture and delivered to and paid for by the purchasers thereof as contemplated by the Registration Statement (including any amendments thereto), and any prospectus supplements related thereto, and as contemplated by the applicable corporate proceedings, such Debt Securities will constitute valid and legally binding obligations of the Company, enforceable against the Company in accordance with the terms thereof and will be entitled to the benefits of the Debt Indenture.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66" w:name="page167"/>
    <w:bookmarkEnd w:id="166"/>
    <w:p>
      <w:pPr>
        <w:ind w:left="446" w:hanging="446"/>
        <w:spacing w:after="0" w:line="259" w:lineRule="auto"/>
        <w:tabs>
          <w:tab w:leader="none" w:pos="446" w:val="left"/>
        </w:tabs>
        <w:numPr>
          <w:ilvl w:val="0"/>
          <w:numId w:val="1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When the Convertible Indenture has been duly authorized, executed and delivered by the Company and qualified under the Trust Indenture Act, and assuming due authorization, execution and delivery by the Convertible Trustee, such Convertible Indenture will constitute a valid and legally binding obligation of the Company, enforceable against the Company in accordance with its terms.</w:t>
      </w:r>
    </w:p>
    <w:p>
      <w:pPr>
        <w:spacing w:after="0" w:line="59" w:lineRule="exact"/>
        <w:rPr>
          <w:rFonts w:ascii="Arial" w:cs="Arial" w:eastAsia="Arial" w:hAnsi="Arial"/>
          <w:sz w:val="18"/>
          <w:szCs w:val="18"/>
          <w:color w:val="auto"/>
        </w:rPr>
      </w:pPr>
    </w:p>
    <w:p>
      <w:pPr>
        <w:ind w:left="446" w:right="40" w:hanging="446"/>
        <w:spacing w:after="0" w:line="291" w:lineRule="auto"/>
        <w:tabs>
          <w:tab w:leader="none" w:pos="446" w:val="left"/>
        </w:tabs>
        <w:numPr>
          <w:ilvl w:val="0"/>
          <w:numId w:val="124"/>
        </w:numPr>
        <w:rPr>
          <w:rFonts w:ascii="Arial" w:cs="Arial" w:eastAsia="Arial" w:hAnsi="Arial"/>
          <w:sz w:val="16"/>
          <w:szCs w:val="16"/>
          <w:color w:val="auto"/>
        </w:rPr>
      </w:pPr>
      <w:r>
        <w:rPr>
          <w:rFonts w:ascii="Arial" w:cs="Arial" w:eastAsia="Arial" w:hAnsi="Arial"/>
          <w:sz w:val="16"/>
          <w:szCs w:val="16"/>
          <w:color w:val="auto"/>
        </w:rPr>
        <w:t>When (a) the Convertible Debt Securities have been duly authorized by the Company, (b) the final terms of the Convertible Debt Securities have been duly established and approved, and (c) the Convertible Debt Securities have been duly executed by the Company and authenticated by the Convertible Trustee in accordance with the applicable Convertible Indenture and delivered to and paid for by the purchasers thereof as contemplated by the Registration Statement (including any amendments thereto), and any prospectus supplements related thereto, and as contemplated by the applicable corporate proceedings, such Convertible Debt Securities will constitute valid and legally binding obligations of the Company, enforceable against the Company in accordance with the terms thereof and will be entitled to the benefits of the Convertible Indenture.</w:t>
      </w:r>
    </w:p>
    <w:p>
      <w:pPr>
        <w:spacing w:after="0" w:line="39" w:lineRule="exact"/>
        <w:rPr>
          <w:rFonts w:ascii="Arial" w:cs="Arial" w:eastAsia="Arial" w:hAnsi="Arial"/>
          <w:sz w:val="16"/>
          <w:szCs w:val="16"/>
          <w:color w:val="auto"/>
        </w:rPr>
      </w:pPr>
    </w:p>
    <w:p>
      <w:pPr>
        <w:ind w:left="446" w:hanging="446"/>
        <w:spacing w:after="0"/>
        <w:tabs>
          <w:tab w:leader="none" w:pos="44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When issued pursuant to the terms of the Rights Agreement, the Rights will be validly issued.</w:t>
      </w:r>
    </w:p>
    <w:p>
      <w:pPr>
        <w:spacing w:after="0" w:line="171"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foregoing opinions are subject to the following exclusions and qualifications:</w:t>
      </w:r>
    </w:p>
    <w:p>
      <w:pPr>
        <w:spacing w:after="0" w:line="90" w:lineRule="exact"/>
        <w:rPr>
          <w:sz w:val="20"/>
          <w:szCs w:val="20"/>
          <w:color w:val="auto"/>
        </w:rPr>
      </w:pPr>
    </w:p>
    <w:p>
      <w:pPr>
        <w:ind w:left="446" w:right="80" w:hanging="446"/>
        <w:spacing w:after="0" w:line="306" w:lineRule="auto"/>
        <w:tabs>
          <w:tab w:leader="none" w:pos="446" w:val="left"/>
        </w:tabs>
        <w:numPr>
          <w:ilvl w:val="0"/>
          <w:numId w:val="125"/>
        </w:numPr>
        <w:rPr>
          <w:rFonts w:ascii="Arial" w:cs="Arial" w:eastAsia="Arial" w:hAnsi="Arial"/>
          <w:sz w:val="16"/>
          <w:szCs w:val="16"/>
          <w:color w:val="auto"/>
        </w:rPr>
      </w:pPr>
      <w:r>
        <w:rPr>
          <w:rFonts w:ascii="Arial" w:cs="Arial" w:eastAsia="Arial" w:hAnsi="Arial"/>
          <w:sz w:val="16"/>
          <w:szCs w:val="16"/>
          <w:color w:val="auto"/>
        </w:rPr>
        <w:t>Our opinions are as of the date hereof (including, but not limited to, the laws, rules and regulations as in effect as of the date hereof) and we have no responsibility to update this opinion for events and circumstances occurring after the date hereof or as to facts relating to prior events that are subsequently brought to our attention. We disavow any undertaking to advise you of any changes in law.</w:t>
      </w:r>
    </w:p>
    <w:p>
      <w:pPr>
        <w:spacing w:after="0" w:line="25" w:lineRule="exact"/>
        <w:rPr>
          <w:rFonts w:ascii="Arial" w:cs="Arial" w:eastAsia="Arial" w:hAnsi="Arial"/>
          <w:sz w:val="16"/>
          <w:szCs w:val="16"/>
          <w:color w:val="auto"/>
        </w:rPr>
      </w:pPr>
    </w:p>
    <w:p>
      <w:pPr>
        <w:ind w:left="446" w:right="140" w:hanging="446"/>
        <w:spacing w:after="0" w:line="294" w:lineRule="auto"/>
        <w:tabs>
          <w:tab w:leader="none" w:pos="446" w:val="left"/>
        </w:tabs>
        <w:numPr>
          <w:ilvl w:val="0"/>
          <w:numId w:val="125"/>
        </w:numPr>
        <w:rPr>
          <w:rFonts w:ascii="Arial" w:cs="Arial" w:eastAsia="Arial" w:hAnsi="Arial"/>
          <w:sz w:val="16"/>
          <w:szCs w:val="16"/>
          <w:color w:val="auto"/>
        </w:rPr>
      </w:pPr>
      <w:r>
        <w:rPr>
          <w:rFonts w:ascii="Arial" w:cs="Arial" w:eastAsia="Arial" w:hAnsi="Arial"/>
          <w:sz w:val="16"/>
          <w:szCs w:val="16"/>
          <w:color w:val="auto"/>
        </w:rPr>
        <w:t>We express no opinion as to enforceability of any right or obligation to the extent such right and obligation is subject to and limited by (i) the effect of bankruptcy, insolvency, reorganization, receivership, conservatorship, arrangement, moratorium, fraudulent transfer or other laws affecting or relating to the rights of creditors generally, (ii) rules governing the availability of specific performance, injunctive relief or other equitable remedies and general principles of equity, regardless of whether arising prior to, or after, the date hereof or considered in a proceeding in equity or at law or (iii) the effect of federal and state securities laws and principles of public policy on the rights of indemnity and contribution.</w:t>
      </w:r>
    </w:p>
    <w:p>
      <w:pPr>
        <w:spacing w:after="0" w:line="34" w:lineRule="exact"/>
        <w:rPr>
          <w:rFonts w:ascii="Arial" w:cs="Arial" w:eastAsia="Arial" w:hAnsi="Arial"/>
          <w:sz w:val="16"/>
          <w:szCs w:val="16"/>
          <w:color w:val="auto"/>
        </w:rPr>
      </w:pPr>
    </w:p>
    <w:p>
      <w:pPr>
        <w:ind w:left="446" w:right="180" w:hanging="446"/>
        <w:spacing w:after="0" w:line="268" w:lineRule="auto"/>
        <w:tabs>
          <w:tab w:leader="none" w:pos="44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We are qualified to practice law in the State of Washington and do not express any opinions herein concerning any laws other than the laws in their current forms of the State of Washington and the federal securities laws of the United States of America.</w:t>
      </w:r>
    </w:p>
    <w:p>
      <w:pPr>
        <w:spacing w:after="0" w:line="11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6"/>
          </w:cols>
          <w:pgMar w:left="694" w:top="280" w:right="259" w:bottom="1440" w:gutter="0" w:footer="0" w:header="0"/>
        </w:sectPr>
      </w:pPr>
    </w:p>
    <w:bookmarkStart w:id="167" w:name="page168"/>
    <w:bookmarkEnd w:id="167"/>
    <w:p>
      <w:pPr>
        <w:ind w:right="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opinion letter is rendered solely for your benefit in connection with the offer and sale of the Securities and may not be relied upon, quoted or used by any other person or entity or for any other purpose without our prior written consent.</w:t>
      </w:r>
    </w:p>
    <w:p>
      <w:pPr>
        <w:spacing w:after="0" w:line="132"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We hereby consent to the filing of this opinion as an exhibit to the Registration Statement and any amendments thereto, including any and all post-effective amendments, and to the reference to our firm in the prospectus and any prospectus supplements relating thereto under the heading “Legal Matters.” In giving such consent, we do not thereby admit that we are in the category of persons whose consent is required under Section 7 of the Securities Act or related Rules.</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Perkins Coie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19685</wp:posOffset>
            </wp:positionV>
            <wp:extent cx="289877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280" w:right="4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ERNST &amp; YOUNG LLP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6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We consent to the reference to our firm under the caption “Experts” in this Registration Statement (Form S-3) and related Prospectus of Itron, Inc. for the registration of shares of common stock, preferred stock, debt securities, or convertible debt securities and to the incorporation by reference therein of our report dated February 16, 2012 (except for Notes 1, 5, 13, and 16 as to which the date is May 24, 2012) with respect to the consolidated financial statements and financial statement schedule of Itron, Inc., included in the Current Report on Form 8-K of Itron, Inc. filed on May 24, 2012, and our report dated February 16, 2012, with respect to the effectiveness of internal control over financial reporting of Itron, Inc., included in the Annual Report (Form 10-K) of Itron, Inc. for the year ended December 31, 2011, filed with the Securities and Exchange Commission.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24, 2012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AE35EB"/>
    <w:multiLevelType w:val="hybridMultilevel"/>
    <w:lvl w:ilvl="0">
      <w:lvlJc w:val="left"/>
      <w:lvlText w:val="(%1)"/>
      <w:numFmt w:val="decimal"/>
      <w:start w:val="1"/>
    </w:lvl>
  </w:abstractNum>
  <w:abstractNum w:abstractNumId="1">
    <w:nsid w:val="579BE4F1"/>
    <w:multiLevelType w:val="hybridMultilevel"/>
    <w:lvl w:ilvl="0">
      <w:lvlJc w:val="left"/>
      <w:lvlText w:val="•"/>
      <w:numFmt w:val="bullet"/>
      <w:start w:val="1"/>
    </w:lvl>
  </w:abstractNum>
  <w:abstractNum w:abstractNumId="2">
    <w:nsid w:val="310C50B3"/>
    <w:multiLevelType w:val="hybridMultilevel"/>
    <w:lvl w:ilvl="0">
      <w:lvlJc w:val="left"/>
      <w:lvlText w:val="•"/>
      <w:numFmt w:val="bullet"/>
      <w:start w:val="1"/>
    </w:lvl>
  </w:abstractNum>
  <w:abstractNum w:abstractNumId="3">
    <w:nsid w:val="5FF87E05"/>
    <w:multiLevelType w:val="hybridMultilevel"/>
    <w:lvl w:ilvl="0">
      <w:lvlJc w:val="left"/>
      <w:lvlText w:val="•"/>
      <w:numFmt w:val="bullet"/>
      <w:start w:val="1"/>
    </w:lvl>
  </w:abstractNum>
  <w:abstractNum w:abstractNumId="4">
    <w:nsid w:val="2F305DEF"/>
    <w:multiLevelType w:val="hybridMultilevel"/>
    <w:lvl w:ilvl="0">
      <w:lvlJc w:val="left"/>
      <w:lvlText w:val="•"/>
      <w:numFmt w:val="bullet"/>
      <w:start w:val="1"/>
    </w:lvl>
  </w:abstractNum>
  <w:abstractNum w:abstractNumId="5">
    <w:nsid w:val="25A70BF7"/>
    <w:multiLevelType w:val="hybridMultilevel"/>
    <w:lvl w:ilvl="0">
      <w:lvlJc w:val="left"/>
      <w:lvlText w:val="*"/>
      <w:numFmt w:val="bullet"/>
      <w:start w:val="1"/>
    </w:lvl>
  </w:abstractNum>
  <w:abstractNum w:abstractNumId="6">
    <w:nsid w:val="1DBABF00"/>
    <w:multiLevelType w:val="hybridMultilevel"/>
    <w:lvl w:ilvl="0">
      <w:lvlJc w:val="left"/>
      <w:lvlText w:val="**"/>
      <w:numFmt w:val="bullet"/>
      <w:start w:val="1"/>
    </w:lvl>
  </w:abstractNum>
  <w:abstractNum w:abstractNumId="7">
    <w:nsid w:val="4AD084E9"/>
    <w:multiLevelType w:val="hybridMultilevel"/>
    <w:lvl w:ilvl="0">
      <w:lvlJc w:val="left"/>
      <w:lvlText w:val="•"/>
      <w:numFmt w:val="bullet"/>
      <w:start w:val="1"/>
    </w:lvl>
  </w:abstractNum>
  <w:abstractNum w:abstractNumId="8">
    <w:nsid w:val="1F48EAA1"/>
    <w:multiLevelType w:val="hybridMultilevel"/>
    <w:lvl w:ilvl="0">
      <w:lvlJc w:val="left"/>
      <w:lvlText w:val="*"/>
      <w:numFmt w:val="bullet"/>
      <w:start w:val="1"/>
    </w:lvl>
  </w:abstractNum>
  <w:abstractNum w:abstractNumId="9">
    <w:nsid w:val="1381823A"/>
    <w:multiLevelType w:val="hybridMultilevel"/>
    <w:lvl w:ilvl="0">
      <w:lvlJc w:val="left"/>
      <w:lvlText w:val="**"/>
      <w:numFmt w:val="bullet"/>
      <w:start w:val="1"/>
    </w:lvl>
  </w:abstractNum>
  <w:abstractNum w:abstractNumId="10">
    <w:nsid w:val="5DB70AE5"/>
    <w:multiLevelType w:val="hybridMultilevel"/>
    <w:lvl w:ilvl="0">
      <w:lvlJc w:val="left"/>
      <w:lvlText w:val="(%1)"/>
      <w:numFmt w:val="decimal"/>
      <w:start w:val="1"/>
    </w:lvl>
    <w:lvl w:ilvl="1">
      <w:lvlJc w:val="left"/>
      <w:lvlText w:val="(%2)"/>
      <w:numFmt w:val="lowerRoman"/>
      <w:start w:val="1"/>
    </w:lvl>
  </w:abstractNum>
  <w:abstractNum w:abstractNumId="11">
    <w:nsid w:val="100F8FCA"/>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2"/>
    </w:lvl>
  </w:abstractNum>
  <w:abstractNum w:abstractNumId="12">
    <w:nsid w:val="6590700B"/>
    <w:multiLevelType w:val="hybridMultilevel"/>
    <w:lvl w:ilvl="0">
      <w:lvlJc w:val="left"/>
      <w:lvlText w:val="%1"/>
      <w:numFmt w:val="upperLetter"/>
      <w:start w:val="1"/>
    </w:lvl>
    <w:lvl w:ilvl="1">
      <w:lvlJc w:val="left"/>
      <w:lvlText w:val="(%2)"/>
      <w:numFmt w:val="decimal"/>
      <w:start w:val="2"/>
    </w:lvl>
    <w:lvl w:ilvl="2">
      <w:lvlJc w:val="left"/>
      <w:lvlText w:val="%3"/>
      <w:numFmt w:val="lowerRoman"/>
      <w:start w:val="1"/>
    </w:lvl>
  </w:abstractNum>
  <w:abstractNum w:abstractNumId="13">
    <w:nsid w:val="15014ACB"/>
    <w:multiLevelType w:val="hybridMultilevel"/>
    <w:lvl w:ilvl="0">
      <w:lvlJc w:val="left"/>
      <w:lvlText w:val="%1."/>
      <w:numFmt w:val="upperLetter"/>
      <w:start w:val="2"/>
    </w:lvl>
    <w:lvl w:ilvl="1">
      <w:lvlJc w:val="left"/>
      <w:lvlText w:val="(%2)"/>
      <w:numFmt w:val="decimal"/>
      <w:start w:val="1"/>
    </w:lvl>
    <w:lvl w:ilvl="2">
      <w:lvlJc w:val="left"/>
      <w:lvlText w:val="%3"/>
      <w:numFmt w:val="lowerRoman"/>
      <w:start w:val="1"/>
    </w:lvl>
  </w:abstractNum>
  <w:abstractNum w:abstractNumId="14">
    <w:nsid w:val="5F5E7FD0"/>
    <w:multiLevelType w:val="hybridMultilevel"/>
    <w:lvl w:ilvl="0">
      <w:lvlJc w:val="left"/>
      <w:lvlText w:val="%1"/>
      <w:numFmt w:val="upperLetter"/>
      <w:start w:val="1"/>
    </w:lvl>
    <w:lvl w:ilvl="1">
      <w:lvlJc w:val="left"/>
      <w:lvlText w:val="(%2)"/>
      <w:numFmt w:val="decimal"/>
      <w:start w:val="3"/>
    </w:lvl>
  </w:abstractNum>
  <w:abstractNum w:abstractNumId="15">
    <w:nsid w:val="98A3148"/>
    <w:multiLevelType w:val="hybridMultilevel"/>
    <w:lvl w:ilvl="0">
      <w:lvlJc w:val="left"/>
      <w:lvlText w:val="%1."/>
      <w:numFmt w:val="upperLetter"/>
      <w:start w:val="4"/>
    </w:lvl>
    <w:lvl w:ilvl="1">
      <w:lvlJc w:val="left"/>
      <w:lvlText w:val="%2"/>
      <w:numFmt w:val="decimal"/>
      <w:start w:val="1"/>
    </w:lvl>
  </w:abstractNum>
  <w:abstractNum w:abstractNumId="16">
    <w:nsid w:val="799D0247"/>
    <w:multiLevelType w:val="hybridMultilevel"/>
    <w:lvl w:ilvl="0">
      <w:lvlJc w:val="left"/>
      <w:lvlText w:val="*"/>
      <w:numFmt w:val="bullet"/>
      <w:start w:val="1"/>
    </w:lvl>
  </w:abstractNum>
  <w:abstractNum w:abstractNumId="17">
    <w:nsid w:val="6B94764"/>
    <w:multiLevelType w:val="hybridMultilevel"/>
    <w:lvl w:ilvl="0">
      <w:lvlJc w:val="left"/>
      <w:lvlText w:val="**"/>
      <w:numFmt w:val="bullet"/>
      <w:start w:val="1"/>
    </w:lvl>
  </w:abstractNum>
  <w:abstractNum w:abstractNumId="18">
    <w:nsid w:val="42C296BD"/>
    <w:multiLevelType w:val="hybridMultilevel"/>
    <w:lvl w:ilvl="0">
      <w:lvlJc w:val="left"/>
      <w:lvlText w:val=","/>
      <w:numFmt w:val="bullet"/>
      <w:start w:val="1"/>
    </w:lvl>
  </w:abstractNum>
  <w:abstractNum w:abstractNumId="19">
    <w:nsid w:val="168E121F"/>
    <w:multiLevelType w:val="hybridMultilevel"/>
    <w:lvl w:ilvl="0">
      <w:lvlJc w:val="left"/>
      <w:lvlText w:val="(%1)"/>
      <w:numFmt w:val="lowerLetter"/>
      <w:start w:val="1"/>
    </w:lvl>
    <w:lvl w:ilvl="1">
      <w:lvlJc w:val="left"/>
      <w:lvlText w:val="(%2)"/>
      <w:numFmt w:val="lowerRoman"/>
      <w:start w:val="1"/>
    </w:lvl>
  </w:abstractNum>
  <w:abstractNum w:abstractNumId="20">
    <w:nsid w:val="1EBA5D23"/>
    <w:multiLevelType w:val="hybridMultilevel"/>
    <w:lvl w:ilvl="0">
      <w:lvlJc w:val="left"/>
      <w:lvlText w:val="(%1)"/>
      <w:numFmt w:val="lowerLetter"/>
      <w:start w:val="1"/>
    </w:lvl>
  </w:abstractNum>
  <w:abstractNum w:abstractNumId="21">
    <w:nsid w:val="661E3F1E"/>
    <w:multiLevelType w:val="hybridMultilevel"/>
    <w:lvl w:ilvl="0">
      <w:lvlJc w:val="left"/>
      <w:lvlText w:val="(%1)"/>
      <w:numFmt w:val="lowerLetter"/>
      <w:start w:val="2"/>
    </w:lvl>
  </w:abstractNum>
  <w:abstractNum w:abstractNumId="22">
    <w:nsid w:val="5DC79EA8"/>
    <w:multiLevelType w:val="hybridMultilevel"/>
    <w:lvl w:ilvl="0">
      <w:lvlJc w:val="left"/>
      <w:lvlText w:val="(%1)"/>
      <w:numFmt w:val="lowerRoman"/>
      <w:start w:val="3"/>
    </w:lvl>
  </w:abstractNum>
  <w:abstractNum w:abstractNumId="23">
    <w:nsid w:val="540A471C"/>
    <w:multiLevelType w:val="hybridMultilevel"/>
    <w:lvl w:ilvl="0">
      <w:lvlJc w:val="left"/>
      <w:lvlText w:val="(%1)"/>
      <w:numFmt w:val="lowerRoman"/>
      <w:start w:val="6"/>
    </w:lvl>
  </w:abstractNum>
  <w:abstractNum w:abstractNumId="24">
    <w:nsid w:val="7BD3EE7B"/>
    <w:multiLevelType w:val="hybridMultilevel"/>
    <w:lvl w:ilvl="0">
      <w:lvlJc w:val="left"/>
      <w:lvlText w:val="%1"/>
      <w:numFmt w:val="lowerRoman"/>
      <w:start w:val="1"/>
    </w:lvl>
    <w:lvl w:ilvl="1">
      <w:lvlJc w:val="left"/>
      <w:lvlText w:val="(%2)"/>
      <w:numFmt w:val="lowerRoman"/>
      <w:start w:val="8"/>
    </w:lvl>
  </w:abstractNum>
  <w:abstractNum w:abstractNumId="25">
    <w:nsid w:val="51D9C564"/>
    <w:multiLevelType w:val="hybridMultilevel"/>
    <w:lvl w:ilvl="0">
      <w:lvlJc w:val="left"/>
      <w:lvlText w:val="(%1)"/>
      <w:numFmt w:val="lowerRoman"/>
      <w:start w:val="8"/>
    </w:lvl>
    <w:lvl w:ilvl="1">
      <w:lvlJc w:val="left"/>
      <w:lvlText w:val="%2"/>
      <w:numFmt w:val="lowerRoman"/>
      <w:start w:val="1"/>
    </w:lvl>
  </w:abstractNum>
  <w:abstractNum w:abstractNumId="26">
    <w:nsid w:val="613EFDC5"/>
    <w:multiLevelType w:val="hybridMultilevel"/>
    <w:lvl w:ilvl="0">
      <w:lvlJc w:val="left"/>
      <w:lvlText w:val="(%1)"/>
      <w:numFmt w:val="lowerLetter"/>
      <w:start w:val="1"/>
    </w:lvl>
  </w:abstractNum>
  <w:abstractNum w:abstractNumId="27">
    <w:nsid w:val="BF72B14"/>
    <w:multiLevelType w:val="hybridMultilevel"/>
    <w:lvl w:ilvl="0">
      <w:lvlJc w:val="left"/>
      <w:lvlText w:val="(%1)"/>
      <w:numFmt w:val="lowerLetter"/>
      <w:start w:val="3"/>
    </w:lvl>
  </w:abstractNum>
  <w:abstractNum w:abstractNumId="28">
    <w:nsid w:val="11447B73"/>
    <w:multiLevelType w:val="hybridMultilevel"/>
    <w:lvl w:ilvl="0">
      <w:lvlJc w:val="left"/>
      <w:lvlText w:val="(%1)"/>
      <w:numFmt w:val="lowerLetter"/>
      <w:start w:val="1"/>
    </w:lvl>
  </w:abstractNum>
  <w:abstractNum w:abstractNumId="29">
    <w:nsid w:val="42963E5A"/>
    <w:multiLevelType w:val="hybridMultilevel"/>
    <w:lvl w:ilvl="0">
      <w:lvlJc w:val="left"/>
      <w:lvlText w:val="(%1)"/>
      <w:numFmt w:val="lowerLetter"/>
      <w:start w:val="3"/>
    </w:lvl>
  </w:abstractNum>
  <w:abstractNum w:abstractNumId="30">
    <w:nsid w:val="A0382C5"/>
    <w:multiLevelType w:val="hybridMultilevel"/>
    <w:lvl w:ilvl="0">
      <w:lvlJc w:val="left"/>
      <w:lvlText w:val="(%1)"/>
      <w:numFmt w:val="lowerLetter"/>
      <w:start w:val="1"/>
    </w:lvl>
  </w:abstractNum>
  <w:abstractNum w:abstractNumId="31">
    <w:nsid w:val="8F2B15E"/>
    <w:multiLevelType w:val="hybridMultilevel"/>
    <w:lvl w:ilvl="0">
      <w:lvlJc w:val="left"/>
      <w:lvlText w:val="(%1)"/>
      <w:numFmt w:val="lowerLetter"/>
      <w:start w:val="1"/>
    </w:lvl>
    <w:lvl w:ilvl="1">
      <w:lvlJc w:val="left"/>
      <w:lvlText w:val="(%2)"/>
      <w:numFmt w:val="lowerRoman"/>
      <w:start w:val="1"/>
    </w:lvl>
  </w:abstractNum>
  <w:abstractNum w:abstractNumId="32">
    <w:nsid w:val="1A32234B"/>
    <w:multiLevelType w:val="hybridMultilevel"/>
    <w:lvl w:ilvl="0">
      <w:lvlJc w:val="left"/>
      <w:lvlText w:val="(%1)"/>
      <w:numFmt w:val="lowerRoman"/>
      <w:start w:val="4"/>
    </w:lvl>
  </w:abstractNum>
  <w:abstractNum w:abstractNumId="33">
    <w:nsid w:val="3B0FD379"/>
    <w:multiLevelType w:val="hybridMultilevel"/>
    <w:lvl w:ilvl="0">
      <w:lvlJc w:val="left"/>
      <w:lvlText w:val="%1"/>
      <w:numFmt w:val="lowerLetter"/>
      <w:start w:val="1"/>
    </w:lvl>
    <w:lvl w:ilvl="1">
      <w:lvlJc w:val="left"/>
      <w:lvlText w:val="(%2)"/>
      <w:numFmt w:val="lowerRoman"/>
      <w:start w:val="14"/>
    </w:lvl>
  </w:abstractNum>
  <w:abstractNum w:abstractNumId="34">
    <w:nsid w:val="68EB2F63"/>
    <w:multiLevelType w:val="hybridMultilevel"/>
    <w:lvl w:ilvl="0">
      <w:lvlJc w:val="left"/>
      <w:lvlText w:val="(%1)"/>
      <w:numFmt w:val="lowerLetter"/>
      <w:start w:val="3"/>
    </w:lvl>
    <w:lvl w:ilvl="1">
      <w:lvlJc w:val="left"/>
      <w:lvlText w:val="%2"/>
      <w:numFmt w:val="lowerRoman"/>
      <w:start w:val="1"/>
    </w:lvl>
  </w:abstractNum>
  <w:abstractNum w:abstractNumId="35">
    <w:nsid w:val="4962813B"/>
    <w:multiLevelType w:val="hybridMultilevel"/>
    <w:lvl w:ilvl="0">
      <w:lvlJc w:val="left"/>
      <w:lvlText w:val="(%1)"/>
      <w:numFmt w:val="lowerLetter"/>
      <w:start w:val="1"/>
    </w:lvl>
  </w:abstractNum>
  <w:abstractNum w:abstractNumId="36">
    <w:nsid w:val="60B6DF70"/>
    <w:multiLevelType w:val="hybridMultilevel"/>
    <w:lvl w:ilvl="0">
      <w:lvlJc w:val="left"/>
      <w:lvlText w:val="(%1)"/>
      <w:numFmt w:val="lowerLetter"/>
      <w:start w:val="24"/>
    </w:lvl>
  </w:abstractNum>
  <w:abstractNum w:abstractNumId="37">
    <w:nsid w:val="6A5EE64"/>
    <w:multiLevelType w:val="hybridMultilevel"/>
    <w:lvl w:ilvl="0">
      <w:lvlJc w:val="left"/>
      <w:lvlText w:val="(%1)"/>
      <w:numFmt w:val="lowerRoman"/>
      <w:start w:val="1"/>
    </w:lvl>
  </w:abstractNum>
  <w:abstractNum w:abstractNumId="38">
    <w:nsid w:val="14330624"/>
    <w:multiLevelType w:val="hybridMultilevel"/>
    <w:lvl w:ilvl="0">
      <w:lvlJc w:val="left"/>
      <w:lvlText w:val="(%1)"/>
      <w:numFmt w:val="lowerLetter"/>
      <w:start w:val="1"/>
    </w:lvl>
    <w:lvl w:ilvl="1">
      <w:lvlJc w:val="left"/>
      <w:lvlText w:val="(%2)"/>
      <w:numFmt w:val="lowerLetter"/>
      <w:start w:val="9"/>
    </w:lvl>
  </w:abstractNum>
  <w:abstractNum w:abstractNumId="39">
    <w:nsid w:val="7FFFCA11"/>
    <w:multiLevelType w:val="hybridMultilevel"/>
    <w:lvl w:ilvl="0">
      <w:lvlJc w:val="left"/>
      <w:lvlText w:val="(%1)"/>
      <w:numFmt w:val="lowerRoman"/>
      <w:start w:val="2"/>
    </w:lvl>
    <w:lvl w:ilvl="1">
      <w:lvlJc w:val="left"/>
      <w:lvlText w:val="(%2)"/>
      <w:numFmt w:val="decimal"/>
      <w:start w:val="1"/>
    </w:lvl>
  </w:abstractNum>
  <w:abstractNum w:abstractNumId="40">
    <w:nsid w:val="1A27709E"/>
    <w:multiLevelType w:val="hybridMultilevel"/>
    <w:lvl w:ilvl="0">
      <w:lvlJc w:val="left"/>
      <w:lvlText w:val="(%1)"/>
      <w:numFmt w:val="lowerLetter"/>
      <w:start w:val="2"/>
    </w:lvl>
  </w:abstractNum>
  <w:abstractNum w:abstractNumId="41">
    <w:nsid w:val="71EA1109"/>
    <w:multiLevelType w:val="hybridMultilevel"/>
    <w:lvl w:ilvl="0">
      <w:lvlJc w:val="left"/>
      <w:lvlText w:val="(%1)"/>
      <w:numFmt w:val="lowerLetter"/>
      <w:start w:val="1"/>
    </w:lvl>
  </w:abstractNum>
  <w:abstractNum w:abstractNumId="42">
    <w:nsid w:val="100F59DC"/>
    <w:multiLevelType w:val="hybridMultilevel"/>
    <w:lvl w:ilvl="0">
      <w:lvlJc w:val="left"/>
      <w:lvlText w:val="(%1)"/>
      <w:numFmt w:val="lowerLetter"/>
      <w:start w:val="4"/>
    </w:lvl>
  </w:abstractNum>
  <w:abstractNum w:abstractNumId="43">
    <w:nsid w:val="7FB7E0AA"/>
    <w:multiLevelType w:val="hybridMultilevel"/>
    <w:lvl w:ilvl="0">
      <w:lvlJc w:val="left"/>
      <w:lvlText w:val="(%1)"/>
      <w:numFmt w:val="lowerLetter"/>
      <w:start w:val="1"/>
    </w:lvl>
  </w:abstractNum>
  <w:abstractNum w:abstractNumId="44">
    <w:nsid w:val="6EB5BD4"/>
    <w:multiLevelType w:val="hybridMultilevel"/>
    <w:lvl w:ilvl="0">
      <w:lvlJc w:val="left"/>
      <w:lvlText w:val="(%1)"/>
      <w:numFmt w:val="lowerLetter"/>
      <w:start w:val="1"/>
    </w:lvl>
  </w:abstractNum>
  <w:abstractNum w:abstractNumId="45">
    <w:nsid w:val="6F6DD9AC"/>
    <w:multiLevelType w:val="hybridMultilevel"/>
    <w:lvl w:ilvl="0">
      <w:lvlJc w:val="left"/>
      <w:lvlText w:val="(%1)"/>
      <w:numFmt w:val="lowerLetter"/>
      <w:start w:val="3"/>
    </w:lvl>
  </w:abstractNum>
  <w:abstractNum w:abstractNumId="46">
    <w:nsid w:val="94211F2"/>
    <w:multiLevelType w:val="hybridMultilevel"/>
    <w:lvl w:ilvl="0">
      <w:lvlJc w:val="left"/>
      <w:lvlText w:val="(%1)"/>
      <w:numFmt w:val="lowerLetter"/>
      <w:start w:val="1"/>
    </w:lvl>
  </w:abstractNum>
  <w:abstractNum w:abstractNumId="47">
    <w:nsid w:val="885E1B"/>
    <w:multiLevelType w:val="hybridMultilevel"/>
    <w:lvl w:ilvl="0">
      <w:lvlJc w:val="left"/>
      <w:lvlText w:val="(%1)"/>
      <w:numFmt w:val="lowerLetter"/>
      <w:start w:val="1"/>
    </w:lvl>
  </w:abstractNum>
  <w:abstractNum w:abstractNumId="48">
    <w:nsid w:val="76272110"/>
    <w:multiLevelType w:val="hybridMultilevel"/>
    <w:lvl w:ilvl="0">
      <w:lvlJc w:val="left"/>
      <w:lvlText w:val="(%1)"/>
      <w:numFmt w:val="lowerLetter"/>
      <w:start w:val="5"/>
    </w:lvl>
  </w:abstractNum>
  <w:abstractNum w:abstractNumId="49">
    <w:nsid w:val="4C04A8AF"/>
    <w:multiLevelType w:val="hybridMultilevel"/>
    <w:lvl w:ilvl="0">
      <w:lvlJc w:val="left"/>
      <w:lvlText w:val="(%1)"/>
      <w:numFmt w:val="lowerLetter"/>
      <w:start w:val="1"/>
    </w:lvl>
    <w:lvl w:ilvl="1">
      <w:lvlJc w:val="left"/>
      <w:lvlText w:val="(%2)"/>
      <w:numFmt w:val="lowerRoman"/>
      <w:start w:val="1"/>
    </w:lvl>
  </w:abstractNum>
  <w:abstractNum w:abstractNumId="50">
    <w:nsid w:val="1716703B"/>
    <w:multiLevelType w:val="hybridMultilevel"/>
    <w:lvl w:ilvl="0">
      <w:lvlJc w:val="left"/>
      <w:lvlText w:val="%1"/>
      <w:numFmt w:val="lowerLetter"/>
      <w:start w:val="1"/>
    </w:lvl>
    <w:lvl w:ilvl="1">
      <w:lvlJc w:val="left"/>
      <w:lvlText w:val="(%2)"/>
      <w:numFmt w:val="lowerLetter"/>
      <w:start w:val="61"/>
    </w:lvl>
  </w:abstractNum>
  <w:abstractNum w:abstractNumId="51">
    <w:nsid w:val="14E17E33"/>
    <w:multiLevelType w:val="hybridMultilevel"/>
    <w:lvl w:ilvl="0">
      <w:lvlJc w:val="left"/>
      <w:lvlText w:val="(%1)"/>
      <w:numFmt w:val="lowerLetter"/>
      <w:start w:val="4"/>
    </w:lvl>
    <w:lvl w:ilvl="1">
      <w:lvlJc w:val="left"/>
      <w:lvlText w:val="%2"/>
      <w:numFmt w:val="lowerLetter"/>
      <w:start w:val="1"/>
    </w:lvl>
  </w:abstractNum>
  <w:abstractNum w:abstractNumId="52">
    <w:nsid w:val="3222E7CD"/>
    <w:multiLevelType w:val="hybridMultilevel"/>
    <w:lvl w:ilvl="0">
      <w:lvlJc w:val="left"/>
      <w:lvlText w:val="(%1)"/>
      <w:numFmt w:val="lowerLetter"/>
      <w:start w:val="1"/>
    </w:lvl>
  </w:abstractNum>
  <w:abstractNum w:abstractNumId="53">
    <w:nsid w:val="74DE0EE3"/>
    <w:multiLevelType w:val="hybridMultilevel"/>
    <w:lvl w:ilvl="0">
      <w:lvlJc w:val="left"/>
      <w:lvlText w:val="(%1)"/>
      <w:numFmt w:val="lowerLetter"/>
      <w:start w:val="6"/>
    </w:lvl>
  </w:abstractNum>
  <w:abstractNum w:abstractNumId="54">
    <w:nsid w:val="68EBC550"/>
    <w:multiLevelType w:val="hybridMultilevel"/>
    <w:lvl w:ilvl="0">
      <w:lvlJc w:val="left"/>
      <w:lvlText w:val="(%1)"/>
      <w:numFmt w:val="lowerLetter"/>
      <w:start w:val="1"/>
    </w:lvl>
  </w:abstractNum>
  <w:abstractNum w:abstractNumId="55">
    <w:nsid w:val="2DF6D648"/>
    <w:multiLevelType w:val="hybridMultilevel"/>
    <w:lvl w:ilvl="0">
      <w:lvlJc w:val="left"/>
      <w:lvlText w:val="(%1)"/>
      <w:numFmt w:val="lowerLetter"/>
      <w:start w:val="1"/>
    </w:lvl>
  </w:abstractNum>
  <w:abstractNum w:abstractNumId="56">
    <w:nsid w:val="46B7D447"/>
    <w:multiLevelType w:val="hybridMultilevel"/>
    <w:lvl w:ilvl="0">
      <w:lvlJc w:val="left"/>
      <w:lvlText w:val="(%1)"/>
      <w:numFmt w:val="lowerLetter"/>
      <w:start w:val="3"/>
    </w:lvl>
    <w:lvl w:ilvl="1">
      <w:lvlJc w:val="left"/>
      <w:lvlText w:val="(%2)"/>
      <w:numFmt w:val="lowerRoman"/>
      <w:start w:val="1"/>
    </w:lvl>
  </w:abstractNum>
  <w:abstractNum w:abstractNumId="57">
    <w:nsid w:val="4A2AC315"/>
    <w:multiLevelType w:val="hybridMultilevel"/>
    <w:lvl w:ilvl="0">
      <w:lvlJc w:val="left"/>
      <w:lvlText w:val="(%1)"/>
      <w:numFmt w:val="lowerLetter"/>
      <w:start w:val="5"/>
    </w:lvl>
  </w:abstractNum>
  <w:abstractNum w:abstractNumId="58">
    <w:nsid w:val="39EE015C"/>
    <w:multiLevelType w:val="hybridMultilevel"/>
    <w:lvl w:ilvl="0">
      <w:lvlJc w:val="left"/>
      <w:lvlText w:val="(%1)"/>
      <w:numFmt w:val="lowerLetter"/>
      <w:start w:val="1"/>
    </w:lvl>
  </w:abstractNum>
  <w:abstractNum w:abstractNumId="59">
    <w:nsid w:val="57FC4FBB"/>
    <w:multiLevelType w:val="hybridMultilevel"/>
    <w:lvl w:ilvl="0">
      <w:lvlJc w:val="left"/>
      <w:lvlText w:val="(%1)"/>
      <w:numFmt w:val="lowerLetter"/>
      <w:start w:val="5"/>
    </w:lvl>
  </w:abstractNum>
  <w:abstractNum w:abstractNumId="60">
    <w:nsid w:val="CC1016F"/>
    <w:multiLevelType w:val="hybridMultilevel"/>
    <w:lvl w:ilvl="0">
      <w:lvlJc w:val="left"/>
      <w:lvlText w:val="(%1)"/>
      <w:numFmt w:val="lowerLetter"/>
      <w:start w:val="1"/>
    </w:lvl>
  </w:abstractNum>
  <w:abstractNum w:abstractNumId="61">
    <w:nsid w:val="43F18422"/>
    <w:multiLevelType w:val="hybridMultilevel"/>
    <w:lvl w:ilvl="0">
      <w:lvlJc w:val="left"/>
      <w:lvlText w:val="(%1)"/>
      <w:numFmt w:val="lowerLetter"/>
      <w:start w:val="8"/>
    </w:lvl>
  </w:abstractNum>
  <w:abstractNum w:abstractNumId="62">
    <w:nsid w:val="60EF0119"/>
    <w:multiLevelType w:val="hybridMultilevel"/>
    <w:lvl w:ilvl="0">
      <w:lvlJc w:val="left"/>
      <w:lvlText w:val="(%1)"/>
      <w:numFmt w:val="lowerLetter"/>
      <w:start w:val="1"/>
    </w:lvl>
  </w:abstractNum>
  <w:abstractNum w:abstractNumId="63">
    <w:nsid w:val="26F324BA"/>
    <w:multiLevelType w:val="hybridMultilevel"/>
    <w:lvl w:ilvl="0">
      <w:lvlJc w:val="left"/>
      <w:lvlText w:val="(%1)"/>
      <w:numFmt w:val="lowerLetter"/>
      <w:start w:val="1"/>
    </w:lvl>
  </w:abstractNum>
  <w:abstractNum w:abstractNumId="64">
    <w:nsid w:val="7F01579B"/>
    <w:multiLevelType w:val="hybridMultilevel"/>
    <w:lvl w:ilvl="0">
      <w:lvlJc w:val="left"/>
      <w:lvlText w:val="(%1)"/>
      <w:numFmt w:val="lowerLetter"/>
      <w:start w:val="1"/>
    </w:lvl>
  </w:abstractNum>
  <w:abstractNum w:abstractNumId="65">
    <w:nsid w:val="49DA307D"/>
    <w:multiLevelType w:val="hybridMultilevel"/>
    <w:lvl w:ilvl="0">
      <w:lvlJc w:val="left"/>
      <w:lvlText w:val="(%1)"/>
      <w:numFmt w:val="lowerLetter"/>
      <w:start w:val="1"/>
    </w:lvl>
  </w:abstractNum>
  <w:abstractNum w:abstractNumId="66">
    <w:nsid w:val="7055A5F5"/>
    <w:multiLevelType w:val="hybridMultilevel"/>
    <w:lvl w:ilvl="0">
      <w:lvlJc w:val="left"/>
      <w:lvlText w:val=","/>
      <w:numFmt w:val="bullet"/>
      <w:start w:val="1"/>
    </w:lvl>
  </w:abstractNum>
  <w:abstractNum w:abstractNumId="67">
    <w:nsid w:val="5FB8370B"/>
    <w:multiLevelType w:val="hybridMultilevel"/>
    <w:lvl w:ilvl="0">
      <w:lvlJc w:val="left"/>
      <w:lvlText w:val="(%1)"/>
      <w:numFmt w:val="lowerLetter"/>
      <w:start w:val="1"/>
    </w:lvl>
    <w:lvl w:ilvl="1">
      <w:lvlJc w:val="left"/>
      <w:lvlText w:val="(%2)"/>
      <w:numFmt w:val="lowerRoman"/>
      <w:start w:val="1"/>
    </w:lvl>
  </w:abstractNum>
  <w:abstractNum w:abstractNumId="68">
    <w:nsid w:val="50801EE1"/>
    <w:multiLevelType w:val="hybridMultilevel"/>
    <w:lvl w:ilvl="0">
      <w:lvlJc w:val="left"/>
      <w:lvlText w:val="(%1)"/>
      <w:numFmt w:val="lowerLetter"/>
      <w:start w:val="1"/>
    </w:lvl>
  </w:abstractNum>
  <w:abstractNum w:abstractNumId="69">
    <w:nsid w:val="488AC1A"/>
    <w:multiLevelType w:val="hybridMultilevel"/>
    <w:lvl w:ilvl="0">
      <w:lvlJc w:val="left"/>
      <w:lvlText w:val="(%1)"/>
      <w:numFmt w:val="lowerLetter"/>
      <w:start w:val="2"/>
    </w:lvl>
  </w:abstractNum>
  <w:abstractNum w:abstractNumId="70">
    <w:nsid w:val="5FB8011C"/>
    <w:multiLevelType w:val="hybridMultilevel"/>
    <w:lvl w:ilvl="0">
      <w:lvlJc w:val="left"/>
      <w:lvlText w:val="(%1)"/>
      <w:numFmt w:val="lowerLetter"/>
      <w:start w:val="1"/>
    </w:lvl>
  </w:abstractNum>
  <w:abstractNum w:abstractNumId="71">
    <w:nsid w:val="6AA78F7F"/>
    <w:multiLevelType w:val="hybridMultilevel"/>
    <w:lvl w:ilvl="0">
      <w:lvlJc w:val="left"/>
      <w:lvlText w:val="(%1)"/>
      <w:numFmt w:val="lowerLetter"/>
      <w:start w:val="1"/>
    </w:lvl>
  </w:abstractNum>
  <w:abstractNum w:abstractNumId="72">
    <w:nsid w:val="7672BD23"/>
    <w:multiLevelType w:val="hybridMultilevel"/>
    <w:lvl w:ilvl="0">
      <w:lvlJc w:val="left"/>
      <w:lvlText w:val="(%1)"/>
      <w:numFmt w:val="lowerLetter"/>
      <w:start w:val="5"/>
    </w:lvl>
  </w:abstractNum>
  <w:abstractNum w:abstractNumId="73">
    <w:nsid w:val="6FC75AF8"/>
    <w:multiLevelType w:val="hybridMultilevel"/>
    <w:lvl w:ilvl="0">
      <w:lvlJc w:val="left"/>
      <w:lvlText w:val="(%1)"/>
      <w:numFmt w:val="lowerLetter"/>
      <w:start w:val="1"/>
    </w:lvl>
  </w:abstractNum>
  <w:abstractNum w:abstractNumId="74">
    <w:nsid w:val="6A5F7029"/>
    <w:multiLevelType w:val="hybridMultilevel"/>
    <w:lvl w:ilvl="0">
      <w:lvlJc w:val="left"/>
      <w:lvlText w:val="(%1)"/>
      <w:numFmt w:val="lowerLetter"/>
      <w:start w:val="1"/>
    </w:lvl>
    <w:lvl w:ilvl="1">
      <w:lvlJc w:val="left"/>
      <w:lvlText w:val="(%2)"/>
      <w:numFmt w:val="lowerRoman"/>
      <w:start w:val="1"/>
    </w:lvl>
  </w:abstractNum>
  <w:abstractNum w:abstractNumId="75">
    <w:nsid w:val="7D5E18F8"/>
    <w:multiLevelType w:val="hybridMultilevel"/>
    <w:lvl w:ilvl="0">
      <w:lvlJc w:val="left"/>
      <w:lvlText w:val="(%1)"/>
      <w:numFmt w:val="lowerRoman"/>
      <w:start w:val="5"/>
    </w:lvl>
  </w:abstractNum>
  <w:abstractNum w:abstractNumId="76">
    <w:nsid w:val="5F3534A4"/>
    <w:multiLevelType w:val="hybridMultilevel"/>
    <w:lvl w:ilvl="0">
      <w:lvlJc w:val="left"/>
      <w:lvlText w:val="%1"/>
      <w:numFmt w:val="lowerLetter"/>
      <w:start w:val="1"/>
    </w:lvl>
    <w:lvl w:ilvl="1">
      <w:lvlJc w:val="left"/>
      <w:lvlText w:val="(%2)"/>
      <w:numFmt w:val="lowerRoman"/>
      <w:start w:val="15"/>
    </w:lvl>
  </w:abstractNum>
  <w:abstractNum w:abstractNumId="77">
    <w:nsid w:val="73A1821B"/>
    <w:multiLevelType w:val="hybridMultilevel"/>
    <w:lvl w:ilvl="0">
      <w:lvlJc w:val="left"/>
      <w:lvlText w:val="(%1)"/>
      <w:numFmt w:val="lowerLetter"/>
      <w:start w:val="3"/>
    </w:lvl>
    <w:lvl w:ilvl="1">
      <w:lvlJc w:val="left"/>
      <w:lvlText w:val="%2"/>
      <w:numFmt w:val="lowerRoman"/>
      <w:start w:val="1"/>
    </w:lvl>
  </w:abstractNum>
  <w:abstractNum w:abstractNumId="78">
    <w:nsid w:val="7DE67713"/>
    <w:multiLevelType w:val="hybridMultilevel"/>
    <w:lvl w:ilvl="0">
      <w:lvlJc w:val="left"/>
      <w:lvlText w:val="(%1)"/>
      <w:numFmt w:val="lowerLetter"/>
      <w:start w:val="1"/>
    </w:lvl>
  </w:abstractNum>
  <w:abstractNum w:abstractNumId="79">
    <w:nsid w:val="555C55B5"/>
    <w:multiLevelType w:val="hybridMultilevel"/>
    <w:lvl w:ilvl="0">
      <w:lvlJc w:val="left"/>
      <w:lvlText w:val="(%1)"/>
      <w:numFmt w:val="lowerLetter"/>
      <w:start w:val="24"/>
    </w:lvl>
  </w:abstractNum>
  <w:abstractNum w:abstractNumId="80">
    <w:nsid w:val="3FA62ACA"/>
    <w:multiLevelType w:val="hybridMultilevel"/>
    <w:lvl w:ilvl="0">
      <w:lvlJc w:val="left"/>
      <w:lvlText w:val="(%1)"/>
      <w:numFmt w:val="lowerRoman"/>
      <w:start w:val="1"/>
    </w:lvl>
  </w:abstractNum>
  <w:abstractNum w:abstractNumId="81">
    <w:nsid w:val="14FCE74E"/>
    <w:multiLevelType w:val="hybridMultilevel"/>
    <w:lvl w:ilvl="0">
      <w:lvlJc w:val="left"/>
      <w:lvlText w:val="(%1)"/>
      <w:numFmt w:val="lowerRoman"/>
      <w:start w:val="2"/>
    </w:lvl>
  </w:abstractNum>
  <w:abstractNum w:abstractNumId="82">
    <w:nsid w:val="6A3DD3E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83">
    <w:nsid w:val="71C91298"/>
    <w:multiLevelType w:val="hybridMultilevel"/>
    <w:lvl w:ilvl="0">
      <w:lvlJc w:val="left"/>
      <w:lvlText w:val="(%1)"/>
      <w:numFmt w:val="lowerLetter"/>
      <w:start w:val="2"/>
    </w:lvl>
  </w:abstractNum>
  <w:abstractNum w:abstractNumId="84">
    <w:nsid w:val="9DAF632"/>
    <w:multiLevelType w:val="hybridMultilevel"/>
    <w:lvl w:ilvl="0">
      <w:lvlJc w:val="left"/>
      <w:lvlText w:val="(%1)"/>
      <w:numFmt w:val="lowerLetter"/>
      <w:start w:val="1"/>
    </w:lvl>
  </w:abstractNum>
  <w:abstractNum w:abstractNumId="85">
    <w:nsid w:val="53299938"/>
    <w:multiLevelType w:val="hybridMultilevel"/>
    <w:lvl w:ilvl="0">
      <w:lvlJc w:val="left"/>
      <w:lvlText w:val="(%1)"/>
      <w:numFmt w:val="lowerLetter"/>
      <w:start w:val="6"/>
    </w:lvl>
  </w:abstractNum>
  <w:abstractNum w:abstractNumId="86">
    <w:nsid w:val="1FBFE8E0"/>
    <w:multiLevelType w:val="hybridMultilevel"/>
    <w:lvl w:ilvl="0">
      <w:lvlJc w:val="left"/>
      <w:lvlText w:val="(%1)"/>
      <w:numFmt w:val="lowerLetter"/>
      <w:start w:val="1"/>
    </w:lvl>
  </w:abstractNum>
  <w:abstractNum w:abstractNumId="87">
    <w:nsid w:val="5092CA79"/>
    <w:multiLevelType w:val="hybridMultilevel"/>
    <w:lvl w:ilvl="0">
      <w:lvlJc w:val="left"/>
      <w:lvlText w:val="(%1)"/>
      <w:numFmt w:val="lowerLetter"/>
      <w:start w:val="1"/>
    </w:lvl>
  </w:abstractNum>
  <w:abstractNum w:abstractNumId="88">
    <w:nsid w:val="1D545C4D"/>
    <w:multiLevelType w:val="hybridMultilevel"/>
    <w:lvl w:ilvl="0">
      <w:lvlJc w:val="left"/>
      <w:lvlText w:val="(%1)"/>
      <w:numFmt w:val="lowerLetter"/>
      <w:start w:val="1"/>
    </w:lvl>
  </w:abstractNum>
  <w:abstractNum w:abstractNumId="89">
    <w:nsid w:val="59ADEA3D"/>
    <w:multiLevelType w:val="hybridMultilevel"/>
    <w:lvl w:ilvl="0">
      <w:lvlJc w:val="left"/>
      <w:lvlText w:val="(%1)"/>
      <w:numFmt w:val="lowerLetter"/>
      <w:start w:val="1"/>
    </w:lvl>
  </w:abstractNum>
  <w:abstractNum w:abstractNumId="90">
    <w:nsid w:val="288F1A34"/>
    <w:multiLevelType w:val="hybridMultilevel"/>
    <w:lvl w:ilvl="0">
      <w:lvlJc w:val="left"/>
      <w:lvlText w:val="(%1)"/>
      <w:numFmt w:val="lowerLetter"/>
      <w:start w:val="1"/>
    </w:lvl>
    <w:lvl w:ilvl="1">
      <w:lvlJc w:val="left"/>
      <w:lvlText w:val="(%2)"/>
      <w:numFmt w:val="lowerRoman"/>
      <w:start w:val="1"/>
    </w:lvl>
  </w:abstractNum>
  <w:abstractNum w:abstractNumId="91">
    <w:nsid w:val="2A155DBC"/>
    <w:multiLevelType w:val="hybridMultilevel"/>
    <w:lvl w:ilvl="0">
      <w:lvlJc w:val="left"/>
      <w:lvlText w:val="(%1)"/>
      <w:numFmt w:val="lowerLetter"/>
      <w:start w:val="2"/>
    </w:lvl>
    <w:lvl w:ilvl="1">
      <w:lvlJc w:val="left"/>
      <w:lvlText w:val="(%2)"/>
      <w:numFmt w:val="lowerRoman"/>
      <w:start w:val="1"/>
    </w:lvl>
  </w:abstractNum>
  <w:abstractNum w:abstractNumId="92">
    <w:nsid w:val="1D9F6E5F"/>
    <w:multiLevelType w:val="hybridMultilevel"/>
    <w:lvl w:ilvl="0">
      <w:lvlJc w:val="left"/>
      <w:lvlText w:val="(%1)"/>
      <w:numFmt w:val="lowerLetter"/>
      <w:start w:val="1"/>
    </w:lvl>
  </w:abstractNum>
  <w:abstractNum w:abstractNumId="93">
    <w:nsid w:val="97E1B4E"/>
    <w:multiLevelType w:val="hybridMultilevel"/>
    <w:lvl w:ilvl="0">
      <w:lvlJc w:val="left"/>
      <w:lvlText w:val="(%1)"/>
      <w:numFmt w:val="lowerLetter"/>
      <w:start w:val="2"/>
    </w:lvl>
  </w:abstractNum>
  <w:abstractNum w:abstractNumId="94">
    <w:nsid w:val="51088277"/>
    <w:multiLevelType w:val="hybridMultilevel"/>
    <w:lvl w:ilvl="0">
      <w:lvlJc w:val="left"/>
      <w:lvlText w:val="(%1)"/>
      <w:numFmt w:val="lowerLetter"/>
      <w:start w:val="11"/>
    </w:lvl>
  </w:abstractNum>
  <w:abstractNum w:abstractNumId="95">
    <w:nsid w:val="1CA0C5FA"/>
    <w:multiLevelType w:val="hybridMultilevel"/>
    <w:lvl w:ilvl="0">
      <w:lvlJc w:val="left"/>
      <w:lvlText w:val="(%1)"/>
      <w:numFmt w:val="lowerLetter"/>
      <w:start w:val="1"/>
    </w:lvl>
  </w:abstractNum>
  <w:abstractNum w:abstractNumId="96">
    <w:nsid w:val="53584BCB"/>
    <w:multiLevelType w:val="hybridMultilevel"/>
    <w:lvl w:ilvl="0">
      <w:lvlJc w:val="left"/>
      <w:lvlText w:val="(%1)"/>
      <w:numFmt w:val="lowerLetter"/>
      <w:start w:val="5"/>
    </w:lvl>
  </w:abstractNum>
  <w:abstractNum w:abstractNumId="97">
    <w:nsid w:val="415E286C"/>
    <w:multiLevelType w:val="hybridMultilevel"/>
    <w:lvl w:ilvl="0">
      <w:lvlJc w:val="left"/>
      <w:lvlText w:val="(%1)"/>
      <w:numFmt w:val="lowerLetter"/>
      <w:start w:val="1"/>
    </w:lvl>
    <w:lvl w:ilvl="1">
      <w:lvlJc w:val="left"/>
      <w:lvlText w:val="(%2)"/>
      <w:numFmt w:val="lowerRoman"/>
      <w:start w:val="1"/>
    </w:lvl>
  </w:abstractNum>
  <w:abstractNum w:abstractNumId="98">
    <w:nsid w:val="7C58FD05"/>
    <w:multiLevelType w:val="hybridMultilevel"/>
    <w:lvl w:ilvl="0">
      <w:lvlJc w:val="left"/>
      <w:lvlText w:val="(%1)"/>
      <w:numFmt w:val="lowerLetter"/>
      <w:start w:val="5"/>
    </w:lvl>
  </w:abstractNum>
  <w:abstractNum w:abstractNumId="99">
    <w:nsid w:val="23D86AAC"/>
    <w:multiLevelType w:val="hybridMultilevel"/>
    <w:lvl w:ilvl="0">
      <w:lvlJc w:val="left"/>
      <w:lvlText w:val="(%1)"/>
      <w:numFmt w:val="lowerLetter"/>
      <w:start w:val="1"/>
    </w:lvl>
  </w:abstractNum>
  <w:abstractNum w:abstractNumId="100">
    <w:nsid w:val="45E6D486"/>
    <w:multiLevelType w:val="hybridMultilevel"/>
    <w:lvl w:ilvl="0">
      <w:lvlJc w:val="left"/>
      <w:lvlText w:val="(%1)"/>
      <w:numFmt w:val="lowerLetter"/>
      <w:start w:val="3"/>
    </w:lvl>
  </w:abstractNum>
  <w:abstractNum w:abstractNumId="101">
    <w:nsid w:val="5C10FE21"/>
    <w:multiLevelType w:val="hybridMultilevel"/>
    <w:lvl w:ilvl="0">
      <w:lvlJc w:val="left"/>
      <w:lvlText w:val="(%1)"/>
      <w:numFmt w:val="lowerLetter"/>
      <w:start w:val="2"/>
    </w:lvl>
  </w:abstractNum>
  <w:abstractNum w:abstractNumId="102">
    <w:nsid w:val="E7FFA2B"/>
    <w:multiLevelType w:val="hybridMultilevel"/>
    <w:lvl w:ilvl="0">
      <w:lvlJc w:val="left"/>
      <w:lvlText w:val="(%1)"/>
      <w:numFmt w:val="lowerLetter"/>
      <w:start w:val="1"/>
    </w:lvl>
  </w:abstractNum>
  <w:abstractNum w:abstractNumId="103">
    <w:nsid w:val="3C5991AA"/>
    <w:multiLevelType w:val="hybridMultilevel"/>
    <w:lvl w:ilvl="0">
      <w:lvlJc w:val="left"/>
      <w:lvlText w:val="(%1)"/>
      <w:numFmt w:val="lowerLetter"/>
      <w:start w:val="4"/>
    </w:lvl>
  </w:abstractNum>
  <w:abstractNum w:abstractNumId="104">
    <w:nsid w:val="4BD8591A"/>
    <w:multiLevelType w:val="hybridMultilevel"/>
    <w:lvl w:ilvl="0">
      <w:lvlJc w:val="left"/>
      <w:lvlText w:val="(%1)"/>
      <w:numFmt w:val="lowerLetter"/>
      <w:start w:val="1"/>
    </w:lvl>
  </w:abstractNum>
  <w:abstractNum w:abstractNumId="105">
    <w:nsid w:val="78DF6A55"/>
    <w:multiLevelType w:val="hybridMultilevel"/>
    <w:lvl w:ilvl="0">
      <w:lvlJc w:val="left"/>
      <w:lvlText w:val="(%1)"/>
      <w:numFmt w:val="lowerLetter"/>
      <w:start w:val="2"/>
    </w:lvl>
  </w:abstractNum>
  <w:abstractNum w:abstractNumId="106">
    <w:nsid w:val="39B7AAA2"/>
    <w:multiLevelType w:val="hybridMultilevel"/>
    <w:lvl w:ilvl="0">
      <w:lvlJc w:val="left"/>
      <w:lvlText w:val="(%1)"/>
      <w:numFmt w:val="lowerLetter"/>
      <w:start w:val="1"/>
    </w:lvl>
  </w:abstractNum>
  <w:abstractNum w:abstractNumId="107">
    <w:nsid w:val="2B0D8DBE"/>
    <w:multiLevelType w:val="hybridMultilevel"/>
    <w:lvl w:ilvl="0">
      <w:lvlJc w:val="left"/>
      <w:lvlText w:val="(%1)"/>
      <w:numFmt w:val="lowerLetter"/>
      <w:start w:val="1"/>
    </w:lvl>
  </w:abstractNum>
  <w:abstractNum w:abstractNumId="108">
    <w:nsid w:val="6C80EC70"/>
    <w:multiLevelType w:val="hybridMultilevel"/>
    <w:lvl w:ilvl="0">
      <w:lvlJc w:val="left"/>
      <w:lvlText w:val="%1"/>
      <w:numFmt w:val="lowerLetter"/>
      <w:start w:val="1"/>
    </w:lvl>
    <w:lvl w:ilvl="1">
      <w:lvlJc w:val="left"/>
      <w:lvlText w:val="(%2)"/>
      <w:numFmt w:val="lowerLetter"/>
      <w:start w:val="1"/>
    </w:lvl>
  </w:abstractNum>
  <w:abstractNum w:abstractNumId="109">
    <w:nsid w:val="379E21B5"/>
    <w:multiLevelType w:val="hybridMultilevel"/>
    <w:lvl w:ilvl="0">
      <w:lvlJc w:val="left"/>
      <w:lvlText w:val="(%1)"/>
      <w:numFmt w:val="lowerLetter"/>
      <w:start w:val="3"/>
    </w:lvl>
    <w:lvl w:ilvl="1">
      <w:lvlJc w:val="left"/>
      <w:lvlText w:val="%2"/>
      <w:numFmt w:val="lowerLetter"/>
      <w:start w:val="1"/>
    </w:lvl>
  </w:abstractNum>
  <w:abstractNum w:abstractNumId="110">
    <w:nsid w:val="69E373"/>
    <w:multiLevelType w:val="hybridMultilevel"/>
    <w:lvl w:ilvl="0">
      <w:lvlJc w:val="left"/>
      <w:lvlText w:val="(%1)"/>
      <w:numFmt w:val="lowerLetter"/>
      <w:start w:val="4"/>
    </w:lvl>
  </w:abstractNum>
  <w:abstractNum w:abstractNumId="111">
    <w:nsid w:val="2C27173B"/>
    <w:multiLevelType w:val="hybridMultilevel"/>
    <w:lvl w:ilvl="0">
      <w:lvlJc w:val="left"/>
      <w:lvlText w:val="(%1)"/>
      <w:numFmt w:val="lowerLetter"/>
      <w:start w:val="1"/>
    </w:lvl>
  </w:abstractNum>
  <w:abstractNum w:abstractNumId="112">
    <w:nsid w:val="4C9B0904"/>
    <w:multiLevelType w:val="hybridMultilevel"/>
    <w:lvl w:ilvl="0">
      <w:lvlJc w:val="left"/>
      <w:lvlText w:val="(%1)"/>
      <w:numFmt w:val="lowerLetter"/>
      <w:start w:val="4"/>
    </w:lvl>
  </w:abstractNum>
  <w:abstractNum w:abstractNumId="113">
    <w:nsid w:val="6AA7B75C"/>
    <w:multiLevelType w:val="hybridMultilevel"/>
    <w:lvl w:ilvl="0">
      <w:lvlJc w:val="left"/>
      <w:lvlText w:val="(%1)"/>
      <w:numFmt w:val="lowerLetter"/>
      <w:start w:val="7"/>
    </w:lvl>
  </w:abstractNum>
  <w:abstractNum w:abstractNumId="114">
    <w:nsid w:val="1DF029D3"/>
    <w:multiLevelType w:val="hybridMultilevel"/>
    <w:lvl w:ilvl="0">
      <w:lvlJc w:val="left"/>
      <w:lvlText w:val="(%1)"/>
      <w:numFmt w:val="lowerLetter"/>
      <w:start w:val="1"/>
    </w:lvl>
  </w:abstractNum>
  <w:abstractNum w:abstractNumId="115">
    <w:nsid w:val="5675FF36"/>
    <w:multiLevelType w:val="hybridMultilevel"/>
    <w:lvl w:ilvl="0">
      <w:lvlJc w:val="left"/>
      <w:lvlText w:val="(%1)"/>
      <w:numFmt w:val="lowerLetter"/>
      <w:start w:val="2"/>
    </w:lvl>
  </w:abstractNum>
  <w:abstractNum w:abstractNumId="116">
    <w:nsid w:val="3DD15094"/>
    <w:multiLevelType w:val="hybridMultilevel"/>
    <w:lvl w:ilvl="0">
      <w:lvlJc w:val="left"/>
      <w:lvlText w:val="(%1)"/>
      <w:numFmt w:val="lowerLetter"/>
      <w:start w:val="1"/>
    </w:lvl>
  </w:abstractNum>
  <w:abstractNum w:abstractNumId="117">
    <w:nsid w:val="3DB012B3"/>
    <w:multiLevelType w:val="hybridMultilevel"/>
    <w:lvl w:ilvl="0">
      <w:lvlJc w:val="left"/>
      <w:lvlText w:val="(%1)"/>
      <w:numFmt w:val="lowerLetter"/>
      <w:start w:val="1"/>
    </w:lvl>
  </w:abstractNum>
  <w:abstractNum w:abstractNumId="118">
    <w:nsid w:val="2708C9AF"/>
    <w:multiLevelType w:val="hybridMultilevel"/>
    <w:lvl w:ilvl="0">
      <w:lvlJc w:val="left"/>
      <w:lvlText w:val="(%1)"/>
      <w:numFmt w:val="lowerLetter"/>
      <w:start w:val="2"/>
    </w:lvl>
  </w:abstractNum>
  <w:abstractNum w:abstractNumId="119">
    <w:nsid w:val="5B25ACE2"/>
    <w:multiLevelType w:val="hybridMultilevel"/>
    <w:lvl w:ilvl="0">
      <w:lvlJc w:val="left"/>
      <w:lvlText w:val="(%1)"/>
      <w:numFmt w:val="lowerLetter"/>
      <w:start w:val="4"/>
    </w:lvl>
    <w:lvl w:ilvl="1">
      <w:lvlJc w:val="left"/>
      <w:lvlText w:val="(%2)"/>
      <w:numFmt w:val="lowerRoman"/>
      <w:start w:val="2"/>
    </w:lvl>
  </w:abstractNum>
  <w:abstractNum w:abstractNumId="120">
    <w:nsid w:val="175DFCF0"/>
    <w:multiLevelType w:val="hybridMultilevel"/>
    <w:lvl w:ilvl="0">
      <w:lvlJc w:val="left"/>
      <w:lvlText w:val="(%1)"/>
      <w:numFmt w:val="lowerLetter"/>
      <w:start w:val="1"/>
    </w:lvl>
  </w:abstractNum>
  <w:abstractNum w:abstractNumId="121">
    <w:nsid w:val="4F97E3E4"/>
    <w:multiLevelType w:val="hybridMultilevel"/>
    <w:lvl w:ilvl="0">
      <w:lvlJc w:val="left"/>
      <w:lvlText w:val="(%1)"/>
      <w:numFmt w:val="lowerLetter"/>
      <w:start w:val="1"/>
    </w:lvl>
  </w:abstractNum>
  <w:abstractNum w:abstractNumId="122">
    <w:nsid w:val="53B0A9E"/>
    <w:multiLevelType w:val="hybridMultilevel"/>
    <w:lvl w:ilvl="0">
      <w:lvlJc w:val="left"/>
      <w:lvlText w:val="%1."/>
      <w:numFmt w:val="decimal"/>
      <w:start w:val="1"/>
    </w:lvl>
  </w:abstractNum>
  <w:abstractNum w:abstractNumId="123">
    <w:nsid w:val="34FD6B4F"/>
    <w:multiLevelType w:val="hybridMultilevel"/>
    <w:lvl w:ilvl="0">
      <w:lvlJc w:val="left"/>
      <w:lvlText w:val="%1."/>
      <w:numFmt w:val="decimal"/>
      <w:start w:val="5"/>
    </w:lvl>
  </w:abstractNum>
  <w:abstractNum w:abstractNumId="124">
    <w:nsid w:val="5915FF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2019-12-09T09:14:24Z</dcterms:created>
  <dcterms:modified xsi:type="dcterms:W3CDTF">2019-12-09T09:14:24Z</dcterms:modified>
</cp:coreProperties>
</file>