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ind w:left="660" w:right="1980" w:hanging="652"/>
        <w:spacing w:after="0" w:line="24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355" w:right="239" w:bottom="1440" w:gutter="0" w:footer="0" w:header="0"/>
        </w:sectPr>
      </w:pPr>
    </w:p>
    <w:p>
      <w:pPr>
        <w:spacing w:after="0" w:line="20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80" w:space="720"/>
            <w:col w:w="4420"/>
          </w:cols>
          <w:pgMar w:left="240" w:top="355"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jc w:val="center"/>
        <w:spacing w:after="0" w:line="200" w:lineRule="auto"/>
        <w:rPr>
          <w:sz w:val="20"/>
          <w:szCs w:val="20"/>
          <w:color w:val="auto"/>
        </w:rPr>
      </w:pPr>
      <w:r>
        <w:rPr>
          <w:rFonts w:ascii="Arial" w:cs="Arial" w:eastAsia="Arial" w:hAnsi="Arial"/>
          <w:sz w:val="18"/>
          <w:szCs w:val="18"/>
          <w:b w:val="1"/>
          <w:bCs w:val="1"/>
          <w:color w:val="auto"/>
        </w:rPr>
        <w:t>(Address and telephone number of registrant’s principal executive offices)</w:t>
      </w:r>
    </w:p>
    <w:p>
      <w:pPr>
        <w:ind w:left="4580"/>
        <w:spacing w:after="0"/>
        <w:rPr>
          <w:sz w:val="20"/>
          <w:szCs w:val="20"/>
          <w:color w:val="auto"/>
        </w:rPr>
      </w:pPr>
      <w:r>
        <w:rPr>
          <w:rFonts w:ascii="Arial" w:cs="Arial" w:eastAsia="Arial" w:hAnsi="Arial"/>
          <w:sz w:val="22"/>
          <w:szCs w:val="22"/>
          <w:b w:val="1"/>
          <w:bCs w:val="1"/>
          <w:color w:val="auto"/>
        </w:rPr>
        <w:t>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60" w:type="dxa"/>
            <w:vAlign w:val="bottom"/>
          </w:tcPr>
          <w:p>
            <w:pPr>
              <w:spacing w:after="0"/>
              <w:rPr>
                <w:sz w:val="19"/>
                <w:szCs w:val="19"/>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2"/>
        </w:trPr>
        <w:tc>
          <w:tcPr>
            <w:tcW w:w="5440" w:type="dxa"/>
            <w:vAlign w:val="bottom"/>
          </w:tcPr>
          <w:p>
            <w:pPr>
              <w:jc w:val="center"/>
              <w:spacing w:after="0" w:line="201" w:lineRule="exact"/>
              <w:rPr>
                <w:sz w:val="20"/>
                <w:szCs w:val="20"/>
                <w:color w:val="auto"/>
              </w:rPr>
            </w:pPr>
            <w:r>
              <w:rPr>
                <w:rFonts w:ascii="Arial" w:cs="Arial" w:eastAsia="Arial" w:hAnsi="Arial"/>
                <w:sz w:val="18"/>
                <w:szCs w:val="18"/>
                <w:color w:val="auto"/>
                <w:w w:val="90"/>
              </w:rPr>
              <w:t>Common stock, no par value</w:t>
            </w:r>
          </w:p>
        </w:tc>
        <w:tc>
          <w:tcPr>
            <w:tcW w:w="660" w:type="dxa"/>
            <w:vAlign w:val="bottom"/>
          </w:tcPr>
          <w:p>
            <w:pPr>
              <w:spacing w:after="0"/>
              <w:rPr>
                <w:sz w:val="17"/>
                <w:szCs w:val="17"/>
                <w:color w:val="auto"/>
              </w:rPr>
            </w:pPr>
          </w:p>
        </w:tc>
        <w:tc>
          <w:tcPr>
            <w:tcW w:w="5320" w:type="dxa"/>
            <w:vAlign w:val="bottom"/>
          </w:tcPr>
          <w:p>
            <w:pPr>
              <w:jc w:val="center"/>
              <w:spacing w:after="0" w:line="201" w:lineRule="exact"/>
              <w:rPr>
                <w:sz w:val="20"/>
                <w:szCs w:val="20"/>
                <w:color w:val="auto"/>
              </w:rPr>
            </w:pPr>
            <w:r>
              <w:rPr>
                <w:rFonts w:ascii="Arial" w:cs="Arial" w:eastAsia="Arial" w:hAnsi="Arial"/>
                <w:sz w:val="18"/>
                <w:szCs w:val="18"/>
                <w:color w:val="auto"/>
                <w:w w:val="93"/>
              </w:rPr>
              <w:t>NASDAQ Global Select Market</w:t>
            </w:r>
          </w:p>
        </w:tc>
      </w:tr>
      <w:tr>
        <w:trPr>
          <w:trHeight w:val="230"/>
        </w:trPr>
        <w:tc>
          <w:tcPr>
            <w:tcW w:w="5440" w:type="dxa"/>
            <w:vAlign w:val="bottom"/>
          </w:tcPr>
          <w:p>
            <w:pPr>
              <w:jc w:val="center"/>
              <w:spacing w:after="0"/>
              <w:rPr>
                <w:sz w:val="20"/>
                <w:szCs w:val="20"/>
                <w:color w:val="auto"/>
              </w:rPr>
            </w:pPr>
            <w:r>
              <w:rPr>
                <w:rFonts w:ascii="Arial" w:cs="Arial" w:eastAsia="Arial" w:hAnsi="Arial"/>
                <w:sz w:val="18"/>
                <w:szCs w:val="18"/>
                <w:color w:val="auto"/>
                <w:w w:val="88"/>
              </w:rPr>
              <w:t>Preferred share purchase rights</w:t>
            </w:r>
          </w:p>
        </w:tc>
        <w:tc>
          <w:tcPr>
            <w:tcW w:w="6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55" w:right="23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1" w:lineRule="exact"/>
        <w:rPr>
          <w:sz w:val="24"/>
          <w:szCs w:val="24"/>
          <w:color w:val="auto"/>
        </w:rPr>
      </w:pPr>
    </w:p>
    <w:p>
      <w:pPr>
        <w:sectPr>
          <w:pgSz w:w="11900" w:h="16838" w:orient="portrait"/>
          <w:cols w:equalWidth="0" w:num="2">
            <w:col w:w="6940" w:space="720"/>
            <w:col w:w="3760"/>
          </w:cols>
          <w:pgMar w:left="240" w:top="355" w:right="239" w:bottom="1440" w:gutter="0" w:footer="0" w:header="0"/>
          <w:type w:val="continuous"/>
        </w:sectPr>
      </w:pPr>
    </w:p>
    <w:p>
      <w:pPr>
        <w:spacing w:after="0" w:line="207" w:lineRule="exact"/>
        <w:tabs>
          <w:tab w:leader="none" w:pos="81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15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As of June 30, 2009 (the last business day of the registrant’s most recently completed second fiscal quarter), the aggregate market value of the shares of common stock held by non-affiliates of the registrant (based on the closing price for the common stock on the NASDAQ Global Select Market) was $2,201,140,741.</w:t>
      </w:r>
    </w:p>
    <w:p>
      <w:pPr>
        <w:spacing w:after="0" w:line="7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As of January 31, 2010, there were outstanding 40,166,339 shares of the registrant’s common stock, no par value, which is the only class of common stock of the registrant.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The information called for by Part III is incorporated by reference to the definitive Proxy Statement for the Annual Meeting of Shareholders of the Company to be held on May 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0"/>
          </w:tcPr>
          <w:p>
            <w:pPr>
              <w:jc w:val="center"/>
              <w:ind w:right="4380"/>
              <w:spacing w:after="0"/>
              <w:rPr>
                <w:sz w:val="20"/>
                <w:szCs w:val="20"/>
                <w:color w:val="auto"/>
              </w:rPr>
            </w:pPr>
            <w:r>
              <w:rPr>
                <w:rFonts w:ascii="Arial" w:cs="Arial" w:eastAsia="Arial" w:hAnsi="Arial"/>
                <w:sz w:val="18"/>
                <w:szCs w:val="18"/>
                <w:b w:val="1"/>
                <w:bCs w:val="1"/>
                <w:color w:val="auto"/>
                <w:w w:val="96"/>
              </w:rPr>
              <w:t>Itron, Inc.</w:t>
            </w:r>
          </w:p>
        </w:tc>
        <w:tc>
          <w:tcPr>
            <w:tcW w:w="8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4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0"/>
                <w:szCs w:val="20"/>
                <w:color w:val="auto"/>
              </w:rPr>
            </w:pPr>
          </w:p>
        </w:tc>
      </w:tr>
      <w:tr>
        <w:trPr>
          <w:trHeight w:val="95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02"/>
        </w:trPr>
        <w:tc>
          <w:tcPr>
            <w:tcW w:w="10620" w:type="dxa"/>
            <w:vAlign w:val="bottom"/>
            <w:gridSpan w:val="34"/>
          </w:tcPr>
          <w:p>
            <w:pPr>
              <w:spacing w:after="0" w:line="201" w:lineRule="exact"/>
              <w:rPr>
                <w:sz w:val="20"/>
                <w:szCs w:val="20"/>
                <w:color w:val="auto"/>
              </w:rPr>
            </w:pPr>
            <w:r>
              <w:rPr>
                <w:rFonts w:ascii="Arial" w:cs="Arial" w:eastAsia="Arial" w:hAnsi="Arial"/>
                <w:sz w:val="18"/>
                <w:szCs w:val="18"/>
                <w:b w:val="1"/>
                <w:bCs w:val="1"/>
                <w:color w:val="auto"/>
              </w:rPr>
              <w:t>PART I</w:t>
            </w:r>
          </w:p>
        </w:tc>
        <w:tc>
          <w:tcPr>
            <w:tcW w:w="800" w:type="dxa"/>
            <w:vAlign w:val="bottom"/>
          </w:tcPr>
          <w:p>
            <w:pPr>
              <w:spacing w:after="0"/>
              <w:rPr>
                <w:sz w:val="17"/>
                <w:szCs w:val="17"/>
                <w:color w:val="auto"/>
              </w:rPr>
            </w:pPr>
          </w:p>
        </w:tc>
      </w:tr>
      <w:tr>
        <w:trPr>
          <w:trHeight w:val="190"/>
        </w:trPr>
        <w:tc>
          <w:tcPr>
            <w:tcW w:w="460" w:type="dxa"/>
            <w:vAlign w:val="bottom"/>
          </w:tcPr>
          <w:p>
            <w:pPr>
              <w:spacing w:after="0"/>
              <w:rPr>
                <w:sz w:val="16"/>
                <w:szCs w:val="16"/>
                <w:color w:val="auto"/>
              </w:rPr>
            </w:pPr>
          </w:p>
        </w:tc>
        <w:tc>
          <w:tcPr>
            <w:tcW w:w="10160" w:type="dxa"/>
            <w:vAlign w:val="bottom"/>
            <w:gridSpan w:val="3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ITEM 1A: RISK FACTORS</w:t>
              </w:r>
            </w:hyperlink>
          </w:p>
        </w:tc>
        <w:tc>
          <w:tcPr>
            <w:tcW w:w="8100" w:type="dxa"/>
            <w:vAlign w:val="bottom"/>
            <w:gridSpan w:val="2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ITEM 1B: UNRESOLVED STAFF COMMENTS</w:t>
              </w:r>
            </w:hyperlink>
          </w:p>
        </w:tc>
        <w:tc>
          <w:tcPr>
            <w:tcW w:w="652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PROPERTIES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ITEM 3: LEGAL PROCEEDINGS</w:t>
              </w:r>
            </w:hyperlink>
          </w:p>
        </w:tc>
        <w:tc>
          <w:tcPr>
            <w:tcW w:w="7600" w:type="dxa"/>
            <w:vAlign w:val="bottom"/>
            <w:gridSpan w:val="2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 SUBMISSION OF MATTERS TO A VOTE OF SECURITY HOLDERS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8"/>
        </w:trPr>
        <w:tc>
          <w:tcPr>
            <w:tcW w:w="10620" w:type="dxa"/>
            <w:vAlign w:val="bottom"/>
            <w:gridSpan w:val="34"/>
          </w:tcPr>
          <w:p>
            <w:pPr>
              <w:spacing w:after="0"/>
              <w:rPr>
                <w:sz w:val="20"/>
                <w:szCs w:val="20"/>
                <w:color w:val="auto"/>
              </w:rPr>
            </w:pPr>
            <w:r>
              <w:rPr>
                <w:rFonts w:ascii="Arial" w:cs="Arial" w:eastAsia="Arial" w:hAnsi="Arial"/>
                <w:sz w:val="18"/>
                <w:szCs w:val="18"/>
                <w:b w:val="1"/>
                <w:bCs w:val="1"/>
                <w:color w:val="auto"/>
              </w:rPr>
              <w:t>PART II</w:t>
            </w:r>
          </w:p>
        </w:tc>
        <w:tc>
          <w:tcPr>
            <w:tcW w:w="800" w:type="dxa"/>
            <w:vAlign w:val="bottom"/>
          </w:tcPr>
          <w:p>
            <w:pPr>
              <w:spacing w:after="0"/>
              <w:rPr>
                <w:sz w:val="24"/>
                <w:szCs w:val="24"/>
                <w:color w:val="auto"/>
              </w:rPr>
            </w:pPr>
          </w:p>
        </w:tc>
      </w:tr>
      <w:tr>
        <w:trPr>
          <w:trHeight w:val="190"/>
        </w:trPr>
        <w:tc>
          <w:tcPr>
            <w:tcW w:w="460" w:type="dxa"/>
            <w:vAlign w:val="bottom"/>
          </w:tcPr>
          <w:p>
            <w:pPr>
              <w:spacing w:after="0"/>
              <w:rPr>
                <w:sz w:val="16"/>
                <w:szCs w:val="16"/>
                <w:color w:val="auto"/>
              </w:rPr>
            </w:pPr>
          </w:p>
        </w:tc>
        <w:tc>
          <w:tcPr>
            <w:tcW w:w="10160" w:type="dxa"/>
            <w:vAlign w:val="bottom"/>
            <w:gridSpan w:val="33"/>
          </w:tcPr>
          <w:p>
            <w:pPr>
              <w:spacing w:after="0" w:line="190" w:lineRule="exact"/>
              <w:rPr>
                <w:rFonts w:ascii="Arial" w:cs="Arial" w:eastAsia="Arial" w:hAnsi="Arial"/>
                <w:sz w:val="18"/>
                <w:szCs w:val="18"/>
                <w:color w:val="0000EE"/>
              </w:rPr>
            </w:pPr>
            <w:hyperlink w:anchor="page19">
              <w:r>
                <w:rPr>
                  <w:rFonts w:ascii="Arial" w:cs="Arial" w:eastAsia="Arial" w:hAnsi="Arial"/>
                  <w:sz w:val="18"/>
                  <w:szCs w:val="18"/>
                  <w:color w:val="0000EE"/>
                </w:rPr>
                <w:t>ITEM 5: MARKET FOR REGISTRANT’S COMMON EQUITY, RELATED STOCKHOLDER MATTERS</w:t>
              </w:r>
            </w:hyperlink>
          </w:p>
        </w:tc>
        <w:tc>
          <w:tcPr>
            <w:tcW w:w="800" w:type="dxa"/>
            <w:vAlign w:val="bottom"/>
          </w:tcPr>
          <w:p>
            <w:pPr>
              <w:spacing w:after="0"/>
              <w:rPr>
                <w:sz w:val="16"/>
                <w:szCs w:val="16"/>
                <w:color w:val="auto"/>
              </w:rPr>
            </w:pPr>
          </w:p>
        </w:tc>
      </w:tr>
      <w:tr>
        <w:trPr>
          <w:trHeight w:val="196"/>
        </w:trPr>
        <w:tc>
          <w:tcPr>
            <w:tcW w:w="4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2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AND ISSUER PURCHASES OF EQUITY SECURITIES</w:t>
              </w:r>
            </w:hyperlink>
          </w:p>
        </w:tc>
        <w:tc>
          <w:tcPr>
            <w:tcW w:w="3180" w:type="dxa"/>
            <w:vAlign w:val="bottom"/>
            <w:tcBorders>
              <w:top w:val="single" w:sz="8" w:color="0000EE"/>
            </w:tcBorders>
            <w:gridSpan w:val="9"/>
          </w:tcPr>
          <w:p>
            <w:pPr>
              <w:spacing w:after="0"/>
              <w:rPr>
                <w:sz w:val="17"/>
                <w:szCs w:val="17"/>
                <w:color w:val="auto"/>
              </w:rPr>
            </w:pPr>
          </w:p>
        </w:tc>
        <w:tc>
          <w:tcPr>
            <w:tcW w:w="23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452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ITEM 6: SELECTED CONSOLIDATED FINANCIAL DATA</w:t>
              </w:r>
            </w:hyperlink>
          </w:p>
        </w:tc>
        <w:tc>
          <w:tcPr>
            <w:tcW w:w="564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7: MANAGEMENT’S DISCUSSION AND ANALYSIS OF FINANCIAL CONDITION AND</w:t>
              </w:r>
            </w:hyperlink>
          </w:p>
        </w:tc>
        <w:tc>
          <w:tcPr>
            <w:tcW w:w="8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RESULTS OF OPERATIONS</w:t>
              </w:r>
            </w:hyperlink>
          </w:p>
        </w:tc>
        <w:tc>
          <w:tcPr>
            <w:tcW w:w="4700" w:type="dxa"/>
            <w:vAlign w:val="bottom"/>
            <w:tcBorders>
              <w:top w:val="single" w:sz="8" w:color="0000EE"/>
            </w:tcBorders>
            <w:gridSpan w:val="19"/>
          </w:tcPr>
          <w:p>
            <w:pPr>
              <w:spacing w:after="0"/>
              <w:rPr>
                <w:sz w:val="17"/>
                <w:szCs w:val="17"/>
                <w:color w:val="auto"/>
              </w:rPr>
            </w:pPr>
          </w:p>
        </w:tc>
        <w:tc>
          <w:tcPr>
            <w:tcW w:w="280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7A: QUANTITATIVE AND QUALITATIVE DISCLOSURES ABOUT MARKET RISK</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6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ITEM 8: FINANCIAL STATEMENTS AND SUPPLEMENTARY DATA</w:t>
              </w:r>
            </w:hyperlink>
          </w:p>
        </w:tc>
        <w:tc>
          <w:tcPr>
            <w:tcW w:w="1600" w:type="dxa"/>
            <w:vAlign w:val="bottom"/>
            <w:tcBorders>
              <w:top w:val="single" w:sz="8" w:color="0000EE"/>
            </w:tcBorders>
            <w:gridSpan w:val="3"/>
          </w:tcPr>
          <w:p>
            <w:pPr>
              <w:spacing w:after="0"/>
              <w:rPr>
                <w:sz w:val="17"/>
                <w:szCs w:val="17"/>
                <w:color w:val="auto"/>
              </w:rPr>
            </w:pPr>
          </w:p>
        </w:tc>
        <w:tc>
          <w:tcPr>
            <w:tcW w:w="322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Consolidated Balance Sheets</w:t>
              </w:r>
            </w:hyperlink>
          </w:p>
        </w:tc>
        <w:tc>
          <w:tcPr>
            <w:tcW w:w="720" w:type="dxa"/>
            <w:vAlign w:val="bottom"/>
            <w:tcBorders>
              <w:top w:val="single" w:sz="8" w:color="0000EE"/>
            </w:tcBorders>
            <w:gridSpan w:val="5"/>
          </w:tcPr>
          <w:p>
            <w:pPr>
              <w:spacing w:after="0"/>
              <w:rPr>
                <w:sz w:val="17"/>
                <w:szCs w:val="17"/>
                <w:color w:val="auto"/>
              </w:rPr>
            </w:pPr>
          </w:p>
        </w:tc>
        <w:tc>
          <w:tcPr>
            <w:tcW w:w="688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Shareholders’ Equity</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5"/>
          </w:tcPr>
          <w:p>
            <w:pPr>
              <w:spacing w:after="0"/>
              <w:rPr>
                <w:sz w:val="17"/>
                <w:szCs w:val="17"/>
                <w:color w:val="auto"/>
              </w:rPr>
            </w:pPr>
          </w:p>
        </w:tc>
        <w:tc>
          <w:tcPr>
            <w:tcW w:w="616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Notes to Consolidated Financial Statements</w:t>
              </w:r>
            </w:hyperlink>
          </w:p>
        </w:tc>
        <w:tc>
          <w:tcPr>
            <w:tcW w:w="654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9: CHANGES IN AND DISAGREEMENTS WITH ACCOUNTANTS ON ACCOUNTING AND</w:t>
              </w:r>
            </w:hyperlink>
          </w:p>
        </w:tc>
        <w:tc>
          <w:tcPr>
            <w:tcW w:w="8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FINANCIAL DISCLOSURE</w:t>
              </w:r>
            </w:hyperlink>
          </w:p>
        </w:tc>
        <w:tc>
          <w:tcPr>
            <w:tcW w:w="5000" w:type="dxa"/>
            <w:vAlign w:val="bottom"/>
            <w:tcBorders>
              <w:top w:val="single" w:sz="8" w:color="0000EE"/>
            </w:tcBorders>
            <w:gridSpan w:val="21"/>
          </w:tcPr>
          <w:p>
            <w:pPr>
              <w:spacing w:after="0"/>
              <w:rPr>
                <w:sz w:val="17"/>
                <w:szCs w:val="17"/>
                <w:color w:val="auto"/>
              </w:rPr>
            </w:pPr>
          </w:p>
        </w:tc>
        <w:tc>
          <w:tcPr>
            <w:tcW w:w="256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9A: CONTROLS AND PROCEDURES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60" w:type="dxa"/>
            <w:vAlign w:val="bottom"/>
          </w:tcPr>
          <w:p>
            <w:pPr>
              <w:spacing w:after="0"/>
              <w:rPr>
                <w:sz w:val="17"/>
                <w:szCs w:val="17"/>
                <w:color w:val="auto"/>
              </w:rPr>
            </w:pPr>
          </w:p>
        </w:tc>
        <w:tc>
          <w:tcPr>
            <w:tcW w:w="34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9B: OTHER INFORMATION</w:t>
              </w:r>
            </w:hyperlink>
          </w:p>
        </w:tc>
        <w:tc>
          <w:tcPr>
            <w:tcW w:w="676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8"/>
        </w:trPr>
        <w:tc>
          <w:tcPr>
            <w:tcW w:w="10620" w:type="dxa"/>
            <w:vAlign w:val="bottom"/>
            <w:gridSpan w:val="34"/>
          </w:tcPr>
          <w:p>
            <w:pPr>
              <w:spacing w:after="0"/>
              <w:rPr>
                <w:sz w:val="20"/>
                <w:szCs w:val="20"/>
                <w:color w:val="auto"/>
              </w:rPr>
            </w:pPr>
            <w:r>
              <w:rPr>
                <w:rFonts w:ascii="Arial" w:cs="Arial" w:eastAsia="Arial" w:hAnsi="Arial"/>
                <w:sz w:val="18"/>
                <w:szCs w:val="18"/>
                <w:b w:val="1"/>
                <w:bCs w:val="1"/>
                <w:color w:val="auto"/>
              </w:rPr>
              <w:t>PART III</w:t>
            </w:r>
          </w:p>
        </w:tc>
        <w:tc>
          <w:tcPr>
            <w:tcW w:w="800" w:type="dxa"/>
            <w:vAlign w:val="bottom"/>
          </w:tcPr>
          <w:p>
            <w:pPr>
              <w:spacing w:after="0"/>
              <w:rPr>
                <w:sz w:val="24"/>
                <w:szCs w:val="24"/>
                <w:color w:val="auto"/>
              </w:rPr>
            </w:pPr>
          </w:p>
        </w:tc>
      </w:tr>
      <w:tr>
        <w:trPr>
          <w:trHeight w:val="190"/>
        </w:trPr>
        <w:tc>
          <w:tcPr>
            <w:tcW w:w="460" w:type="dxa"/>
            <w:vAlign w:val="bottom"/>
          </w:tcPr>
          <w:p>
            <w:pPr>
              <w:spacing w:after="0"/>
              <w:rPr>
                <w:sz w:val="16"/>
                <w:szCs w:val="16"/>
                <w:color w:val="auto"/>
              </w:rPr>
            </w:pPr>
          </w:p>
        </w:tc>
        <w:tc>
          <w:tcPr>
            <w:tcW w:w="10160" w:type="dxa"/>
            <w:vAlign w:val="bottom"/>
            <w:gridSpan w:val="33"/>
          </w:tcPr>
          <w:p>
            <w:pPr>
              <w:spacing w:after="0" w:line="190" w:lineRule="exact"/>
              <w:rPr>
                <w:rFonts w:ascii="Arial" w:cs="Arial" w:eastAsia="Arial" w:hAnsi="Arial"/>
                <w:sz w:val="18"/>
                <w:szCs w:val="18"/>
                <w:color w:val="0000EE"/>
              </w:rPr>
            </w:pPr>
            <w:hyperlink w:anchor="page86">
              <w:r>
                <w:rPr>
                  <w:rFonts w:ascii="Arial" w:cs="Arial" w:eastAsia="Arial" w:hAnsi="Arial"/>
                  <w:sz w:val="18"/>
                  <w:szCs w:val="18"/>
                  <w:color w:val="0000EE"/>
                </w:rPr>
                <w:t>ITEM 10: 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84</w:t>
            </w:r>
          </w:p>
        </w:tc>
      </w:tr>
      <w:tr>
        <w:trPr>
          <w:trHeight w:val="196"/>
        </w:trPr>
        <w:tc>
          <w:tcPr>
            <w:tcW w:w="460" w:type="dxa"/>
            <w:vAlign w:val="bottom"/>
          </w:tcPr>
          <w:p>
            <w:pPr>
              <w:spacing w:after="0"/>
              <w:rPr>
                <w:sz w:val="17"/>
                <w:szCs w:val="17"/>
                <w:color w:val="auto"/>
              </w:rPr>
            </w:pPr>
          </w:p>
        </w:tc>
        <w:tc>
          <w:tcPr>
            <w:tcW w:w="65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11: EXECUTIVE COMPENSATION</w:t>
              </w:r>
            </w:hyperlink>
          </w:p>
        </w:tc>
        <w:tc>
          <w:tcPr>
            <w:tcW w:w="360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00" w:type="dxa"/>
            <w:vAlign w:val="bottom"/>
            <w:gridSpan w:val="8"/>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94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ITEM 12: SECURITY OWNERSHIP OF CERTAIN BENEFICIAL OWNERS AND MANAGEMENT AND</w:t>
              </w:r>
            </w:hyperlink>
          </w:p>
        </w:tc>
        <w:tc>
          <w:tcPr>
            <w:tcW w:w="22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RELATED STOCKHOLDER MATTERS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13: CERTAIN RELATIONSHIPS AND RELATED TRANSACTIONS AND DIRECTOR INDEPENDENCE</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46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ITEM 14: PRINCIPAL ACCOUNTING FEES AND SERVICES</w:t>
              </w:r>
            </w:hyperlink>
          </w:p>
        </w:tc>
        <w:tc>
          <w:tcPr>
            <w:tcW w:w="3720" w:type="dxa"/>
            <w:vAlign w:val="bottom"/>
            <w:tcBorders>
              <w:top w:val="single" w:sz="8" w:color="0000EE"/>
            </w:tcBorders>
            <w:gridSpan w:val="10"/>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438"/>
        </w:trPr>
        <w:tc>
          <w:tcPr>
            <w:tcW w:w="10620" w:type="dxa"/>
            <w:vAlign w:val="bottom"/>
            <w:gridSpan w:val="34"/>
          </w:tcPr>
          <w:p>
            <w:pPr>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4"/>
                <w:szCs w:val="24"/>
                <w:color w:val="auto"/>
              </w:rPr>
            </w:pPr>
          </w:p>
        </w:tc>
      </w:tr>
      <w:tr>
        <w:trPr>
          <w:trHeight w:val="190"/>
        </w:trPr>
        <w:tc>
          <w:tcPr>
            <w:tcW w:w="460" w:type="dxa"/>
            <w:vAlign w:val="bottom"/>
          </w:tcPr>
          <w:p>
            <w:pPr>
              <w:spacing w:after="0"/>
              <w:rPr>
                <w:sz w:val="16"/>
                <w:szCs w:val="16"/>
                <w:color w:val="auto"/>
              </w:rPr>
            </w:pPr>
          </w:p>
        </w:tc>
        <w:tc>
          <w:tcPr>
            <w:tcW w:w="4720" w:type="dxa"/>
            <w:vAlign w:val="bottom"/>
            <w:tcBorders>
              <w:bottom w:val="single" w:sz="8" w:color="0000EE"/>
            </w:tcBorders>
            <w:gridSpan w:val="23"/>
          </w:tcPr>
          <w:p>
            <w:pPr>
              <w:spacing w:after="0" w:line="190"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ITEM 15: EXHIBITS, FINANCIAL STATEMENT SCHEDULE</w:t>
              </w:r>
            </w:hyperlink>
          </w:p>
        </w:tc>
        <w:tc>
          <w:tcPr>
            <w:tcW w:w="5440" w:type="dxa"/>
            <w:vAlign w:val="bottom"/>
            <w:gridSpan w:val="10"/>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85</w:t>
            </w:r>
          </w:p>
        </w:tc>
      </w:tr>
      <w:tr>
        <w:trPr>
          <w:trHeight w:val="412"/>
        </w:trPr>
        <w:tc>
          <w:tcPr>
            <w:tcW w:w="10620" w:type="dxa"/>
            <w:vAlign w:val="bottom"/>
            <w:gridSpan w:val="34"/>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3900" w:type="dxa"/>
            <w:vAlign w:val="bottom"/>
            <w:gridSpan w:val="17"/>
          </w:tcPr>
          <w:p>
            <w:pPr>
              <w:spacing w:after="0" w:line="20" w:lineRule="exact"/>
              <w:rPr>
                <w:sz w:val="1"/>
                <w:szCs w:val="1"/>
                <w:color w:val="auto"/>
              </w:rPr>
            </w:pPr>
          </w:p>
        </w:tc>
        <w:tc>
          <w:tcPr>
            <w:tcW w:w="55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620" w:type="dxa"/>
            <w:vAlign w:val="bottom"/>
            <w:gridSpan w:val="34"/>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SCHEDULE II: VALUATION AND QUALIFYING ACCOUNTS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32"/>
        </w:trPr>
        <w:tc>
          <w:tcPr>
            <w:tcW w:w="460" w:type="dxa"/>
            <w:vAlign w:val="bottom"/>
            <w:tcBorders>
              <w:top w:val="single" w:sz="8" w:color="0000EE"/>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82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5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w:t>
      </w:r>
    </w:p>
    <w:p>
      <w:pPr>
        <w:spacing w:after="0" w:line="5" w:lineRule="exact"/>
        <w:rPr>
          <w:sz w:val="20"/>
          <w:szCs w:val="20"/>
          <w:color w:val="auto"/>
        </w:rPr>
      </w:pPr>
    </w:p>
    <w:p>
      <w:pPr>
        <w:jc w:val="both"/>
        <w:ind w:firstLine="8"/>
        <w:spacing w:after="0" w:line="290" w:lineRule="auto"/>
        <w:tabs>
          <w:tab w:leader="none" w:pos="203"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competition, 4) changes in estimated liabilities for product warranties and/or litigation, 5) our dependence on customers’ acceptance of new product and their performance, 6) changes in domestic and international laws and regulations, 7) future business combinations, 8) changes in estimates for stock-based compensation and pension costs, 9) changes in foreign currency exchange rates and interest rates, 10) international business risks, 11) our own and our customers’ or suppliers’ access to and cost of capital, and 12)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(http://</w:t>
      </w:r>
      <w:r>
        <w:rPr>
          <w:rFonts w:ascii="Arial" w:cs="Arial" w:eastAsia="Arial" w:hAnsi="Arial"/>
          <w:sz w:val="17"/>
          <w:szCs w:val="17"/>
          <w:i w:val="1"/>
          <w:iCs w:val="1"/>
          <w:color w:val="auto"/>
        </w:rPr>
        <w:t>www.sec.gov</w:t>
      </w:r>
      <w:r>
        <w:rPr>
          <w:rFonts w:ascii="Arial" w:cs="Arial" w:eastAsia="Arial" w:hAnsi="Arial"/>
          <w:sz w:val="17"/>
          <w:szCs w:val="17"/>
          <w:color w:val="auto"/>
        </w:rPr>
        <w:t>) and at the SEC’s Headquarters at 100 F Street, NE, Washington, DC 20549, or by calling 1-800-SEC-0330.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comprehensive portfolio of products and services to utilities for the energy and water markets throughout the world. We were incorporated in 1977 and introduced a handheld computer-based system used to collect meter reads and print on-site bills. Through innovation and acquisitions, we became the market leader in automated meter reading (AMR) systems and software knowledge applications that enabled our customers to analyze and manage meter-based data. In 2004, we entered the electricity meter manufacturing business with the acquisition of Schlumberger Electricity Metering. Then, in 2007, we established a significant presence in global meter manufacturing and systems with the acquisition of Actaris Metering Systems SA (Actaris). Today, together with our subsidiary companies, we are one of the world’s leading providers of intelligent metering, data collection, and utility software solutions, having served utility customers for over 125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 Products, Systems, and Solutions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for managing the delivery and use of energy and water is dynamic and competitive. Increased demand for energy and water, coupled with increased scarcity of resources and environmental concerns, are causing regulatory bodies worldwide to establish strict climate policies and promote smart grid and intelligent metering initiatives. As a result, many electric, natural gas, and water utilities are transforming their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there are approximately 2.7 billion meters currently installed worldwide, of which we estimate approximately 9% have been automated.</w:t>
      </w:r>
    </w:p>
    <w:p>
      <w:pPr>
        <w:spacing w:after="0" w:line="264" w:lineRule="exact"/>
        <w:rPr>
          <w:sz w:val="20"/>
          <w:szCs w:val="20"/>
          <w:color w:val="auto"/>
        </w:rPr>
      </w:pPr>
    </w:p>
    <w:p>
      <w:pPr>
        <w:spacing w:after="0"/>
        <w:tabs>
          <w:tab w:leader="none" w:pos="660" w:val="left"/>
          <w:tab w:leader="none" w:pos="4100" w:val="left"/>
          <w:tab w:leader="none" w:pos="4760" w:val="left"/>
          <w:tab w:leader="none" w:pos="7800" w:val="left"/>
          <w:tab w:leader="none" w:pos="8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 billion electricity meters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430 million gas meters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945 million water meters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Electric utilities are striving to reduce demand during peak hours in lieu of building additional generation capacity, while improving customer service. In addition, utilities are faced with a convergence of factors including environmental concerns, more stringent regulations and directives, and government funding and incentives. The smart grid provides utilities with the tools necessary to tackle these challenges as it consists of a multi-layered network that is an interactive platform on which technology allows utilities to better understand and control their energy usage and needs. Advanced metering infrastructures (AMI), consisting of hardware, software, communications, and meter data management, is the foundation of the smart grid. AMI uses two-way communication between utilities and their customers, which allows utilities to better manage energy usage and enables customers to become smarter about their energy consumption. Given AMI’s advanced technological capabilities, as compared with traditional metering, many major utilities are investing in AMI.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utilities are also looking towards sustainability and conservation. In addition, natural gas has increasingly become a preferred choice for electricity generation and consumer consumption. Smart infrastructures, such as smart metering, are helping natural gas utilities meet sustainability and conservation requirements through two-way meter communications, accurate measurement, leak detection and flow control, customer relationship management, distribution asset optimization, and demand-side management.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Water conservation continues to be a worldwide concern. Population growth and water consumption are outpacing water resources across many parts of the world. This trend reflects the need for more sustainable management and use of water supplies. Water utilities and municipalities are committed to providing safe and adequate water supplies while facing diminishing resources and infrastructure challenges. Water utilities are focused on increasing the efficiency of water production and minimizing waste both in delivery and consumption. Upgrading infrastructures and deploying smart metering systems will help water utilities meet conservation requirements through accurate measurement, leak detection capabilities, and by allowing them to monitor water usage and time of use using two-way meter communications.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sell solutions and provide expertise to electric, gas, and water utilities around the world. Our operating segments as of December 31, 2009 are Itron North America and Itron International.</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Itron North America generates the majority of its revenue in the United States and Canada and offers intelligent meters and data collection and communication systems for electric, gas, and water utilities. Collection and communication systems include AMI/AMR systems and a host of utility software and services.</w:t>
      </w:r>
    </w:p>
    <w:p>
      <w:pPr>
        <w:spacing w:after="0" w:line="20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Itron International generates the majority of its revenue in Europe, and the balance primarily in South Africa, South America, and Asia/Pacific. Itron International offers a variety of electricity, gas, water, and heat meters, AMR and AMI systems, software, and services. Our Itron International operations are primarily the result of the acquisition of Actaris in the second quarter of 2007.</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is a discussion of our operating segment markets and their major products and solutions. Refer to Item 7: “Management’s Discussion and Analysis of Financial Condition and Results of Operations” included in this Annual Report on Form 10-K for specific segment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Itron North America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there are approximately 355 million meters currently installed in North America.</w:t>
      </w:r>
    </w:p>
    <w:p>
      <w:pPr>
        <w:spacing w:after="0" w:line="238" w:lineRule="exact"/>
        <w:rPr>
          <w:sz w:val="20"/>
          <w:szCs w:val="20"/>
          <w:color w:val="auto"/>
        </w:rPr>
      </w:pPr>
    </w:p>
    <w:p>
      <w:pPr>
        <w:ind w:left="660"/>
        <w:spacing w:after="0"/>
        <w:tabs>
          <w:tab w:leader="none" w:pos="1160" w:val="left"/>
          <w:tab w:leader="none" w:pos="4420" w:val="left"/>
          <w:tab w:leader="none" w:pos="5080" w:val="left"/>
          <w:tab w:leader="none" w:pos="7880" w:val="left"/>
          <w:tab w:leader="none" w:pos="8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175 million electricity meters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 million gas meters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million water meters</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We estimate 47% of the total installed meters are read with automated technologies and about half of these automated meters are read with our technology.</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Historically, AMR growth in the United States and Canada has primarily been driven by the need to reduce operational cost, including the reduction of labor costs, a strong focus on operating cash flow improvement from shorter read-to-pay cycles, and enhanced customer service in the form of increased billing accuracy and faster invoicing cycles.</w:t>
      </w:r>
    </w:p>
    <w:p>
      <w:pPr>
        <w:spacing w:after="0" w:line="20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United States’ American Recovery and Reinvestment Act of 2009 (ARRA) provided grants and awards of $4.5 billion to utilities for investment in electricity delivery and energy reliability (smart grid), $16.8 billion for energy efficiency programs and tax incentives, and $6 billion for water infrastructure upgrades. The ARRA, combined with limited energy supplies and shrinking reserve margins, is increasing the interest in AMI and the devices that enable the smart grid and is expected to accelerate growth.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Itron International</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We estimate there are approximately 2.3 billion meters currently installed outside of North America, of which 3% are read with automated technologies.</w:t>
      </w:r>
    </w:p>
    <w:p>
      <w:pPr>
        <w:spacing w:after="0" w:line="211" w:lineRule="exact"/>
        <w:rPr>
          <w:sz w:val="20"/>
          <w:szCs w:val="20"/>
          <w:color w:val="auto"/>
        </w:rPr>
      </w:pPr>
    </w:p>
    <w:p>
      <w:pPr>
        <w:ind w:left="660"/>
        <w:spacing w:after="0"/>
        <w:tabs>
          <w:tab w:leader="none" w:pos="1300" w:val="left"/>
          <w:tab w:leader="none" w:pos="4700" w:val="left"/>
          <w:tab w:leader="none" w:pos="5380" w:val="left"/>
          <w:tab w:leader="none" w:pos="7660" w:val="left"/>
          <w:tab w:leader="none" w:pos="8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 billion electricity meters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350 million gas meters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845 million water meters</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Historically, the meter industry has been driven by new construction and the replacement of old meters. This combination of factors has resulted in annual growth rates ranging between 3% and 7%.</w:t>
      </w:r>
    </w:p>
    <w:p>
      <w:pPr>
        <w:spacing w:after="0" w:line="19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European Commission has established a directive to cut greenhouse gas emissions by 20% compared with 1990 levels, produce 20% of its energy from renewable sources, and increase energy efficiency by 20% by 2020. The European Union (EU) Energy Package, which became effective September 2009, directs EU Member States to have 80% of their consumers using smart electric meters by 2020. This equates to the replacement of approximately 145 million electricity meters. With significant technological progress and encouragement from lawmakers and regulators, smart metering is expected to revolutionize energy management and grid reliability across the globe.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 Systems, and Solutions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solutions include:</w:t>
      </w:r>
    </w:p>
    <w:p>
      <w:pPr>
        <w:spacing w:after="0" w:line="22" w:lineRule="exact"/>
        <w:rPr>
          <w:sz w:val="20"/>
          <w:szCs w:val="20"/>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Meters and AMI and AMR systems</w:t>
      </w:r>
    </w:p>
    <w:p>
      <w:pPr>
        <w:spacing w:after="0" w:line="36"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for data collection, management, and analysis</w:t>
      </w:r>
    </w:p>
    <w:p>
      <w:pPr>
        <w:spacing w:after="0" w:line="36"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Meters and AMI and AMR systems</w:t>
      </w:r>
      <w:r>
        <w:rPr>
          <w:rFonts w:ascii="Arial" w:cs="Arial" w:eastAsia="Arial" w:hAnsi="Arial"/>
          <w:sz w:val="18"/>
          <w:szCs w:val="18"/>
          <w:color w:val="auto"/>
        </w:rPr>
        <w:t>:</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Worldwide, we produce residential, commercial and industrial (C&amp;I), and transmission and distribution (T&amp;D) electricity, gas, and water meters; gas and water AMR modules; and a variety of data collection systems. The physical configuration and the different certification requirements of the meters represent the primary differentiator in each of the over 130 countries where we sell our products.</w:t>
      </w:r>
    </w:p>
    <w:p>
      <w:pPr>
        <w:spacing w:after="0" w:line="21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Smart metering solutions are available worldwide and have substantially more features and functions than AMR systems. Smart meters provide energy and water utilities demand side management, the ability to remotely connect and disconnect service to the meter, bi-directional metering, reverse flow metering, support for time of use and critical peak pricing, data logging, storage for interval data, and upgradeable firmware (software contained in the meters).</w:t>
      </w:r>
    </w:p>
    <w:p>
      <w:pPr>
        <w:spacing w:after="0" w:line="214" w:lineRule="exact"/>
        <w:rPr>
          <w:sz w:val="20"/>
          <w:szCs w:val="20"/>
          <w:color w:val="auto"/>
        </w:rPr>
      </w:pPr>
    </w:p>
    <w:p>
      <w:pPr>
        <w:jc w:val="both"/>
        <w:ind w:left="660"/>
        <w:spacing w:after="0" w:line="242" w:lineRule="auto"/>
        <w:rPr>
          <w:sz w:val="20"/>
          <w:szCs w:val="20"/>
          <w:color w:val="auto"/>
        </w:rPr>
      </w:pPr>
      <w:r>
        <w:rPr>
          <w:rFonts w:ascii="Arial" w:cs="Arial" w:eastAsia="Arial" w:hAnsi="Arial"/>
          <w:sz w:val="17"/>
          <w:szCs w:val="17"/>
          <w:color w:val="auto"/>
        </w:rPr>
        <w:t>Our AMI, or smart metering, systems include OpenWay</w:t>
      </w:r>
      <w:r>
        <w:rPr>
          <w:rFonts w:ascii="Arial" w:cs="Arial" w:eastAsia="Arial" w:hAnsi="Arial"/>
          <w:sz w:val="24"/>
          <w:szCs w:val="24"/>
          <w:color w:val="auto"/>
          <w:vertAlign w:val="superscript"/>
        </w:rPr>
        <w:t>®</w:t>
      </w:r>
      <w:r>
        <w:rPr>
          <w:rFonts w:ascii="Arial" w:cs="Arial" w:eastAsia="Arial" w:hAnsi="Arial"/>
          <w:sz w:val="17"/>
          <w:szCs w:val="17"/>
          <w:color w:val="auto"/>
        </w:rPr>
        <w:t>, a standards-based, open-architecture system that provides two-way communication to residential and commercial electricity and gas meters. Our AMI software can be configured for load management, demand response, prepayment, and other capabilities. Each OpenWay electricity meter is equipped with a ZigBee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component (a low-power, short distance wireless standard), which enables the utility to communicate with and control in-home devices and can provide information to help consumers make more informed choices about energy consumption. The OpenWay system can utilize a variety of public communication platforms to transfer data, including GPRS (general packet radio services</w:t>
      </w:r>
      <w:r>
        <w:rPr>
          <w:rFonts w:ascii="Arial" w:cs="Arial" w:eastAsia="Arial" w:hAnsi="Arial"/>
          <w:sz w:val="17"/>
          <w:szCs w:val="17"/>
          <w:b w:val="1"/>
          <w:bCs w:val="1"/>
          <w:color w:val="auto"/>
        </w:rPr>
        <w:t>)</w:t>
      </w:r>
      <w:r>
        <w:rPr>
          <w:rFonts w:ascii="Arial" w:cs="Arial" w:eastAsia="Arial" w:hAnsi="Arial"/>
          <w:sz w:val="17"/>
          <w:szCs w:val="17"/>
          <w:color w:val="auto"/>
        </w:rPr>
        <w:t>, Ethernet, telephone, BPL (broadband over power line), Wi-Fi, WiMax and others. For water utilities, we offer an advanced water leak detection system that uses patented acoustic technology analyzing vibration patterns in the distribution system. This technology helps utilities optimize water infrastructure and reduce waste.</w:t>
      </w:r>
    </w:p>
    <w:p>
      <w:pPr>
        <w:spacing w:after="0" w:line="23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For almost 20 years, we have offered AMR technology worldwide, which allows utilities to achieve greater operational efficiencies through reduced labor costs and more accurate reads. Our AMR systems include AMR meters or modules and a variety of data collection hardware and software, which enables utilities to cost effectively deploy AMR. AMR meters and modules transmit a variety of important information to the utility, such as consumption, tamper data, and other information. Several communication options are available, which are typically dependent on the country or region. In North America, information is transmitted via radio frequency (RF) to our handheld, mobile, or network data collection technology. In other parts of the world, telephone, RF, GSM (global System for Mobile communications), GPRS, PLC (power line carrier), and Ethernet devices may be utilized. Data collection systems manage the collection of meter data and provide the data to billing systems, data warehouses, Internet presentment, and knowledge applications.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Prepayment electricity and gas metering systems are widely used in the United Kingdom and South Africa. We are one of the largest prepayment meter suppliers in the world, offering one-way and two-way electricity prepayment systems, using smart key, keypad, and smart card communication technologies.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Meter Data Management and Knowledge Applications</w:t>
      </w:r>
    </w:p>
    <w:p>
      <w:pPr>
        <w:spacing w:after="0" w:line="23"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Our meter data management software and knowledge application solutions provide utilities and large C&amp;I end-users with support for data collection, complex data applications, data warehouses, and analytic and visualization tools.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2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We offer professional services that help our customers implement, install, project-manage, operate, and maintain their AMR and AMI systems. We provide managed services to utilities in North America, the United Kingdom, and South Africa that allow them to outsource certain operations, such as meter reading services and prepayment program activities. In North America, our consulting and analysis services provide market research, load research, energy efficiency program evaluation and design, energy policy design, rate design, and regulatory support.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Capabilities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We use a combination of direct and indirect sales channels in both Itron North America and Itron International. A direct sales force is utilized for the largest electric, gas, and water utilities, with which we have long-established relationships. For smaller utilities, we typically use an indirect sales force that consists of distributors, representative agencies, partners, and meter manufacturer representatives. We offer our North America AMR/AMI technology to certain meter manufacturers who embed our technology into their meters. We also offer our European AMR/AMI technology and prepayment to certain meter and system providers, who embed our technology into their network data concentrators and routers.</w:t>
      </w:r>
    </w:p>
    <w:p>
      <w:pPr>
        <w:spacing w:after="0" w:line="20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No single customer represented more than 10% of total revenues for the three years ended December 31, 2009, 2008, and 2007. Our 10 largest customers in each of the years ended December 31, 2009, 2008, and 2007 accounted for approximately 17%, 15%, and 14%, of total revenues,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We have manufacturing facilities throughout the world. Our Itron North America operating segment has manufacturing facilities located in Minnesota, South Carolina, and Kentucky. Our Itron International operating segment has 30 manufacturing facilities, the largest of which are located in France, Germany, and the United Kingdom. Refer to Item 2: “Properties”, included in this Annual Report on Form 10-K for a listing of the number of factories and offices we own and lease by region. Contract manufacturers are used for certain low volume products including handheld and mobile collection devices and peripheral equipment.</w:t>
      </w:r>
    </w:p>
    <w:p>
      <w:pPr>
        <w:spacing w:after="0" w:line="21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products require a wide variety of components and materials. Although we have multiple sources of supply for most of our material requirements, certain components and raw materials are supplied by sole-source vendors, and our ability to perform certain contracts depends on the availability of these materials. In most instances, multiple vendors of raw materials and components are screened during a qualification process to ensure that there will be no interruption of supply should one of them discontinue operations. Nonetheless, in some situations, there is a risk of shortages due to reliance on a limited number of suppliers or due to price fluctuations related to the nature of the raw materials, such as electrical components, plastics, copper, and brass, which are used in varying amounts in our meter products. Refer to Item 1A: “Risk Factors”, included in this Annual Report on Form 10-K, for further discussion related to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product development is focused on both improving existing technology and developing next-generation technology for electricity, gas, water, and heat meters, data collection, communications technologies, data warehousing, and software knowledge applications. We spent approximately $122 million, $121 million, and $95 million on product development in 2009, 2008, and 2007,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Our marketing efforts focus on brand recognition and go-to-market strategies to promote product solutions. We use an integrated approach that includes participation in industry trade shows and web-based seminars and the preparation and distribution of various publications, including brochures, published papers, case studies, print advertising, direct mail, and newsletters. In addition, we direct customers to our global website (</w:t>
      </w:r>
      <w:r>
        <w:rPr>
          <w:rFonts w:ascii="Arial" w:cs="Arial" w:eastAsia="Arial" w:hAnsi="Arial"/>
          <w:sz w:val="18"/>
          <w:szCs w:val="18"/>
          <w:u w:val="single" w:color="auto"/>
          <w:color w:val="auto"/>
        </w:rPr>
        <w:t>www.itron.com</w:t>
      </w:r>
      <w:r>
        <w:rPr>
          <w:rFonts w:ascii="Arial" w:cs="Arial" w:eastAsia="Arial" w:hAnsi="Arial"/>
          <w:sz w:val="18"/>
          <w:szCs w:val="18"/>
          <w:color w:val="auto"/>
        </w:rPr>
        <w:t>), which provides information on all of our products and solutions.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maintain communications with our customers through our direct and indirect sales channels, integrated and targeted marketing campaigns, market surveys, market trend research, and at our annual users’ conferences.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3"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At December 31, 2009, we had approximately 9,000 people in our workforce, including permanent and temporary employees and contractors. We have not experienced any work stoppages and consider our employee relations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a broad portfolio of products, systems, and services to customers in the utility industry and have a large number of competitors who offer similar products, systems, and services. In recent years, the market has experienced an increase in acquisitions and alliances. We believe that our competitive advantage is based on our ability to provide complete end-to-end integrated solutions, our established customer relationships, and our track record of delivering reliable, accurate, and long-lived products and systems. Refer to Item 1A: “Risk Factors” included in this Annual Report on Form 10-K for a discussion of the competitive pressures we face.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primary competitors include the following:</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Badger Meter, Inc.</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Emerson Electric Co.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rPr>
              <w:t>Roper Industries,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Cooper Industries, Ltd.</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eMeter Corporation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w w:val="98"/>
              </w:rPr>
              <w:t>Schneider Electric SA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   Dandong Visionseal Co., Ltd.</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ESCO Technologies Inc.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rPr>
              <w:t>Sensus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Datamatic, Ltd.</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General Electric Company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w w:val="94"/>
              </w:rPr>
              <w:t>Silver Spring Networks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Diehl Metering</w:t>
            </w:r>
          </w:p>
        </w:tc>
        <w:tc>
          <w:tcPr>
            <w:tcW w:w="3760" w:type="dxa"/>
            <w:vAlign w:val="bottom"/>
            <w:gridSpan w:val="2"/>
          </w:tcPr>
          <w:p>
            <w:pPr>
              <w:ind w:left="860"/>
              <w:spacing w:after="0"/>
              <w:rPr>
                <w:sz w:val="20"/>
                <w:szCs w:val="20"/>
                <w:color w:val="auto"/>
              </w:rPr>
            </w:pPr>
            <w:r>
              <w:rPr>
                <w:rFonts w:ascii="Arial" w:cs="Arial" w:eastAsia="Arial" w:hAnsi="Arial"/>
                <w:sz w:val="18"/>
                <w:szCs w:val="18"/>
                <w:color w:val="auto"/>
              </w:rPr>
              <w:t>·   Holley Group Co., Ltd.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w w:val="89"/>
              </w:rPr>
              <w:t>Shanghai Fiorentini Gas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Dresser, Inc.</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Iskraemeco, D.D.</w:t>
            </w:r>
          </w:p>
        </w:tc>
        <w:tc>
          <w:tcPr>
            <w:tcW w:w="880" w:type="dxa"/>
            <w:vAlign w:val="bottom"/>
          </w:tcPr>
          <w:p>
            <w:pPr>
              <w:spacing w:after="0"/>
              <w:rPr>
                <w:sz w:val="18"/>
                <w:szCs w:val="18"/>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Equipment Co., Ltd.</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Echelon Corporation</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Landis+Gyr Holdings AG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rPr>
              <w:t>Trilliant Incorporated</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Elster Group S.E.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Oracle Corporation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20"/>
              <w:spacing w:after="0"/>
              <w:rPr>
                <w:sz w:val="20"/>
                <w:szCs w:val="20"/>
                <w:color w:val="auto"/>
              </w:rPr>
            </w:pPr>
            <w:r>
              <w:rPr>
                <w:rFonts w:ascii="Arial" w:cs="Arial" w:eastAsia="Arial" w:hAnsi="Arial"/>
                <w:sz w:val="18"/>
                <w:szCs w:val="18"/>
                <w:color w:val="auto"/>
              </w:rPr>
              <w:t>Telvent GIT, S.A.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approval. Total backlog represents committed but undelivered contracts and purchase orders at period 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Information on bookings and backlog is summarized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Annual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12-Month</w:t>
            </w:r>
          </w:p>
        </w:tc>
      </w:tr>
      <w:tr>
        <w:trPr>
          <w:trHeight w:val="241"/>
        </w:trPr>
        <w:tc>
          <w:tcPr>
            <w:tcW w:w="7520" w:type="dxa"/>
            <w:vAlign w:val="bottom"/>
          </w:tcPr>
          <w:p>
            <w:pPr>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Bookings</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Total Backlog</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Backlog</w:t>
            </w:r>
          </w:p>
        </w:tc>
      </w:tr>
      <w:tr>
        <w:trPr>
          <w:trHeight w:val="216"/>
        </w:trPr>
        <w:tc>
          <w:tcPr>
            <w:tcW w:w="7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December 31, 2008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sign AMI agreements to deploy our OpenWay meter and communications system, we include these contracts in bookings and backlog when regulatory approvals are received or certain other conditions are met. At December 31, 2009, three large AMI contracts were included in bookings and backlog. Annual bookings for 2009 included $257 million related to the San Diego Gas &amp; Electric AMI contract. Annual bookings for 2008 reflected $334 million related to the CenterPoint Energy AMI contract and $470 million related to the Southern California Edison AMI contract.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Considerations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We own 180 U.S. patents and 636 international patents. We have on file 110 U.S. patent applications and 343 international patent applications. These patents cover a range of technologies, the more important of which relate to metering, portable handheld computers, water leak detection, and AMR and AMI related technologies.</w:t>
      </w:r>
    </w:p>
    <w:p>
      <w:pPr>
        <w:spacing w:after="0" w:line="217" w:lineRule="exact"/>
        <w:rPr>
          <w:sz w:val="20"/>
          <w:szCs w:val="20"/>
          <w:color w:val="auto"/>
        </w:rPr>
      </w:pPr>
    </w:p>
    <w:p>
      <w:pPr>
        <w:jc w:val="both"/>
        <w:ind w:left="340"/>
        <w:spacing w:after="0" w:line="210" w:lineRule="auto"/>
        <w:rPr>
          <w:sz w:val="20"/>
          <w:szCs w:val="20"/>
          <w:color w:val="auto"/>
        </w:rPr>
      </w:pPr>
      <w:r>
        <w:rPr>
          <w:rFonts w:ascii="Arial" w:cs="Arial" w:eastAsia="Arial" w:hAnsi="Arial"/>
          <w:sz w:val="18"/>
          <w:szCs w:val="18"/>
          <w:color w:val="auto"/>
        </w:rPr>
        <w:t>We also rely on a combination of copyrights and trade secrets to protect our products and technologies. We have registered trademarks for most of our major product lines in the United States and many foreign countries. Itron North America’s registered trademarks include, but are not limited to, ITRON</w:t>
      </w:r>
      <w:r>
        <w:rPr>
          <w:rFonts w:ascii="Arial" w:cs="Arial" w:eastAsia="Arial" w:hAnsi="Arial"/>
          <w:sz w:val="25"/>
          <w:szCs w:val="25"/>
          <w:color w:val="auto"/>
          <w:vertAlign w:val="superscript"/>
        </w:rPr>
        <w:t>®</w:t>
      </w:r>
      <w:r>
        <w:rPr>
          <w:rFonts w:ascii="Arial" w:cs="Arial" w:eastAsia="Arial" w:hAnsi="Arial"/>
          <w:sz w:val="18"/>
          <w:szCs w:val="18"/>
          <w:color w:val="auto"/>
        </w:rPr>
        <w:t>, “KNOWLEDGE TO SHAPE YOUR FUTURE</w:t>
      </w:r>
      <w:r>
        <w:rPr>
          <w:rFonts w:ascii="Arial" w:cs="Arial" w:eastAsia="Arial" w:hAnsi="Arial"/>
          <w:sz w:val="25"/>
          <w:szCs w:val="25"/>
          <w:color w:val="auto"/>
          <w:vertAlign w:val="superscript"/>
        </w:rPr>
        <w:t>®</w:t>
      </w:r>
      <w:r>
        <w:rPr>
          <w:rFonts w:ascii="Arial" w:cs="Arial" w:eastAsia="Arial" w:hAnsi="Arial"/>
          <w:sz w:val="18"/>
          <w:szCs w:val="18"/>
          <w:color w:val="auto"/>
        </w:rPr>
        <w:t>”, CENTRON</w:t>
      </w:r>
      <w:r>
        <w:rPr>
          <w:rFonts w:ascii="Arial" w:cs="Arial" w:eastAsia="Arial" w:hAnsi="Arial"/>
          <w:sz w:val="25"/>
          <w:szCs w:val="25"/>
          <w:color w:val="auto"/>
          <w:vertAlign w:val="superscript"/>
        </w:rPr>
        <w:t>®</w:t>
      </w:r>
      <w:r>
        <w:rPr>
          <w:rFonts w:ascii="Arial" w:cs="Arial" w:eastAsia="Arial" w:hAnsi="Arial"/>
          <w:sz w:val="18"/>
          <w:szCs w:val="18"/>
          <w:color w:val="auto"/>
        </w:rPr>
        <w:t>, MV-90</w:t>
      </w:r>
      <w:r>
        <w:rPr>
          <w:rFonts w:ascii="Arial" w:cs="Arial" w:eastAsia="Arial" w:hAnsi="Arial"/>
          <w:sz w:val="25"/>
          <w:szCs w:val="25"/>
          <w:color w:val="auto"/>
          <w:vertAlign w:val="superscript"/>
        </w:rPr>
        <w:t>®</w:t>
      </w:r>
      <w:r>
        <w:rPr>
          <w:rFonts w:ascii="Arial" w:cs="Arial" w:eastAsia="Arial" w:hAnsi="Arial"/>
          <w:sz w:val="18"/>
          <w:szCs w:val="18"/>
          <w:color w:val="auto"/>
        </w:rPr>
        <w:t>, MV-90</w:t>
      </w:r>
      <w:r>
        <w:rPr>
          <w:rFonts w:ascii="Arial" w:cs="Arial" w:eastAsia="Arial" w:hAnsi="Arial"/>
          <w:sz w:val="25"/>
          <w:szCs w:val="25"/>
          <w:color w:val="auto"/>
          <w:vertAlign w:val="superscript"/>
        </w:rPr>
        <w:t>®</w:t>
      </w:r>
      <w:r>
        <w:rPr>
          <w:rFonts w:ascii="Arial" w:cs="Arial" w:eastAsia="Arial" w:hAnsi="Arial"/>
          <w:sz w:val="18"/>
          <w:szCs w:val="18"/>
          <w:color w:val="auto"/>
        </w:rPr>
        <w:t>xi, ENDPOINT-LINK</w:t>
      </w:r>
      <w:r>
        <w:rPr>
          <w:rFonts w:ascii="Arial" w:cs="Arial" w:eastAsia="Arial" w:hAnsi="Arial"/>
          <w:sz w:val="25"/>
          <w:szCs w:val="25"/>
          <w:color w:val="auto"/>
          <w:vertAlign w:val="superscript"/>
        </w:rPr>
        <w:t>®</w:t>
      </w:r>
      <w:r>
        <w:rPr>
          <w:rFonts w:ascii="Arial" w:cs="Arial" w:eastAsia="Arial" w:hAnsi="Arial"/>
          <w:sz w:val="18"/>
          <w:szCs w:val="18"/>
          <w:color w:val="auto"/>
        </w:rPr>
        <w:t>, ERT</w:t>
      </w:r>
      <w:r>
        <w:rPr>
          <w:rFonts w:ascii="Arial" w:cs="Arial" w:eastAsia="Arial" w:hAnsi="Arial"/>
          <w:sz w:val="25"/>
          <w:szCs w:val="25"/>
          <w:color w:val="auto"/>
          <w:vertAlign w:val="superscript"/>
        </w:rPr>
        <w:t>®</w:t>
      </w:r>
      <w:r>
        <w:rPr>
          <w:rFonts w:ascii="Arial" w:cs="Arial" w:eastAsia="Arial" w:hAnsi="Arial"/>
          <w:sz w:val="18"/>
          <w:szCs w:val="18"/>
          <w:color w:val="auto"/>
        </w:rPr>
        <w:t>, EEM SUITE</w:t>
      </w:r>
      <w:r>
        <w:rPr>
          <w:rFonts w:ascii="Arial" w:cs="Arial" w:eastAsia="Arial" w:hAnsi="Arial"/>
          <w:sz w:val="25"/>
          <w:szCs w:val="25"/>
          <w:color w:val="auto"/>
          <w:vertAlign w:val="superscript"/>
        </w:rPr>
        <w:t>®</w:t>
      </w:r>
      <w:r>
        <w:rPr>
          <w:rFonts w:ascii="Arial" w:cs="Arial" w:eastAsia="Arial" w:hAnsi="Arial"/>
          <w:sz w:val="18"/>
          <w:szCs w:val="18"/>
          <w:color w:val="auto"/>
        </w:rPr>
        <w:t>, OPENWAY</w:t>
      </w:r>
      <w:r>
        <w:rPr>
          <w:rFonts w:ascii="Arial" w:cs="Arial" w:eastAsia="Arial" w:hAnsi="Arial"/>
          <w:sz w:val="25"/>
          <w:szCs w:val="25"/>
          <w:color w:val="auto"/>
          <w:vertAlign w:val="superscript"/>
        </w:rPr>
        <w:t>®</w:t>
      </w:r>
      <w:r>
        <w:rPr>
          <w:rFonts w:ascii="Arial" w:cs="Arial" w:eastAsia="Arial" w:hAnsi="Arial"/>
          <w:sz w:val="18"/>
          <w:szCs w:val="18"/>
          <w:color w:val="auto"/>
        </w:rPr>
        <w:t>, QUANTUM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Q1000, SENTINEL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SERVICE-LINK</w:t>
      </w:r>
      <w:r>
        <w:rPr>
          <w:rFonts w:ascii="Arial" w:cs="Arial" w:eastAsia="Arial" w:hAnsi="Arial"/>
          <w:sz w:val="25"/>
          <w:szCs w:val="25"/>
          <w:color w:val="auto"/>
          <w:vertAlign w:val="superscript"/>
        </w:rPr>
        <w:t>®</w:t>
      </w:r>
      <w:r>
        <w:rPr>
          <w:rFonts w:ascii="Arial" w:cs="Arial" w:eastAsia="Arial" w:hAnsi="Arial"/>
          <w:sz w:val="18"/>
          <w:szCs w:val="18"/>
          <w:color w:val="auto"/>
        </w:rPr>
        <w:t>. Itron North America’s unregistered trademarks include, but are not limited, to CHOICECONNECT</w:t>
      </w:r>
      <w:r>
        <w:rPr>
          <w:rFonts w:ascii="Arial" w:cs="Arial" w:eastAsia="Arial" w:hAnsi="Arial"/>
          <w:sz w:val="25"/>
          <w:szCs w:val="25"/>
          <w:color w:val="auto"/>
          <w:vertAlign w:val="superscript"/>
        </w:rPr>
        <w:t>™</w:t>
      </w:r>
      <w:r>
        <w:rPr>
          <w:rFonts w:ascii="Arial" w:cs="Arial" w:eastAsia="Arial" w:hAnsi="Arial"/>
          <w:sz w:val="18"/>
          <w:szCs w:val="18"/>
          <w:color w:val="auto"/>
        </w:rPr>
        <w:t>, ITRON ENTERPRISE EDITION</w:t>
      </w:r>
      <w:r>
        <w:rPr>
          <w:rFonts w:ascii="Arial" w:cs="Arial" w:eastAsia="Arial" w:hAnsi="Arial"/>
          <w:sz w:val="25"/>
          <w:szCs w:val="25"/>
          <w:color w:val="auto"/>
          <w:vertAlign w:val="superscript"/>
        </w:rPr>
        <w:t>™</w:t>
      </w:r>
      <w:r>
        <w:rPr>
          <w:rFonts w:ascii="Arial" w:cs="Arial" w:eastAsia="Arial" w:hAnsi="Arial"/>
          <w:sz w:val="18"/>
          <w:szCs w:val="18"/>
          <w:color w:val="auto"/>
        </w:rPr>
        <w:t>, LD-PRO</w:t>
      </w:r>
      <w:r>
        <w:rPr>
          <w:rFonts w:ascii="Arial" w:cs="Arial" w:eastAsia="Arial" w:hAnsi="Arial"/>
          <w:sz w:val="25"/>
          <w:szCs w:val="25"/>
          <w:color w:val="auto"/>
          <w:vertAlign w:val="superscript"/>
        </w:rPr>
        <w:t>™</w:t>
      </w:r>
      <w:r>
        <w:rPr>
          <w:rFonts w:ascii="Arial" w:cs="Arial" w:eastAsia="Arial" w:hAnsi="Arial"/>
          <w:sz w:val="18"/>
          <w:szCs w:val="18"/>
          <w:color w:val="auto"/>
        </w:rPr>
        <w:t>, METRIXND</w:t>
      </w:r>
      <w:r>
        <w:rPr>
          <w:rFonts w:ascii="Arial" w:cs="Arial" w:eastAsia="Arial" w:hAnsi="Arial"/>
          <w:sz w:val="25"/>
          <w:szCs w:val="25"/>
          <w:color w:val="auto"/>
          <w:vertAlign w:val="superscript"/>
        </w:rPr>
        <w:t>™</w:t>
      </w:r>
      <w:r>
        <w:rPr>
          <w:rFonts w:ascii="Arial" w:cs="Arial" w:eastAsia="Arial" w:hAnsi="Arial"/>
          <w:sz w:val="18"/>
          <w:szCs w:val="18"/>
          <w:color w:val="auto"/>
        </w:rPr>
        <w:t>, MLOG</w:t>
      </w:r>
      <w:r>
        <w:rPr>
          <w:rFonts w:ascii="Arial" w:cs="Arial" w:eastAsia="Arial" w:hAnsi="Arial"/>
          <w:sz w:val="25"/>
          <w:szCs w:val="25"/>
          <w:color w:val="auto"/>
          <w:vertAlign w:val="superscript"/>
        </w:rPr>
        <w:t>™</w:t>
      </w:r>
      <w:r>
        <w:rPr>
          <w:rFonts w:ascii="Arial" w:cs="Arial" w:eastAsia="Arial" w:hAnsi="Arial"/>
          <w:sz w:val="18"/>
          <w:szCs w:val="18"/>
          <w:color w:val="auto"/>
        </w:rPr>
        <w:t>, SREAD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UNILOG</w:t>
      </w:r>
      <w:r>
        <w:rPr>
          <w:rFonts w:ascii="Arial" w:cs="Arial" w:eastAsia="Arial" w:hAnsi="Arial"/>
          <w:sz w:val="25"/>
          <w:szCs w:val="25"/>
          <w:color w:val="auto"/>
          <w:vertAlign w:val="superscript"/>
        </w:rPr>
        <w:t>™</w:t>
      </w:r>
      <w:r>
        <w:rPr>
          <w:rFonts w:ascii="Arial" w:cs="Arial" w:eastAsia="Arial" w:hAnsi="Arial"/>
          <w:sz w:val="18"/>
          <w:szCs w:val="18"/>
          <w:color w:val="auto"/>
        </w:rPr>
        <w:t>. Itron International’s registered trademarks include, but are not limited to, ACTARIS</w:t>
      </w:r>
      <w:r>
        <w:rPr>
          <w:rFonts w:ascii="Arial" w:cs="Arial" w:eastAsia="Arial" w:hAnsi="Arial"/>
          <w:sz w:val="25"/>
          <w:szCs w:val="25"/>
          <w:color w:val="auto"/>
          <w:vertAlign w:val="superscript"/>
        </w:rPr>
        <w:t>®</w:t>
      </w:r>
      <w:r>
        <w:rPr>
          <w:rFonts w:ascii="Arial" w:cs="Arial" w:eastAsia="Arial" w:hAnsi="Arial"/>
          <w:sz w:val="18"/>
          <w:szCs w:val="18"/>
          <w:color w:val="auto"/>
        </w:rPr>
        <w:t>, AQUADIS</w:t>
      </w:r>
      <w:r>
        <w:rPr>
          <w:rFonts w:ascii="Arial" w:cs="Arial" w:eastAsia="Arial" w:hAnsi="Arial"/>
          <w:sz w:val="25"/>
          <w:szCs w:val="25"/>
          <w:color w:val="auto"/>
          <w:vertAlign w:val="superscript"/>
        </w:rPr>
        <w:t>®</w:t>
      </w:r>
      <w:r>
        <w:rPr>
          <w:rFonts w:ascii="Arial" w:cs="Arial" w:eastAsia="Arial" w:hAnsi="Arial"/>
          <w:sz w:val="18"/>
          <w:szCs w:val="18"/>
          <w:color w:val="auto"/>
        </w:rPr>
        <w:t>, CYBLE</w:t>
      </w:r>
      <w:r>
        <w:rPr>
          <w:rFonts w:ascii="Arial" w:cs="Arial" w:eastAsia="Arial" w:hAnsi="Arial"/>
          <w:sz w:val="25"/>
          <w:szCs w:val="25"/>
          <w:color w:val="auto"/>
          <w:vertAlign w:val="superscript"/>
        </w:rPr>
        <w:t>®</w:t>
      </w:r>
      <w:r>
        <w:rPr>
          <w:rFonts w:ascii="Arial" w:cs="Arial" w:eastAsia="Arial" w:hAnsi="Arial"/>
          <w:sz w:val="18"/>
          <w:szCs w:val="18"/>
          <w:color w:val="auto"/>
        </w:rPr>
        <w:t>, FLOSTAR</w:t>
      </w:r>
      <w:r>
        <w:rPr>
          <w:rFonts w:ascii="Arial" w:cs="Arial" w:eastAsia="Arial" w:hAnsi="Arial"/>
          <w:sz w:val="25"/>
          <w:szCs w:val="25"/>
          <w:color w:val="auto"/>
          <w:vertAlign w:val="superscript"/>
        </w:rPr>
        <w:t>®</w:t>
      </w:r>
      <w:r>
        <w:rPr>
          <w:rFonts w:ascii="Arial" w:cs="Arial" w:eastAsia="Arial" w:hAnsi="Arial"/>
          <w:sz w:val="18"/>
          <w:szCs w:val="18"/>
          <w:color w:val="auto"/>
        </w:rPr>
        <w:t>, WOLTEX</w:t>
      </w:r>
      <w:r>
        <w:rPr>
          <w:rFonts w:ascii="Arial" w:cs="Arial" w:eastAsia="Arial" w:hAnsi="Arial"/>
          <w:sz w:val="25"/>
          <w:szCs w:val="25"/>
          <w:color w:val="auto"/>
          <w:vertAlign w:val="superscript"/>
        </w:rPr>
        <w:t>®</w:t>
      </w:r>
      <w:r>
        <w:rPr>
          <w:rFonts w:ascii="Arial" w:cs="Arial" w:eastAsia="Arial" w:hAnsi="Arial"/>
          <w:sz w:val="18"/>
          <w:szCs w:val="18"/>
          <w:color w:val="auto"/>
        </w:rPr>
        <w:t>, FLODIS</w:t>
      </w:r>
      <w:r>
        <w:rPr>
          <w:rFonts w:ascii="Arial" w:cs="Arial" w:eastAsia="Arial" w:hAnsi="Arial"/>
          <w:sz w:val="25"/>
          <w:szCs w:val="25"/>
          <w:color w:val="auto"/>
          <w:vertAlign w:val="superscript"/>
        </w:rPr>
        <w:t>®</w:t>
      </w:r>
      <w:r>
        <w:rPr>
          <w:rFonts w:ascii="Arial" w:cs="Arial" w:eastAsia="Arial" w:hAnsi="Arial"/>
          <w:sz w:val="18"/>
          <w:szCs w:val="18"/>
          <w:color w:val="auto"/>
        </w:rPr>
        <w:t>, ECHO</w:t>
      </w:r>
      <w:r>
        <w:rPr>
          <w:rFonts w:ascii="Arial" w:cs="Arial" w:eastAsia="Arial" w:hAnsi="Arial"/>
          <w:sz w:val="25"/>
          <w:szCs w:val="25"/>
          <w:color w:val="auto"/>
          <w:vertAlign w:val="superscript"/>
        </w:rPr>
        <w:t>®</w:t>
      </w:r>
      <w:r>
        <w:rPr>
          <w:rFonts w:ascii="Arial" w:cs="Arial" w:eastAsia="Arial" w:hAnsi="Arial"/>
          <w:sz w:val="18"/>
          <w:szCs w:val="18"/>
          <w:color w:val="auto"/>
        </w:rPr>
        <w:t>, EVERBLU</w:t>
      </w:r>
      <w:r>
        <w:rPr>
          <w:rFonts w:ascii="Arial" w:cs="Arial" w:eastAsia="Arial" w:hAnsi="Arial"/>
          <w:sz w:val="25"/>
          <w:szCs w:val="25"/>
          <w:color w:val="auto"/>
          <w:vertAlign w:val="superscript"/>
        </w:rPr>
        <w:t>®</w:t>
      </w:r>
      <w:r>
        <w:rPr>
          <w:rFonts w:ascii="Arial" w:cs="Arial" w:eastAsia="Arial" w:hAnsi="Arial"/>
          <w:sz w:val="18"/>
          <w:szCs w:val="18"/>
          <w:color w:val="auto"/>
        </w:rPr>
        <w:t>, GALLUS</w:t>
      </w:r>
      <w:r>
        <w:rPr>
          <w:rFonts w:ascii="Arial" w:cs="Arial" w:eastAsia="Arial" w:hAnsi="Arial"/>
          <w:sz w:val="25"/>
          <w:szCs w:val="25"/>
          <w:color w:val="auto"/>
          <w:vertAlign w:val="superscript"/>
        </w:rPr>
        <w:t>®</w:t>
      </w:r>
      <w:r>
        <w:rPr>
          <w:rFonts w:ascii="Arial" w:cs="Arial" w:eastAsia="Arial" w:hAnsi="Arial"/>
          <w:sz w:val="18"/>
          <w:szCs w:val="18"/>
          <w:color w:val="auto"/>
        </w:rPr>
        <w:t>, RF1</w:t>
      </w:r>
      <w:r>
        <w:rPr>
          <w:rFonts w:ascii="Arial" w:cs="Arial" w:eastAsia="Arial" w:hAnsi="Arial"/>
          <w:sz w:val="25"/>
          <w:szCs w:val="25"/>
          <w:color w:val="auto"/>
          <w:vertAlign w:val="superscript"/>
        </w:rPr>
        <w:t>®</w:t>
      </w:r>
      <w:r>
        <w:rPr>
          <w:rFonts w:ascii="Arial" w:cs="Arial" w:eastAsia="Arial" w:hAnsi="Arial"/>
          <w:sz w:val="18"/>
          <w:szCs w:val="18"/>
          <w:color w:val="auto"/>
        </w:rPr>
        <w:t>, DELTA</w:t>
      </w:r>
      <w:r>
        <w:rPr>
          <w:rFonts w:ascii="Arial" w:cs="Arial" w:eastAsia="Arial" w:hAnsi="Arial"/>
          <w:sz w:val="25"/>
          <w:szCs w:val="25"/>
          <w:color w:val="auto"/>
          <w:vertAlign w:val="superscript"/>
        </w:rPr>
        <w:t>®</w:t>
      </w:r>
      <w:r>
        <w:rPr>
          <w:rFonts w:ascii="Arial" w:cs="Arial" w:eastAsia="Arial" w:hAnsi="Arial"/>
          <w:sz w:val="18"/>
          <w:szCs w:val="18"/>
          <w:color w:val="auto"/>
        </w:rPr>
        <w:t>, FLUXI</w:t>
      </w:r>
      <w:r>
        <w:rPr>
          <w:rFonts w:ascii="Arial" w:cs="Arial" w:eastAsia="Arial" w:hAnsi="Arial"/>
          <w:sz w:val="25"/>
          <w:szCs w:val="25"/>
          <w:color w:val="auto"/>
          <w:vertAlign w:val="superscript"/>
        </w:rPr>
        <w:t>®</w:t>
      </w:r>
      <w:r>
        <w:rPr>
          <w:rFonts w:ascii="Arial" w:cs="Arial" w:eastAsia="Arial" w:hAnsi="Arial"/>
          <w:sz w:val="18"/>
          <w:szCs w:val="18"/>
          <w:color w:val="auto"/>
        </w:rPr>
        <w:t>, CORUS</w:t>
      </w:r>
      <w:r>
        <w:rPr>
          <w:rFonts w:ascii="Arial" w:cs="Arial" w:eastAsia="Arial" w:hAnsi="Arial"/>
          <w:sz w:val="25"/>
          <w:szCs w:val="25"/>
          <w:color w:val="auto"/>
          <w:vertAlign w:val="superscript"/>
        </w:rPr>
        <w:t>®</w:t>
      </w:r>
      <w:r>
        <w:rPr>
          <w:rFonts w:ascii="Arial" w:cs="Arial" w:eastAsia="Arial" w:hAnsi="Arial"/>
          <w:sz w:val="18"/>
          <w:szCs w:val="18"/>
          <w:color w:val="auto"/>
        </w:rPr>
        <w:t>, ACE</w:t>
      </w:r>
      <w:r>
        <w:rPr>
          <w:rFonts w:ascii="Arial" w:cs="Arial" w:eastAsia="Arial" w:hAnsi="Arial"/>
          <w:sz w:val="25"/>
          <w:szCs w:val="25"/>
          <w:color w:val="auto"/>
          <w:vertAlign w:val="superscript"/>
        </w:rPr>
        <w:t>®</w:t>
      </w:r>
      <w:r>
        <w:rPr>
          <w:rFonts w:ascii="Arial" w:cs="Arial" w:eastAsia="Arial" w:hAnsi="Arial"/>
          <w:sz w:val="18"/>
          <w:szCs w:val="18"/>
          <w:color w:val="auto"/>
        </w:rPr>
        <w:t>, SL7000</w:t>
      </w:r>
      <w:r>
        <w:rPr>
          <w:rFonts w:ascii="Arial" w:cs="Arial" w:eastAsia="Arial" w:hAnsi="Arial"/>
          <w:sz w:val="25"/>
          <w:szCs w:val="25"/>
          <w:color w:val="auto"/>
          <w:vertAlign w:val="superscript"/>
        </w:rPr>
        <w:t>®</w:t>
      </w:r>
      <w:r>
        <w:rPr>
          <w:rFonts w:ascii="Arial" w:cs="Arial" w:eastAsia="Arial" w:hAnsi="Arial"/>
          <w:sz w:val="18"/>
          <w:szCs w:val="18"/>
          <w:color w:val="auto"/>
        </w:rPr>
        <w:t>, and PULSADIS</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3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Disputes over the ownership, registration, and enforcement of intellectual property rights arise in the ordinary course of our business. While we believe patents and trademarks are important to our operations and in the aggregate constitute valuable assets, no single patent or trademark, or group of patents or trademarks, is critical to the success of our business. We license some of our technology to other companies, some of which are our competitors. We are not a party to any material intellectual property litigation.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and Allocation of Radio Frequencies</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Certain of our products made for the U.S. market use RF that are regulated by the Federal Communications Commission (FCC) pursuant to the Communications Act of 1934, as amended. In general, a radio station license issued by the FCC is required to operate a radio transmitter. The FCC issues these licenses for a fixed term, and the licenses must be renewed periodically. Because of interference constraints, the FCC can generally issue only a limited number of radio station licenses for a particular frequency band in any one area.</w:t>
      </w:r>
    </w:p>
    <w:p>
      <w:pPr>
        <w:spacing w:after="0" w:line="21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Our AMR and AMI modules and AMR and AMI-equipped electronic residential electricity, gas, and water meters are typically Part 15 devices that transmit information back to handheld, mobile, or fixed network AMR reading devices pursuant to these rules.</w:t>
      </w:r>
    </w:p>
    <w:p>
      <w:pPr>
        <w:spacing w:after="0" w:line="18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FCC has initiated a rulemaking proceeding in which it is considering adopting “spectrum etiquette” requirements for unlicensed Part 15 devices operating in the 902-928 MHz band, which many of our AMR and AMI systems utilize. Although the outcome of the proceeding is uncertain, we do not expect to have to make material changes to our equipment. Furthermore, the adoption of some of the proposals that have been made in the proceeding could reduce the potential for interference with our systems from other Part 15 devices.</w:t>
      </w:r>
    </w:p>
    <w:p>
      <w:pPr>
        <w:spacing w:after="0" w:line="21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FCC has also adopted service rules governing the use of the 1427-1432 MHz band. We use this band with various devices in our network solutions. Among other things, the rules reserve parts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other users of the band. Although the FCC issues licenses on a nonexclusive basis and it is possible that the demand for spectrum will exceed supply, we believe we will continue to have access to sufficient spectrum in the 1429.5-1432 MHz band under favorable conditions.</w:t>
      </w:r>
    </w:p>
    <w:p>
      <w:pPr>
        <w:spacing w:after="0" w:line="22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Outside of the United States, certain of our products require the use of RF and are also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AMR and AMI modules and AMR and AMI-equipped electronic residential electricity, gas, water, and heat meters typically are devices that transmit information back to handheld, mobile, or fixed network AMR and AMI reading devices in unlicensed bands pursuant to rules regulating such use. Generally, we use the unlicensed Industrial, Scientific, and Medical (ISM) bands with the various reading devices in our solutions. In Europe, we generally use the 433 MHz and 868 MHz bands. In the rest of the world, we use the 433 MHz and 2.4000-2.4835 GHz band. In either case, we believe we will continue to have access to sufficient spectrum under favorable conditions although the availability of unlicensed bands or radio station licenses for a particular frequency band in jurisdictions outside of the United States may be limited.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The waste created by the use of these materials is transported off-site on a regular basis by unaffiliated waste haulers and is processed by unaffiliated contractors or vendors. We have made a concerted effort to reduce or eliminate the use of mercury and other hazardous materials in our products. We believe we are in compliance with laws, rules, and regulations applicable to the storage, discharge, handling, emission, generation, manufacture, and disposal of, or exposure to, toxic or other hazardous substances in each of those jurisdictions in which we operate.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Incorporation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incorporated in the state of Washington in 1977.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24,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Age</w:t>
            </w:r>
          </w:p>
        </w:tc>
        <w:tc>
          <w:tcPr>
            <w:tcW w:w="696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Malcolm Unsworth</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60</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Steven M. Helmbrecht</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47</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Sr.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John W. Holleran</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55</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Sr. Vice President, General Counsel and Corporate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Philip C. Mezey</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50</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Sr. Vice President and Chief Operating Officer - Itron North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Marcel Regnier</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52</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Sr. Vice President and Chief Operating Officer - Itron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Jared P. Serff</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42</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Vice President, Competitive Resources</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Malcolm Unsworth </w:t>
      </w:r>
      <w:r>
        <w:rPr>
          <w:rFonts w:ascii="Arial" w:cs="Arial" w:eastAsia="Arial" w:hAnsi="Arial"/>
          <w:sz w:val="18"/>
          <w:szCs w:val="18"/>
          <w:color w:val="auto"/>
        </w:rPr>
        <w:t>is President and Chief Executive Officer, and a member of our Board of Directors. Mr. Unsworth joined Itron in July 2004 as Sr.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Hardware Solutions, upon our acquisition of Schlumberger’s electricity metering business. In 2007, following our acquisition of Actaris (now known as Itron International), he was promoted to Sr. Vice President and Chief Operating Officer – Itron International. Mr. Unsworth was appointed President and Chief Operating Officer of Itron in April 2008, and promoted to President and Chief Executive Officer effective March 2009. Mr. Unsworth was elected to the Board of Directors in December 2008.</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Steve Helmbrecht </w:t>
      </w:r>
      <w:r>
        <w:rPr>
          <w:rFonts w:ascii="Arial" w:cs="Arial" w:eastAsia="Arial" w:hAnsi="Arial"/>
          <w:sz w:val="18"/>
          <w:szCs w:val="18"/>
          <w:color w:val="auto"/>
        </w:rPr>
        <w:t>is Sr. Vice President and Chief Financial Officer. Mr. Helmbrecht joined Itron in 2002 as Vice President and General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and was named Sr. Vice President and Chief Financial Officer in 2005. Previously, Mr. Helmbrecht was Chief Financial Officer of LineSoft Corporation, acquired by Itron in 2002.</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John Holleran </w:t>
      </w:r>
      <w:r>
        <w:rPr>
          <w:rFonts w:ascii="Arial" w:cs="Arial" w:eastAsia="Arial" w:hAnsi="Arial"/>
          <w:sz w:val="18"/>
          <w:szCs w:val="18"/>
          <w:color w:val="auto"/>
        </w:rPr>
        <w:t>is Sr. Vice President, General Counsel, and Corporate Secretary. Mr. Holleran joined Itron in January 2007. In 2006, Mr. Holleran was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Holleran Law Offices PLLC, and in 2005 was Executive Vice President, Administration, and Chief Legal Officer for Boise Cascade, LLC, the paper and forest products company resulting from the reorganization of Boise Cascade Corporation, in 2004. While with Boise Cascade Corporation, Mr. Holleran most recently served as Sr. Vice President, Human Resources, and General Counsel.</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Philip Mezey </w:t>
      </w:r>
      <w:r>
        <w:rPr>
          <w:rFonts w:ascii="Arial" w:cs="Arial" w:eastAsia="Arial" w:hAnsi="Arial"/>
          <w:sz w:val="18"/>
          <w:szCs w:val="18"/>
          <w:color w:val="auto"/>
        </w:rPr>
        <w:t>is Sr. Vice President and Chief Operating Officer - Itron North America. Mr. Mezey joined Itron in March 2003 as Managing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Development for Itron’s Energy Management Solutions Group with Itron’s acquisition of Silicon Energy Corp. Mr. Mezey was promoted to Group Vice President and Manager of Software Solutions in 2004. In 2005, Mr. Mezey became Sr. Vice President Software Solutions and was promoted to his current position in 2007.</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Marcel Regnier </w:t>
      </w:r>
      <w:r>
        <w:rPr>
          <w:rFonts w:ascii="Arial" w:cs="Arial" w:eastAsia="Arial" w:hAnsi="Arial"/>
          <w:sz w:val="18"/>
          <w:szCs w:val="18"/>
          <w:color w:val="auto"/>
        </w:rPr>
        <w:t>is Sr. Vice President and Chief Operating Officer - Itron International. Mr. Regnier joined Itron in April 2007 as part of our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Actaris. Mr. Regnier served as Actaris’ Managing Director of its water and heat business unit from 2001, when Actaris was created as a result of the reorganization of Schlumberger’s operations, until April 2008, when he was promoted to his current position.</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Jared Serff </w:t>
      </w:r>
      <w:r>
        <w:rPr>
          <w:rFonts w:ascii="Arial" w:cs="Arial" w:eastAsia="Arial" w:hAnsi="Arial"/>
          <w:sz w:val="18"/>
          <w:szCs w:val="18"/>
          <w:color w:val="auto"/>
        </w:rPr>
        <w:t>is Vice President, Competitive Resources. Mr. Serff joined Itron in July 2004 as part of the Schlumberger acquisition. Mr. Serff spent six years</w:t>
      </w:r>
      <w:r>
        <w:rPr>
          <w:rFonts w:ascii="Arial" w:cs="Arial" w:eastAsia="Arial" w:hAnsi="Arial"/>
          <w:sz w:val="18"/>
          <w:szCs w:val="18"/>
          <w:b w:val="1"/>
          <w:bCs w:val="1"/>
          <w:color w:val="auto"/>
        </w:rPr>
        <w:t xml:space="preserve"> </w:t>
      </w:r>
      <w:r>
        <w:rPr>
          <w:rFonts w:ascii="Arial" w:cs="Arial" w:eastAsia="Arial" w:hAnsi="Arial"/>
          <w:sz w:val="18"/>
          <w:szCs w:val="18"/>
          <w:color w:val="auto"/>
        </w:rPr>
        <w:t>with Schlumberger, the last four of which were as Director of Human Resources with Schlumberger’s electricity metering business where he was in charge of personnel for all locations in Canada, Mexico, France, Taiwan, and the United States.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at acceptable terms, utility specific financial circumstances, mergers and acquisitions, regulatory decisions, weather conditions, and rising interest rates. We have experienced, and may in the future experience, variability in operating results on an annual and a quarterly basis as a result of these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Sales cycles for standalone meter products (i.e., meters without AMR and AMI features) have typically been based on annual or bi-annual bid-based agreements. Customers place purchase orders against these agreements as their inventories decline, which can create fluctuations in our sales volumes.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cycles for AMR and AMI projects are generally long and unpredictable due to several factors, including budgeting, purchasing, and regulatory approval processes that can take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Section 1252 of the U.S. Energy Policy Act of 2005 requires electric utilities to consider offering their customers time-based rates. The Act also directs these utilities and state utility commissions to study and evaluate methods for implementing demand response, to shift consumption away from peak hours, and to improve power generation. In addition, during 2009, the American Recovery and Reinvestment Act allocated approximately $4.5 billion to the investment in electricity delivery and energy reliability (smart grid). These requirements could change the process and timing of evaluating and approving technology purchases, which could impact sales.</w:t>
      </w:r>
    </w:p>
    <w:p>
      <w:pPr>
        <w:spacing w:after="0" w:line="2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European Union has issued the EU Energy Package, which includes directives and regulations intended to strengthen consumer rights and protection in the EU energy market. The EU’s 20-20-20 goals include a 20% increase in energy efficiency, a 20% reduction of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emissions compared with 1990 levels, and produce 20% of its energy from renewable energy by 2020. The package requires EU Member States to ensure the implementation of intelligent metering systems and outlines deployment by 2022, with 80% of consumers equipped with smart metering systems by 2020. While we believe these initiatives will provide opportunities for sales of our products, the pace at which these markets will grow is unknown due to the timing of legislation, regulatory approvals related to the deployment of new technology, capital budgets of the utilities, and purchasing decisions by our customers.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 due to several factors.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experienced variability in quarterly results, including losses, and believe our quarterly results will continue to fluctuate as a result of many factors, including: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   size and timing of significant customer orders</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changes in accounting standards or practices</w:t>
            </w:r>
          </w:p>
        </w:tc>
      </w:tr>
      <w:tr>
        <w:trPr>
          <w:trHeight w:val="216"/>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   the gain or loss of significant customers</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changes in existing taxation rules or practices</w:t>
            </w:r>
          </w:p>
        </w:tc>
      </w:tr>
      <w:tr>
        <w:trPr>
          <w:trHeight w:val="216"/>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   required product developments to maintain our</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shifts in product or sales channel mix</w:t>
            </w:r>
          </w:p>
        </w:tc>
      </w:tr>
      <w:tr>
        <w:trPr>
          <w:trHeight w:val="216"/>
        </w:trPr>
        <w:tc>
          <w:tcPr>
            <w:tcW w:w="48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competitive advantage</w:t>
            </w:r>
          </w:p>
        </w:tc>
        <w:tc>
          <w:tcPr>
            <w:tcW w:w="1860" w:type="dxa"/>
            <w:vAlign w:val="bottom"/>
          </w:tcPr>
          <w:p>
            <w:pPr>
              <w:ind w:left="1720"/>
              <w:spacing w:after="0"/>
              <w:rPr>
                <w:sz w:val="20"/>
                <w:szCs w:val="20"/>
                <w:color w:val="auto"/>
              </w:rPr>
            </w:pPr>
            <w:r>
              <w:rPr>
                <w:rFonts w:ascii="Arial" w:cs="Arial" w:eastAsia="Arial" w:hAnsi="Arial"/>
                <w:sz w:val="18"/>
                <w:szCs w:val="18"/>
                <w:color w:val="auto"/>
              </w:rPr>
              <w:t>·</w:t>
            </w:r>
          </w:p>
        </w:tc>
        <w:tc>
          <w:tcPr>
            <w:tcW w:w="4740" w:type="dxa"/>
            <w:vAlign w:val="bottom"/>
          </w:tcPr>
          <w:p>
            <w:pPr>
              <w:ind w:left="100"/>
              <w:spacing w:after="0"/>
              <w:rPr>
                <w:sz w:val="20"/>
                <w:szCs w:val="20"/>
                <w:color w:val="auto"/>
              </w:rPr>
            </w:pPr>
            <w:r>
              <w:rPr>
                <w:rFonts w:ascii="Arial" w:cs="Arial" w:eastAsia="Arial" w:hAnsi="Arial"/>
                <w:sz w:val="18"/>
                <w:szCs w:val="18"/>
                <w:color w:val="auto"/>
              </w:rPr>
              <w:t>foreign currency fluctuations</w:t>
            </w:r>
          </w:p>
        </w:tc>
      </w:tr>
      <w:tr>
        <w:trPr>
          <w:trHeight w:val="216"/>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   the shortage or change in price of certain</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access to capital at acceptable terms</w:t>
            </w:r>
          </w:p>
        </w:tc>
      </w:tr>
      <w:tr>
        <w:trPr>
          <w:trHeight w:val="216"/>
        </w:trPr>
        <w:tc>
          <w:tcPr>
            <w:tcW w:w="48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components or materials</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costs related to acquisitions</w:t>
            </w:r>
          </w:p>
        </w:tc>
      </w:tr>
      <w:tr>
        <w:trPr>
          <w:trHeight w:val="216"/>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   increased competition and pricing pressure</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intangible asset amortization expenses</w:t>
            </w:r>
          </w:p>
        </w:tc>
      </w:tr>
      <w:tr>
        <w:trPr>
          <w:trHeight w:val="216"/>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   changes in interest rates</w:t>
            </w:r>
          </w:p>
        </w:tc>
        <w:tc>
          <w:tcPr>
            <w:tcW w:w="1860" w:type="dxa"/>
            <w:vAlign w:val="bottom"/>
          </w:tcPr>
          <w:p>
            <w:pPr>
              <w:ind w:left="1720"/>
              <w:spacing w:after="0"/>
              <w:rPr>
                <w:sz w:val="20"/>
                <w:szCs w:val="20"/>
                <w:color w:val="auto"/>
              </w:rPr>
            </w:pPr>
            <w:r>
              <w:rPr>
                <w:rFonts w:ascii="Arial" w:cs="Arial" w:eastAsia="Arial" w:hAnsi="Arial"/>
                <w:sz w:val="18"/>
                <w:szCs w:val="18"/>
                <w:color w:val="auto"/>
              </w:rPr>
              <w:t>·</w:t>
            </w:r>
          </w:p>
        </w:tc>
        <w:tc>
          <w:tcPr>
            <w:tcW w:w="4740" w:type="dxa"/>
            <w:vAlign w:val="bottom"/>
          </w:tcPr>
          <w:p>
            <w:pPr>
              <w:ind w:left="100"/>
              <w:spacing w:after="0"/>
              <w:rPr>
                <w:sz w:val="20"/>
                <w:szCs w:val="20"/>
                <w:color w:val="auto"/>
              </w:rPr>
            </w:pPr>
            <w:r>
              <w:rPr>
                <w:rFonts w:ascii="Arial" w:cs="Arial" w:eastAsia="Arial" w:hAnsi="Arial"/>
                <w:sz w:val="18"/>
                <w:szCs w:val="18"/>
                <w:color w:val="auto"/>
              </w:rPr>
              <w:t>stock-based compensation</w:t>
            </w:r>
          </w:p>
        </w:tc>
      </w:tr>
      <w:tr>
        <w:trPr>
          <w:trHeight w:val="216"/>
        </w:trPr>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litigation expense</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FCC or other governmental actions</w:t>
            </w:r>
          </w:p>
        </w:tc>
      </w:tr>
      <w:tr>
        <w:trPr>
          <w:trHeight w:val="216"/>
        </w:trPr>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unexpected warranty liabilities</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changes in fair value of assets and liabilities</w:t>
            </w:r>
          </w:p>
        </w:tc>
      </w:tr>
      <w:tr>
        <w:trPr>
          <w:trHeight w:val="216"/>
        </w:trPr>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6600" w:type="dxa"/>
            <w:vAlign w:val="bottom"/>
            <w:gridSpan w:val="2"/>
          </w:tcPr>
          <w:p>
            <w:pPr>
              <w:ind w:left="1720"/>
              <w:spacing w:after="0"/>
              <w:rPr>
                <w:sz w:val="20"/>
                <w:szCs w:val="20"/>
                <w:color w:val="auto"/>
              </w:rPr>
            </w:pPr>
            <w:r>
              <w:rPr>
                <w:rFonts w:ascii="Arial" w:cs="Arial" w:eastAsia="Arial" w:hAnsi="Arial"/>
                <w:sz w:val="18"/>
                <w:szCs w:val="18"/>
                <w:color w:val="auto"/>
              </w:rPr>
              <w:t>·   general economic conditions affecting enterprise</w:t>
            </w:r>
          </w:p>
        </w:tc>
      </w:tr>
      <w:tr>
        <w:trPr>
          <w:trHeight w:val="230"/>
        </w:trPr>
        <w:tc>
          <w:tcPr>
            <w:tcW w:w="4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spending for the utility industry</w:t>
            </w:r>
          </w:p>
        </w:tc>
      </w:tr>
      <w:tr>
        <w:trPr>
          <w:trHeight w:val="432"/>
        </w:trPr>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60" w:type="dxa"/>
            <w:vAlign w:val="bottom"/>
          </w:tcPr>
          <w:p>
            <w:pPr>
              <w:ind w:left="840"/>
              <w:spacing w:after="0"/>
              <w:rPr>
                <w:sz w:val="20"/>
                <w:szCs w:val="20"/>
                <w:color w:val="auto"/>
              </w:rPr>
            </w:pPr>
            <w:r>
              <w:rPr>
                <w:rFonts w:ascii="Arial" w:cs="Arial" w:eastAsia="Arial" w:hAnsi="Arial"/>
                <w:sz w:val="18"/>
                <w:szCs w:val="18"/>
                <w:color w:val="auto"/>
              </w:rPr>
              <w:t>9</w:t>
            </w:r>
          </w:p>
        </w:tc>
        <w:tc>
          <w:tcPr>
            <w:tcW w:w="4740" w:type="dxa"/>
            <w:vAlign w:val="bottom"/>
          </w:tcPr>
          <w:p>
            <w:pPr>
              <w:spacing w:after="0"/>
              <w:rPr>
                <w:sz w:val="24"/>
                <w:szCs w:val="24"/>
                <w:color w:val="auto"/>
              </w:rPr>
            </w:pPr>
          </w:p>
        </w:tc>
      </w:tr>
      <w:tr>
        <w:trPr>
          <w:trHeight w:val="118"/>
        </w:trPr>
        <w:tc>
          <w:tcPr>
            <w:tcW w:w="48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acquired nine companies since December 31, 2002, the two largest of which were our acquisition of Actaris for $1.7 billion in 2007 and the acquisition of Schlumberger’s electricity metering business for $256 million in 2004. We expect to complete additional acquisitions and investments in the future, both within and outside of the United States. There are no assurances, however, that we will be able to successfully identify suitable candidates or negotiate acceptable acquisition terms.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lack of market acceptance of new services and technologies, difficulties in operating businesses in foreign legal jurisdictions, changes in the legal and regulatory environment, or a shift in industry dynamics that negatively impacts the forecasted demand for the new products. We may experience difficulties that could affect our internal control over financial reporting, which could create a significant deficiency or material weakness in our overall internal controls under Section 404 of the Sarbanes-Oxley Act of 2002. Failure to properly or adequately address these issues could result in the diversion of management’s attention and resources and materially and adversely impact our ability to manage our business. Impairment of an investment or goodwill and intangible assets may also result if these risks were to materialize. For investments in entities that are not wholly owned by Itron, such as joint ventures, a loss of U.S. generally accepted accounting principles (GAAP) defined control could result in significant change in accounting treatment and a change in the carrying value of the entity. There can be no assurances that an acquired business will perform as expected, accomplish our strategic objective, or generate significant revenues, profits, or cash flows. During prior years, we have incurred impairments and write-offs of noncontrolling interest investments. In addition, acquisitions and investments in third parties may involve the assumption of obligations, significant write-offs, or other charges associated with the acquisition.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Impairment of our intangible assets, long-lived assets, goodwill, or deferred tax assets could result in significant charges that would adversely impact our future operating results.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significant intangible assets, long-lived assets, goodwill, and deferred tax assets that are susceptible to valuation adjustments as a result of changes in various factors or conditions.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impairment of amortizable intangible and long-lived assets whenever events or changes in circumstances indicate that the carrying value may not be recoverable. Factors that could trigger an impairment of such assets include the following:</w:t>
      </w:r>
    </w:p>
    <w:p>
      <w:pPr>
        <w:spacing w:after="0" w:line="197" w:lineRule="exact"/>
        <w:rPr>
          <w:sz w:val="20"/>
          <w:szCs w:val="20"/>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of or use of the acquired assets or the strategy for our overall business;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assess the potential impairment of goodwill each year as of October 1. We also assess the potential impairment of goodwill whenever events or changes in circumstances indicate that the carrying value may not be recoverable. Adverse changes in our operations or other unforeseeable factors could result in an impairment charge in future periods that would impact our results of operations and financial position in that period. Refer to Item 1: “Management’s Discussion and Analysis of Financial Condition and Results of Operations, Critical Accounting Estimates</w:t>
      </w:r>
      <w:r>
        <w:rPr>
          <w:rFonts w:ascii="Arial" w:cs="Arial" w:eastAsia="Arial" w:hAnsi="Arial"/>
          <w:sz w:val="17"/>
          <w:szCs w:val="17"/>
          <w:i w:val="1"/>
          <w:iCs w:val="1"/>
          <w:color w:val="auto"/>
        </w:rPr>
        <w:t>”</w:t>
      </w:r>
      <w:r>
        <w:rPr>
          <w:rFonts w:ascii="Arial" w:cs="Arial" w:eastAsia="Arial" w:hAnsi="Arial"/>
          <w:sz w:val="17"/>
          <w:szCs w:val="17"/>
          <w:color w:val="auto"/>
        </w:rPr>
        <w:t xml:space="preserve"> included in this Annual Report on Form 10-K for additional information regarding the results of our October 1, 2009 goodwill impairment assessment.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realization of our deferred tax assets is supported by projections of future profitability. We provide a valuation allowance based on estimates of future taxable income in the respective taxing jurisdiction and the amount of deferred taxes that are expected to be realizable. If future taxable income is different from that expected, we may not be able to realize some or all of the tax benefit, which could have a material and adverse effect on our financial results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adverse tax burdens, availability of qualified third-party financing, generally longer receivable collection periods than those commonly used in the United States, trade restrictions, changes in tariffs, labor disruptions, difficulties in staffing and managing foreign operations, potential insolvency of international distributors, burdens of complying with different permitting standards, and a wide variety of foreign laws and obstacles to the repatriation of earnings and cash. Fluctuations in the value of international currencies may impact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There can be no assurance that these factors will not have a material adverse effect on our future international sales and, consequently, on our business, financial condition, and results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competitive products.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success will depend, in part, on our ability to continue to design and manufacture new competitive products and to enhance and sustain our existing products, in order to keep pace with technological advances, changing customer requirements, international market acceptance, and other factors in the markets in which we sell our products. Product development will require continued investment in order to maintain our market position.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Oftentimes, new products require certifications or regulatory approvals before the products can be used and we cannot be certain that our new products will be approved in a timely manner. Finally, we may not achieve market acceptance of our new products and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 is generated with a limited number of customers.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our revenues have been concentrated with a limited number of customers, which change over time. The 10 largest customers accounted for 17%, 15%, and 14% of revenues for 2009, 2008, and 2007, respectively. No single customer represented more than 10% of total Company revenues in those years. We are often a party to large, multi-year contracts that are subject to cancellation or rescheduling by our customers due to many factors, such as extreme, unexpected weather conditions that cause our customers to redeploy resources, convenience, regulatory issues, or possible acts of terrorism. Cancellation or postponement of one or more of these significant contracts could have a material adverse effect on our financial and operating results. In addition, if a large customer contract is not replaced upon its expiration with new business of similar magnitude, our financial and operating results would be adversely affected.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enter into agreements related to the deployment of AMI products and technology, the value of these contracts is substantially larger than contracts we have had with our customers in the past. These deployments last several years and may exceed the length of prior deployment agreements. The terms and conditions of these AMI agreements related to testing, contractual liabilities, warranties, performance, and indemnities can be substantially different than the terms and conditions associated with our previous contracts.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and experience. Some competitors may enter markets we serve and sell products at lower prices in order to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We may also have to adjust the prices of some of our products to stay competitive. Should we fail to compete successfully with current or future competitors, we could experience material adverse effects on our business, financial condition,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availability and regulation of radio spectrum.</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significant number of our products use radio spectrum, which are subject to regulation by the FCC in the United States. Licenses for radio frequencies must be obtained and periodically renewed. Licenses granted to us or our customers may not be renewed at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radio-based products currently employ both licensed and unlicensed radio frequencies. 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regulatory requirements in jurisdictions outside of the United States. In those jurisdictions, licensees are generally required to operate a radio transmitter. Such licenses may be for a fixed term and may have to be periodically renewed. In some jurisdictions, the rules permit certain low power devices to operate on an unlicensed basis. Our AMR/AMI meters and modules transmit information to and from handheld, mobile, or fixed reading devices primarily in unlicensed bands pursuant to rules regulating such use. To the extent we introduce new products designed for use in the United States or another country into a new market, such products may require significant modification or redesign in order to meet frequency requirements and other regulatory specifications. Further, in some countries, limitations on frequency availability or the cost of making necessary modifications may preclude us from selling our products in those countries.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liability associated with the use of products for which patent ownership or other intellectual property rights are claimed.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products potentially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or have the resources to, prevent misappropriation of our proprietary rights, particularly in countries that do not protect such rights in the same manner as they do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product-failure exposure that exceeds our recorded liability.</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undetected product defects, unanticipated component failures, as well as changes in various estimates for material, labor, and other costs we may incur to replace projected product failures. As a result, we may incur additional warranty and related expenses in the future with respect to new or established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depends in large part on the efforts of our highly qualified technical and management personnel in all disciplines. The loss of one or more of these employees and the inability to attract and retain qualified replacements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costs, and our vendors’ access to capital at acceptable terms. Any adverse change in the supply of, or price for,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dependent on information technology systems, including, but not limited to, networks, applications, and outsourced services. We continually enhance and implement new systems and processes throughout our global operations. The failure of these systems to operate effectively, problems with transitioning to upgraded or replacement systems, or a breach in security of these systems could materially and adversely affect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the regulations, or future environmental liabilities could cause us to incur significant costs and adversely affect our operations.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a number of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credit facility and the indenture related to our convertible senior subordinated notes limit our ability and the ability of most of our subsidiaries to take certain 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and convertible notes place restrictions on our ability and the ability of most of our subsidiaries to, among other things:</w:t>
      </w:r>
    </w:p>
    <w:p>
      <w:pPr>
        <w:spacing w:after="0" w:line="252"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capital expenditures above a set limit;</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or repurchase capital stock;</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sale lease-back transactions;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or sell assets.</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credit facility is sensitive to interest rate and foreign currency exchange rate risks that could impact our financial position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ability to make payments on or refinance our indebtedness, fund planned capital expenditures, and continue research and development will depend on our ability to generate cash in the future. This is subject to general economic, financial, competitive, legislative, regulatory, and other factors that are beyond our control, including counterparty risks with banks and other financial institutions. We may need to refinance all or a portion of our indebtedness on or before maturity. We cannot provide assurance that we will be able to refinance any of our indebtedness on commercially reasonable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potentially exposed to default risk on our interest rate swaps and our line of credit.</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2009, approximately 79% of our outstanding term loans were at fixed London Interbank Offered Rate (LIBOR) rates as a result of interest rate swaps. These interest rate swaps protect us against the risk of adverse fluctuations in the borrowing’s denominated LIBOR.</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current economic disruptions and the restructuring of various commercial financing organizations, there is a risk of counter-party default on these items. Currently, our exposure to default risk on our interest rate swap agreements is minimal as we are in a liability position on all interest rate swaps. However, if the LIBOR rates were to significantly increase, there is a risk that one or more counterparties may be unable to meet its obligations under the swap agreement.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2009, we had outstanding standby letters of credit of $39.9 million issued under our credit facility’s $115 million multicurrency revolver, resulting in $75.1 million being available for additional borrowings. The lenders of our credit facility consist of several participating financial institutions. Our lenders may not be able to honor their line of credit commitment due to the loss of a participating financial institution or other circumstance, which could lead us to seek alternative financing and be unable to obtain acceptable terms. This could adversely impact our ability to fund some of our internal initiatives or future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risks with our third party depository institutions and insurance providers.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worldwide fallout from the credit crisis persists, the financial strength of some depository institutions has diminished, and this trend may continue. 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or prevent fraud.</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of 2002. In addition, Section 404 under the Sarbanes-Oxley Act of 2002 requires that our auditors attest to the design and operating effectiveness of our controls over financial reporting. Our compliance with the annual internal control report requirement for each fiscal year will depend on the effectiveness of our financial reporting and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of 2002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and unanticipated tax liabilities could adversely affect our effective income tax rate and profitability.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numerous foreign jurisdictions. Our effective income tax rate in the future could be adversely affected by a number of factors, including: changes in the mix of earnings in countries with differing statutory tax rates, changes in the realization of deferred tax assets, changes in tax laws, the outcome of income tax audits in various jurisdictions around the world, and any repatriation of non-U.S. earnings for which we have not previously provided for U.S. taxes. We regularly assess all of these matters to determine the adequacy of our tax provision, which is subject to significant discretion.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number of factories and sales and administration offices by region.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Manufacturing, Assembly,</w:t>
            </w:r>
          </w:p>
        </w:tc>
        <w:tc>
          <w:tcPr>
            <w:tcW w:w="100" w:type="dxa"/>
            <w:vAlign w:val="bottom"/>
          </w:tcPr>
          <w:p>
            <w:pPr>
              <w:spacing w:after="0"/>
              <w:rPr>
                <w:sz w:val="18"/>
                <w:szCs w:val="18"/>
                <w:color w:val="auto"/>
              </w:rPr>
            </w:pPr>
          </w:p>
        </w:tc>
        <w:tc>
          <w:tcPr>
            <w:tcW w:w="24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9"/>
              </w:rPr>
              <w:t>Sales, Administration, and</w:t>
            </w:r>
          </w:p>
        </w:tc>
      </w:tr>
      <w:tr>
        <w:trPr>
          <w:trHeight w:val="241"/>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Service, and Distribution</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Other</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19"/>
                <w:szCs w:val="19"/>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Leased</w:t>
            </w:r>
          </w:p>
        </w:tc>
        <w:tc>
          <w:tcPr>
            <w:tcW w:w="100" w:type="dxa"/>
            <w:vAlign w:val="bottom"/>
          </w:tcPr>
          <w:p>
            <w:pPr>
              <w:spacing w:after="0"/>
              <w:rPr>
                <w:sz w:val="19"/>
                <w:szCs w:val="19"/>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Owned</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Leased</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11</w:t>
            </w:r>
          </w:p>
        </w:tc>
        <w:tc>
          <w:tcPr>
            <w:tcW w:w="10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79"/>
              </w:rPr>
              <w:t>1</w:t>
            </w:r>
          </w:p>
        </w:tc>
        <w:tc>
          <w:tcPr>
            <w:tcW w:w="15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Europe</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89"/>
              </w:rPr>
              <w:t>14</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jc w:val="right"/>
              <w:ind w:right="37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2</w:t>
            </w:r>
          </w:p>
        </w:tc>
        <w:tc>
          <w:tcPr>
            <w:tcW w:w="12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7</w:t>
            </w:r>
          </w:p>
        </w:tc>
        <w:tc>
          <w:tcPr>
            <w:tcW w:w="10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(rest of world)</w:t>
            </w:r>
          </w:p>
        </w:tc>
        <w:tc>
          <w:tcPr>
            <w:tcW w:w="11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w:t>
            </w:r>
          </w:p>
        </w:tc>
      </w:tr>
      <w:tr>
        <w:trPr>
          <w:trHeight w:val="257"/>
        </w:trPr>
        <w:tc>
          <w:tcPr>
            <w:tcW w:w="2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33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79"/>
              </w:rPr>
              <w:t>1</w:t>
            </w:r>
          </w:p>
        </w:tc>
        <w:tc>
          <w:tcPr>
            <w:tcW w:w="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factory locations consist of manufacturing, assembly, service, and distribution facilities. Our sales and administration offices may also include various product development operations. Itron North America facilities are located primarily in the United States, Canada, and Mexico, while Itron International’s facilities are in Europe, Asia/Pacific, and throughout the rest of the world. We own our headquarters facility, which is located in Liberty Lake, Washington. Our other principal properties are owned and in good condition, and we believe our current facilities will be sufficient to support our operations for the foreseeable future.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U.S. AMR standalone module operations are located in Waseca, Minnesota and our electricity meter operations are located in Oconee, South Carolina. Our international operations are more diversified. If any of our facilities are disrupted, our production capacity could be reduced, though most significantly in the United States.</w:t>
      </w: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18, 2009, we received a statement of claim in the matter of an arbitration between Cinclus Technology (Cinclus) and Itron Metering Solutions UK Ltd (Itron UK). The claim relates to an alleged defect in meters sold to Cinclus during 2007 for installation on a project Cinclus was managing for E.ON, a utility with customers in Sweden. On December 23, 2009, we received a statement of claim in the matter of an arbitration between Cinclus and Itron UK relating to an alleged defect in meters sold to Cinclus during 2007 - 2009 for installation on a project Cinclus was managing for Fortum, a utility with customers in Sweden. Both arbitrations have been filed with the Arbitration Institute of the Stockholm Chamber of Commerce. In both arbitrations, Cinclus claims the meters provided by Itron UK fail to meet specifications because in certain environments the meters are affected by external events, which impairs the meter’s capability to measure energy accurately. Cinclus asserts that all meters must be replaced at Itron UK’s cost and expense, including the cost of field work to replace the meters, plus other losses and damages to be specified at a later date. Itron UK has denied all of the allegations and will defend these claims. We do not believe this matter will have a material adverse effect on our business or financial condition, although an unfavorable outcome could have a material adverse effect on Itron’s results of operations for the period in which such a loss is recognized.</w:t>
      </w:r>
    </w:p>
    <w:p>
      <w:pPr>
        <w:spacing w:after="0" w:line="19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Inc. during the fourth quarter of 2009.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2009 and 2008 as reported by the NASDAQ Global Select Market.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Second Quarter</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88.77</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w:t>
            </w: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Fourth Quarter</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the NASDAQ Composite Index and our peer group of companies used for the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48895</wp:posOffset>
            </wp:positionV>
            <wp:extent cx="4913630" cy="3978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363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2004 in the common stock of Itron, Inc., the NASDAQ Composite Index, and the peer group,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peer group consists of global companies that are either direct competitors or have similar industry and business operating characteristics. Our peer group includes the following publicly traded companies: Badger Meter, Inc., Cooper Industries, Ltd., ESCO Technologies Inc., Mueller Water Products, LLC, National Instruments Corporation, and Roper Industries, Inc.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2010, there were 309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the inception of the Company, we have not declared or paid cash dividends. In addition, our credit facility dated April 18, 2007 prohibits the declaration or payment of a cash dividend as long as this facility is in place. Upon repayment of our borrowings, we intend to retain future earnings for the development of our business and do not anticipate paying cash dividends in the foreseeable future.</w:t>
      </w: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independent registered public accounting firms. This selected consolidated financial and other data represents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line="216" w:lineRule="exact"/>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25"/>
                <w:szCs w:val="25"/>
                <w:b w:val="1"/>
                <w:bCs w:val="1"/>
                <w:color w:val="auto"/>
                <w:vertAlign w:val="superscript"/>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line="216" w:lineRule="exact"/>
              <w:rPr>
                <w:sz w:val="20"/>
                <w:szCs w:val="20"/>
                <w:color w:val="auto"/>
              </w:rPr>
            </w:pPr>
            <w:r>
              <w:rPr>
                <w:rFonts w:ascii="Arial" w:cs="Arial" w:eastAsia="Arial" w:hAnsi="Arial"/>
                <w:sz w:val="25"/>
                <w:szCs w:val="25"/>
                <w:b w:val="1"/>
                <w:bCs w:val="1"/>
                <w:color w:val="auto"/>
                <w:vertAlign w:val="subscript"/>
              </w:rPr>
              <w:t>2007</w:t>
            </w:r>
            <w:r>
              <w:rPr>
                <w:rFonts w:ascii="Arial" w:cs="Arial" w:eastAsia="Arial" w:hAnsi="Arial"/>
                <w:sz w:val="11"/>
                <w:szCs w:val="11"/>
                <w:b w:val="1"/>
                <w:bCs w:val="1"/>
                <w:color w:val="auto"/>
              </w:rPr>
              <w:t xml:space="preserve"> (1) (3)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line="216" w:lineRule="exact"/>
              <w:rPr>
                <w:sz w:val="20"/>
                <w:szCs w:val="20"/>
                <w:color w:val="auto"/>
              </w:rPr>
            </w:pPr>
            <w:r>
              <w:rPr>
                <w:rFonts w:ascii="Arial" w:cs="Arial" w:eastAsia="Arial" w:hAnsi="Arial"/>
                <w:sz w:val="18"/>
                <w:szCs w:val="18"/>
                <w:b w:val="1"/>
                <w:bCs w:val="1"/>
                <w:color w:val="auto"/>
                <w:w w:val="79"/>
              </w:rPr>
              <w:t xml:space="preserve">2006 </w:t>
            </w:r>
            <w:r>
              <w:rPr>
                <w:rFonts w:ascii="Arial" w:cs="Arial" w:eastAsia="Arial" w:hAnsi="Arial"/>
                <w:sz w:val="25"/>
                <w:szCs w:val="25"/>
                <w:b w:val="1"/>
                <w:bCs w:val="1"/>
                <w:color w:val="auto"/>
                <w:w w:val="79"/>
                <w:vertAlign w:val="superscript"/>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0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w w:val="97"/>
              </w:rPr>
              <w:t>(in thousands,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1,687,447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1,909,613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1,464,048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644,042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1,149,991</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1,262,756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976,761</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376,600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537,456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487,287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267,442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45,027</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109,822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46,473</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61,743</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Earnings (loss) per common share-Basic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38,539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29,584</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25,414</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282,532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293,296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249,579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492,861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2,854,621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2,856,348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3,030,457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781,764</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1,151,767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1,538,799</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469,324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166,929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1,400,514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790,435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390,982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140,787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193,146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133,327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94,773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(1,714,416)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(85,499)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(used in) provided by financing activities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(114,121)</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(63,376)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1,310,360</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318,493</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(52,906)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240"/>
        <w:spacing w:after="0" w:line="227"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On April 18, 2007, we completed the acquisition of Actaris Metering Systems SA (Actaris). The Consolidated Statement of Operations for the year ended December 31, 2007 includes the operating activities of the Actaris acquisition from April 18, 2007 through December 31, 2007.</w:t>
      </w:r>
    </w:p>
    <w:p>
      <w:pPr>
        <w:spacing w:after="0" w:line="145" w:lineRule="exact"/>
        <w:rPr>
          <w:rFonts w:ascii="Arial" w:cs="Arial" w:eastAsia="Arial" w:hAnsi="Arial"/>
          <w:sz w:val="24"/>
          <w:szCs w:val="24"/>
          <w:color w:val="auto"/>
          <w:vertAlign w:val="superscript"/>
        </w:rPr>
      </w:pPr>
    </w:p>
    <w:p>
      <w:pPr>
        <w:ind w:left="660" w:hanging="240"/>
        <w:spacing w:after="0"/>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Working capital represents current assets less current liabilities.</w:t>
      </w:r>
    </w:p>
    <w:p>
      <w:pPr>
        <w:spacing w:after="0" w:line="201" w:lineRule="exact"/>
        <w:rPr>
          <w:rFonts w:ascii="Arial" w:cs="Arial" w:eastAsia="Arial" w:hAnsi="Arial"/>
          <w:sz w:val="25"/>
          <w:szCs w:val="25"/>
          <w:color w:val="auto"/>
          <w:vertAlign w:val="superscript"/>
        </w:rPr>
      </w:pPr>
    </w:p>
    <w:p>
      <w:pPr>
        <w:jc w:val="both"/>
        <w:ind w:left="660" w:hanging="240"/>
        <w:spacing w:after="0" w:line="259"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 xml:space="preserve">On January 1, 2009, we adopted Financial Accounting Standards Board (FASB) Staff Position (FSP) APB 14-1, </w:t>
      </w:r>
      <w:r>
        <w:rPr>
          <w:rFonts w:ascii="Arial" w:cs="Arial" w:eastAsia="Arial" w:hAnsi="Arial"/>
          <w:sz w:val="16"/>
          <w:szCs w:val="16"/>
          <w:i w:val="1"/>
          <w:iCs w:val="1"/>
          <w:color w:val="auto"/>
        </w:rPr>
        <w:t>Accounting for Convertible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That May Be Settled in Cash upon Conversion (Including Partial Cash Settlement) </w:t>
      </w:r>
      <w:r>
        <w:rPr>
          <w:rFonts w:ascii="Arial" w:cs="Arial" w:eastAsia="Arial" w:hAnsi="Arial"/>
          <w:sz w:val="16"/>
          <w:szCs w:val="16"/>
          <w:color w:val="auto"/>
        </w:rPr>
        <w:t>(FSP 14-1) relating to our convertible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notes issued in August 2006. (The guidance in FSP 14-1 is now embedded within Accounting Standards Codification</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(ASC) 470-20). We used the SEC staff’s Alternative A transition election for presenting prior financial information, and therefore the financial information as of and for the year ended December 31, 2006 has not been adjusted and is not comparable to the financial information as of and for the years ended December 31, 2009, 2008, and 2007. Refer to Item 8: "Financial Statements and Supplementary Data Note 1: Summary of Significant Accounting Policies" included in this Annual Report on Form 10-K for a discussion of the effects of the implementation of FSP 14-1.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2009 financial results have been negatively impacted by a number of factors including the economic downturn, foreign exchange rate volatility, and delayed purchases by some utilities due to uncertainty related to a shift in technology choices from automated meter reading (AMR) to advanced metering infrastructure (AMI) systems and customers awaiting approval of projects that may qualify for stimulus funding through the United States’ American Recovery and Reinvestment Act of 2009.</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current economic environment and foreign exchange rate volatility, we took steps to strengthen our financial position. During 2009, we reduced our borrowings by $383.6 million, issued $290.0 million in common stock, and amended our credit facility to reduce our current and future covenant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Twelve-month backlog was $807 million at December 31, 2009, compared with $418 million at December 31,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(in millions)</w:t>
            </w: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(in millions)</w:t>
            </w:r>
          </w:p>
        </w:tc>
        <w:tc>
          <w:tcPr>
            <w:tcW w:w="1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537.5</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646.9</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487.3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Revenues by region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80"/>
              <w:spacing w:after="0"/>
              <w:rPr>
                <w:sz w:val="20"/>
                <w:szCs w:val="20"/>
                <w:color w:val="auto"/>
              </w:rPr>
            </w:pPr>
            <w:r>
              <w:rPr>
                <w:rFonts w:ascii="Arial" w:cs="Arial" w:eastAsia="Arial" w:hAnsi="Arial"/>
                <w:sz w:val="18"/>
                <w:szCs w:val="18"/>
                <w:color w:val="auto"/>
              </w:rPr>
              <w:t>United States and Canada</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1,687.4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1,909.6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Revenues decreased 12%, or $222.2 million, in 2009, compared with 2008. A strengthening U.S. dollar against most foreign currencies accounted for 46% of the decrease in revenues. Revenue growth in 2008, compared with 2007, was primarily due to the Actaris acquisition in the second quarter of 2007. A more detailed analysis of these fluctuations is provided in </w:t>
      </w:r>
      <w:r>
        <w:rPr>
          <w:rFonts w:ascii="Arial" w:cs="Arial" w:eastAsia="Arial" w:hAnsi="Arial"/>
          <w:sz w:val="18"/>
          <w:szCs w:val="18"/>
          <w:i w:val="1"/>
          <w:iCs w:val="1"/>
          <w:color w:val="auto"/>
        </w:rPr>
        <w:t>Operating Segment Results</w:t>
      </w:r>
      <w:r>
        <w:rPr>
          <w:rFonts w:ascii="Arial" w:cs="Arial" w:eastAsia="Arial" w:hAnsi="Arial"/>
          <w:sz w:val="18"/>
          <w:szCs w:val="18"/>
          <w:color w:val="auto"/>
        </w:rPr>
        <w:t>.</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2009, 2008, and 2007. Our 10 largest customers accounted for approximately 17%, 15%, and 14% of total revenues in 2009, 2008, and 2007.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Gross margin was 32% in 2009, compared with 34% and 33% in 2008 and 2007, respectively. Approximately two-thirds of the decline in gross margins was attributable to the Itron North America operations and one-third was attributable to the Itron International operations. During 2007, business combination accounting rules required the valuation of Actaris inventory on hand at the acquisition date to equal the sales price, less costs to complete and a reasonable profit allowance for selling effort. Accordingly, the historical cost of inventory acquired as part of the Actaris acquisition was increased by $16.0 million, which lowered the 2007 total company gross margin by one percentage point. A more detailed analysis of these fluctuations is provided in </w:t>
      </w:r>
      <w:r>
        <w:rPr>
          <w:rFonts w:ascii="Arial" w:cs="Arial" w:eastAsia="Arial" w:hAnsi="Arial"/>
          <w:sz w:val="18"/>
          <w:szCs w:val="18"/>
          <w:i w:val="1"/>
          <w:iCs w:val="1"/>
          <w:color w:val="auto"/>
        </w:rPr>
        <w:t>Operating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Meters are sold with and without advanced functionality. In addition, smart meter modules (AMR/AMI) can be sold separately from the meter. Depending on customers’ preferences, we also incorporate other vendors’ technology in our meters. A summary of our meter and AMR/AMI module shipments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90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w w:val="91"/>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Total meters (with and without AMR/AMI)</w:t>
            </w:r>
          </w:p>
        </w:tc>
        <w:tc>
          <w:tcPr>
            <w:tcW w:w="3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73"/>
              </w:rPr>
              <w:t>(units in thousands)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Itron North America</w:t>
            </w:r>
          </w:p>
        </w:tc>
        <w:tc>
          <w:tcPr>
            <w:tcW w:w="3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Electricity</w:t>
            </w:r>
          </w:p>
        </w:tc>
        <w:tc>
          <w:tcPr>
            <w:tcW w:w="4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3,480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780"/>
              <w:spacing w:after="0"/>
              <w:rPr>
                <w:sz w:val="20"/>
                <w:szCs w:val="20"/>
                <w:color w:val="auto"/>
              </w:rPr>
            </w:pPr>
            <w:r>
              <w:rPr>
                <w:rFonts w:ascii="Arial" w:cs="Arial" w:eastAsia="Arial" w:hAnsi="Arial"/>
                <w:sz w:val="18"/>
                <w:szCs w:val="18"/>
                <w:color w:val="auto"/>
              </w:rPr>
              <w:t>Gas</w:t>
            </w:r>
          </w:p>
        </w:tc>
        <w:tc>
          <w:tcPr>
            <w:tcW w:w="4300" w:type="dxa"/>
            <w:vAlign w:val="bottom"/>
            <w:gridSpan w:val="3"/>
          </w:tcPr>
          <w:p>
            <w:pPr>
              <w:jc w:val="right"/>
              <w:ind w:right="30"/>
              <w:spacing w:after="0"/>
              <w:rPr>
                <w:sz w:val="20"/>
                <w:szCs w:val="20"/>
                <w:color w:val="auto"/>
              </w:rPr>
            </w:pPr>
            <w:r>
              <w:rPr>
                <w:rFonts w:ascii="Arial" w:cs="Arial" w:eastAsia="Arial" w:hAnsi="Arial"/>
                <w:sz w:val="18"/>
                <w:szCs w:val="18"/>
                <w:color w:val="auto"/>
              </w:rPr>
              <w:t>350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Itron International</w:t>
            </w:r>
          </w:p>
        </w:tc>
        <w:tc>
          <w:tcPr>
            <w:tcW w:w="3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Electricity</w:t>
            </w:r>
          </w:p>
        </w:tc>
        <w:tc>
          <w:tcPr>
            <w:tcW w:w="4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7,790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780"/>
              <w:spacing w:after="0"/>
              <w:rPr>
                <w:sz w:val="20"/>
                <w:szCs w:val="20"/>
                <w:color w:val="auto"/>
              </w:rPr>
            </w:pPr>
            <w:r>
              <w:rPr>
                <w:rFonts w:ascii="Arial" w:cs="Arial" w:eastAsia="Arial" w:hAnsi="Arial"/>
                <w:sz w:val="18"/>
                <w:szCs w:val="18"/>
                <w:color w:val="auto"/>
              </w:rPr>
              <w:t>Gas</w:t>
            </w:r>
          </w:p>
        </w:tc>
        <w:tc>
          <w:tcPr>
            <w:tcW w:w="4300" w:type="dxa"/>
            <w:vAlign w:val="bottom"/>
            <w:gridSpan w:val="3"/>
          </w:tcPr>
          <w:p>
            <w:pPr>
              <w:jc w:val="right"/>
              <w:ind w:right="30"/>
              <w:spacing w:after="0"/>
              <w:rPr>
                <w:sz w:val="20"/>
                <w:szCs w:val="20"/>
                <w:color w:val="auto"/>
              </w:rPr>
            </w:pPr>
            <w:r>
              <w:rPr>
                <w:rFonts w:ascii="Arial" w:cs="Arial" w:eastAsia="Arial" w:hAnsi="Arial"/>
                <w:sz w:val="18"/>
                <w:szCs w:val="18"/>
                <w:color w:val="auto"/>
              </w:rPr>
              <w:t>4,980</w:t>
            </w:r>
          </w:p>
        </w:tc>
        <w:tc>
          <w:tcPr>
            <w:tcW w:w="116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Water</w:t>
            </w:r>
          </w:p>
        </w:tc>
        <w:tc>
          <w:tcPr>
            <w:tcW w:w="30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Total meters with and without AMR/AMI</w:t>
            </w:r>
          </w:p>
        </w:tc>
        <w:tc>
          <w:tcPr>
            <w:tcW w:w="30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25,030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27,600</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Additional meter information (Total Company)</w:t>
            </w:r>
          </w:p>
        </w:tc>
        <w:tc>
          <w:tcPr>
            <w:tcW w:w="3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Meters with AMR</w:t>
            </w:r>
          </w:p>
        </w:tc>
        <w:tc>
          <w:tcPr>
            <w:tcW w:w="4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3,110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Meters with AMI</w:t>
            </w:r>
          </w:p>
        </w:tc>
        <w:tc>
          <w:tcPr>
            <w:tcW w:w="4300" w:type="dxa"/>
            <w:vAlign w:val="bottom"/>
            <w:gridSpan w:val="3"/>
          </w:tcPr>
          <w:p>
            <w:pPr>
              <w:jc w:val="right"/>
              <w:ind w:right="30"/>
              <w:spacing w:after="0"/>
              <w:rPr>
                <w:sz w:val="20"/>
                <w:szCs w:val="20"/>
                <w:color w:val="auto"/>
              </w:rPr>
            </w:pPr>
            <w:r>
              <w:rPr>
                <w:rFonts w:ascii="Arial" w:cs="Arial" w:eastAsia="Arial" w:hAnsi="Arial"/>
                <w:sz w:val="18"/>
                <w:szCs w:val="18"/>
                <w:color w:val="auto"/>
              </w:rPr>
              <w:t>710</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AMR/AMI modules</w:t>
            </w:r>
          </w:p>
        </w:tc>
        <w:tc>
          <w:tcPr>
            <w:tcW w:w="30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780"/>
              <w:spacing w:after="0"/>
              <w:rPr>
                <w:sz w:val="20"/>
                <w:szCs w:val="20"/>
                <w:color w:val="auto"/>
              </w:rPr>
            </w:pPr>
            <w:r>
              <w:rPr>
                <w:rFonts w:ascii="Arial" w:cs="Arial" w:eastAsia="Arial" w:hAnsi="Arial"/>
                <w:sz w:val="18"/>
                <w:szCs w:val="18"/>
                <w:color w:val="auto"/>
              </w:rPr>
              <w:t>Meters with AMR/AMI and modules</w:t>
            </w:r>
          </w:p>
        </w:tc>
        <w:tc>
          <w:tcPr>
            <w:tcW w:w="30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7,650</w:t>
            </w:r>
          </w:p>
        </w:tc>
        <w:tc>
          <w:tcPr>
            <w:tcW w:w="1160" w:type="dxa"/>
            <w:vAlign w:val="bottom"/>
          </w:tcPr>
          <w:p>
            <w:pPr>
              <w:jc w:val="right"/>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Meters with other vendors' AMR/AMI</w:t>
            </w:r>
          </w:p>
        </w:tc>
        <w:tc>
          <w:tcPr>
            <w:tcW w:w="4300" w:type="dxa"/>
            <w:vAlign w:val="bottom"/>
            <w:gridSpan w:val="3"/>
          </w:tcPr>
          <w:p>
            <w:pPr>
              <w:jc w:val="right"/>
              <w:ind w:right="30"/>
              <w:spacing w:after="0"/>
              <w:rPr>
                <w:sz w:val="20"/>
                <w:szCs w:val="20"/>
                <w:color w:val="auto"/>
              </w:rPr>
            </w:pPr>
            <w:r>
              <w:rPr>
                <w:rFonts w:ascii="Arial" w:cs="Arial" w:eastAsia="Arial" w:hAnsi="Arial"/>
                <w:sz w:val="18"/>
                <w:szCs w:val="18"/>
                <w:color w:val="auto"/>
              </w:rPr>
              <w:t>630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20" w:type="dxa"/>
            <w:vAlign w:val="bottom"/>
            <w:vMerge w:val="restart"/>
          </w:tcPr>
          <w:p>
            <w:pPr>
              <w:jc w:val="right"/>
              <w:ind w:right="1690"/>
              <w:spacing w:after="0"/>
              <w:rPr>
                <w:sz w:val="20"/>
                <w:szCs w:val="20"/>
                <w:color w:val="auto"/>
              </w:rPr>
            </w:pPr>
            <w:r>
              <w:rPr>
                <w:rFonts w:ascii="Arial" w:cs="Arial" w:eastAsia="Arial" w:hAnsi="Arial"/>
                <w:sz w:val="18"/>
                <w:szCs w:val="18"/>
                <w:color w:val="auto"/>
              </w:rPr>
              <w:t>20</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15: Segment Information” in this Annual Report on Form 10-K. The following tables and discussion highlight significant changes in trends or components of each operating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20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14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(in millions)</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(in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 North America</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696.7</w:t>
            </w:r>
          </w:p>
        </w:tc>
        <w:tc>
          <w:tcPr>
            <w:tcW w:w="12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Itron International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1,071.6</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1,212.9</w:t>
            </w:r>
          </w:p>
        </w:tc>
        <w:tc>
          <w:tcPr>
            <w:tcW w:w="1200" w:type="dxa"/>
            <w:vAlign w:val="bottom"/>
          </w:tcPr>
          <w:p>
            <w:pPr>
              <w:jc w:val="center"/>
              <w:ind w:left="30"/>
              <w:spacing w:after="0"/>
              <w:rPr>
                <w:sz w:val="20"/>
                <w:szCs w:val="20"/>
                <w:color w:val="auto"/>
              </w:rPr>
            </w:pPr>
            <w:r>
              <w:rPr>
                <w:rFonts w:ascii="Arial" w:cs="Arial" w:eastAsia="Arial" w:hAnsi="Arial"/>
                <w:sz w:val="18"/>
                <w:szCs w:val="18"/>
                <w:color w:val="auto"/>
                <w:w w:val="88"/>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1,909.6</w:t>
            </w:r>
          </w:p>
        </w:tc>
        <w:tc>
          <w:tcPr>
            <w:tcW w:w="12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94"/>
              </w:rPr>
              <w:t>Year Ended December 31,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i w:val="1"/>
                <w:iCs w:val="1"/>
                <w:color w:val="auto"/>
                <w:w w:val="86"/>
              </w:rPr>
              <w:t>Gross Profit</w:t>
            </w: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w w:val="91"/>
              </w:rPr>
              <w:t>Gross Margin</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i w:val="1"/>
                <w:iCs w:val="1"/>
                <w:color w:val="auto"/>
                <w:w w:val="88"/>
              </w:rPr>
              <w:t>Gross Profit</w:t>
            </w:r>
          </w:p>
        </w:tc>
        <w:tc>
          <w:tcPr>
            <w:tcW w:w="4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9"/>
              </w:rPr>
              <w:t>Gross Margin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8"/>
              </w:rPr>
              <w:t>Gross Profit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7"/>
              </w:rPr>
              <w:t>Gross Margin</w:t>
            </w:r>
          </w:p>
        </w:tc>
        <w:tc>
          <w:tcPr>
            <w:tcW w:w="0" w:type="dxa"/>
            <w:vAlign w:val="bottom"/>
          </w:tcPr>
          <w:p>
            <w:pPr>
              <w:spacing w:after="0"/>
              <w:rPr>
                <w:sz w:val="1"/>
                <w:szCs w:val="1"/>
                <w:color w:val="auto"/>
              </w:rPr>
            </w:pPr>
          </w:p>
        </w:tc>
      </w:tr>
      <w:tr>
        <w:trPr>
          <w:trHeight w:val="239"/>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Gross Profit and Margin</w:t>
            </w: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(in millions)</w:t>
            </w: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(in millions)</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211.8</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1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Itron International</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325.7</w:t>
            </w:r>
          </w:p>
        </w:tc>
        <w:tc>
          <w:tcPr>
            <w:tcW w:w="1040" w:type="dxa"/>
            <w:vAlign w:val="bottom"/>
          </w:tcPr>
          <w:p>
            <w:pPr>
              <w:ind w:left="4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80" w:type="dxa"/>
            <w:vAlign w:val="bottom"/>
          </w:tcPr>
          <w:p>
            <w:pPr>
              <w:spacing w:after="0"/>
              <w:rPr>
                <w:sz w:val="19"/>
                <w:szCs w:val="19"/>
                <w:color w:val="auto"/>
              </w:rPr>
            </w:pPr>
          </w:p>
        </w:tc>
        <w:tc>
          <w:tcPr>
            <w:tcW w:w="1060" w:type="dxa"/>
            <w:vAlign w:val="bottom"/>
            <w:gridSpan w:val="2"/>
          </w:tcPr>
          <w:p>
            <w:pPr>
              <w:jc w:val="center"/>
              <w:ind w:left="150"/>
              <w:spacing w:after="0"/>
              <w:rPr>
                <w:sz w:val="20"/>
                <w:szCs w:val="20"/>
                <w:color w:val="auto"/>
              </w:rPr>
            </w:pPr>
            <w:r>
              <w:rPr>
                <w:rFonts w:ascii="Arial" w:cs="Arial" w:eastAsia="Arial" w:hAnsi="Arial"/>
                <w:sz w:val="18"/>
                <w:szCs w:val="18"/>
                <w:color w:val="auto"/>
                <w:w w:val="94"/>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120" w:type="dxa"/>
            <w:vAlign w:val="bottom"/>
            <w:gridSpan w:val="2"/>
          </w:tcPr>
          <w:p>
            <w:pPr>
              <w:jc w:val="right"/>
              <w:ind w:right="2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gross profit and margin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537.5</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1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89"/>
              </w:rPr>
              <w:t>Year Ended 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00" w:type="dxa"/>
            <w:vAlign w:val="bottom"/>
            <w:gridSpan w:val="3"/>
          </w:tcPr>
          <w:p>
            <w:pPr>
              <w:ind w:left="20"/>
              <w:spacing w:after="0" w:line="201" w:lineRule="exact"/>
              <w:rPr>
                <w:sz w:val="20"/>
                <w:szCs w:val="20"/>
                <w:color w:val="auto"/>
              </w:rPr>
            </w:pPr>
            <w:r>
              <w:rPr>
                <w:rFonts w:ascii="Arial" w:cs="Arial" w:eastAsia="Arial" w:hAnsi="Arial"/>
                <w:sz w:val="18"/>
                <w:szCs w:val="18"/>
                <w:b w:val="1"/>
                <w:bCs w:val="1"/>
                <w:i w:val="1"/>
                <w:iCs w:val="1"/>
                <w:color w:val="auto"/>
                <w:w w:val="94"/>
              </w:rPr>
              <w:t>Operating Income</w:t>
            </w:r>
          </w:p>
        </w:tc>
        <w:tc>
          <w:tcPr>
            <w:tcW w:w="1040" w:type="dxa"/>
            <w:vAlign w:val="bottom"/>
          </w:tcPr>
          <w:p>
            <w:pPr>
              <w:ind w:left="14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120" w:type="dxa"/>
            <w:vAlign w:val="bottom"/>
          </w:tcPr>
          <w:p>
            <w:pPr>
              <w:spacing w:after="0"/>
              <w:rPr>
                <w:sz w:val="17"/>
                <w:szCs w:val="17"/>
                <w:color w:val="auto"/>
              </w:rPr>
            </w:pPr>
          </w:p>
        </w:tc>
        <w:tc>
          <w:tcPr>
            <w:tcW w:w="1440" w:type="dxa"/>
            <w:vAlign w:val="bottom"/>
            <w:gridSpan w:val="4"/>
          </w:tcPr>
          <w:p>
            <w:pPr>
              <w:spacing w:after="0" w:line="201" w:lineRule="exact"/>
              <w:rPr>
                <w:sz w:val="20"/>
                <w:szCs w:val="20"/>
                <w:color w:val="auto"/>
              </w:rPr>
            </w:pPr>
            <w:r>
              <w:rPr>
                <w:rFonts w:ascii="Arial" w:cs="Arial" w:eastAsia="Arial" w:hAnsi="Arial"/>
                <w:sz w:val="18"/>
                <w:szCs w:val="18"/>
                <w:b w:val="1"/>
                <w:bCs w:val="1"/>
                <w:i w:val="1"/>
                <w:iCs w:val="1"/>
                <w:color w:val="auto"/>
                <w:w w:val="92"/>
              </w:rPr>
              <w:t>Operating Income</w:t>
            </w:r>
          </w:p>
        </w:tc>
        <w:tc>
          <w:tcPr>
            <w:tcW w:w="40" w:type="dxa"/>
            <w:vAlign w:val="bottom"/>
          </w:tcPr>
          <w:p>
            <w:pPr>
              <w:spacing w:after="0"/>
              <w:rPr>
                <w:sz w:val="17"/>
                <w:szCs w:val="17"/>
                <w:color w:val="auto"/>
              </w:rPr>
            </w:pPr>
          </w:p>
        </w:tc>
        <w:tc>
          <w:tcPr>
            <w:tcW w:w="1020" w:type="dxa"/>
            <w:vAlign w:val="bottom"/>
          </w:tcPr>
          <w:p>
            <w:pPr>
              <w:jc w:val="right"/>
              <w:ind w:right="5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30"/>
              <w:spacing w:after="0" w:line="201" w:lineRule="exact"/>
              <w:rPr>
                <w:sz w:val="20"/>
                <w:szCs w:val="20"/>
                <w:color w:val="auto"/>
              </w:rPr>
            </w:pPr>
            <w:r>
              <w:rPr>
                <w:rFonts w:ascii="Arial" w:cs="Arial" w:eastAsia="Arial" w:hAnsi="Arial"/>
                <w:sz w:val="18"/>
                <w:szCs w:val="18"/>
                <w:b w:val="1"/>
                <w:bCs w:val="1"/>
                <w:i w:val="1"/>
                <w:iCs w:val="1"/>
                <w:color w:val="auto"/>
                <w:w w:val="94"/>
              </w:rPr>
              <w:t>Operating</w:t>
            </w:r>
          </w:p>
        </w:tc>
        <w:tc>
          <w:tcPr>
            <w:tcW w:w="100" w:type="dxa"/>
            <w:vAlign w:val="bottom"/>
          </w:tcPr>
          <w:p>
            <w:pPr>
              <w:spacing w:after="0"/>
              <w:rPr>
                <w:sz w:val="17"/>
                <w:szCs w:val="17"/>
                <w:color w:val="auto"/>
              </w:rPr>
            </w:pPr>
          </w:p>
        </w:tc>
        <w:tc>
          <w:tcPr>
            <w:tcW w:w="1020" w:type="dxa"/>
            <w:vAlign w:val="bottom"/>
          </w:tcPr>
          <w:p>
            <w:pPr>
              <w:jc w:val="right"/>
              <w:ind w:right="5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0" w:type="dxa"/>
            <w:vAlign w:val="bottom"/>
          </w:tcPr>
          <w:p>
            <w:pPr>
              <w:spacing w:after="0"/>
              <w:rPr>
                <w:sz w:val="1"/>
                <w:szCs w:val="1"/>
                <w:color w:val="auto"/>
              </w:rPr>
            </w:pPr>
          </w:p>
        </w:tc>
      </w:tr>
      <w:tr>
        <w:trPr>
          <w:trHeight w:val="237"/>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Operating Income (Loss)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i w:val="1"/>
                <w:iCs w:val="1"/>
                <w:color w:val="auto"/>
              </w:rPr>
              <w:t>(Loss)</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Margin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rPr>
              <w:t>(Loss)</w:t>
            </w:r>
          </w:p>
        </w:tc>
        <w:tc>
          <w:tcPr>
            <w:tcW w:w="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i w:val="1"/>
                <w:iCs w:val="1"/>
                <w:color w:val="auto"/>
              </w:rPr>
              <w:t>Margin</w:t>
            </w:r>
          </w:p>
        </w:tc>
        <w:tc>
          <w:tcPr>
            <w:tcW w:w="120" w:type="dxa"/>
            <w:vAlign w:val="bottom"/>
          </w:tcPr>
          <w:p>
            <w:pPr>
              <w:spacing w:after="0"/>
              <w:rPr>
                <w:sz w:val="20"/>
                <w:szCs w:val="20"/>
                <w:color w:val="auto"/>
              </w:rPr>
            </w:pPr>
          </w:p>
        </w:tc>
        <w:tc>
          <w:tcPr>
            <w:tcW w:w="1360" w:type="dxa"/>
            <w:vAlign w:val="bottom"/>
            <w:gridSpan w:val="3"/>
          </w:tcPr>
          <w:p>
            <w:pPr>
              <w:jc w:val="right"/>
              <w:ind w:right="170"/>
              <w:spacing w:after="0"/>
              <w:rPr>
                <w:sz w:val="20"/>
                <w:szCs w:val="20"/>
                <w:color w:val="auto"/>
              </w:rPr>
            </w:pPr>
            <w:r>
              <w:rPr>
                <w:rFonts w:ascii="Arial" w:cs="Arial" w:eastAsia="Arial" w:hAnsi="Arial"/>
                <w:sz w:val="18"/>
                <w:szCs w:val="18"/>
                <w:b w:val="1"/>
                <w:bCs w:val="1"/>
                <w:i w:val="1"/>
                <w:iCs w:val="1"/>
                <w:color w:val="auto"/>
                <w:w w:val="88"/>
              </w:rPr>
              <w:t>Income (Loss)</w:t>
            </w:r>
          </w:p>
        </w:tc>
        <w:tc>
          <w:tcPr>
            <w:tcW w:w="1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Margin</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and Operating Margin</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4"/>
              </w:rPr>
              <w:t>(in millions)</w:t>
            </w: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3"/>
              </w:rPr>
              <w:t>(in millions)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40" w:type="dxa"/>
            <w:vAlign w:val="bottom"/>
          </w:tcPr>
          <w:p>
            <w:pPr>
              <w:ind w:left="4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unallocated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Company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40" w:type="dxa"/>
            <w:vAlign w:val="bottom"/>
          </w:tcPr>
          <w:p>
            <w:pPr>
              <w:ind w:left="4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109.8</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Itron North America: </w:t>
      </w:r>
      <w:r>
        <w:rPr>
          <w:rFonts w:ascii="Arial" w:cs="Arial" w:eastAsia="Arial" w:hAnsi="Arial"/>
          <w:sz w:val="18"/>
          <w:szCs w:val="18"/>
          <w:color w:val="auto"/>
        </w:rPr>
        <w:t>Revenues decreased $80.9 million, or 12%, in 2009, compared with 2008. Revenues in 2008 included electricity meter and AMR</w:t>
      </w:r>
      <w:r>
        <w:rPr>
          <w:rFonts w:ascii="Arial" w:cs="Arial" w:eastAsia="Arial" w:hAnsi="Arial"/>
          <w:sz w:val="18"/>
          <w:szCs w:val="18"/>
          <w:i w:val="1"/>
          <w:iCs w:val="1"/>
          <w:color w:val="auto"/>
        </w:rPr>
        <w:t xml:space="preserve"> </w:t>
      </w:r>
      <w:r>
        <w:rPr>
          <w:rFonts w:ascii="Arial" w:cs="Arial" w:eastAsia="Arial" w:hAnsi="Arial"/>
          <w:sz w:val="18"/>
          <w:szCs w:val="18"/>
          <w:color w:val="auto"/>
        </w:rPr>
        <w:t>module shipments in support of a number of AMR contracts that were substantially completed in 2008. During 2009, these revenues were lower as utilities delayed orders due to the current spending environment and the uncertainty surrounding the announcement and disbursement of stimulus funds. AMI revenues began increasing in the fourth quarter of 2009 and totaled $101.8 million for the year.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increased $59.3 million, or 9%, in 2008, compared with 2007, primarily due to increased sales for many of our products and services, with the largest increase in standalone AMR water and gas modules. Revenues in 2008 also included a full year of sales from our North America gas and water meters, which were part of the Actaris acquisition in 2007.</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margin decreased four percentage points in 2009, compared with 2008, primarily due to shipments of our first generation AMI meters, which currently have higher costs, fewer AMR meter and module shipments, and reduced overhead absorption resulting from lower overall production levels.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decreased two percentage points in 2008, compared with 2007, primarily as a result of lower overhead absorption due to lower electricity meter volumes.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more than 10% of Itron North America operating segment revenues in 2009, 2008, or 2007.</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North America operating expenses decreased $15.6 million, or 8%, in 2009, compared with 2008, primarily due to lower sales expense and reduced compensation associated with our 2009 suspension of bonus, profit sharing, and employee savings plan match. Operating expenses as a percentage of revenues were 28% for 2009 and 27% for 2008, as a result of lower revenues in 2009.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expenses increased $5.6 million, or 3%, in 2008, compared with 2007. Higher product development, sales, and marketing were partially offset by reduced general and administrative expenses and amortization of intangible assets. Operating expenses as a percentage of revenues were 29% for 2007.</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Itron International</w:t>
      </w:r>
      <w:r>
        <w:rPr>
          <w:rFonts w:ascii="Arial" w:cs="Arial" w:eastAsia="Arial" w:hAnsi="Arial"/>
          <w:sz w:val="17"/>
          <w:szCs w:val="17"/>
          <w:color w:val="auto"/>
        </w:rPr>
        <w:t>: Revenues decreased $141.3 million, or 12% in 2009, compared 2008. Excluding the effect of a strengthening U.S. dollar against most</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currencies, as compared with the prior year, revenues declined 4% as a result of the completion of a smart metering/AMI project in 2008 and softening demand in some markets, such as Spain and the United Kingdom, which was due to financial and economic conditions.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2008 increased by $386.3 million due to a full year of results, whereas revenues for 2007 primarily included results of 8.5 months of operations from April 18, 2007, the date of the Actaris acquisition.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margin decreased two percentage points in 2009, compared with 2008, primarily as a result of expenses for discontinuing certain product lines and streamlining our service operations in Brazil.</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for 2008 was four percentage points higher at 32%, compared with 28% in 2007. In 2007, gross margin was negatively impacted by a two percentage point reduction due to the revaluation of inventory on hand at the acquisition date in accordance with business combination accounting rules, which increased cost of sales. Gross margin was also favorably impacted in 2008 by product mix and lower indirect cost of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Business line revenues for Itron International were as follows: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b w:val="1"/>
                <w:bCs w:val="1"/>
                <w:color w:val="auto"/>
              </w:rPr>
              <w:t>April 18, 2007</w:t>
            </w: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0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through December 31,</w:t>
            </w: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1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40%</w:t>
            </w:r>
          </w:p>
        </w:tc>
        <w:tc>
          <w:tcPr>
            <w:tcW w:w="2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40%</w:t>
            </w:r>
          </w:p>
        </w:tc>
        <w:tc>
          <w:tcPr>
            <w:tcW w:w="2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Gas</w:t>
            </w:r>
          </w:p>
        </w:tc>
        <w:tc>
          <w:tcPr>
            <w:tcW w:w="1960" w:type="dxa"/>
            <w:vAlign w:val="bottom"/>
          </w:tcPr>
          <w:p>
            <w:pPr>
              <w:jc w:val="right"/>
              <w:ind w:right="670"/>
              <w:spacing w:after="0"/>
              <w:rPr>
                <w:sz w:val="20"/>
                <w:szCs w:val="20"/>
                <w:color w:val="auto"/>
              </w:rPr>
            </w:pPr>
            <w:r>
              <w:rPr>
                <w:rFonts w:ascii="Arial" w:cs="Arial" w:eastAsia="Arial" w:hAnsi="Arial"/>
                <w:sz w:val="18"/>
                <w:szCs w:val="18"/>
                <w:color w:val="auto"/>
              </w:rPr>
              <w:t>30%</w:t>
            </w:r>
          </w:p>
        </w:tc>
        <w:tc>
          <w:tcPr>
            <w:tcW w:w="2040" w:type="dxa"/>
            <w:vAlign w:val="bottom"/>
            <w:gridSpan w:val="2"/>
          </w:tcPr>
          <w:p>
            <w:pPr>
              <w:jc w:val="right"/>
              <w:ind w:right="650"/>
              <w:spacing w:after="0"/>
              <w:rPr>
                <w:sz w:val="20"/>
                <w:szCs w:val="20"/>
                <w:color w:val="auto"/>
              </w:rPr>
            </w:pPr>
            <w:r>
              <w:rPr>
                <w:rFonts w:ascii="Arial" w:cs="Arial" w:eastAsia="Arial" w:hAnsi="Arial"/>
                <w:sz w:val="18"/>
                <w:szCs w:val="18"/>
                <w:color w:val="auto"/>
              </w:rPr>
              <w:t>30%</w:t>
            </w:r>
          </w:p>
        </w:tc>
        <w:tc>
          <w:tcPr>
            <w:tcW w:w="2040" w:type="dxa"/>
            <w:vAlign w:val="bottom"/>
            <w:gridSpan w:val="2"/>
          </w:tcPr>
          <w:p>
            <w:pPr>
              <w:jc w:val="right"/>
              <w:ind w:right="65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1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30%</w:t>
            </w:r>
          </w:p>
        </w:tc>
        <w:tc>
          <w:tcPr>
            <w:tcW w:w="2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30%</w:t>
            </w:r>
          </w:p>
        </w:tc>
        <w:tc>
          <w:tcPr>
            <w:tcW w:w="2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operating segment revenues in 2009, 2008, or 2007.</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for Itron International were $288.1 million, or 27% of revenues, for 2009, compared with $308.9 million, or 25% of revenues, in 2008, and $223.9 million, or 27% of revenues, in 2007. In 2009, decreased operating expense consisted of lower amortization expense of $18.0 million and a $16.5 million decrease due to a stronger U.S. dollar, which was partially offset by an increase in product development and administrative expense.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 2008 increased, compared with 2007, in all areas due to higher revenues, increased emphasis on product development, higher intangible asset amortization, administrative expenses, and foreign exchange fluctuations. Operating expenses for 2007 included results from the date of acquisition as well as $35.8 million of in-process research and development (IPR&amp;D) costs recorded in accordance with business combination accounting rules.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$8.2 million in 2009, compared with 2008, due primarily to reduced compensation expense associated with our 2009 suspension of bonus and profit sharing and reduced consulting fees primarily for Sarbanes-Oxley Act of 2002 compliance. Corporate unallocated expenses increased $5.7 million in 2008, compared with 2007, due to increased variable compensation and financial integration expenses. These expenses, as a percentage of total Company revenues, were 2% in 2009, 2008, and 2007.</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9"/>
              </w:rPr>
              <w:t>Year Ended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6"/>
              </w:rPr>
              <w:t>% of Revenue</w:t>
            </w: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3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c>
          <w:tcPr>
            <w:tcW w:w="1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3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1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98.6</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r>
      <w:tr>
        <w:trPr>
          <w:trHeight w:val="223"/>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8"/>
                <w:szCs w:val="18"/>
                <w:color w:val="auto"/>
              </w:rPr>
            </w:pP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4"/>
              </w:rPr>
              <w:t>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537.0</w:t>
            </w:r>
          </w:p>
        </w:tc>
        <w:tc>
          <w:tcPr>
            <w:tcW w:w="13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440.8</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4"/>
              </w:rPr>
              <w:t>30%</w:t>
            </w:r>
          </w:p>
        </w:tc>
      </w:tr>
      <w:tr>
        <w:trPr>
          <w:trHeight w:val="21"/>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$44.6 million, or 8%, in 2009, compared with 2008, as a result of lower amortization of intangible assets of $21.7 million and foreign exchange rate fluctuations of $17.0 million, with the remaining decrease primarily due to cost containment measures. As a percentage of revenues, operating expenses have remained constant between 2008 and 2007, except for IPR&amp;D, which was directly related to the Actaris acquisition. Amortization of intangible assets increased $36.3 million in 2008, compared with 2007, due to recording a full year of amortization related to the Actaris acquisition. General and administrative expenses in 2008 were impacted by increased compensation and financial integration expenses. In 2007, the acquisition of Actaris also resulted in $36 million of IPR&amp;D expense, consisting primarily of next generation technology. These research and development projects were completed in 2008 and expensed as product development.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The following table shows the components of other income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2"/>
        </w:trPr>
        <w:tc>
          <w:tcPr>
            <w:tcW w:w="7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(62,053)</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(85,260)</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(87,409)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placement fees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(8,258)</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(13,526)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(12,800)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(9,176)</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r>
      <w:tr>
        <w:trPr>
          <w:trHeight w:val="27"/>
        </w:trPr>
        <w:tc>
          <w:tcPr>
            <w:tcW w:w="7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r>
      <w:tr>
        <w:trPr>
          <w:trHeight w:val="216"/>
        </w:trPr>
        <w:tc>
          <w:tcPr>
            <w:tcW w:w="758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(91,101)</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(91,240)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(90,023)</w:t>
            </w:r>
          </w:p>
        </w:tc>
      </w:tr>
      <w:tr>
        <w:trPr>
          <w:trHeight w:val="21"/>
        </w:trPr>
        <w:tc>
          <w:tcPr>
            <w:tcW w:w="7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2009, compared with 2008, primarily due to lower interest rates in 2009, partially offset by an average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that was approximately 15% higher than during 2008. The decrease in interest income in 2008, compared with 2007, was primarily the result of lower average cash and cash equivalent balances and short-term investments. The decrease in interest income in 2008 was also impacted by lower interest rates, compared with 2007.</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decreased 27% in 2009, compared with 2008, primarily due to the decline in the principal balance of our debt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the LIBOR interest rate. The weighted average debt balance outstanding during 2009 was $923.0 million, compared with $1.3 billion during 2008, representing a decline of 30%. The decrease in interest expense was partially offset by an increase in the applicable margin on our term loans related to our term loan agreement amendment, which went from 1.75% to 3.50% effective April 24, 2009, and subsequently increased to 3.75% in August 2009. At December 31, 2009, inclusive of our interest rate swaps, 79% of our term loans were at fixed LIBOR rates. Interest expense decreased 2% in 2008, compared with 2007 due to a reduction in our term loan’s applicable margin from 2% to 1.75% in August 2008 and lower market rates on the floating portion of our debt, partially offset by a full year of interest expense from the $1.2 billion credit facility used to finance the Actaris acquisition on April 18, 2007.</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decreased 7% during 2009, compared with 2008, due to lower debt repayments. Debt</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were $275.8 million during 2009, compared with $388.4 million in 2008. When debt is repaid early, the related portion of unamortized prepaid debt fees is written-off and included in interest expense. Amortization of debt placement fees decreased in 2008, compared with 2007, due to the write-off of $6.6 million associated with our convertible notes in September 2007.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During the second quarter of 2009, we redeemed the $109.6 million remaining principal balance of our senior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at 101.938% of the principal amount, which was $111.7 million. This redemption resulted in a $2.5 million loss on extinguishment of debt.</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As a result, we recognized a net loss on extinguishment of debt of $10.3 million, calculated as the inducement loss, plus an allocation of advisory fees less the revaluation gain. For a description of the redemption of our subordinated notes and the induced conversion of a portion of our convertible notes, refer to Item 8: “Financial Statements and Supplementary Data, Note 6: Debt” included in this Annual Report on Form 10-K.</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In 2009, other expenses, net, resulted primarily from net foreign currency losses due to the revaluation of monetary asset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balances denominated in a currency other than the reporting entity’s functional currency and $1.5 million in legal and advisory fees associated with the amendment to our credit facility. In 2008, other expenses, net resulted primarily from net foreign currency losses due to balances denominated in a currency other than the reporting entity’s functional currency. In 2007, in addition to foreign currency fluctuations, other income, net included $3.0 million in unrealized gains on our euro denominated borrowings, which are now designated as a hedge of a net investment in foreign operations, with future foreign currency fluctuations recorded in other comprehensive income. Other income, net in 2007 also included $2.8 million in net realized gains from foreign currency hedge range forward contracts that were settled as part of the Actaris acquisition and a $1.0 million realized gain from an overnight euro rate change prior to the Actaris acquisition.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tax provision (benefit) as a percentage of income (loss) before tax typically differs from the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and changes in our valuation allowance.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tax benefit as a percentage of loss before tax was 95.1% for 2009. Our actual tax rate for 2009 was higher than the federal statutory rate due to a variety of factors, including: (1) lower effective tax rates on certain international earnings due to an election made under Internal Revenue Code Section 338 with respect to the Actaris acquisition in 2007; (2) benefit of foreign interest expense deductions; (3) tax planning and tax elections regarding the repatriation of foreign earnings and the associated foreign tax credits; (4) a decrease in pretax income in high tax jurisdictions for the year; and (5) a refund of taxes previously paid in foreign tax audits.</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tax benefit as a percentage of income before tax was (6.6%) for 2008. Our actual tax rate for 2008 was lower than the federal statutory rate due to a variety of factors, including lower effective tax rates on certain international earnings due to an election made under Internal Revenue Code Section 338 with respect to the Actaris acquisition in 2007. Additionally, our reduced foreign tax liability reflects the benefit of foreign interest expense deductions.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tax benefit as a percentage of loss before tax was 47.5% for 2007. Our actual tax rate for 2007 was higher than the federal statutory rate as a result of benefits from legislative tax rate reductions in Germany and the United Kingdom. The German Business Tax Reform 2008 was finalized on August 17, 2007, which reduced the German tax rate from approximately 39% to 30%. On July 19, 2007, the United Kingdom enacted the Finance Act of 2007, which lowered the main corporate tax rate from 30% to 28%. These benefits were offset by IPR&amp;D, which was not tax deductible and increased our effective tax rate. The 2007 effective tax rate was also favorably impacted by lower effective tax rates on international earnings due to the Internal Revenue Code Section 338 election with respect to the Actaris acquisition.</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net deferred tax assets consist primarily of accumulated net operating loss carryforwards, hedging activities, and tax credits that can be carried forward, some of which are limited by Internal Revenue Code Sections 382 and 383. The limited deferred tax assets resulted primarily from acquisitions.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deferred tax assets at December 31, 2009 do not include the tax effect on $57.8 million of tax benefits from employee stock option exercises. Equity (common stock) will be increased by $22.2 million if and when such excess tax benefits reduce cash taxes payable.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7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7620" w:type="dxa"/>
            <w:vAlign w:val="bottom"/>
            <w:gridSpan w:val="2"/>
          </w:tcPr>
          <w:p>
            <w:pPr>
              <w:spacing w:after="0"/>
              <w:rPr>
                <w:sz w:val="20"/>
                <w:szCs w:val="20"/>
                <w:color w:val="auto"/>
              </w:rPr>
            </w:pPr>
            <w:r>
              <w:rPr>
                <w:rFonts w:ascii="Arial" w:cs="Arial" w:eastAsia="Arial" w:hAnsi="Arial"/>
                <w:sz w:val="18"/>
                <w:szCs w:val="18"/>
                <w:color w:val="auto"/>
              </w:rPr>
              <w:t>Our cash income tax payments for 2009, 2008, and 2007 are as follows: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paid</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Foreign and local income taxes paid</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r>
      <w:tr>
        <w:trPr>
          <w:trHeight w:val="27"/>
        </w:trPr>
        <w:tc>
          <w:tcPr>
            <w:tcW w:w="10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income taxes paid</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2009, 2008, and 2007, we had operating losses for federal income taxes purposes and did not pay significant cash taxes. Based on current projections, we expect to pay minimal U.S. federal and state taxes and approximately $22.0 million in foreign and local income taxes in 2010.</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8: “Financial Statements and Supplementary Data, Note 11: Income Taxes” included in this Annual Report on Form 10-K for a discussion of our tax provision (benefit) and unrecognized tax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760" w:type="dxa"/>
            <w:vAlign w:val="bottom"/>
          </w:tcPr>
          <w:p>
            <w:pPr>
              <w:ind w:left="180"/>
              <w:spacing w:after="0"/>
              <w:rPr>
                <w:sz w:val="20"/>
                <w:szCs w:val="20"/>
                <w:color w:val="auto"/>
              </w:rPr>
            </w:pPr>
            <w:r>
              <w:rPr>
                <w:rFonts w:ascii="Arial" w:cs="Arial" w:eastAsia="Arial" w:hAnsi="Arial"/>
                <w:sz w:val="18"/>
                <w:szCs w:val="18"/>
                <w:i w:val="1"/>
                <w:iCs w:val="1"/>
                <w:color w:val="auto"/>
              </w:rPr>
              <w:t>Cash Flow Information:</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5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5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Investing activities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(67.1)</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(1,714.4)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7"/>
        </w:trPr>
        <w:tc>
          <w:tcPr>
            <w:tcW w:w="5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Increase (decrease) in cash and cash equivalents</w:t>
            </w: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was $121.9 million at December 31, 2009, compared with $144.4 million at December 31, 2008. The decrease was primarily due to lower operating results and higher repayments of borrowings in excess of net proceeds from public offerings of common stock. Cash and cash equivalents increased from $92.0 million at December 31, 2007 to $144.4 million at December 31, 2008. The increase in cash was the result of cash flows from operating results that included a full year of the Actaris acquisition operations and the $310.9 million stock offering in May 2008, partially offset by $388.4 million in debt repayments.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Cash provided by operating activities for 2009 was $52.4 million lower, compared with 2008, primarily due to lower earnings and less non-cash expenses, such as depreciation and amortization. Cash provided by operating activities increased $59.9 million in 2008, compared with 2007. Operating results for 2008 included a full year of the Actaris acquisition operations and higher non-cash expenses, such as depreciation and amortization.</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investing activities decreased 20% in 2009, compared with 2008, primarily due to delayed purchases of machinery and equipment. Contingent consideration of $4.3 million was paid during 2009 to shareholders of three of our previous acquisitions for the achievement of certain earn-out thresholds. The acquisition of property, plant, and equipment increased $22.8 million in 2008, compared with 2007, consisting primarily of manufacturing equipment for production capacity expansion and our new AMI product line. Cash paid for the acquisition of Actaris in 2007 was approximately $1.7 billion. In 2007, $35.0 million in short-term investments matured with the proceeds used to partially fund the Actaris acquisition.</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2009, we repaid $275.8 million in borrowings, which included utilizing $160.4 million in net proceeds from a public offering of approximately 3.2 million shares of common stock. In 2008, we repaid $388.4 million in borrowings, which included $310.9 million in net proceeds from a public offering of approximately 3.4 million shares of common stock. In 2007, we financed the acquisition of Itron International with proceeds from a new credit facility and sale of common stock. Proceeds from the credit facility were $1.2 billion, partially offset by debt placement fees of $22.1 million. Net proceeds from the sale of common stock were $225.2 million in 2007.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foreign currency exposure relates to non-U.S. dollar denominated transactions in our international subsidiary operations, the most significant of which is the euro. The effect of exchange rates on cash balances held in foreign currency denominations was $4.8 million, $10.3 million, and $1.3 million in 2009, 2008, and 2007, respectively.</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Non-cash transactions: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2009, we completed exchanges with certain holders of our convertible notes in which we issued, in the aggregate, approximately 2.3 million shares of common stock recorded at $123.4 million, in exchange for $107.8 million net carrying amount of the convertible notes and the reversal of deferred taxes of $5.8 million. Refer to Item 8: “Financial Statements and Supplemental Data, Note 6: Debt” included in this Annual Report on Form 10-K for a further discussion associated with the exchange agreements and the derecognition requirement for induced conversions.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December 31, 2009 and 2008 that we believe are reasonably likely to have a current or future effect on our financial condition, results of operations, or cash flows.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Disclosures about contractual obligations and commitments: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2009, as well as an estimate of the timing in which these obligations are expected to be satisfied.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Less than</w:t>
            </w:r>
          </w:p>
        </w:tc>
        <w:tc>
          <w:tcPr>
            <w:tcW w:w="24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Beyond</w:t>
            </w:r>
          </w:p>
        </w:tc>
        <w:tc>
          <w:tcPr>
            <w:tcW w:w="0" w:type="dxa"/>
            <w:vAlign w:val="bottom"/>
          </w:tcPr>
          <w:p>
            <w:pPr>
              <w:spacing w:after="0"/>
              <w:rPr>
                <w:sz w:val="1"/>
                <w:szCs w:val="1"/>
                <w:color w:val="auto"/>
              </w:rPr>
            </w:pPr>
          </w:p>
        </w:tc>
      </w:tr>
      <w:tr>
        <w:trPr>
          <w:trHeight w:val="241"/>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4900" w:type="dxa"/>
            <w:vAlign w:val="bottom"/>
            <w:vMerge w:val="restart"/>
          </w:tcPr>
          <w:p>
            <w:pPr>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5"/>
                <w:szCs w:val="25"/>
                <w:color w:val="auto"/>
                <w:vertAlign w:val="superscript"/>
              </w:rPr>
              <w:t>(1)</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USD denominated term loan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17,956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60"/>
              <w:spacing w:after="0"/>
              <w:rPr>
                <w:sz w:val="20"/>
                <w:szCs w:val="20"/>
                <w:color w:val="auto"/>
              </w:rPr>
            </w:pPr>
            <w:r>
              <w:rPr>
                <w:rFonts w:ascii="Arial" w:cs="Arial" w:eastAsia="Arial" w:hAnsi="Arial"/>
                <w:sz w:val="18"/>
                <w:szCs w:val="18"/>
                <w:color w:val="auto"/>
              </w:rPr>
              <w:t>EUR denominated term loan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18,298</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39,857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296,126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Convertible senior subordinated notes </w:t>
            </w:r>
            <w:r>
              <w:rPr>
                <w:rFonts w:ascii="Arial" w:cs="Arial" w:eastAsia="Arial" w:hAnsi="Arial"/>
                <w:sz w:val="25"/>
                <w:szCs w:val="25"/>
                <w:color w:val="auto"/>
                <w:vertAlign w:val="superscript"/>
              </w:rPr>
              <w:t>(1) (2)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229,194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10,260</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11,435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5,540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Purchase and service commitments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251,716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long-term liabilities reflected on the balance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 xml:space="preserve">sheet under generally accepted accounting principles </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24,969</w:t>
            </w:r>
          </w:p>
        </w:tc>
        <w:tc>
          <w:tcPr>
            <w:tcW w:w="0" w:type="dxa"/>
            <w:vAlign w:val="bottom"/>
          </w:tcPr>
          <w:p>
            <w:pPr>
              <w:spacing w:after="0"/>
              <w:rPr>
                <w:sz w:val="1"/>
                <w:szCs w:val="1"/>
                <w:color w:val="auto"/>
              </w:rPr>
            </w:pPr>
          </w:p>
        </w:tc>
      </w:tr>
      <w:tr>
        <w:trPr>
          <w:trHeight w:val="27"/>
        </w:trPr>
        <w:tc>
          <w:tcPr>
            <w:tcW w:w="4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1,307,367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303,820</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376,286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600,626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26,635</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40" w:right="20" w:hanging="232"/>
        <w:spacing w:after="0" w:line="216" w:lineRule="auto"/>
        <w:tabs>
          <w:tab w:leader="none" w:pos="2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Borrowings are disclosed within Item 8: “Financial Statements and Supplementary Data, Note 6: Debt” included in this Annual Report on Form 10-K, with the addition of estimated interest expense, not including the amortization of prepaid debt fees and debt discount.</w:t>
      </w:r>
    </w:p>
    <w:p>
      <w:pPr>
        <w:spacing w:after="0" w:line="203" w:lineRule="exact"/>
        <w:rPr>
          <w:rFonts w:ascii="Arial" w:cs="Arial" w:eastAsia="Arial" w:hAnsi="Arial"/>
          <w:sz w:val="25"/>
          <w:szCs w:val="25"/>
          <w:color w:val="auto"/>
          <w:vertAlign w:val="superscript"/>
        </w:rPr>
      </w:pPr>
    </w:p>
    <w:p>
      <w:pPr>
        <w:ind w:left="220" w:hanging="212"/>
        <w:spacing w:after="0" w:line="216" w:lineRule="auto"/>
        <w:tabs>
          <w:tab w:leader="none" w:pos="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Our convertible notes have a stated due date of August 2026. We reflected the principal repayment in 2011 due to the combination of put, call, and conversion options that are part of the terms of the convertible note agreement.</w:t>
      </w:r>
    </w:p>
    <w:p>
      <w:pPr>
        <w:spacing w:after="0" w:line="203" w:lineRule="exact"/>
        <w:rPr>
          <w:rFonts w:ascii="Arial" w:cs="Arial" w:eastAsia="Arial" w:hAnsi="Arial"/>
          <w:sz w:val="25"/>
          <w:szCs w:val="25"/>
          <w:color w:val="auto"/>
          <w:vertAlign w:val="superscript"/>
        </w:rPr>
      </w:pPr>
    </w:p>
    <w:p>
      <w:pPr>
        <w:jc w:val="both"/>
        <w:ind w:left="220" w:hanging="212"/>
        <w:spacing w:after="0" w:line="226" w:lineRule="auto"/>
        <w:tabs>
          <w:tab w:leader="none" w:pos="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203" w:lineRule="exact"/>
        <w:rPr>
          <w:rFonts w:ascii="Arial" w:cs="Arial" w:eastAsia="Arial" w:hAnsi="Arial"/>
          <w:sz w:val="25"/>
          <w:szCs w:val="25"/>
          <w:color w:val="auto"/>
          <w:vertAlign w:val="superscript"/>
        </w:rPr>
      </w:pPr>
    </w:p>
    <w:p>
      <w:pPr>
        <w:jc w:val="both"/>
        <w:ind w:left="220" w:hanging="212"/>
        <w:spacing w:after="0" w:line="268"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direct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2009 if the commitments were canceled.</w:t>
      </w:r>
    </w:p>
    <w:p>
      <w:pPr>
        <w:spacing w:after="0" w:line="181" w:lineRule="exact"/>
        <w:rPr>
          <w:rFonts w:ascii="Arial" w:cs="Arial" w:eastAsia="Arial" w:hAnsi="Arial"/>
          <w:sz w:val="22"/>
          <w:szCs w:val="22"/>
          <w:color w:val="auto"/>
          <w:vertAlign w:val="superscript"/>
        </w:rPr>
      </w:pPr>
    </w:p>
    <w:p>
      <w:pPr>
        <w:jc w:val="both"/>
        <w:ind w:left="220" w:hanging="212"/>
        <w:spacing w:after="0" w:line="232" w:lineRule="auto"/>
        <w:tabs>
          <w:tab w:leader="none" w:pos="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Other long-term liabilities consist of warranty obligations, estimated pension benefit payments, and other obligations. Estimated pension benefit payments include amounts through 2019. Noncurrent unrecognized tax benefits totaling $42.6 million recorded in other long-term liabilities, which include interest and penalties, are not included in the above contractual obligations and commitments table as we cannot reliably estimate the period of cash settlement with the respective taxing authorities.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credit facility, senior subordinated notes, and convertible senior subordinated notes, refer to Item 8: “Financial Statements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 Note 6: Debt” included in this Annual Report on Form 10-K.</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With the current economic environment and volatile foreign exchange rates, we took steps to strengthen our financial position. In addition to our </w:t>
      </w:r>
      <w:r>
        <w:rPr>
          <w:rFonts w:ascii="Arial" w:cs="Arial" w:eastAsia="Arial" w:hAnsi="Arial"/>
          <w:sz w:val="18"/>
          <w:szCs w:val="18"/>
          <w:i w:val="1"/>
          <w:iCs w:val="1"/>
          <w:color w:val="auto"/>
        </w:rPr>
        <w:t>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non-cash transactions </w:t>
      </w:r>
      <w:r>
        <w:rPr>
          <w:rFonts w:ascii="Arial" w:cs="Arial" w:eastAsia="Arial" w:hAnsi="Arial"/>
          <w:sz w:val="18"/>
          <w:szCs w:val="18"/>
          <w:color w:val="auto"/>
        </w:rPr>
        <w:t>discussed above, in April 2009, we amended our credit facility to adjust our maximum leverage ratio and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coverage ratio. The amendment also allows us to seek a $75 million increase to the $115 million multicurrency revolving line-of-credit without further amendment. The current lending participants may then choose to increase their level of participation or approve the participation of additional lenders. The revolver may also be increased beyond the $75 million with the approval of the majority of revolver banks, the issuing agents, the swingline lender, and the administrative agent. This option will provide further potential sources of liquidity to allow us to support the growth of our business. At December 31, 2009, there were no borrowings outstanding under the revolver, and $39.9 million was utilized by outstanding standby letters of credit, resulting in $75.1 million being available for additional borrowings.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Sources and Uses of Capital:</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description of our letters of credit and performance bonds, refer to Item 8: “Financial Statements and Supplementary Data, Note 12: Commitments and Contingencies” included in this Annual Report on Form 10-K. For a description of our funded and unfunded non-U.S. defined benefit pension plans and our expected 2010 contributions, refer to Item 8: “Financial Statements and Supplementary Data, Note 8: Defined Benefit Pension Plans” included in this Annual Report on Form 10-K.</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which represents current assets less current liabilities, was $282.5 million at December 31, 2009, compared with $293.3 million at December 31, 2008.</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to continue to expand our operations and grow our business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Item 1A: “Risk Factors” included in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Refer to Item 8: “Financial Statements and Supplementary Data, Note 12: Commitments and Contingencies” included in this Annual Report on Form 10-K.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elements, which require us to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A majority of our revenue is recognized when products are shipped to or received by a customer or when services are provided.</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values represent the estimated price charged when an item is sold separately.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 We review our fair values on an annual basis or more frequently if a significant trend is noted.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 Shipping and handling costs and incidental expenses billed to customers are recorded as revenue, with the associated cost charged to cost of revenues. We record sales, use, and value added taxes billed to our customers on a net basis.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Unearned revenue is recorded when a customer pays for products or services where the criteria for revenue recognition have not been met as of the balance sheet date. Unearned revenues relate primarily to professional services and software associated with our OpenWay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contracts, extended warranty, and prepaid post contract support. Unearned revenue is recognized when the applicable revenue recognition criteria are met. Deferred cost is recorded for products or services for which ownership (typically defined as title and risk of loss) has transferred to the customer, but for which the criteria for revenue recognition have not been met as of the balance sheet date. Deferred costs are recognized when the applicable revenue recognition criteria are met. Refer to Item 8: “Financial Statements and Supplementary Data, Note 1: Summary of Significant Accounting Policies” included in this Annual Report on Form 10-K for unearned revenue and deferred costs outstanding at December 31, 2009 and 2008.</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 income taxes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and changes in our valuation allowance. Significant judgment is required in determining our actual tax rate and in evaluating our tax positions. Changes in tax laws and unanticipated tax liabilities could significantly impact our actual tax rate and profitability. We assess the likelihood of recovering our deferred tax assets, which include net operating loss and credit carryforwards and temporary differences expected to be deductible in future years.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 is projected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Our Itron North America operating segment represents one reporting unit, while our Itron International operating segment has three reporting units.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Our 2009 annual goodwill impairment analysis did not result in an impairment charge as the fair value of each reporting unit exceeded its carrying value. The percentage by which the fair value of each reporting unit exceeded its carrying value and the amount of goodwill allocated to each reporting unit at October 1, 2009 was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17"/>
        </w:trPr>
        <w:tc>
          <w:tcPr>
            <w:tcW w:w="1020" w:type="dxa"/>
            <w:vAlign w:val="bottom"/>
            <w:tcBorders>
              <w:top w:val="single" w:sz="8" w:color="0000EE"/>
            </w:tcBorders>
          </w:tcPr>
          <w:p>
            <w:pPr>
              <w:spacing w:after="0"/>
              <w:rPr>
                <w:sz w:val="18"/>
                <w:szCs w:val="18"/>
                <w:color w:val="auto"/>
              </w:rPr>
            </w:pPr>
          </w:p>
        </w:tc>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October 1, 2009</w:t>
            </w:r>
          </w:p>
        </w:tc>
      </w:tr>
      <w:tr>
        <w:trPr>
          <w:trHeight w:val="198"/>
        </w:trPr>
        <w:tc>
          <w:tcPr>
            <w:tcW w:w="10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Fair Value</w:t>
            </w:r>
          </w:p>
        </w:tc>
      </w:tr>
      <w:tr>
        <w:trPr>
          <w:trHeight w:val="216"/>
        </w:trPr>
        <w:tc>
          <w:tcPr>
            <w:tcW w:w="10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Exceeded Carrying</w:t>
            </w:r>
          </w:p>
        </w:tc>
      </w:tr>
      <w:tr>
        <w:trPr>
          <w:trHeight w:val="241"/>
        </w:trPr>
        <w:tc>
          <w:tcPr>
            <w:tcW w:w="10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10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3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6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85%</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Itron International - Electricity</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379.7</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Itron International - Gas</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6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24%</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Itron International - Water</w:t>
            </w:r>
          </w:p>
        </w:tc>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4%</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Changes in market demand, the volatility and decline in the worldwide equity markets, and the decline in our market capitalization could negatively impact our annual goodwill impairment test, which could have a significant effect on our current and future results of operations and financial condition.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(also known as “Level 2”), as defined by Financial Accounting Standards Board (FASB) ASC 820-10-20,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Debt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Originally issued as FASB Staff Position (FSP) APB 14-1, </w:t>
      </w:r>
      <w:r>
        <w:rPr>
          <w:rFonts w:ascii="Arial" w:cs="Arial" w:eastAsia="Arial" w:hAnsi="Arial"/>
          <w:sz w:val="16"/>
          <w:szCs w:val="16"/>
          <w:i w:val="1"/>
          <w:iCs w:val="1"/>
          <w:color w:val="auto"/>
        </w:rPr>
        <w:t>Accounting for Convertible Debt Instruments That May Be Settled in Cash upon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(Including Partial Cash Settlement) </w:t>
      </w:r>
      <w:r>
        <w:rPr>
          <w:rFonts w:ascii="Arial" w:cs="Arial" w:eastAsia="Arial" w:hAnsi="Arial"/>
          <w:sz w:val="16"/>
          <w:szCs w:val="16"/>
          <w:color w:val="auto"/>
        </w:rPr>
        <w:t>(FSP 14-1), ASC 470-20 requires our convertible notes to be separated into its liability and equity components in a</w:t>
      </w:r>
      <w:r>
        <w:rPr>
          <w:rFonts w:ascii="Arial" w:cs="Arial" w:eastAsia="Arial" w:hAnsi="Arial"/>
          <w:sz w:val="16"/>
          <w:szCs w:val="16"/>
          <w:i w:val="1"/>
          <w:iCs w:val="1"/>
          <w:color w:val="auto"/>
        </w:rPr>
        <w:t xml:space="preserve"> </w:t>
      </w:r>
      <w:r>
        <w:rPr>
          <w:rFonts w:ascii="Arial" w:cs="Arial" w:eastAsia="Arial" w:hAnsi="Arial"/>
          <w:sz w:val="16"/>
          <w:szCs w:val="16"/>
          <w:color w:val="auto"/>
        </w:rPr>
        <w:t>manner that reflects our non-convertible debt borrowing rate, which we determined to be 7.38% at the time of the convertible notes issuance in August 2006. Upon derecognition of the convertible notes, we are required to remeasure the fair value of the liability and equity components using a borrowing rate for similar non-convertible debt that would be applicable to Itron at the date of the derecognition. Any increase or decrease in borrowing rates from the inception of the debt to the date of derecognition could result in a gain or loss, respectively, on extinguishment. Based on market conditions and our credit rating at the date of derecognition, the borrowing rate could be materially different from the rate determined at the inception of the convertible debt.</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net of tax, the actuarial gains or losses and prior service costs or credits, if any, that arise during the period but are not recognized as components of net periodic benefit cost.</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consist of 95% of our benefit obligation, we match the plans’ expected future benefit payments against select bonds (bonds with market values that exceed €500 million, have a maturity greater than one year with no special features, and have a spread between the bid and ask prices of less than 5% of the average bid and ask prices).The yield curve derived for the euro denominated plans was 5.5%. The weighted average discount rate used to measure the projected benefit obligation for all of the plans as of December 31, 2009 was 5.6%. A change of 25 basis points in the discount rate would change our pension benefit obligation by approximately $75 million. The financial and actuarial assumptions used at December 31, 2009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other comprehensive income in the period in which they occur.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Refer to Item 8: “Financial Statements and Supplementary Data, Note 8: Defined Benefit Pension Plans” included in this Annual Report on Form 10-K for our expected contributions for 2010.</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issued pursuant to our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In valuing our stock-based awards, significant judgment is required in determining the expected volatility of our common stock and the expected life that individuals will hold their stock-based awards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stock-based awards,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restricted and unrestricted stock awards and units,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adjusted for estimated forfeitures, using the straight-line method over the vesting requirement. Our excess tax benefit cannot be credited to common stock until the deduction reduces cash taxes payable. When we have tax deductions in excess of the compensation cost, they are classified as financing cash inflows in the Consolidated Statements of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8: “Financial Statements and Supplementary Data, Note 1: Summary of Significant Accounting Policies” included in this Annual Report on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trading or speculative purposes.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December 31, 2009. Including the effect of our interest rate swaps at December 31, 2009, 85% of our borrowings are at fixed rates. Weighted average variable rates in the table are based on implied forward rates in the Bloomberg U.S. dollar yield curve as of December 31, 2009, our estimated leverage ratio, which determines our additional interest rate margin, and a static foreign exchange rate at December 31, 2009.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Beyond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Fixed Rate Debt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(in millions)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Principal: Convertible notes </w:t>
            </w:r>
            <w:r>
              <w:rPr>
                <w:rFonts w:ascii="Arial" w:cs="Arial" w:eastAsia="Arial" w:hAnsi="Arial"/>
                <w:sz w:val="25"/>
                <w:szCs w:val="25"/>
                <w:color w:val="auto"/>
                <w:vertAlign w:val="superscript"/>
              </w:rPr>
              <w:t>(1)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rate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i w:val="1"/>
                <w:iCs w:val="1"/>
                <w:color w:val="auto"/>
              </w:rPr>
              <w:t>Variable Rate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Principal: U.S. dollar term loan</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Average interest rate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Principal: Euro term loan</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7"/>
              </w:rPr>
              <w:t xml:space="preserve">Interest rate swaps on U.S. dollar term loan </w:t>
            </w:r>
            <w:r>
              <w:rPr>
                <w:rFonts w:ascii="Arial" w:cs="Arial" w:eastAsia="Arial" w:hAnsi="Arial"/>
                <w:sz w:val="25"/>
                <w:szCs w:val="25"/>
                <w:color w:val="auto"/>
                <w:w w:val="97"/>
                <w:vertAlign w:val="superscript"/>
              </w:rPr>
              <w:t>(2)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Average interest rate (Pay)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(Receive)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Net/Spread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Interest rate swap on euro term loan </w:t>
            </w:r>
            <w:r>
              <w:rPr>
                <w:rFonts w:ascii="Arial" w:cs="Arial" w:eastAsia="Arial" w:hAnsi="Arial"/>
                <w:sz w:val="25"/>
                <w:szCs w:val="25"/>
                <w:color w:val="auto"/>
                <w:vertAlign w:val="superscript"/>
              </w:rPr>
              <w:t>(3)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(Pay)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Average interest rate (Receive)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Net/Spread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60" w:hanging="240"/>
        <w:spacing w:after="0"/>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face value of our convertible notes is $223.6 million, while the carrying value is $208.2 million. (Refer to Item 8: “Financial Statements and</w:t>
      </w:r>
    </w:p>
    <w:p>
      <w:pPr>
        <w:spacing w:after="0" w:line="1" w:lineRule="exact"/>
        <w:rPr>
          <w:rFonts w:ascii="Arial" w:cs="Arial" w:eastAsia="Arial" w:hAnsi="Arial"/>
          <w:sz w:val="24"/>
          <w:szCs w:val="24"/>
          <w:color w:val="auto"/>
          <w:vertAlign w:val="superscript"/>
        </w:rPr>
      </w:pPr>
    </w:p>
    <w:p>
      <w:pPr>
        <w:jc w:val="both"/>
        <w:ind w:left="660"/>
        <w:spacing w:after="0" w:line="273" w:lineRule="auto"/>
        <w:rPr>
          <w:rFonts w:ascii="Arial" w:cs="Arial" w:eastAsia="Arial" w:hAnsi="Arial"/>
          <w:sz w:val="24"/>
          <w:szCs w:val="24"/>
          <w:color w:val="auto"/>
          <w:vertAlign w:val="superscript"/>
        </w:rPr>
      </w:pPr>
      <w:r>
        <w:rPr>
          <w:rFonts w:ascii="Arial" w:cs="Arial" w:eastAsia="Arial" w:hAnsi="Arial"/>
          <w:sz w:val="17"/>
          <w:szCs w:val="17"/>
          <w:color w:val="auto"/>
        </w:rPr>
        <w:t>Supplementary Data, Note 6: Debt” included in this Annual Report on Form 10-K for a summary of our convertible note terms and a reconciliation between the face and carrying values). Our convertible notes mature in August 2026. We are amortizing the remaining $15.4 million discount on the liability component of the convertible notes over the next 18 months and have reflected the principal repayment in 2011 due to the combination of put, call, and conversion options that are part of the terms of the convertible note agreement.</w:t>
      </w:r>
    </w:p>
    <w:p>
      <w:pPr>
        <w:spacing w:after="0" w:line="202" w:lineRule="exact"/>
        <w:rPr>
          <w:rFonts w:ascii="Arial" w:cs="Arial" w:eastAsia="Arial" w:hAnsi="Arial"/>
          <w:sz w:val="24"/>
          <w:szCs w:val="24"/>
          <w:color w:val="auto"/>
          <w:vertAlign w:val="superscript"/>
        </w:rPr>
      </w:pPr>
    </w:p>
    <w:p>
      <w:pPr>
        <w:jc w:val="both"/>
        <w:ind w:left="660" w:hanging="240"/>
        <w:spacing w:after="0" w:line="262"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one-year interest rate swaps are used to convert $200 million of our $284.7 million U.S. dollar denominated variable rate term loan from a floating LIBOR interest rate, plus the applicable margin, to a fixed interest rate, plus the applicable margin (refer to Item 8: “Financial Statements and Supplementary Data, Note 7: Derivative Financial Instruments and Hedging Activities” included in this Annual Report on Form 10-K).</w:t>
      </w:r>
    </w:p>
    <w:p>
      <w:pPr>
        <w:spacing w:after="0" w:line="213" w:lineRule="exact"/>
        <w:rPr>
          <w:rFonts w:ascii="Arial" w:cs="Arial" w:eastAsia="Arial" w:hAnsi="Arial"/>
          <w:sz w:val="22"/>
          <w:szCs w:val="22"/>
          <w:color w:val="auto"/>
          <w:vertAlign w:val="superscript"/>
        </w:rPr>
      </w:pPr>
    </w:p>
    <w:p>
      <w:pPr>
        <w:jc w:val="both"/>
        <w:ind w:left="660" w:hanging="240"/>
        <w:spacing w:after="0" w:line="250"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amortizing euro denominated interest rate swap is used to convert $252.9 million (€175.8 million) of our $288.9 million (€200.8 million) euro denominated variable rate term loan from a floating Euro Interbank Offered Rate (EURIBOR), plus the applicable margin, to a fixed interest rate of 6.59%, through December 31, 2012, plus or minus the variance in the applicable margin from 2%. As a result of the amortization schedule, the interest rate swap will terminate before the stated maturity of the term loan (refer to Item 8: “Financial Statements and Supplementary Data, Note 7: Derivative Financial Instruments and Hedging Activities” included in this Annual Report on Form 10-K).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a sensitivity analysis as of December 31, 2009, we estimate that if market interest rates averaged one percentage point higher in 2010 than in the table above, our earnings before income taxes in 2010 would not be materially impacted due to our interest rate swaps in place at December 31, 2009.</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 business in a number of countries. As a result, the majority of our revenues and operating expenses are denominated in foreign currencies; therefore, we face exposure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International revenues were 64%, 66%, and 59% of total revenues for the years ended December 31, 2009, 2008, and 2007, respectively.</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acquisition of an international company, we entered into a euro denominated term loan in 2007, which exposes us to fluctuations in the euro foreign exchange rate. Therefore,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other comprehensive income. We had no hedge ineffectiveness. (Refer to Item 8: “Financial Statements and Supplementary Data, Note 7: Derivative Financial Instruments and Hedging Activities” included in this Annual Report on Form 10-K).</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 end, foreign currency monetary assets and liabilities are revalued with the change recorded to other income and expense. In 2008, we began entering into monthly foreign exchange forward contracts, not designated for hedge accounting, with the intent to reduce earnings volatility associated with certain of these balances. During 2009, the notional amount of our outstanding forward contracts ranged from less than $1 million to $60 million offsetting our exposures primarily from the euro, British pound, Canadian dollar, Czech koruna, and Hungarian forint.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financial position, results of operations, and cash flows in conformity with U.S. generally accepted accounting principles. Management has included in our financial statements amounts based on estimates and judgments that it believes are reasonable under the circumstances.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Ernst &amp; Young LLP to review internal control, auditing, and financial reporting matters.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Malcolm Unsworth</w:t>
            </w:r>
          </w:p>
        </w:tc>
        <w:tc>
          <w:tcPr>
            <w:tcW w:w="7240" w:type="dxa"/>
            <w:vAlign w:val="bottom"/>
          </w:tcPr>
          <w:p>
            <w:pPr>
              <w:ind w:left="1520"/>
              <w:spacing w:after="0"/>
              <w:rPr>
                <w:sz w:val="20"/>
                <w:szCs w:val="20"/>
                <w:color w:val="auto"/>
              </w:rPr>
            </w:pPr>
            <w:r>
              <w:rPr>
                <w:rFonts w:ascii="Arial" w:cs="Arial" w:eastAsia="Arial" w:hAnsi="Arial"/>
                <w:sz w:val="18"/>
                <w:szCs w:val="18"/>
                <w:color w:val="auto"/>
              </w:rPr>
              <w:t>Steven M. Helmbrecht</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7240" w:type="dxa"/>
            <w:vAlign w:val="bottom"/>
          </w:tcPr>
          <w:p>
            <w:pPr>
              <w:ind w:left="1520"/>
              <w:spacing w:after="0"/>
              <w:rPr>
                <w:sz w:val="20"/>
                <w:szCs w:val="20"/>
                <w:color w:val="auto"/>
              </w:rPr>
            </w:pPr>
            <w:r>
              <w:rPr>
                <w:rFonts w:ascii="Arial" w:cs="Arial" w:eastAsia="Arial" w:hAnsi="Arial"/>
                <w:sz w:val="18"/>
                <w:szCs w:val="18"/>
                <w:color w:val="auto"/>
              </w:rPr>
              <w:t>Sr. Vice President and Chief Financial Officer</w:t>
            </w:r>
          </w:p>
        </w:tc>
      </w:tr>
      <w:tr>
        <w:trPr>
          <w:trHeight w:val="702"/>
        </w:trPr>
        <w:tc>
          <w:tcPr>
            <w:tcW w:w="4180" w:type="dxa"/>
            <w:vAlign w:val="bottom"/>
          </w:tcPr>
          <w:p>
            <w:pPr>
              <w:spacing w:after="0"/>
              <w:rPr>
                <w:sz w:val="24"/>
                <w:szCs w:val="24"/>
                <w:color w:val="auto"/>
              </w:rPr>
            </w:pPr>
          </w:p>
        </w:tc>
        <w:tc>
          <w:tcPr>
            <w:tcW w:w="7240" w:type="dxa"/>
            <w:vAlign w:val="bottom"/>
          </w:tcPr>
          <w:p>
            <w:pPr>
              <w:jc w:val="right"/>
              <w:ind w:right="5530"/>
              <w:spacing w:after="0"/>
              <w:rPr>
                <w:sz w:val="20"/>
                <w:szCs w:val="20"/>
                <w:color w:val="auto"/>
              </w:rPr>
            </w:pPr>
            <w:r>
              <w:rPr>
                <w:rFonts w:ascii="Arial" w:cs="Arial" w:eastAsia="Arial" w:hAnsi="Arial"/>
                <w:sz w:val="18"/>
                <w:szCs w:val="18"/>
                <w:color w:val="auto"/>
              </w:rPr>
              <w:t>34</w:t>
            </w:r>
          </w:p>
        </w:tc>
      </w:tr>
      <w:tr>
        <w:trPr>
          <w:trHeight w:val="118"/>
        </w:trPr>
        <w:tc>
          <w:tcPr>
            <w:tcW w:w="4180" w:type="dxa"/>
            <w:vAlign w:val="bottom"/>
            <w:tcBorders>
              <w:bottom w:val="single" w:sz="8" w:color="808080"/>
            </w:tcBorders>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Shareholders of Itron, Inc.</w:t>
      </w:r>
    </w:p>
    <w:p>
      <w:pPr>
        <w:spacing w:after="0" w:line="25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We have audited the accompanying consolidated balance sheets of Itron, Inc. as of December 31, 2009 and 2008, and the related consolidated statements of operations, shareholders' equity, and cash flows for each of the three years in the period ended December 31, 2009.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Itron, Inc. at December 31, 2009 and 2008, and the consolidated results of its operations and its cash flows for each of the three years in the period ended December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discussed in Note 1 to the consolidated financial statements, in 2009 the Company retrospectively changed its method of accounting for its convertible debt upon the adoption of Financial Accounting Standards Board ASC Topic 470-20.</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Itron, Inc.’s internal control over financial reporting as of December 31, 2009, based on criteria established in Internal Control-Integrated Framework issued by the Committee of Sponsoring Organizations of the Treadway Commission and our report dated February 24, 2010 expressed an unqualified opinion thereon.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February 24, 2010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1,687,447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1,909,613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1,464,048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1,149,991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976,761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537,456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152,405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167,457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122,314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119,137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492,429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(70,311)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(94,177)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(91,101)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(91,240)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43,825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Earnings (loss) per common share-Basic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38,539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33,096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vMerge w:val="restart"/>
          </w:tcPr>
          <w:p>
            <w:pPr>
              <w:ind w:left="40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2260" w:type="dxa"/>
            <w:vAlign w:val="bottom"/>
            <w:gridSpan w:val="6"/>
          </w:tcPr>
          <w:p>
            <w:pPr>
              <w:ind w:left="4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121,893</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337,948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Deferred tax assets current, net</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20,762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75,229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top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725,916</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318,217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tax assets noncurrent, net</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89,932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388,212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1,305,599</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2,854,621</w:t>
            </w:r>
          </w:p>
        </w:tc>
        <w:tc>
          <w:tcPr>
            <w:tcW w:w="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219,255</w:t>
            </w:r>
          </w:p>
        </w:tc>
        <w:tc>
          <w:tcPr>
            <w:tcW w:w="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64,583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71,592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payable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14,377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10,871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warranty</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20,941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40,140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tax liabilities current,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443,384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770,893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12,932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Pension plan benefits</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63,040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80,695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noncurrent obligations</w:t>
            </w:r>
          </w:p>
        </w:tc>
        <w:tc>
          <w:tcPr>
            <w:tcW w:w="24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83,163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1,454,107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Preferred stock, no par value, 10 million shares authorized,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 shares issued or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Common stock, no par value, 75 million shares authorized,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40,142,924 and 34,486,318 shares issued and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net</w:t>
            </w:r>
          </w:p>
        </w:tc>
        <w:tc>
          <w:tcPr>
            <w:tcW w:w="2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4"/>
              </w:rPr>
              <w:t>71,130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30,250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Cumulative effect of change in accounting principle (Note 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1,400,514</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2,854,621</w:t>
            </w:r>
          </w:p>
        </w:tc>
        <w:tc>
          <w:tcPr>
            <w:tcW w:w="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Comprehensive</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Retained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392,195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38,376</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432,159</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(22,851)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(22,851)</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net of</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income tax benefit of $755</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147,654</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147,654</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unrealized loss on derivative instruments, designated as</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cash flow hedges, net of income tax benefit of $653</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(1,062)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(1,062)</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unrealized loss on nonderivative hedging instrument,</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net of income tax benefit of $15,644</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(25,460)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(25,460)</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hedging gain reclassified into net income,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net of income tax benefit of $12</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(19)</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Pension plan benefits liability adjustment,</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net of income tax provision of $1,653</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3,967</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3,967</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comprehensive income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102,229</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Cumulative effect of a change in accounting principle</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adoption of FSP 14-1, net of income tax provision of $1,804</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(2,837)</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(2,837)</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Stock issues: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Options exercised</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20,136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20,136</w:t>
            </w: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Employee stock plans income tax benefits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(389)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(389)</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Issuance of stock-based compensation awards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304</w:t>
            </w: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Employee stock purchase plan</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2,315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2,315</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11,352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11,352</w:t>
            </w:r>
          </w:p>
        </w:tc>
      </w:tr>
      <w:tr>
        <w:trPr>
          <w:trHeight w:val="183"/>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Issuance of common stock</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4,087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225,166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225,166</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Balances at December 31, 2007</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30,636</w:t>
            </w:r>
          </w:p>
        </w:tc>
        <w:tc>
          <w:tcPr>
            <w:tcW w:w="2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651,079</w:t>
            </w:r>
          </w:p>
        </w:tc>
        <w:tc>
          <w:tcPr>
            <w:tcW w:w="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126,668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12,688</w:t>
            </w:r>
          </w:p>
        </w:tc>
        <w:tc>
          <w:tcPr>
            <w:tcW w:w="2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790,435</w:t>
            </w:r>
          </w:p>
        </w:tc>
      </w:tr>
      <w:tr>
        <w:trPr>
          <w:trHeight w:val="169"/>
        </w:trPr>
        <w:tc>
          <w:tcPr>
            <w:tcW w:w="20" w:type="dxa"/>
            <w:vAlign w:val="bottom"/>
          </w:tcPr>
          <w:p>
            <w:pPr>
              <w:spacing w:after="0"/>
              <w:rPr>
                <w:sz w:val="14"/>
                <w:szCs w:val="14"/>
                <w:color w:val="auto"/>
              </w:rPr>
            </w:pPr>
          </w:p>
        </w:tc>
        <w:tc>
          <w:tcPr>
            <w:tcW w:w="5140" w:type="dxa"/>
            <w:vAlign w:val="bottom"/>
            <w:tcBorders>
              <w:top w:val="single" w:sz="8" w:color="CCEEFF"/>
            </w:tcBorders>
          </w:tcPr>
          <w:p>
            <w:pPr>
              <w:spacing w:after="0" w:line="170" w:lineRule="exact"/>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19,811</w:t>
            </w: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19,811</w:t>
            </w:r>
          </w:p>
        </w:tc>
        <w:tc>
          <w:tcPr>
            <w:tcW w:w="100" w:type="dxa"/>
            <w:vAlign w:val="bottom"/>
            <w:tcBorders>
              <w:top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net of</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income tax benefit of $10,740</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(92,069)</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(92,069)</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unrealized loss on derivative instruments, designated as</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cash flow hedges, net of income tax benefit of $5,736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(9,239)</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(9,239)</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unrealized gain on nonderivative hedging instrument,</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net of income tax provision of $3,875</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6,485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6,485</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hedging gain reclassified into net income,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net of income tax benefit of $296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(477)</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(477)</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Pension plan benefits liability adjustment,</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net of income tax provision of $1,164</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2,725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2,725</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comprehensive loss</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(72,764)</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Stock issues: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Options exercised</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10,822</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10,822</w:t>
            </w: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Issuance of stock-based compensation awards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269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269</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Employee stock purchase plan</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2,629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2,629</w:t>
            </w: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Stock-based compensation expense</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16,313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16,313</w:t>
            </w: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Issuance of common stock</w:t>
            </w: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3,399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311,072</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311,072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Balances at December 31, 2008</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34,486</w:t>
            </w:r>
          </w:p>
        </w:tc>
        <w:tc>
          <w:tcPr>
            <w:tcW w:w="2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992,184</w:t>
            </w:r>
          </w:p>
        </w:tc>
        <w:tc>
          <w:tcPr>
            <w:tcW w:w="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34,093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32,499</w:t>
            </w:r>
          </w:p>
        </w:tc>
        <w:tc>
          <w:tcPr>
            <w:tcW w:w="2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1,058,776</w:t>
            </w: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Foreign currency translation adjustment, net of</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(2,249)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(2,249)</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income tax provision of $6,714</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40,992</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40,992</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Net unrealized loss on derivative instruments, designated as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cash flow hedges, net of income tax benefit of $4,247</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(6,776)</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(6,776)</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Net unrealized loss on nonderivative hedging instrument,</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net of income tax benefit of $1,502</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(2,364)</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(2,364)</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Net hedging loss reclassified into net income,</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net of income tax provision of $5,363</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8,612</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8,612</w:t>
            </w:r>
          </w:p>
        </w:tc>
      </w:tr>
      <w:tr>
        <w:trPr>
          <w:trHeight w:val="176"/>
        </w:trPr>
        <w:tc>
          <w:tcPr>
            <w:tcW w:w="20" w:type="dxa"/>
            <w:vAlign w:val="bottom"/>
          </w:tcPr>
          <w:p>
            <w:pPr>
              <w:spacing w:after="0"/>
              <w:rPr>
                <w:sz w:val="15"/>
                <w:szCs w:val="15"/>
                <w:color w:val="auto"/>
              </w:rPr>
            </w:pPr>
          </w:p>
        </w:tc>
        <w:tc>
          <w:tcPr>
            <w:tcW w:w="5140" w:type="dxa"/>
            <w:vAlign w:val="bottom"/>
          </w:tcPr>
          <w:p>
            <w:pPr>
              <w:spacing w:after="0" w:line="176" w:lineRule="exact"/>
              <w:rPr>
                <w:sz w:val="20"/>
                <w:szCs w:val="20"/>
                <w:color w:val="auto"/>
              </w:rPr>
            </w:pPr>
            <w:r>
              <w:rPr>
                <w:rFonts w:ascii="Arial" w:cs="Arial" w:eastAsia="Arial" w:hAnsi="Arial"/>
                <w:sz w:val="18"/>
                <w:szCs w:val="18"/>
                <w:color w:val="auto"/>
              </w:rPr>
              <w:t>Pension plan benefits liability adjustment,</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net of income tax benefit of $1,106</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(3,427)</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(3,427)</w:t>
            </w:r>
          </w:p>
        </w:tc>
      </w:tr>
      <w:tr>
        <w:trPr>
          <w:trHeight w:val="176"/>
        </w:trPr>
        <w:tc>
          <w:tcPr>
            <w:tcW w:w="20" w:type="dxa"/>
            <w:vAlign w:val="bottom"/>
          </w:tcPr>
          <w:p>
            <w:pPr>
              <w:spacing w:after="0"/>
              <w:rPr>
                <w:sz w:val="15"/>
                <w:szCs w:val="15"/>
                <w:color w:val="auto"/>
              </w:rPr>
            </w:pPr>
          </w:p>
        </w:tc>
        <w:tc>
          <w:tcPr>
            <w:tcW w:w="5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 comprehensive income</w:t>
            </w:r>
          </w:p>
        </w:tc>
        <w:tc>
          <w:tcPr>
            <w:tcW w:w="1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34,788</w:t>
            </w:r>
          </w:p>
        </w:tc>
        <w:tc>
          <w:tcPr>
            <w:tcW w:w="100" w:type="dxa"/>
            <w:vAlign w:val="bottom"/>
            <w:tcBorders>
              <w:top w:val="single" w:sz="8" w:color="CCEEFF"/>
            </w:tcBorders>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issues:</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Options exercised</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3,168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3,168</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Issuance of stock-based compensation awards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254</w:t>
            </w: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Employee stock purchase plan</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2,934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2,934</w:t>
            </w:r>
          </w:p>
        </w:tc>
      </w:tr>
      <w:tr>
        <w:trPr>
          <w:trHeight w:val="176"/>
        </w:trPr>
        <w:tc>
          <w:tcPr>
            <w:tcW w:w="20" w:type="dxa"/>
            <w:vAlign w:val="bottom"/>
          </w:tcPr>
          <w:p>
            <w:pPr>
              <w:spacing w:after="0"/>
              <w:rPr>
                <w:sz w:val="15"/>
                <w:szCs w:val="15"/>
                <w:color w:val="auto"/>
              </w:rPr>
            </w:pPr>
          </w:p>
        </w:tc>
        <w:tc>
          <w:tcPr>
            <w:tcW w:w="5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16,728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16,728</w:t>
            </w:r>
          </w:p>
        </w:tc>
      </w:tr>
      <w:tr>
        <w:trPr>
          <w:trHeight w:val="176"/>
        </w:trPr>
        <w:tc>
          <w:tcPr>
            <w:tcW w:w="20" w:type="dxa"/>
            <w:vAlign w:val="bottom"/>
          </w:tcPr>
          <w:p>
            <w:pPr>
              <w:spacing w:after="0"/>
              <w:rPr>
                <w:sz w:val="15"/>
                <w:szCs w:val="15"/>
                <w:color w:val="auto"/>
              </w:rPr>
            </w:pPr>
          </w:p>
        </w:tc>
        <w:tc>
          <w:tcPr>
            <w:tcW w:w="5140" w:type="dxa"/>
            <w:vAlign w:val="bottom"/>
          </w:tcPr>
          <w:p>
            <w:pPr>
              <w:ind w:left="440"/>
              <w:spacing w:after="0" w:line="176" w:lineRule="exact"/>
              <w:rPr>
                <w:sz w:val="20"/>
                <w:szCs w:val="20"/>
                <w:color w:val="auto"/>
              </w:rPr>
            </w:pPr>
            <w:r>
              <w:rPr>
                <w:rFonts w:ascii="Arial" w:cs="Arial" w:eastAsia="Arial" w:hAnsi="Arial"/>
                <w:sz w:val="18"/>
                <w:szCs w:val="18"/>
                <w:color w:val="auto"/>
              </w:rPr>
              <w:t>Exchange of debt for common stock</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2,252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123,442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123,442</w:t>
            </w: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Issuance of common stock</w:t>
            </w: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3,163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160,424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160,424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Balances at December 31, 2009</w:t>
            </w:r>
          </w:p>
        </w:tc>
        <w:tc>
          <w:tcPr>
            <w:tcW w:w="1120" w:type="dxa"/>
            <w:vAlign w:val="bottom"/>
          </w:tcPr>
          <w:p>
            <w:pPr>
              <w:jc w:val="right"/>
              <w:spacing w:after="0"/>
              <w:rPr>
                <w:sz w:val="20"/>
                <w:szCs w:val="20"/>
                <w:color w:val="auto"/>
              </w:rPr>
            </w:pPr>
            <w:r>
              <w:rPr>
                <w:rFonts w:ascii="Arial" w:cs="Arial" w:eastAsia="Arial" w:hAnsi="Arial"/>
                <w:sz w:val="18"/>
                <w:szCs w:val="18"/>
                <w:color w:val="auto"/>
              </w:rPr>
              <w:t>40,143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1,299,134</w:t>
            </w:r>
          </w:p>
        </w:tc>
        <w:tc>
          <w:tcPr>
            <w:tcW w:w="8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71,130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30,250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1,400,514</w:t>
            </w: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4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155,737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173,673</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In-process research and development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16,982</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Amortization of prepaid debt fees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8,258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convertible debt discount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9,673</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Loss on extinguishment of debt,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9,960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taxes, net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(64,216)</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(43,317)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Other adjustments,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3,102</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19,864</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Accounts payables, other current liabilities, and taxes payable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(6,549)</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14,836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(5,273)</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Other operating,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(8,208)</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(21,416)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140,787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(52,906)</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(63,430)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(4,317)</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(6,897)</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(1,716,253)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net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(53,994)</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(67,075)</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(1,714,416)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Financing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1,159,023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Payments on debt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(275,796)</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(388,371)</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166,372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324,494</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Prepaid debt fees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(3,936)</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net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(114,121)</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(63,376)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1,310,360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4,831</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(10,293)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(22,497)</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52,402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144,390</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91,988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121,893</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0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Fixed assets purchased but not yet paid, net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3,719</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of debt (face value) for common stock (see Note 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120,984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Contingent consideration payable for previous acquisitions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during the period for:</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31,720</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26,377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net of amounts capitalized</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54,503</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72,304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on Form 10-K include the Consolidated Statements of Operations, Shareholders Equity, and Cash Flows for the years ended December 31, 2009, 2008, and 2007 and the Consolidated Balance Sheets as of December 31, 2009 and 2008 of Itron, Inc. and its subsidiaries.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Financial Accounting Standards Board (FASB)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(ASC), which became effective on July 1, 2009, is now the single source of authoritative generally accepted accounting principles (GAAP), along with additional guidance issued by the Securities and Exchange Commission (SEC). All other accounting literature is now considered non-authoritative. For new accounting pronouncements issued by the FASB prior to the effective date of the ASC, we continue to use the pre-ASC reference, e.g., FSP APB 14-1 or SFAS 167, for clarity, as the guidance in these recently released pronouncements is typically located in multiple subtopics and sections within the ASC. All other GAAP references in this Annual Report on Form 10-K are from the ASC.</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December 31, 2009, our investments in variable interest entities and noncontrolling interests were not material. Intercompany transactions and balances have been eliminated upon consolidation.</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18, 2007, we completed the acquisition of Actaris Metering Systems SA (Actaris), which is primarily reported within our Itron International operating segment. The operating results of this acquisition are included in our consolidated financial statements commencing on the date of the acquisition.</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 in Accounting Principle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January 1, 2009, we adopted FASB Staff Position (FSP)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(Including Partial Cash Settlement) </w:t>
      </w:r>
      <w:r>
        <w:rPr>
          <w:rFonts w:ascii="Arial" w:cs="Arial" w:eastAsia="Arial" w:hAnsi="Arial"/>
          <w:sz w:val="17"/>
          <w:szCs w:val="17"/>
          <w:color w:val="auto"/>
        </w:rPr>
        <w:t>(FSP 14-1). FSP 14-1 requires our convertible notes to be separated into its liability and equity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in a manner that reflects our non-convertible debt borrowing rate and must be applied retrospectively to all periods during which our convertible notes was outstanding. Our senior subordinated convertible notes (convertible notes) were issued in August 2006. Refer to Note 6 for further disclosure of the terms of the convertible notes and the adoption of FSP 14-1. (The guidance in FSP 14-1 is now embedded within ASC 470-20).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of FSP 14-1 on our results of operations, financial position, and cash flows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0"/>
              </w:rPr>
              <w:t>Year ended December 31, 2009</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Excluding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Impact of</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Impact of</w:t>
            </w:r>
          </w:p>
        </w:tc>
        <w:tc>
          <w:tcPr>
            <w:tcW w:w="0" w:type="dxa"/>
            <w:vAlign w:val="bottom"/>
          </w:tcPr>
          <w:p>
            <w:pPr>
              <w:spacing w:after="0"/>
              <w:rPr>
                <w:sz w:val="1"/>
                <w:szCs w:val="1"/>
                <w:color w:val="auto"/>
              </w:rPr>
            </w:pPr>
          </w:p>
        </w:tc>
      </w:tr>
      <w:tr>
        <w:trPr>
          <w:trHeight w:val="241"/>
        </w:trPr>
        <w:tc>
          <w:tcPr>
            <w:tcW w:w="4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As Reported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FSP 14-1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(70,311)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(60,638)</w:t>
            </w: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43,825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(3,708)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(loss) per common share - Basic</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Earnings (loss) per common share - Diluted</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445"/>
        </w:trPr>
        <w:tc>
          <w:tcPr>
            <w:tcW w:w="4580" w:type="dxa"/>
            <w:vAlign w:val="bottom"/>
          </w:tcPr>
          <w:p>
            <w:pPr>
              <w:spacing w:after="0"/>
              <w:rPr>
                <w:sz w:val="24"/>
                <w:szCs w:val="24"/>
                <w:color w:val="auto"/>
              </w:rPr>
            </w:pPr>
          </w:p>
        </w:tc>
        <w:tc>
          <w:tcPr>
            <w:tcW w:w="2980" w:type="dxa"/>
            <w:vAlign w:val="bottom"/>
          </w:tcPr>
          <w:p>
            <w:pPr>
              <w:jc w:val="right"/>
              <w:ind w:right="167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58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3640" w:type="dxa"/>
            <w:vAlign w:val="bottom"/>
            <w:gridSpan w:val="9"/>
            <w:vMerge w:val="restart"/>
          </w:tcPr>
          <w:p>
            <w:pPr>
              <w:jc w:val="center"/>
              <w:ind w:right="280"/>
              <w:spacing w:after="0"/>
              <w:rPr>
                <w:sz w:val="20"/>
                <w:szCs w:val="20"/>
                <w:color w:val="auto"/>
              </w:rPr>
            </w:pPr>
            <w:r>
              <w:rPr>
                <w:rFonts w:ascii="Arial" w:cs="Arial" w:eastAsia="Arial" w:hAnsi="Arial"/>
                <w:sz w:val="18"/>
                <w:szCs w:val="18"/>
                <w:b w:val="1"/>
                <w:bCs w:val="1"/>
                <w:color w:val="auto"/>
                <w:w w:val="89"/>
              </w:rPr>
              <w:t>Year ended December 31, 2008</w:t>
            </w:r>
          </w:p>
        </w:tc>
        <w:tc>
          <w:tcPr>
            <w:tcW w:w="140" w:type="dxa"/>
            <w:vAlign w:val="bottom"/>
          </w:tcPr>
          <w:p>
            <w:pPr>
              <w:spacing w:after="0"/>
              <w:rPr>
                <w:sz w:val="14"/>
                <w:szCs w:val="14"/>
                <w:color w:val="auto"/>
              </w:rPr>
            </w:pPr>
          </w:p>
        </w:tc>
        <w:tc>
          <w:tcPr>
            <w:tcW w:w="3580" w:type="dxa"/>
            <w:vAlign w:val="bottom"/>
            <w:gridSpan w:val="9"/>
            <w:vMerge w:val="restart"/>
          </w:tcPr>
          <w:p>
            <w:pPr>
              <w:jc w:val="center"/>
              <w:ind w:right="260"/>
              <w:spacing w:after="0"/>
              <w:rPr>
                <w:sz w:val="20"/>
                <w:szCs w:val="20"/>
                <w:color w:val="auto"/>
              </w:rPr>
            </w:pPr>
            <w:r>
              <w:rPr>
                <w:rFonts w:ascii="Arial" w:cs="Arial" w:eastAsia="Arial" w:hAnsi="Arial"/>
                <w:sz w:val="18"/>
                <w:szCs w:val="18"/>
                <w:b w:val="1"/>
                <w:bCs w:val="1"/>
                <w:color w:val="auto"/>
                <w:w w:val="89"/>
              </w:rPr>
              <w:t>Year ended December 31, 2007</w:t>
            </w:r>
          </w:p>
        </w:tc>
        <w:tc>
          <w:tcPr>
            <w:tcW w:w="0" w:type="dxa"/>
            <w:vAlign w:val="bottom"/>
          </w:tcPr>
          <w:p>
            <w:pPr>
              <w:spacing w:after="0"/>
              <w:rPr>
                <w:sz w:val="1"/>
                <w:szCs w:val="1"/>
                <w:color w:val="auto"/>
              </w:rPr>
            </w:pPr>
          </w:p>
        </w:tc>
      </w:tr>
      <w:tr>
        <w:trPr>
          <w:trHeight w:val="217"/>
        </w:trPr>
        <w:tc>
          <w:tcPr>
            <w:tcW w:w="1020" w:type="dxa"/>
            <w:vAlign w:val="bottom"/>
            <w:tcBorders>
              <w:top w:val="single" w:sz="8" w:color="0000EE"/>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9"/>
            <w:vMerge w:val="continue"/>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Upon</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Upon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As Previously</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Impact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Adoption of</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As Previously</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Impact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Reported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FSP 14-1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FSP 14-1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FSP 14-1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10"/>
          </w:tcPr>
          <w:p>
            <w:pPr>
              <w:jc w:val="right"/>
              <w:spacing w:after="0"/>
              <w:rPr>
                <w:sz w:val="20"/>
                <w:szCs w:val="20"/>
                <w:color w:val="auto"/>
              </w:rPr>
            </w:pPr>
            <w:r>
              <w:rPr>
                <w:rFonts w:ascii="Arial" w:cs="Arial" w:eastAsia="Arial" w:hAnsi="Arial"/>
                <w:sz w:val="18"/>
                <w:szCs w:val="18"/>
                <w:b w:val="1"/>
                <w:bCs w:val="1"/>
                <w:color w:val="auto"/>
              </w:rPr>
              <w:t>(in thousands, except per share 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(100,935)</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(2,984)</w:t>
            </w: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28,059</w:t>
            </w: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(8,248)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19,811</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(16,144)</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Earnings (loss) per common share-Basic</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(loss) per common share-Diluted</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11"/>
          </w:tcPr>
          <w:p>
            <w:pPr>
              <w:jc w:val="center"/>
              <w:ind w:left="190"/>
              <w:spacing w:after="0"/>
              <w:rPr>
                <w:sz w:val="20"/>
                <w:szCs w:val="20"/>
                <w:color w:val="auto"/>
              </w:rPr>
            </w:pPr>
            <w:r>
              <w:rPr>
                <w:rFonts w:ascii="Arial" w:cs="Arial" w:eastAsia="Arial" w:hAnsi="Arial"/>
                <w:sz w:val="18"/>
                <w:szCs w:val="18"/>
                <w:b w:val="1"/>
                <w:bCs w:val="1"/>
                <w:color w:val="auto"/>
                <w:w w:val="91"/>
              </w:rPr>
              <w:t>At December 31, 2008</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5"/>
          </w:tcPr>
          <w:p>
            <w:pPr>
              <w:ind w:left="60"/>
              <w:spacing w:after="0" w:line="198" w:lineRule="exact"/>
              <w:rPr>
                <w:sz w:val="20"/>
                <w:szCs w:val="20"/>
                <w:color w:val="auto"/>
              </w:rPr>
            </w:pPr>
            <w:r>
              <w:rPr>
                <w:rFonts w:ascii="Arial" w:cs="Arial" w:eastAsia="Arial" w:hAnsi="Arial"/>
                <w:sz w:val="18"/>
                <w:szCs w:val="18"/>
                <w:b w:val="1"/>
                <w:bCs w:val="1"/>
                <w:color w:val="auto"/>
                <w:w w:val="99"/>
              </w:rPr>
              <w:t>As Previously</w:t>
            </w:r>
          </w:p>
        </w:tc>
        <w:tc>
          <w:tcPr>
            <w:tcW w:w="1280" w:type="dxa"/>
            <w:vAlign w:val="bottom"/>
            <w:gridSpan w:val="5"/>
          </w:tcPr>
          <w:p>
            <w:pPr>
              <w:jc w:val="center"/>
              <w:ind w:right="100"/>
              <w:spacing w:after="0" w:line="198" w:lineRule="exact"/>
              <w:rPr>
                <w:sz w:val="20"/>
                <w:szCs w:val="20"/>
                <w:color w:val="auto"/>
              </w:rPr>
            </w:pPr>
            <w:r>
              <w:rPr>
                <w:rFonts w:ascii="Arial" w:cs="Arial" w:eastAsia="Arial" w:hAnsi="Arial"/>
                <w:sz w:val="18"/>
                <w:szCs w:val="18"/>
                <w:b w:val="1"/>
                <w:bCs w:val="1"/>
                <w:color w:val="auto"/>
                <w:w w:val="92"/>
              </w:rPr>
              <w:t>Impact of</w:t>
            </w:r>
          </w:p>
        </w:tc>
        <w:tc>
          <w:tcPr>
            <w:tcW w:w="1200" w:type="dxa"/>
            <w:vAlign w:val="bottom"/>
            <w:gridSpan w:val="5"/>
          </w:tcPr>
          <w:p>
            <w:pPr>
              <w:ind w:left="20"/>
              <w:spacing w:after="0" w:line="198" w:lineRule="exact"/>
              <w:rPr>
                <w:sz w:val="20"/>
                <w:szCs w:val="20"/>
                <w:color w:val="auto"/>
              </w:rPr>
            </w:pPr>
            <w:r>
              <w:rPr>
                <w:rFonts w:ascii="Arial" w:cs="Arial" w:eastAsia="Arial" w:hAnsi="Arial"/>
                <w:sz w:val="18"/>
                <w:szCs w:val="18"/>
                <w:b w:val="1"/>
                <w:bCs w:val="1"/>
                <w:color w:val="auto"/>
                <w:w w:val="89"/>
              </w:rPr>
              <w:t>Upon Adoption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Reported</w:t>
            </w:r>
          </w:p>
        </w:tc>
        <w:tc>
          <w:tcPr>
            <w:tcW w:w="12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7"/>
              </w:rPr>
              <w:t>of FSP 14-1</w:t>
            </w: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 noncurrent,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45,783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8"/>
                <w:szCs w:val="18"/>
                <w:color w:val="auto"/>
              </w:rPr>
              <w:t>1,179,249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(38,251)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951,007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Cumulative effect of change in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accounting principle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Year ended December 31, 2008</w:t>
            </w:r>
          </w:p>
        </w:tc>
        <w:tc>
          <w:tcPr>
            <w:tcW w:w="100" w:type="dxa"/>
            <w:vAlign w:val="bottom"/>
          </w:tcPr>
          <w:p>
            <w:pPr>
              <w:spacing w:after="0"/>
              <w:rPr>
                <w:sz w:val="24"/>
                <w:szCs w:val="24"/>
                <w:color w:val="auto"/>
              </w:rPr>
            </w:pPr>
          </w:p>
        </w:tc>
        <w:tc>
          <w:tcPr>
            <w:tcW w:w="3260" w:type="dxa"/>
            <w:vAlign w:val="bottom"/>
            <w:gridSpan w:val="14"/>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 2007</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As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Upon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left="50"/>
              <w:spacing w:after="0" w:line="198" w:lineRule="exact"/>
              <w:rPr>
                <w:sz w:val="20"/>
                <w:szCs w:val="20"/>
                <w:color w:val="auto"/>
              </w:rPr>
            </w:pPr>
            <w:r>
              <w:rPr>
                <w:rFonts w:ascii="Arial" w:cs="Arial" w:eastAsia="Arial" w:hAnsi="Arial"/>
                <w:sz w:val="18"/>
                <w:szCs w:val="18"/>
                <w:b w:val="1"/>
                <w:bCs w:val="1"/>
                <w:color w:val="auto"/>
                <w:w w:val="86"/>
              </w:rPr>
              <w:t>As</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Upon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Previously</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Impact of</w:t>
            </w:r>
          </w:p>
        </w:tc>
        <w:tc>
          <w:tcPr>
            <w:tcW w:w="20" w:type="dxa"/>
            <w:vAlign w:val="bottom"/>
          </w:tcPr>
          <w:p>
            <w:pPr>
              <w:spacing w:after="0"/>
              <w:rPr>
                <w:sz w:val="18"/>
                <w:szCs w:val="18"/>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Adoption of</w:t>
            </w:r>
          </w:p>
        </w:tc>
        <w:tc>
          <w:tcPr>
            <w:tcW w:w="100" w:type="dxa"/>
            <w:vAlign w:val="bottom"/>
          </w:tcPr>
          <w:p>
            <w:pPr>
              <w:spacing w:after="0"/>
              <w:rPr>
                <w:sz w:val="18"/>
                <w:szCs w:val="18"/>
                <w:color w:val="auto"/>
              </w:rPr>
            </w:pPr>
          </w:p>
        </w:tc>
        <w:tc>
          <w:tcPr>
            <w:tcW w:w="11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Previously</w:t>
            </w: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Impact of</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Adoption of</w:t>
            </w:r>
          </w:p>
        </w:tc>
        <w:tc>
          <w:tcPr>
            <w:tcW w:w="0" w:type="dxa"/>
            <w:vAlign w:val="bottom"/>
          </w:tcPr>
          <w:p>
            <w:pPr>
              <w:spacing w:after="0"/>
              <w:rPr>
                <w:sz w:val="1"/>
                <w:szCs w:val="1"/>
                <w:color w:val="auto"/>
              </w:rPr>
            </w:pPr>
          </w:p>
        </w:tc>
      </w:tr>
      <w:tr>
        <w:trPr>
          <w:trHeight w:val="241"/>
        </w:trPr>
        <w:tc>
          <w:tcPr>
            <w:tcW w:w="4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2"/>
              </w:rPr>
              <w:t>FSP 14-1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(16,144) $</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Adjustments to reconcile net income (loss) to</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500"/>
              <w:spacing w:after="0"/>
              <w:rPr>
                <w:sz w:val="20"/>
                <w:szCs w:val="20"/>
                <w:color w:val="auto"/>
              </w:rPr>
            </w:pPr>
            <w:r>
              <w:rPr>
                <w:rFonts w:ascii="Arial" w:cs="Arial" w:eastAsia="Arial" w:hAnsi="Arial"/>
                <w:sz w:val="18"/>
                <w:szCs w:val="18"/>
                <w:color w:val="auto"/>
              </w:rPr>
              <w:t>Amortization of convertible debt discount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13,442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10,970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10,970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(38,074)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(43,317)</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(36,762)</w:t>
            </w: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(41,025)</w:t>
            </w: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Other adjustments, net</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0"/>
                <w:szCs w:val="20"/>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GAAP.</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(OCI) and are recognized in earnings when the hedged item affects earnings. If the derivative is a net investment hedge, the effective portion of any unrealized gain or loss is reported in accumulated OCI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 Refer to Note 7 and Note 13 for further disclosures of our derivative instruments and their impact on other comprehensive income (loss).</w:t>
      </w:r>
    </w:p>
    <w:p>
      <w:pPr>
        <w:sectPr>
          <w:pgSz w:w="11900" w:h="16838" w:orient="portrait"/>
          <w:cols w:equalWidth="0" w:num="1">
            <w:col w:w="11420"/>
          </w:cols>
          <w:pgMar w:left="240" w:top="114"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improvements and three to five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had no assets held for sale at December 31, 2009 and 2008.</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 results of operations are also included as of the date of acquisition in the consolidated results. Intangible assets that arise from contractual/legal rights, or are capable of being separated, as well as in-process research and development (IPR&amp;D), are measured and recorded at fair value.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We will capitalize any future IPR&amp;D as an intangible asset and amortize the balance over its estimated useful life (prior to January 1, 2009, we expensed acquired IPR&amp;D in accordance with U.S. GAAP in effect at that time). The residual balance of the purchase price, after fair value allocations to all identified assets and liabilities, represents goodwill. Acquisition-related costs will be expensed as incurred. Restructuring costs are generally expensed in periods subsequent to the acquisition date, and changes in deferred tax asset valuation allowances and acquired income tax uncertainties after the measurement period are recognized as a component of provision for income taxes.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and intangible assets have resulted from our acquisitions. We use estimates in determining and assigning the fair value of goodwill and intangible assets,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Goodwill is tested for impairment as of October 1 of each year, or more frequently if a significant impairment indicator occurs. 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our reporting units.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Changes in these factors and related estimates could materially affect our financial position and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net of tax, the actuarial gains or losses and prior service costs or credits, if any, that arise during the period but that are not recognized as components of net periodic benefit cost.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vendor-specific objective evidence (VSOE)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that is not contingent upon the delivery/performance of additional items.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Unearned revenue is recorded when a customer pays for products or services where the criteria for revenue recognition have not been met as of the balance sheet date. Unearned revenues of $45.4 million and $29.4 million at December 31, 2009 and 2008 related primarily to professional services and software associated with our OpenWay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contracts, extended warranty, and prepaid post contract support. Unearned revenue is recognized when the applicable revenue recognition criteria are met. Deferred cost is recorded for products or services for which ownership (typically defined as title and risk of loss) has transferred to the customer, but for which the criteria for revenue recognition have not been met as of the balance sheet date. Deferred costs are recognized when the applicable revenue recognition criteria are met. Deferred costs were $19.7 million and $11.0 million at December 31, 2009 and 2008.</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issued pursuant to our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adjusted for estimated forfeitures, using the straight-line method over the vesting requirement. Our excess tax benefits cannot be credited to common stock until the deduction reduces cash taxes payable. When we have tax deductions in excess of the compensation cost, they are classified as financing cash inflows in the Consolidated Statements of Cash Flows.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on Extinguishment of Debt, Net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partial or full redemption of our borrowings, we recognize a gain or loss for the difference between the cash paid and the net carrying amount of the debt. Included in the net carrying amount is any unamortized premium or discount from the original issuance of the debt. Due to the particular characteristics of our convertible notes, upon conversion or derecognition of our convertible notes, we recognize a gain or loss for the difference between the fair value of the consideration transferred to the holder that is allocated to the liability component, which is equal to the fair value of the liability component immediately prior to extinguishment, and the net carrying amount of the liability component (including any unamortized discount and debt issuance costs).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using the asset and liability method of accounting. Deferred tax assets and liabilities are recognized based upon anticipated future tax consequences attributable to the differences between the financial statement carrying amounts of existing assets and liabilities and their respective income tax bases, and operating loss and tax credit carryforwards in each of the jurisdictions in which we operate.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income in the period that includes the enactment date. A valuation allowance is recorded to reduce the carrying amounts of deferred tax assets if it is more likely than not that such assets will not be realized. We do not record tax liabilities on undistributed earnings of international subsidiaries that are permanently reinvested.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We classify interest expense and penalties related to uncertain tax positions and interest income on tax overpayments as part of income tax expense.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Gains and losses that arise from exchange rate fluctuations for monetary asset and liability balances that are not denominated in an entity’s functional currency are included in the Consolidated Statements of Operations. Currency gains and losses of intercompany balances deemed to be long-term in nature or designated as a hedge of the net investment in international subsidiaries are included, net of tax, in accumulated other comprehensive income in shareholders’ equity. Revenues and expenses for these subsidiaries are translated to U.S. dollars using a weighted average rate for the relevant reporting period. Translation adjustments resulting from this process are included, net of tax, in accumulated other comprehensive income in shareholders’ equity.</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For fair value measurements using Level 3 inputs, a reconciliation of the beginning and ending balances is typically required.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Change in Accounting Principle</w:t>
      </w:r>
      <w:r>
        <w:rPr>
          <w:rFonts w:ascii="Arial" w:cs="Arial" w:eastAsia="Arial" w:hAnsi="Arial"/>
          <w:sz w:val="18"/>
          <w:szCs w:val="18"/>
          <w:color w:val="auto"/>
        </w:rPr>
        <w:t xml:space="preserve"> for the impact of the adoption of FSP 14-1.</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2009, the FASB issued Statement of Financial Accounting Standards (SFAS)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This Statement requires an enterprise to perform additional analyses to assess variable interest entities (VIE’s) and the enterprise’s involvement with these entities, as well provide additional disclosures. We adopted SFAS 167 on January 1, 2010, and it did not have a material impact on our consolidated financial statements. (The guidance in SFAS 167 is now embedded within ASC 810.)</w:t>
      </w:r>
    </w:p>
    <w:p>
      <w:pPr>
        <w:spacing w:after="0" w:line="2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October 2009, the FASB issued Accounting Standards Update (ASU) No. 2009-13, </w:t>
      </w:r>
      <w:r>
        <w:rPr>
          <w:rFonts w:ascii="Arial" w:cs="Arial" w:eastAsia="Arial" w:hAnsi="Arial"/>
          <w:sz w:val="16"/>
          <w:szCs w:val="16"/>
          <w:i w:val="1"/>
          <w:iCs w:val="1"/>
          <w:color w:val="auto"/>
        </w:rPr>
        <w:t>Revenue Recognition (Topic 605) – Multiple-Deliverable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 (a consensus of the FASB Emerging Issues Tax Force</w:t>
      </w:r>
      <w:r>
        <w:rPr>
          <w:rFonts w:ascii="Arial" w:cs="Arial" w:eastAsia="Arial" w:hAnsi="Arial"/>
          <w:sz w:val="16"/>
          <w:szCs w:val="16"/>
          <w:color w:val="auto"/>
        </w:rPr>
        <w:t>) (ASU 2009-13). The objective of ASU 2009-13 is to address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multiple-deliverable arrangements (previously known as EITF 00-21) to enable vendors to account for more products or services separately rather than as a combined unit. The hierarchy for establishing a selling price has been increased and consists of the following: (1) vendor specific objective evidence (VSOE), if available, (2) third party evidence (TPE), if VSOE is not available, and (3) estimated selling price, if VSOE and TPE are not available. The amendments in ASU 2009-13 will also (1) replace the term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with </w:t>
      </w:r>
      <w:r>
        <w:rPr>
          <w:rFonts w:ascii="Arial" w:cs="Arial" w:eastAsia="Arial" w:hAnsi="Arial"/>
          <w:sz w:val="16"/>
          <w:szCs w:val="16"/>
          <w:i w:val="1"/>
          <w:iCs w:val="1"/>
          <w:color w:val="auto"/>
        </w:rPr>
        <w:t>selling price</w:t>
      </w:r>
      <w:r>
        <w:rPr>
          <w:rFonts w:ascii="Arial" w:cs="Arial" w:eastAsia="Arial" w:hAnsi="Arial"/>
          <w:sz w:val="16"/>
          <w:szCs w:val="16"/>
          <w:color w:val="auto"/>
        </w:rPr>
        <w:t xml:space="preserve"> to clarify that the allocation of revenue is based on entity-specific assumptions rather than assumptions of a market-place participant; and (2) eliminate the residual value method of allocation and require that arrangement consideration be allocated at the inception of the arrangement to all deliverables using the relative selling price method. ASU 2009-13 also requires additional disclosures about an entity’s multiple-deliverable contracts. ASU 2009-13 is effective on January 1, 2011, with early adoption permitted. We adopted this guidance on January 1, 2010, on a prospective basis. We do not expect ASU 2009-13 to have a material impact on our consolidated financial statements.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Concurrent with the issuance of ASU 2009-13, the FASB issued ASU No. 2009-14, Software (Topic 985), </w:t>
      </w:r>
      <w:r>
        <w:rPr>
          <w:rFonts w:ascii="Arial" w:cs="Arial" w:eastAsia="Arial" w:hAnsi="Arial"/>
          <w:sz w:val="17"/>
          <w:szCs w:val="17"/>
          <w:i w:val="1"/>
          <w:iCs w:val="1"/>
          <w:color w:val="auto"/>
        </w:rPr>
        <w:t>Certain Revenue Arrangements That Include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Elements (a consensus of the FASB Emerging Issues Task Force) </w:t>
      </w:r>
      <w:r>
        <w:rPr>
          <w:rFonts w:ascii="Arial" w:cs="Arial" w:eastAsia="Arial" w:hAnsi="Arial"/>
          <w:sz w:val="17"/>
          <w:szCs w:val="17"/>
          <w:color w:val="auto"/>
        </w:rPr>
        <w:t>(ASU 2009-14). ASU 2009-14 affects revenue arrangements that include both</w:t>
      </w:r>
      <w:r>
        <w:rPr>
          <w:rFonts w:ascii="Arial" w:cs="Arial" w:eastAsia="Arial" w:hAnsi="Arial"/>
          <w:sz w:val="17"/>
          <w:szCs w:val="17"/>
          <w:i w:val="1"/>
          <w:iCs w:val="1"/>
          <w:color w:val="auto"/>
        </w:rPr>
        <w:t xml:space="preserve"> </w:t>
      </w:r>
      <w:r>
        <w:rPr>
          <w:rFonts w:ascii="Arial" w:cs="Arial" w:eastAsia="Arial" w:hAnsi="Arial"/>
          <w:sz w:val="17"/>
          <w:szCs w:val="17"/>
          <w:color w:val="auto"/>
        </w:rPr>
        <w:t>tangible products and software elements, and it provides a scope exception from software revenue recognition guidance in ASC 985-605 (previously known as SOP 97-2) for tangible products containing software and non-software components that function together to deliver the tangible product’s essential functionality. Revenue arrangements that are affected by this guidance will still be subject to the disclosure requirements of ASU 2009-13, as applicable. ASU 2009-14 is effective on January 1, 2011, with early adoption permitted. We adopted this guidance on January 1, 2010, on a prospective basis. ASU 2009-14 may impact the timing of revenue for our tangible hardware products sold under new arrangements.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75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Note 2:  Earnings Per Share and Capital Structure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80" w:type="dxa"/>
            <w:vAlign w:val="bottom"/>
            <w:gridSpan w:val="3"/>
          </w:tcPr>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2008</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38,539</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Dilutive effect of convertible notes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Dilutive effect of stock-based awards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38,539</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34,951</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Common Stock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2009, we completed exchanges with certain holders of our convertible notes in which we issued, in the aggregate, approximately 2.3 million shares of common stock valued at $132.9 million, in exchange for, in the aggregate, $121.0 million principal amount of the convertible notes. See Note 6 for a further discussion.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On June 3, 2009, we completed a public offering of approximately 3.2 million shares of common stock for net proceeds of $160.4 million.</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 for 2009 and 2007, there was no dilutive effect to the weighted average common shares outstanding. Approximately 1.0 million, 283,000, and 998,500 stock-based awards were excluded from the calculation of diluted EPS for the years ended December 31, 2009, 2008, and 2007, respectively, because they were anti-dilutive. These stock-based awards could be dilutive in future periods.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the amount of shares it would take to satisfy the conversion obligation, assuming that all of the convertible notes are converted. The average closing prices of our common stock for the years ended December 31, 2009, 2008, and 2007 were used as the basis for determining the dilutive effect on EPS. The average price of our common stock for the years ended December 31, 2009 and 2007 did not exceed the conversion price of $65.16 and, therefore, did not have an effect on diluted EPS. The average price of our common stock for the year ended December 31, 2008 exceeded the conversion price of $65.16 and therefore, approximately 1.2 million shares have been included in the diluted EPS calculation.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as set by the Board of Directors. There was no preferred stock sold or outstanding at December 31, 2009, 2008 and 2007.</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89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900" w:type="dxa"/>
            <w:vAlign w:val="bottom"/>
            <w:gridSpan w:val="2"/>
          </w:tcPr>
          <w:p>
            <w:pPr>
              <w:ind w:left="120"/>
              <w:spacing w:after="0"/>
              <w:rPr>
                <w:sz w:val="20"/>
                <w:szCs w:val="20"/>
                <w:color w:val="auto"/>
              </w:rPr>
            </w:pPr>
            <w:r>
              <w:rPr>
                <w:rFonts w:ascii="Arial" w:cs="Arial" w:eastAsia="Arial" w:hAnsi="Arial"/>
                <w:sz w:val="18"/>
                <w:szCs w:val="18"/>
                <w:i w:val="1"/>
                <w:iCs w:val="1"/>
                <w:color w:val="auto"/>
              </w:rPr>
              <w:t>Accounts receivable, net</w:t>
            </w:r>
          </w:p>
        </w:tc>
        <w:tc>
          <w:tcPr>
            <w:tcW w:w="140" w:type="dxa"/>
            <w:vAlign w:val="bottom"/>
          </w:tcPr>
          <w:p>
            <w:pPr>
              <w:spacing w:after="0"/>
              <w:rPr>
                <w:sz w:val="24"/>
                <w:szCs w:val="24"/>
                <w:color w:val="auto"/>
              </w:rPr>
            </w:pPr>
          </w:p>
        </w:tc>
        <w:tc>
          <w:tcPr>
            <w:tcW w:w="2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receivables (net of allowance of $6,339 and $5,954)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319,237</w:t>
            </w: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18,711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accounts receivable,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337,948</w:t>
            </w: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3"/>
          </w:tcPr>
          <w:p>
            <w:pPr>
              <w:spacing w:after="0"/>
              <w:rPr>
                <w:sz w:val="20"/>
                <w:szCs w:val="20"/>
                <w:color w:val="auto"/>
              </w:rPr>
            </w:pPr>
            <w:r>
              <w:rPr>
                <w:rFonts w:ascii="Arial" w:cs="Arial" w:eastAsia="Arial" w:hAnsi="Arial"/>
                <w:sz w:val="18"/>
                <w:szCs w:val="18"/>
                <w:color w:val="auto"/>
              </w:rPr>
              <w:t>A summary of the allowance for doubtful accounts activity is as follows: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5,954</w:t>
            </w: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Actaris acquisition opening balance/adjustments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(release of) doubtful accounts, net</w:t>
            </w: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Accounts written off</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Effects of change in exchange rates</w:t>
            </w: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9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6,339</w:t>
            </w: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900" w:type="dxa"/>
            <w:vAlign w:val="bottom"/>
            <w:gridSpan w:val="2"/>
          </w:tcPr>
          <w:p>
            <w:pPr>
              <w:ind w:left="120"/>
              <w:spacing w:after="0"/>
              <w:rPr>
                <w:sz w:val="20"/>
                <w:szCs w:val="20"/>
                <w:color w:val="auto"/>
              </w:rPr>
            </w:pPr>
            <w:r>
              <w:rPr>
                <w:rFonts w:ascii="Arial" w:cs="Arial" w:eastAsia="Arial" w:hAnsi="Arial"/>
                <w:sz w:val="18"/>
                <w:szCs w:val="18"/>
                <w:i w:val="1"/>
                <w:iCs w:val="1"/>
                <w:color w:val="auto"/>
              </w:rPr>
              <w:t>Inventories</w:t>
            </w:r>
          </w:p>
        </w:tc>
        <w:tc>
          <w:tcPr>
            <w:tcW w:w="140" w:type="dxa"/>
            <w:vAlign w:val="bottom"/>
          </w:tcPr>
          <w:p>
            <w:pPr>
              <w:spacing w:after="0"/>
              <w:rPr>
                <w:sz w:val="24"/>
                <w:szCs w:val="24"/>
                <w:color w:val="auto"/>
              </w:rPr>
            </w:pPr>
          </w:p>
        </w:tc>
        <w:tc>
          <w:tcPr>
            <w:tcW w:w="2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85,358</w:t>
            </w: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17,668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67,058</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9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00"/>
              <w:spacing w:after="0"/>
              <w:rPr>
                <w:sz w:val="20"/>
                <w:szCs w:val="20"/>
                <w:color w:val="auto"/>
              </w:rPr>
            </w:pPr>
            <w:r>
              <w:rPr>
                <w:rFonts w:ascii="Arial" w:cs="Arial" w:eastAsia="Arial" w:hAnsi="Arial"/>
                <w:sz w:val="18"/>
                <w:szCs w:val="18"/>
                <w:color w:val="auto"/>
              </w:rPr>
              <w:t>Total inventories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170,084</w:t>
            </w: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inventory levels may vary period to period as a result of our factory scheduling and timing of contract fulfillments.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Consigned inventory is held at third-party locations; however, we retain title to the inventory until purchased by the third-party. Consigned inventory, consisting of raw materials and finished goods, was $10.6 million and $19.1 million at December 31, 2009 and 2008,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00" w:type="dxa"/>
            <w:vAlign w:val="bottom"/>
          </w:tcPr>
          <w:p>
            <w:pPr>
              <w:ind w:left="140"/>
              <w:spacing w:after="0"/>
              <w:rPr>
                <w:sz w:val="20"/>
                <w:szCs w:val="20"/>
                <w:color w:val="auto"/>
              </w:rPr>
            </w:pPr>
            <w:r>
              <w:rPr>
                <w:rFonts w:ascii="Arial" w:cs="Arial" w:eastAsia="Arial" w:hAnsi="Arial"/>
                <w:sz w:val="18"/>
                <w:szCs w:val="18"/>
                <w:i w:val="1"/>
                <w:iCs w:val="1"/>
                <w:color w:val="auto"/>
              </w:rPr>
              <w:t>Property, plant, and equipment, net</w:t>
            </w:r>
          </w:p>
        </w:tc>
        <w:tc>
          <w:tcPr>
            <w:tcW w:w="240" w:type="dxa"/>
            <w:vAlign w:val="bottom"/>
          </w:tcPr>
          <w:p>
            <w:pPr>
              <w:spacing w:after="0"/>
              <w:rPr>
                <w:sz w:val="20"/>
                <w:szCs w:val="20"/>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8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243,652</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195,677</w:t>
            </w: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66,787</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58,505</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144,639</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132,195</w:t>
            </w: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37,738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33,702</w:t>
            </w:r>
          </w:p>
        </w:tc>
      </w:tr>
      <w:tr>
        <w:trPr>
          <w:trHeight w:val="223"/>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including purchased equipment</w:t>
            </w: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22,009</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30,632</w:t>
            </w:r>
          </w:p>
        </w:tc>
      </w:tr>
      <w:tr>
        <w:trPr>
          <w:trHeight w:val="216"/>
        </w:trPr>
        <w:tc>
          <w:tcPr>
            <w:tcW w:w="890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Total cost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514,825</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450,711</w:t>
            </w:r>
          </w:p>
        </w:tc>
        <w:tc>
          <w:tcPr>
            <w:tcW w:w="120" w:type="dxa"/>
            <w:vAlign w:val="bottom"/>
            <w:tcBorders>
              <w:top w:val="single" w:sz="8" w:color="CCEEFF"/>
            </w:tcBorders>
          </w:tcPr>
          <w:p>
            <w:pPr>
              <w:spacing w:after="0"/>
              <w:rPr>
                <w:sz w:val="18"/>
                <w:szCs w:val="18"/>
                <w:color w:val="auto"/>
              </w:rPr>
            </w:pPr>
          </w:p>
        </w:tc>
      </w:tr>
      <w:tr>
        <w:trPr>
          <w:trHeight w:val="216"/>
        </w:trPr>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(196,608)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(142,994)</w:t>
            </w:r>
          </w:p>
        </w:tc>
      </w:tr>
      <w:tr>
        <w:trPr>
          <w:trHeight w:val="27"/>
        </w:trPr>
        <w:tc>
          <w:tcPr>
            <w:tcW w:w="8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89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318,217</w:t>
            </w:r>
          </w:p>
        </w:tc>
        <w:tc>
          <w:tcPr>
            <w:tcW w:w="1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307,717</w:t>
            </w:r>
          </w:p>
        </w:tc>
        <w:tc>
          <w:tcPr>
            <w:tcW w:w="120" w:type="dxa"/>
            <w:vAlign w:val="bottom"/>
          </w:tcPr>
          <w:p>
            <w:pPr>
              <w:spacing w:after="0"/>
              <w:rPr>
                <w:sz w:val="18"/>
                <w:szCs w:val="18"/>
                <w:color w:val="auto"/>
              </w:rPr>
            </w:pPr>
          </w:p>
        </w:tc>
      </w:tr>
      <w:tr>
        <w:trPr>
          <w:trHeight w:val="21"/>
        </w:trPr>
        <w:tc>
          <w:tcPr>
            <w:tcW w:w="8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$57.2 million, $53.3 million, and $42.2 million for the years ended December 31, 2009, 2008, and 2007, respectively. Capitalized interest was $293,000, $187,000, and $6,000 for the years ended December 31, 2009, 2008, and 2007,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90"/>
              </w:rPr>
              <w:t>At December 31, 2009</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rPr>
              <w:t>At December 31, 2008</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jc w:val="right"/>
              <w:ind w:right="200"/>
              <w:spacing w:after="0" w:line="198" w:lineRule="exact"/>
              <w:rPr>
                <w:sz w:val="20"/>
                <w:szCs w:val="20"/>
                <w:color w:val="auto"/>
              </w:rPr>
            </w:pPr>
            <w:r>
              <w:rPr>
                <w:rFonts w:ascii="Arial" w:cs="Arial" w:eastAsia="Arial" w:hAnsi="Arial"/>
                <w:sz w:val="18"/>
                <w:szCs w:val="18"/>
                <w:b w:val="1"/>
                <w:bCs w:val="1"/>
                <w:color w:val="auto"/>
                <w:w w:val="97"/>
              </w:rPr>
              <w:t>Accumulated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Gross Assets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2"/>
              </w:rPr>
              <w:t>Gross Assets</w:t>
            </w:r>
          </w:p>
        </w:tc>
        <w:tc>
          <w:tcPr>
            <w:tcW w:w="10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ind w:left="44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398,043</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(244,545)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394,912</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(188,953)</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Customer contracts and relationships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(92,187)</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213,874</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299,928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(56,966)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242,962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77,439</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(57,957)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(23,355)</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24,630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(22,580)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806,256</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(418,044)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388,212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796,236</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(314,350)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481,886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80" w:type="dxa"/>
            <w:vAlign w:val="bottom"/>
            <w:gridSpan w:val="4"/>
          </w:tcPr>
          <w:p>
            <w:pPr>
              <w:spacing w:after="0"/>
              <w:rPr>
                <w:sz w:val="20"/>
                <w:szCs w:val="20"/>
                <w:color w:val="auto"/>
              </w:rPr>
            </w:pPr>
            <w:r>
              <w:rPr>
                <w:rFonts w:ascii="Arial" w:cs="Arial" w:eastAsia="Arial" w:hAnsi="Arial"/>
                <w:sz w:val="18"/>
                <w:szCs w:val="18"/>
                <w:color w:val="auto"/>
                <w:w w:val="91"/>
              </w:rPr>
              <w:t>A summary of the intangible asset account activity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9"/>
              </w:rPr>
              <w:t>Beginning balance, intangible assets, gross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796,236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Adjustment of previous acquisitions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Ending balance, intangible assets, gross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806,256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796,236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2008, intangible assets were adjusted by $70.0 million based on our completion of the fair value assessment associated with the Actaris acquisition in 2007.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are recorded in the functional currency of our international subsidiaries; therefore, the carrying amount increases or decreases, with a corresponding change in accumulated other comprehensive income, due to changes in foreign currency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9"/>
          </w:tcPr>
          <w:p>
            <w:pPr>
              <w:jc w:val="center"/>
              <w:ind w:right="92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5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98.6 $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r>
      <w:tr>
        <w:trPr>
          <w:trHeight w:val="459"/>
        </w:trPr>
        <w:tc>
          <w:tcPr>
            <w:tcW w:w="594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5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Annual</w:t>
            </w:r>
          </w:p>
        </w:tc>
      </w:tr>
      <w:tr>
        <w:trPr>
          <w:trHeight w:val="241"/>
        </w:trPr>
        <w:tc>
          <w:tcPr>
            <w:tcW w:w="59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59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2011</w:t>
            </w: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62,777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2013</w:t>
            </w: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39,352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Beyond 2014</w:t>
            </w: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131,829</w:t>
            </w:r>
          </w:p>
        </w:tc>
        <w:tc>
          <w:tcPr>
            <w:tcW w:w="100" w:type="dxa"/>
            <w:vAlign w:val="bottom"/>
          </w:tcPr>
          <w:p>
            <w:pPr>
              <w:spacing w:after="0"/>
              <w:rPr>
                <w:sz w:val="19"/>
                <w:szCs w:val="19"/>
                <w:color w:val="auto"/>
              </w:rPr>
            </w:pPr>
          </w:p>
        </w:tc>
      </w:tr>
      <w:tr>
        <w:trPr>
          <w:trHeight w:val="237"/>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16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388,212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Itron North</w:t>
            </w:r>
          </w:p>
        </w:tc>
        <w:tc>
          <w:tcPr>
            <w:tcW w:w="24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Itron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America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International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Company</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1,080,264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Adjustment of previous acquisitions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59,067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60,362</w:t>
            </w:r>
          </w:p>
        </w:tc>
      </w:tr>
      <w:tr>
        <w:trPr>
          <w:trHeight w:val="223"/>
        </w:trPr>
        <w:tc>
          <w:tcPr>
            <w:tcW w:w="20" w:type="dxa"/>
            <w:vAlign w:val="bottom"/>
          </w:tcPr>
          <w:p>
            <w:pPr>
              <w:spacing w:after="0"/>
              <w:rPr>
                <w:sz w:val="19"/>
                <w:szCs w:val="19"/>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(2,628)</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(40,642)</w:t>
            </w:r>
          </w:p>
        </w:tc>
      </w:tr>
      <w:tr>
        <w:trPr>
          <w:trHeight w:val="216"/>
        </w:trPr>
        <w:tc>
          <w:tcPr>
            <w:tcW w:w="20" w:type="dxa"/>
            <w:vAlign w:val="bottom"/>
          </w:tcPr>
          <w:p>
            <w:pPr>
              <w:spacing w:after="0"/>
              <w:rPr>
                <w:sz w:val="18"/>
                <w:szCs w:val="18"/>
                <w:color w:val="auto"/>
              </w:rPr>
            </w:pPr>
          </w:p>
        </w:tc>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Goodwill balance at December 31, 2008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184,536</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7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1,101,317</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1,285,853</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Adjustment of previous acquisitions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Goodwill balance at December 31, 2009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188,472</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1,117,127</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1,305,599</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2009, we realigned our management reporting and geographic reporting structure between our International and North America operations. Itron North America now includes sales of gas and water meters in North America, which were previously part of Itron International. The allocation of goodwill to our reporting units is based on our current segment reporting structure; therefore we have reallocated $57.5 million between the operating segments. Historical segment information has been restated from the segment information previously provided to conform to our current segment reporting structure after the realignment.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2009, $2.1 million of contingent consideration was paid in association with two acquisitions in 2006, which is reflected as </w:t>
      </w:r>
      <w:r>
        <w:rPr>
          <w:rFonts w:ascii="Arial" w:cs="Arial" w:eastAsia="Arial" w:hAnsi="Arial"/>
          <w:sz w:val="18"/>
          <w:szCs w:val="18"/>
          <w:i w:val="1"/>
          <w:iCs w:val="1"/>
          <w:color w:val="auto"/>
        </w:rPr>
        <w:t>adjustment of previous</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2008, the </w:t>
      </w:r>
      <w:r>
        <w:rPr>
          <w:rFonts w:ascii="Arial" w:cs="Arial" w:eastAsia="Arial" w:hAnsi="Arial"/>
          <w:sz w:val="18"/>
          <w:szCs w:val="18"/>
          <w:i w:val="1"/>
          <w:iCs w:val="1"/>
          <w:color w:val="auto"/>
        </w:rPr>
        <w:t>adjustment of previous acquisitions</w:t>
      </w:r>
      <w:r>
        <w:rPr>
          <w:rFonts w:ascii="Arial" w:cs="Arial" w:eastAsia="Arial" w:hAnsi="Arial"/>
          <w:sz w:val="18"/>
          <w:szCs w:val="18"/>
          <w:color w:val="auto"/>
        </w:rPr>
        <w:t xml:space="preserve"> for our Itron International Operating Segment represents an adjustment to goodwill associated with the 2007 Actaris acquisition based on our final determination of fair values of certain assets acquired and liabilities assumed. Within our Itron North America Operating Segment, for each of our 2006 acquisitions, during 2008 certain conditions as outlined in the purchase agreements were met, resulting in contingent consideration payable to the shareholders of the respective acquisitions.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900" w:type="dxa"/>
            <w:vAlign w:val="bottom"/>
          </w:tcPr>
          <w:p>
            <w:pPr>
              <w:spacing w:after="0"/>
              <w:rPr>
                <w:sz w:val="20"/>
                <w:szCs w:val="20"/>
                <w:color w:val="auto"/>
              </w:rPr>
            </w:pPr>
            <w:r>
              <w:rPr>
                <w:rFonts w:ascii="Arial" w:cs="Arial" w:eastAsia="Arial" w:hAnsi="Arial"/>
                <w:sz w:val="18"/>
                <w:szCs w:val="18"/>
                <w:color w:val="auto"/>
              </w:rPr>
              <w:t>The components of our borrowings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8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USD denominated term loan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284,693</w:t>
            </w:r>
          </w:p>
        </w:tc>
        <w:tc>
          <w:tcPr>
            <w:tcW w:w="1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375,744</w:t>
            </w: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 denominated term loan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360,494</w:t>
            </w: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306,337</w:t>
            </w:r>
          </w:p>
        </w:tc>
        <w:tc>
          <w:tcPr>
            <w:tcW w:w="120" w:type="dxa"/>
            <w:vAlign w:val="bottom"/>
          </w:tcPr>
          <w:p>
            <w:pPr>
              <w:spacing w:after="0"/>
              <w:rPr>
                <w:sz w:val="18"/>
                <w:szCs w:val="18"/>
                <w:color w:val="auto"/>
              </w:rPr>
            </w:pPr>
          </w:p>
        </w:tc>
      </w:tr>
      <w:tr>
        <w:trPr>
          <w:trHeight w:val="223"/>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781,764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1,151,767</w:t>
            </w: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(10,769)</w:t>
            </w:r>
          </w:p>
        </w:tc>
      </w:tr>
      <w:tr>
        <w:trPr>
          <w:trHeight w:val="27"/>
        </w:trPr>
        <w:tc>
          <w:tcPr>
            <w:tcW w:w="8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770,893</w:t>
            </w:r>
          </w:p>
        </w:tc>
        <w:tc>
          <w:tcPr>
            <w:tcW w:w="1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1,140,998</w:t>
            </w:r>
          </w:p>
        </w:tc>
        <w:tc>
          <w:tcPr>
            <w:tcW w:w="120" w:type="dxa"/>
            <w:vAlign w:val="bottom"/>
          </w:tcPr>
          <w:p>
            <w:pPr>
              <w:spacing w:after="0"/>
              <w:rPr>
                <w:sz w:val="18"/>
                <w:szCs w:val="18"/>
                <w:color w:val="auto"/>
              </w:rPr>
            </w:pPr>
          </w:p>
        </w:tc>
      </w:tr>
      <w:tr>
        <w:trPr>
          <w:trHeight w:val="21"/>
        </w:trPr>
        <w:tc>
          <w:tcPr>
            <w:tcW w:w="8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2007 Actaris acquisition was financed in part by a $1.2 billion credit facility. The credit facility, dated April 18, 2007, was composed of the following:</w:t>
      </w:r>
    </w:p>
    <w:p>
      <w:pPr>
        <w:spacing w:after="0" w:line="249" w:lineRule="exact"/>
        <w:rPr>
          <w:sz w:val="20"/>
          <w:szCs w:val="20"/>
          <w:color w:val="auto"/>
        </w:rPr>
      </w:pPr>
    </w:p>
    <w:p>
      <w:pPr>
        <w:ind w:left="660" w:hanging="18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$605.1 million first lien U.S. dollar denominated term loan;</w:t>
      </w:r>
    </w:p>
    <w:p>
      <w:pPr>
        <w:spacing w:after="0" w:line="23" w:lineRule="exact"/>
        <w:rPr>
          <w:rFonts w:ascii="Arial" w:cs="Arial" w:eastAsia="Arial" w:hAnsi="Arial"/>
          <w:sz w:val="18"/>
          <w:szCs w:val="18"/>
          <w:color w:val="auto"/>
        </w:rPr>
      </w:pPr>
    </w:p>
    <w:p>
      <w:pPr>
        <w:ind w:left="660" w:hanging="18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€335 million first lien euro denominated term loan;</w:t>
      </w:r>
    </w:p>
    <w:p>
      <w:pPr>
        <w:spacing w:after="0" w:line="9" w:lineRule="exact"/>
        <w:rPr>
          <w:rFonts w:ascii="Arial" w:cs="Arial" w:eastAsia="Arial" w:hAnsi="Arial"/>
          <w:sz w:val="18"/>
          <w:szCs w:val="18"/>
          <w:color w:val="auto"/>
        </w:rPr>
      </w:pPr>
    </w:p>
    <w:p>
      <w:pPr>
        <w:ind w:left="660" w:hanging="18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 million first lien pound sterling denominated term loan; and</w:t>
      </w:r>
    </w:p>
    <w:p>
      <w:pPr>
        <w:spacing w:after="0" w:line="9" w:lineRule="exact"/>
        <w:rPr>
          <w:rFonts w:ascii="Arial" w:cs="Arial" w:eastAsia="Arial" w:hAnsi="Arial"/>
          <w:sz w:val="18"/>
          <w:szCs w:val="18"/>
          <w:color w:val="auto"/>
        </w:rPr>
      </w:pPr>
    </w:p>
    <w:p>
      <w:pPr>
        <w:ind w:left="660" w:hanging="18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$115 million multicurrency revolving line-of-credit (revolver).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loan balances denominated in currencies other than the U.S. dollar fluctuate due to currency exchange rates. The principal balance of our euro denominated term loan at December 31, 2009 and 2008 was €200.8 million and €254.1 million, respectively. Interest rates on the credit facility are based on the respective borrowing’s denominated London Interbank Offered Rate (LIBOR) or the Wells Fargo Bank, National Association’s prime rate, plus an additional margin subject to our consolidated leverage ratio. The additional interest rate margin was 3.75% at December 31, 2009 and 1.75% at December 31, 2008. Our interest rates were 3.99% for the U.S. dollar denominated and 4.49% for the euro denominated term loans at December 31, 2009.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The credit facility is secured by substantially all of the assets of Itron, Inc. and our U.S. domestic operating subsidiaries and includes covenants, which contain certain financial ratios and place restrictions on the incurrence of debt, the payment of dividends, certain investments, incurrence of capital expenditures above a set limit, and mergers.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24, 2009, we amended our credit facility to adjust the maximum total leverage ratio and the minimum interest coverage ratio thresholds to increase operational flexibility. The amendment also allows us to seek a $75 million increase to the $115 million multicurrency revolving line-of-credit without further amendment. The current lending participants may then choose to increase their level of participation or approve the participation of additional lenders. The revolver may also be increased beyond the $75 million with the approval of the majority of revolver banks, the issuing agents, the swingline lender and the administrative agent. Prepaid debt fees of approximately $3.7 million were capitalized for the amendment and legal and advisory fees of $1.5 million were expensed as the amendment did not substantially modify the original terms of the loan. At December 31, 2009, we were in compliance with the debt covenants under the credit facility.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2009, there were no borrowings outstanding under the revolver and $39.9 million was utilized by outstanding standby letters of credit resulting in $75.1 million being available for additional borrowings.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repaid $166.5 million, $372.7 million, and $76.1 million of the term loans during 2009, 2008, and 2007, respectively. These repayments were made with cash flows from operations and the sale of our common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2004, we issued $125 million of 7.75% senior subordinated notes (subordinated notes), which were discounted to a price of 99.265 to yield 7.875% and were due in May 2012. During 2008, we reacquired $15.4 million in principal value of the subordinated notes. In 2009, we paid $113.2 million, including accrued interest of $1.5 million, to redeem all of the subordinated notes. The subordinated notes had a remaining principal value of $109.6 million. We redeemed the notes at 101.938% of the principal amount, and recognized a loss on extinguishment of $2.5 million, which included the remaining unamortized debt discount of $336,000. Unamortized prepaid debt fees of $2.0 million were recorded to interest expense.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are met or events occur,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w:t>
      </w:r>
    </w:p>
    <w:p>
      <w:pPr>
        <w:spacing w:after="0" w:line="170" w:lineRule="exact"/>
        <w:rPr>
          <w:sz w:val="20"/>
          <w:szCs w:val="20"/>
          <w:color w:val="auto"/>
        </w:rPr>
      </w:pPr>
    </w:p>
    <w:p>
      <w:pPr>
        <w:ind w:left="660" w:hanging="184"/>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1" w:lineRule="exact"/>
        <w:rPr>
          <w:rFonts w:ascii="Arial" w:cs="Arial" w:eastAsia="Arial" w:hAnsi="Arial"/>
          <w:sz w:val="18"/>
          <w:szCs w:val="18"/>
          <w:color w:val="auto"/>
        </w:rPr>
      </w:pPr>
    </w:p>
    <w:p>
      <w:pPr>
        <w:ind w:left="660" w:hanging="18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660" w:right="20" w:hanging="184"/>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660" w:hanging="18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660" w:hanging="18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660" w:hanging="18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December 31, 2009 was $67.57.</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after August 1, 2011, we have the option to redeem all or a portion of the convertible notes at a redemption price equal to 100% of the principal amount plus accrued and unpaid interest.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our U.S. domestic operating subsidiaries. The convertible notes contain covenants, which place restrictions on the incurrence of debt and certain mergers. We were in compliance with these debt covenants at December 31,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stock price is subject to fluctuation, the contingent conversion threshold may be triggered during any quarter prior to July 2011, and the notes become convertible. At December 31, 2009 and 2008, the contingent conversion threshold was not exceeded and, therefore, the aggregate principal amount of the convertible notes is included in long-term debt.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2009, we adopted FSP 14-1, which requires our convertible notes to be separated between its liability and equity components, in a manner that reflects our non-convertible debt borrowing rate and must be applied retroactively to all periods presented. Our non-convertible debt borrowing rate at the time of the issuance of our convertible notes was determined to be 7.38%, which also reflects the effective interest rate on the liability component. See Note 1 for disclosure about the financial statement impact of our adoption of FSP 14-1.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The carrying amounts of the debt and equity components are as follows:</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Face value of convertible notes</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223,604</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Unamortized discount</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(15,435)</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carrying amount of debt component</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208,169</w:t>
            </w:r>
          </w:p>
        </w:tc>
        <w:tc>
          <w:tcPr>
            <w:tcW w:w="12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r>
      <w:tr>
        <w:trPr>
          <w:trHeight w:val="223"/>
        </w:trPr>
        <w:tc>
          <w:tcPr>
            <w:tcW w:w="48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coupon</w:t>
            </w:r>
          </w:p>
        </w:tc>
        <w:tc>
          <w:tcPr>
            <w:tcW w:w="4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20" w:type="dxa"/>
            <w:vAlign w:val="bottom"/>
            <w:shd w:val="clear" w:color="auto" w:fill="CCEEFF"/>
          </w:tcPr>
          <w:p>
            <w:pPr>
              <w:spacing w:after="0"/>
              <w:rPr>
                <w:sz w:val="18"/>
                <w:szCs w:val="18"/>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w:t>
            </w:r>
          </w:p>
        </w:tc>
        <w:tc>
          <w:tcPr>
            <w:tcW w:w="120" w:type="dxa"/>
            <w:vAlign w:val="bottom"/>
          </w:tcPr>
          <w:p>
            <w:pPr>
              <w:spacing w:after="0"/>
              <w:rPr>
                <w:sz w:val="19"/>
                <w:szCs w:val="19"/>
                <w:color w:val="auto"/>
              </w:rPr>
            </w:pPr>
          </w:p>
        </w:tc>
      </w:tr>
      <w:tr>
        <w:trPr>
          <w:trHeight w:val="25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 expense on convertible notes</w:t>
            </w:r>
          </w:p>
        </w:tc>
        <w:tc>
          <w:tcPr>
            <w:tcW w:w="4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15,512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22,065</w:t>
            </w:r>
          </w:p>
        </w:tc>
      </w:tr>
      <w:tr>
        <w:trPr>
          <w:trHeight w:val="453"/>
        </w:trPr>
        <w:tc>
          <w:tcPr>
            <w:tcW w:w="482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3010"/>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18"/>
        </w:trPr>
        <w:tc>
          <w:tcPr>
            <w:tcW w:w="482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combination of put, call, and conversion options that are part of the terms of the convertible note agreement, the remaining discount on the liability component will be amortized over 18 months.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All of the convertible notes we acquired pursuant to the exchange agreements were retired upon the closing of the exchanges.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exchange agreements were treated as induced conversions as the holders received a greater number of shares of common stock than would have been issued under the original conversion terms of the convertible notes. At the time of the exchange agreements, none of the conversion contingencies were met. Under the original terms of the convertible notes, the amount payable on conversion was to be paid in cash, and the remaining conversion obligation (stock price in excess of conversion price) was payable in cash or shares, at our option. Under the terms of the exchange agreements, all of the settlement was paid in shares. The difference in the value of the shares of common stock issued under the exchange agreement and the value of the shares used to derive the amount payable under the original conversion agreement resulted in a loss on extinguishment of debt of $23.3 million (the inducement loss). As required by FSP 14-1, upon derecognition of the convertible notes, we remeasured the fair value of the liability and equity components using a borrowing rate for similar non-convertible debt that would be applicable to us at the date of the exchange agreements. Because borrowing rates increased, the remeasurement of the components of the convertible notes resulted in a gain on extinguishment of $13.4 million (the revaluation gain). As a result, we recognized a net loss on extinguishment of debt of $10.3 million, calculated as the inducement loss, plus an allocation of advisory fees, less the revaluation gain. The remaining settlement consideration of $9.5 million, including an allocation of advisory fees, was recorded as a reduction of common stock.</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 &amp; Accrued Interest Expense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first becomes convertible as in the case of our convertible notes, the related portion of unamortized prepaid debt fees is written-off and included in interest expense. Total unamortized prepaid debt fees were $8.6 million and $12.9 million at December 31, 2009 and 2008, respectively. Accrued interest expense was $2.3 million and $4.5 million at December 31, 2009 and 2008,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Minimum Payments on Debt: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0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Minimum</w:t>
            </w:r>
          </w:p>
        </w:tc>
      </w:tr>
      <w:tr>
        <w:trPr>
          <w:trHeight w:val="241"/>
        </w:trPr>
        <w:tc>
          <w:tcPr>
            <w:tcW w:w="10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Payments</w:t>
            </w:r>
          </w:p>
        </w:tc>
      </w:tr>
      <w:tr>
        <w:trPr>
          <w:trHeight w:val="216"/>
        </w:trPr>
        <w:tc>
          <w:tcPr>
            <w:tcW w:w="10180" w:type="dxa"/>
            <w:vAlign w:val="bottom"/>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10,871</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234,475</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10,871</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10,871</w:t>
            </w:r>
          </w:p>
        </w:tc>
        <w:tc>
          <w:tcPr>
            <w:tcW w:w="80" w:type="dxa"/>
            <w:vAlign w:val="bottom"/>
          </w:tcPr>
          <w:p>
            <w:pPr>
              <w:spacing w:after="0"/>
              <w:rPr>
                <w:sz w:val="18"/>
                <w:szCs w:val="18"/>
                <w:color w:val="auto"/>
              </w:rPr>
            </w:pPr>
          </w:p>
        </w:tc>
      </w:tr>
      <w:tr>
        <w:trPr>
          <w:trHeight w:val="223"/>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530,111</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0180" w:type="dxa"/>
            <w:vAlign w:val="bottom"/>
          </w:tcPr>
          <w:p>
            <w:pPr>
              <w:ind w:left="220"/>
              <w:spacing w:after="0"/>
              <w:rPr>
                <w:sz w:val="20"/>
                <w:szCs w:val="20"/>
                <w:color w:val="auto"/>
              </w:rPr>
            </w:pPr>
            <w:r>
              <w:rPr>
                <w:rFonts w:ascii="Arial" w:cs="Arial" w:eastAsia="Arial" w:hAnsi="Arial"/>
                <w:sz w:val="18"/>
                <w:szCs w:val="18"/>
                <w:color w:val="auto"/>
              </w:rPr>
              <w:t>Total minimum payments on debt</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797,199</w:t>
            </w:r>
          </w:p>
        </w:tc>
        <w:tc>
          <w:tcPr>
            <w:tcW w:w="80" w:type="dxa"/>
            <w:vAlign w:val="bottom"/>
          </w:tcPr>
          <w:p>
            <w:pPr>
              <w:spacing w:after="0"/>
              <w:rPr>
                <w:sz w:val="18"/>
                <w:szCs w:val="18"/>
                <w:color w:val="auto"/>
              </w:rPr>
            </w:pPr>
          </w:p>
        </w:tc>
      </w:tr>
      <w:tr>
        <w:trPr>
          <w:trHeight w:val="223"/>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unamortized discount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(15,435)</w:t>
            </w:r>
          </w:p>
        </w:tc>
      </w:tr>
      <w:tr>
        <w:trPr>
          <w:trHeight w:val="216"/>
        </w:trPr>
        <w:tc>
          <w:tcPr>
            <w:tcW w:w="1018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fair values of our derivative instruments are determined using the income approach and significant other observable inputs (also known as “Level 2”), as defined by ASC 820-10-20,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We have used observable market inputs based on the type of derivative and the nature of the underlying instrument. The key inputs used at December 31, 2009 included interest rate yield curves (swap rates and futures) and foreign exchange spot and forward rates, all of which are available in an active market. We have utilized the mid-market pricing convention for these inputs at December 31, 2009.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We have considered our own nonperformance risk by discounting our derivative liabilities to reflect the potential credit risk to our counterparty by applying a current market indicative credit spread to all cash flows.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December 31, 2009 and 2008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4"/>
              </w:rPr>
              <w:t>Fair Value 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Asset Derivatives</w:t>
            </w:r>
          </w:p>
        </w:tc>
        <w:tc>
          <w:tcPr>
            <w:tcW w:w="5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4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5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w w:val="89"/>
              </w:rPr>
              <w:t>Derivatives designated as hedging instruments under ASC 815-20</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swap contracts</w:t>
            </w: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Interest rate swap contracts</w:t>
            </w:r>
          </w:p>
        </w:tc>
        <w:tc>
          <w:tcPr>
            <w:tcW w:w="3900" w:type="dxa"/>
            <w:vAlign w:val="bottom"/>
          </w:tcPr>
          <w:p>
            <w:pPr>
              <w:ind w:left="40"/>
              <w:spacing w:after="0"/>
              <w:rPr>
                <w:sz w:val="20"/>
                <w:szCs w:val="20"/>
                <w:color w:val="auto"/>
              </w:rPr>
            </w:pPr>
            <w:r>
              <w:rPr>
                <w:rFonts w:ascii="Arial" w:cs="Arial" w:eastAsia="Arial" w:hAnsi="Arial"/>
                <w:sz w:val="18"/>
                <w:szCs w:val="18"/>
                <w:color w:val="auto"/>
              </w:rPr>
              <w:t>Other noncurrent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(3,676)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Euro denominated term loan *</w:t>
            </w: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Euro denominated term loan *</w:t>
            </w:r>
          </w:p>
        </w:tc>
        <w:tc>
          <w:tcPr>
            <w:tcW w:w="3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(284,082)</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Total derivatives designated as hedging instruments under Subtopic 815-20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(304,056)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44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Foreign exchange forward contracts</w:t>
            </w:r>
          </w:p>
        </w:tc>
        <w:tc>
          <w:tcPr>
            <w:tcW w:w="39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liability derivatives</w:t>
            </w:r>
          </w:p>
        </w:tc>
        <w:tc>
          <w:tcPr>
            <w:tcW w:w="39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(306,498)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(378,056)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77" w:lineRule="auto"/>
        <w:tabs>
          <w:tab w:leader="none" w:pos="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euro denominated term loan is a nonderivative financial instrument designated as a hedge of our net investment in international operations. It is recorded at the carrying value in the Consolidated Balance Sheets and not recorded at fair value.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comprehensive income (loss) during the reporting period for our derivative and nonderivative instruments designated as hedging instruments (collectively, hedging instruments), net of tax,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January 1,</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(29,772)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Unrealized loss on derivative instruments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(6,776)</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a nonderivative hedging instrument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Realized (gains) losses reclassified into net income (loss)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December 31,</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increases in the LIBOR base borrowing rates on our floating rate credit facility. The swaps do not protect us from changes to the applicable margin under our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one-year pay-fixed receive one-month LIBOR interest rate swaps to convert $200 million of our U.S. dollar term loan from a floating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LIBOR interest rate to a fixed interest rate, as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Notional</w:t>
            </w:r>
          </w:p>
        </w:tc>
        <w:tc>
          <w:tcPr>
            <w:tcW w:w="12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Fixed Interest</w:t>
            </w:r>
          </w:p>
        </w:tc>
        <w:tc>
          <w:tcPr>
            <w:tcW w:w="0" w:type="dxa"/>
            <w:vAlign w:val="bottom"/>
          </w:tcPr>
          <w:p>
            <w:pPr>
              <w:spacing w:after="0"/>
              <w:rPr>
                <w:sz w:val="1"/>
                <w:szCs w:val="1"/>
                <w:color w:val="auto"/>
              </w:rPr>
            </w:pPr>
          </w:p>
        </w:tc>
      </w:tr>
      <w:tr>
        <w:trPr>
          <w:trHeight w:val="191"/>
        </w:trPr>
        <w:tc>
          <w:tcPr>
            <w:tcW w:w="1020" w:type="dxa"/>
            <w:vAlign w:val="bottom"/>
            <w:tcBorders>
              <w:top w:val="single" w:sz="8" w:color="0000EE"/>
            </w:tcBorders>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Transaction Date</w:t>
            </w:r>
          </w:p>
        </w:tc>
        <w:tc>
          <w:tcPr>
            <w:tcW w:w="12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 of Swap</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amount</w:t>
            </w:r>
          </w:p>
        </w:tc>
        <w:tc>
          <w:tcPr>
            <w:tcW w:w="12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26, 2008</w:t>
            </w:r>
          </w:p>
        </w:tc>
        <w:tc>
          <w:tcPr>
            <w:tcW w:w="12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30, 2008 - June 30,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October 27, 2008</w:t>
            </w:r>
          </w:p>
        </w:tc>
        <w:tc>
          <w:tcPr>
            <w:tcW w:w="12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88"/>
              </w:rPr>
              <w:t>June 30, 2009 - June 30, 2010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2009</w:t>
            </w:r>
          </w:p>
        </w:tc>
        <w:tc>
          <w:tcPr>
            <w:tcW w:w="12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2010 - June 30, 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July 1, 2009</w:t>
            </w:r>
          </w:p>
        </w:tc>
        <w:tc>
          <w:tcPr>
            <w:tcW w:w="12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87"/>
              </w:rPr>
              <w:t>June 30, 2010 - June 30, 2011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2009 and 2008, our U.S. dollar term loan had a balance of $284.7 million and $375.7 million, respectively. The cash flow hedges have been and are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amount of net losses expected to be reclassified into earnings in the next 12 months is approximately $3.5 million, which was based on the Bloomberg U.S. dollar swap yield curve as of December 31, 2009.</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$252.9 million (€175.8 million) and $339.3 million (€239.1 million) as of December 31, 2009 and 2008, respectively. The amount of net losses expected to be reclassified into earnings in the next 12 months is approximately $7.8 million (€5.4 million), which was based on the Bloomberg euro swap yield curve as of December 31, 2009.</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years ended December 31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Derivatives in ASC</w:t>
            </w:r>
          </w:p>
        </w:tc>
        <w:tc>
          <w:tcPr>
            <w:tcW w:w="120" w:type="dxa"/>
            <w:vAlign w:val="bottom"/>
          </w:tcPr>
          <w:p>
            <w:pPr>
              <w:spacing w:after="0"/>
              <w:rPr>
                <w:sz w:val="18"/>
                <w:szCs w:val="18"/>
                <w:color w:val="auto"/>
              </w:rPr>
            </w:pPr>
          </w:p>
        </w:tc>
        <w:tc>
          <w:tcPr>
            <w:tcW w:w="280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1"/>
              </w:rPr>
              <w:t>Amount of Gain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815-20 Cash Flow</w:t>
            </w:r>
          </w:p>
        </w:tc>
        <w:tc>
          <w:tcPr>
            <w:tcW w:w="120" w:type="dxa"/>
            <w:vAlign w:val="bottom"/>
          </w:tcPr>
          <w:p>
            <w:pPr>
              <w:spacing w:after="0"/>
              <w:rPr>
                <w:sz w:val="18"/>
                <w:szCs w:val="18"/>
                <w:color w:val="auto"/>
              </w:rPr>
            </w:pPr>
          </w:p>
        </w:tc>
        <w:tc>
          <w:tcPr>
            <w:tcW w:w="280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1"/>
              </w:rPr>
              <w:t>Recognized in OCI on</w:t>
            </w:r>
          </w:p>
        </w:tc>
        <w:tc>
          <w:tcPr>
            <w:tcW w:w="3420" w:type="dxa"/>
            <w:vAlign w:val="bottom"/>
            <w:gridSpan w:val="10"/>
          </w:tcPr>
          <w:p>
            <w:pPr>
              <w:ind w:left="40"/>
              <w:spacing w:after="0"/>
              <w:rPr>
                <w:sz w:val="20"/>
                <w:szCs w:val="20"/>
                <w:color w:val="auto"/>
              </w:rPr>
            </w:pPr>
            <w:r>
              <w:rPr>
                <w:rFonts w:ascii="Arial" w:cs="Arial" w:eastAsia="Arial" w:hAnsi="Arial"/>
                <w:sz w:val="18"/>
                <w:szCs w:val="18"/>
                <w:b w:val="1"/>
                <w:bCs w:val="1"/>
                <w:color w:val="auto"/>
                <w:w w:val="90"/>
              </w:rPr>
              <w:t>Gain (Loss) Reclassified from Accumulated</w:t>
            </w:r>
          </w:p>
        </w:tc>
        <w:tc>
          <w:tcPr>
            <w:tcW w:w="100" w:type="dxa"/>
            <w:vAlign w:val="bottom"/>
          </w:tcPr>
          <w:p>
            <w:pPr>
              <w:spacing w:after="0"/>
              <w:rPr>
                <w:sz w:val="18"/>
                <w:szCs w:val="18"/>
                <w:color w:val="auto"/>
              </w:rPr>
            </w:pPr>
          </w:p>
        </w:tc>
        <w:tc>
          <w:tcPr>
            <w:tcW w:w="3480" w:type="dxa"/>
            <w:vAlign w:val="bottom"/>
            <w:gridSpan w:val="12"/>
          </w:tcPr>
          <w:p>
            <w:pPr>
              <w:jc w:val="center"/>
              <w:ind w:right="100"/>
              <w:spacing w:after="0"/>
              <w:rPr>
                <w:sz w:val="20"/>
                <w:szCs w:val="20"/>
                <w:color w:val="auto"/>
              </w:rPr>
            </w:pPr>
            <w:r>
              <w:rPr>
                <w:rFonts w:ascii="Arial" w:cs="Arial" w:eastAsia="Arial" w:hAnsi="Arial"/>
                <w:sz w:val="18"/>
                <w:szCs w:val="18"/>
                <w:b w:val="1"/>
                <w:bCs w:val="1"/>
                <w:color w:val="auto"/>
                <w:w w:val="89"/>
              </w:rPr>
              <w:t>Gain (Loss) Recognized in Income on</w:t>
            </w:r>
          </w:p>
        </w:tc>
      </w:tr>
      <w:tr>
        <w:trPr>
          <w:trHeight w:val="241"/>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Hedging</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10"/>
          </w:tcPr>
          <w:p>
            <w:pPr>
              <w:ind w:left="320"/>
              <w:spacing w:after="0"/>
              <w:rPr>
                <w:sz w:val="20"/>
                <w:szCs w:val="20"/>
                <w:color w:val="auto"/>
              </w:rPr>
            </w:pPr>
            <w:r>
              <w:rPr>
                <w:rFonts w:ascii="Arial" w:cs="Arial" w:eastAsia="Arial" w:hAnsi="Arial"/>
                <w:sz w:val="18"/>
                <w:szCs w:val="18"/>
                <w:b w:val="1"/>
                <w:bCs w:val="1"/>
                <w:color w:val="auto"/>
              </w:rPr>
              <w:t>OCI into Income (Effective Portion)</w:t>
            </w:r>
          </w:p>
        </w:tc>
        <w:tc>
          <w:tcPr>
            <w:tcW w:w="100" w:type="dxa"/>
            <w:vAlign w:val="bottom"/>
          </w:tcPr>
          <w:p>
            <w:pPr>
              <w:spacing w:after="0"/>
              <w:rPr>
                <w:sz w:val="20"/>
                <w:szCs w:val="20"/>
                <w:color w:val="auto"/>
              </w:rPr>
            </w:pPr>
          </w:p>
        </w:tc>
        <w:tc>
          <w:tcPr>
            <w:tcW w:w="3480" w:type="dxa"/>
            <w:vAlign w:val="bottom"/>
            <w:gridSpan w:val="12"/>
          </w:tcPr>
          <w:p>
            <w:pPr>
              <w:jc w:val="center"/>
              <w:ind w:right="80"/>
              <w:spacing w:after="0"/>
              <w:rPr>
                <w:sz w:val="20"/>
                <w:szCs w:val="20"/>
                <w:color w:val="auto"/>
              </w:rPr>
            </w:pPr>
            <w:r>
              <w:rPr>
                <w:rFonts w:ascii="Arial" w:cs="Arial" w:eastAsia="Arial" w:hAnsi="Arial"/>
                <w:sz w:val="18"/>
                <w:szCs w:val="18"/>
                <w:b w:val="1"/>
                <w:bCs w:val="1"/>
                <w:color w:val="auto"/>
                <w:w w:val="92"/>
              </w:rPr>
              <w:t>Derivative (Ineffective Portion)</w:t>
            </w:r>
          </w:p>
        </w:tc>
      </w:tr>
      <w:tr>
        <w:trPr>
          <w:trHeight w:val="223"/>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19"/>
                <w:szCs w:val="19"/>
                <w:color w:val="auto"/>
              </w:rPr>
            </w:pPr>
          </w:p>
        </w:tc>
        <w:tc>
          <w:tcPr>
            <w:tcW w:w="206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1"/>
              </w:rPr>
              <w:t>(Effective Portion)</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Borders>
              <w:top w:val="single" w:sz="8" w:color="auto"/>
            </w:tcBorders>
            <w:gridSpan w:val="4"/>
          </w:tcPr>
          <w:p>
            <w:pPr>
              <w:jc w:val="center"/>
              <w:ind w:right="950"/>
              <w:spacing w:after="0"/>
              <w:rPr>
                <w:sz w:val="20"/>
                <w:szCs w:val="20"/>
                <w:color w:val="auto"/>
              </w:rPr>
            </w:pPr>
            <w:r>
              <w:rPr>
                <w:rFonts w:ascii="Arial" w:cs="Arial" w:eastAsia="Arial" w:hAnsi="Arial"/>
                <w:sz w:val="18"/>
                <w:szCs w:val="18"/>
                <w:b w:val="1"/>
                <w:bCs w:val="1"/>
                <w:color w:val="auto"/>
                <w:w w:val="90"/>
              </w:rPr>
              <w:t>Location</w:t>
            </w: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4"/>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Location</w:t>
            </w: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19"/>
                <w:szCs w:val="19"/>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70"/>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4"/>
            <w:shd w:val="clear" w:color="auto" w:fill="CCEEFF"/>
          </w:tcPr>
          <w:p>
            <w:pPr>
              <w:jc w:val="center"/>
              <w:ind w:right="930"/>
              <w:spacing w:after="0" w:line="201" w:lineRule="exact"/>
              <w:rPr>
                <w:sz w:val="20"/>
                <w:szCs w:val="20"/>
                <w:color w:val="auto"/>
              </w:rPr>
            </w:pPr>
            <w:r>
              <w:rPr>
                <w:rFonts w:ascii="Arial" w:cs="Arial" w:eastAsia="Arial" w:hAnsi="Arial"/>
                <w:sz w:val="18"/>
                <w:szCs w:val="18"/>
                <w:color w:val="auto"/>
                <w:w w:val="89"/>
              </w:rPr>
              <w:t>Interest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Interest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(11,023)</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9"/>
              </w:rPr>
              <w:t>$  (14,945)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c>
          <w:tcPr>
            <w:tcW w:w="17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9"/>
              </w:rPr>
              <w:t>expense  $  (13,975)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804 $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9"/>
              </w:rPr>
              <w:t>expense  $</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7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Investment Hedges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exchange risk through our international subsidiaries. As a result of our acquisition of an international company,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declines each quarter due to repayments and was $288.9 million (€200.8 million) and $360.5 million (€254.1 million) as of December 31, 2009 and 2008, respectively. We had no hedge ineffectiveness.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before tax and net of tax effect of our net investment hedge nonderivative financial instrument on OCI for the years ended December 31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Nonderivative Financial Instruments in ASC 815-20 Net Investment Hedging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0"/>
              </w:rPr>
              <w:t>Euro Denominated Term Loan Designated as a Hedge</w:t>
            </w:r>
          </w:p>
        </w:tc>
      </w:tr>
      <w:tr>
        <w:trPr>
          <w:trHeight w:val="241"/>
        </w:trPr>
        <w:tc>
          <w:tcPr>
            <w:tcW w:w="6860" w:type="dxa"/>
            <w:vAlign w:val="bottom"/>
          </w:tcPr>
          <w:p>
            <w:pPr>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2"/>
              </w:rPr>
              <w:t>of Our Net Investment in International Operations</w:t>
            </w:r>
          </w:p>
        </w:tc>
      </w:tr>
      <w:tr>
        <w:trPr>
          <w:trHeight w:val="223"/>
        </w:trPr>
        <w:tc>
          <w:tcPr>
            <w:tcW w:w="6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Gain (loss) recognized in OCI on derivative (Effective Portion)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Before tax</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(41,104)</w:t>
            </w: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Net of tax</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(2,364)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6,485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(25,460)</w:t>
            </w:r>
          </w:p>
        </w:tc>
      </w:tr>
      <w:tr>
        <w:trPr>
          <w:trHeight w:val="445"/>
        </w:trPr>
        <w:tc>
          <w:tcPr>
            <w:tcW w:w="6860" w:type="dxa"/>
            <w:vAlign w:val="bottom"/>
          </w:tcPr>
          <w:p>
            <w:pPr>
              <w:ind w:left="56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6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 end, foreign currency monetary assets and liabilities are revalued with the change recorded to other income and expense. In the second quarter of 2008, we began entering into monthly foreign exchange forward contracts, not designated for hedge accounting, with the intent to reduce earnings volatility associated with certain of these balances. During the year ended December 31, 2009, we entered into approximately 70 foreign currency option and forward transactions. The notional amounts of the contracts ranged from less than $1 million to $60 million, offsetting our exposures primarily from the euro, British pound, Canadian dollar, Czech koruna, and Hungarian forint.</w:t>
      </w:r>
    </w:p>
    <w:p>
      <w:pPr>
        <w:spacing w:after="0" w:line="221" w:lineRule="exact"/>
        <w:rPr>
          <w:sz w:val="20"/>
          <w:szCs w:val="20"/>
          <w:color w:val="auto"/>
        </w:rPr>
      </w:pPr>
    </w:p>
    <w:p>
      <w:pPr>
        <w:jc w:val="both"/>
        <w:ind w:firstLine="54"/>
        <w:spacing w:after="0" w:line="255" w:lineRule="auto"/>
        <w:rPr>
          <w:sz w:val="20"/>
          <w:szCs w:val="20"/>
          <w:color w:val="auto"/>
        </w:rPr>
      </w:pPr>
      <w:r>
        <w:rPr>
          <w:rFonts w:ascii="Arial" w:cs="Arial" w:eastAsia="Arial" w:hAnsi="Arial"/>
          <w:sz w:val="18"/>
          <w:szCs w:val="18"/>
          <w:color w:val="auto"/>
        </w:rPr>
        <w:t>During 2007, we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had terms similar to the pound sterling denominated term loan, including expected prepayments. This instrument was intended to reduce the impact of volatility between the pound sterling and the U.S. dollar. Therefore, gains and losses were recorded in other income and expense as an offset to the gains (losses) on the underlying term loan revaluation to the U.S. dollar. The amounts paid or received on the interest rate swap were recognized as adjustments to interest expense. In the second quarter of 2008, we repaid the £50 million pound sterling denominated loan.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effect of our foreign exchange forward and cross currency swap derivative instruments on the Consolidated Statements of Operations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is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0"/>
              </w:rPr>
              <w:t>Gain (Loss) Recognized on Derivatives in Other</w:t>
            </w:r>
          </w:p>
        </w:tc>
      </w:tr>
      <w:tr>
        <w:trPr>
          <w:trHeight w:val="241"/>
        </w:trPr>
        <w:tc>
          <w:tcPr>
            <w:tcW w:w="74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Derivatives Not Designated as Hedging Instrument under ASC 815-20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88"/>
              </w:rPr>
              <w:t>Income (Expense)</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Cross currency interest rate swap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non-U.S. defined benefit pension plans offering death and disability, retirement, and special termination benefits to employees in Germany, France, Spain, Italy, Belgium, Chile, Portugal, Hungary, and Indonesia. The defined benefit obligation is calculated annually by using the projected unit credit method. The measurement date for the pension plans was December 31, 2009.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funding policy for these qualified pension plans is to contribute amounts sufficient to satisfy regulatory funding standards of the respective countries for each plan. We contributed $397,000 and $445,000 to the defined benefit pension plans for the years ended December 31, 2009 and 2008, respectively. Assuming that actual plan asset returns are consistent with our expected rate of return in 2009 and beyond, and that interest rates remain constant, we expect to contribute approximately $500,000 in 2010 to our defined benefit pension plans.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benefit obligation, plan assets and funded status of the defined benefit plans, amounts recognized in accumulated other comprehensive income, and amounts recognized in the Consolidated Balance Sheets at December 31, 2009 and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Change in benefit obligation:</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198"/>
        </w:trPr>
        <w:tc>
          <w:tcPr>
            <w:tcW w:w="7560" w:type="dxa"/>
            <w:vAlign w:val="bottom"/>
            <w:gridSpan w:val="3"/>
            <w:vMerge w:val="continue"/>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obligation at January 1,</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66,823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Service cost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Amendments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Benefits paid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 foreign currency exchange rate changes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Benefit obligation at December 31,</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73,262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January 1,</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Actual return on plan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Company contributions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Benefits paid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 foreign currency exchange rate changes</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Fair value of plan assets at December 31,</w:t>
            </w:r>
          </w:p>
        </w:tc>
        <w:tc>
          <w:tcPr>
            <w:tcW w:w="13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Ending balance at fair value (net pension plan benefit liability)</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65,402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60" w:type="dxa"/>
            <w:vAlign w:val="bottom"/>
            <w:gridSpan w:val="3"/>
          </w:tcPr>
          <w:p>
            <w:pPr>
              <w:spacing w:after="0"/>
              <w:rPr>
                <w:sz w:val="20"/>
                <w:szCs w:val="20"/>
                <w:color w:val="auto"/>
              </w:rPr>
            </w:pPr>
            <w:r>
              <w:rPr>
                <w:rFonts w:ascii="Arial" w:cs="Arial" w:eastAsia="Arial" w:hAnsi="Arial"/>
                <w:sz w:val="18"/>
                <w:szCs w:val="18"/>
                <w:color w:val="auto"/>
              </w:rPr>
              <w:t>Amounts recognized on the Consolidated Balance Sheets consist of:</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Long-term portion of pension plan liability</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63,040</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in other long term assets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Net pension plan benefit liability</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65,402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59,374</w:t>
            </w:r>
          </w:p>
        </w:tc>
        <w:tc>
          <w:tcPr>
            <w:tcW w:w="0" w:type="dxa"/>
            <w:vAlign w:val="bottom"/>
          </w:tcPr>
          <w:p>
            <w:pPr>
              <w:spacing w:after="0"/>
              <w:rPr>
                <w:sz w:val="1"/>
                <w:szCs w:val="1"/>
                <w:color w:val="auto"/>
              </w:rPr>
            </w:pPr>
          </w:p>
        </w:tc>
      </w:tr>
      <w:tr>
        <w:trPr>
          <w:trHeight w:val="21"/>
        </w:trPr>
        <w:tc>
          <w:tcPr>
            <w:tcW w:w="7560" w:type="dxa"/>
            <w:vAlign w:val="bottom"/>
            <w:gridSpan w:val="3"/>
            <w:vMerge w:val="restart"/>
          </w:tcPr>
          <w:p>
            <w:pPr>
              <w:spacing w:after="0"/>
              <w:rPr>
                <w:sz w:val="20"/>
                <w:szCs w:val="20"/>
                <w:color w:val="auto"/>
              </w:rPr>
            </w:pPr>
            <w:r>
              <w:rPr>
                <w:rFonts w:ascii="Arial" w:cs="Arial" w:eastAsia="Arial" w:hAnsi="Arial"/>
                <w:sz w:val="18"/>
                <w:szCs w:val="18"/>
                <w:color w:val="auto"/>
              </w:rPr>
              <w:t>Amounts recognized in accumulated other comprehensive income (pre-tax) consist of:</w:t>
            </w: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6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Net prior service cost</w:t>
            </w: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$68.9 million and $62.7 million at December 31, 2009 and 2008,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61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140" w:type="dxa"/>
            <w:vAlign w:val="bottom"/>
            <w:gridSpan w:val="2"/>
          </w:tcPr>
          <w:p>
            <w:pPr>
              <w:spacing w:after="0"/>
              <w:rPr>
                <w:sz w:val="20"/>
                <w:szCs w:val="20"/>
                <w:color w:val="auto"/>
              </w:rPr>
            </w:pPr>
            <w:r>
              <w:rPr>
                <w:rFonts w:ascii="Arial" w:cs="Arial" w:eastAsia="Arial" w:hAnsi="Arial"/>
                <w:sz w:val="18"/>
                <w:szCs w:val="18"/>
                <w:color w:val="auto"/>
                <w:w w:val="94"/>
              </w:rPr>
              <w:t>Net periodic pension benefit costs for our plans include the following components: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18, 2007</w:t>
            </w:r>
          </w:p>
        </w:tc>
      </w:tr>
      <w:tr>
        <w:trPr>
          <w:trHeight w:val="241"/>
        </w:trPr>
        <w:tc>
          <w:tcPr>
            <w:tcW w:w="10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r>
      <w:tr>
        <w:trPr>
          <w:trHeight w:val="223"/>
        </w:trPr>
        <w:tc>
          <w:tcPr>
            <w:tcW w:w="10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2007</w:t>
            </w:r>
          </w:p>
        </w:tc>
      </w:tr>
      <w:tr>
        <w:trPr>
          <w:trHeight w:val="216"/>
        </w:trPr>
        <w:tc>
          <w:tcPr>
            <w:tcW w:w="10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3,450</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3,697</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2,365</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Settlements and curtailments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net gain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Amortization of unrecognized prior service costs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periodic benefit cost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w:t>
            </w:r>
          </w:p>
        </w:tc>
      </w:tr>
      <w:tr>
        <w:trPr>
          <w:trHeight w:val="453"/>
        </w:trPr>
        <w:tc>
          <w:tcPr>
            <w:tcW w:w="6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Amounts recognized in other comprehensive income (pre-tax) are as follows:</w:t>
            </w:r>
          </w:p>
        </w:tc>
        <w:tc>
          <w:tcPr>
            <w:tcW w:w="16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18, 2007</w:t>
            </w:r>
          </w:p>
        </w:tc>
      </w:tr>
      <w:tr>
        <w:trPr>
          <w:trHeight w:val="241"/>
        </w:trPr>
        <w:tc>
          <w:tcPr>
            <w:tcW w:w="10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r>
      <w:tr>
        <w:trPr>
          <w:trHeight w:val="223"/>
        </w:trPr>
        <w:tc>
          <w:tcPr>
            <w:tcW w:w="10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2007</w:t>
            </w:r>
          </w:p>
        </w:tc>
      </w:tr>
      <w:tr>
        <w:trPr>
          <w:trHeight w:val="216"/>
        </w:trPr>
        <w:tc>
          <w:tcPr>
            <w:tcW w:w="10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12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(5,620)</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amounts recognized in other comprehensive income</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net actuarial gain that will be amortized from accumulated other comprehensive income into net periodic benefit cost during 2010 is $31,000.</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At December 31,</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1500" w:type="dxa"/>
            <w:vAlign w:val="bottom"/>
          </w:tcPr>
          <w:p>
            <w:pPr>
              <w:ind w:left="560"/>
              <w:spacing w:after="0"/>
              <w:rPr>
                <w:sz w:val="20"/>
                <w:szCs w:val="20"/>
                <w:color w:val="auto"/>
              </w:rPr>
            </w:pPr>
            <w:r>
              <w:rPr>
                <w:rFonts w:ascii="Arial" w:cs="Arial" w:eastAsia="Arial" w:hAnsi="Arial"/>
                <w:sz w:val="18"/>
                <w:szCs w:val="18"/>
                <w:b w:val="1"/>
                <w:bCs w:val="1"/>
                <w:color w:val="auto"/>
              </w:rPr>
              <w:t>2009</w:t>
            </w:r>
          </w:p>
        </w:tc>
        <w:tc>
          <w:tcPr>
            <w:tcW w:w="1600" w:type="dxa"/>
            <w:vAlign w:val="bottom"/>
            <w:gridSpan w:val="2"/>
          </w:tcPr>
          <w:p>
            <w:pPr>
              <w:ind w:left="680"/>
              <w:spacing w:after="0"/>
              <w:rPr>
                <w:sz w:val="20"/>
                <w:szCs w:val="20"/>
                <w:color w:val="auto"/>
              </w:rPr>
            </w:pPr>
            <w:r>
              <w:rPr>
                <w:rFonts w:ascii="Arial" w:cs="Arial" w:eastAsia="Arial" w:hAnsi="Arial"/>
                <w:sz w:val="18"/>
                <w:szCs w:val="18"/>
                <w:b w:val="1"/>
                <w:bCs w:val="1"/>
                <w:color w:val="auto"/>
              </w:rPr>
              <w:t>2008</w:t>
            </w:r>
          </w:p>
        </w:tc>
        <w:tc>
          <w:tcPr>
            <w:tcW w:w="1580" w:type="dxa"/>
            <w:vAlign w:val="bottom"/>
            <w:gridSpan w:val="2"/>
          </w:tcPr>
          <w:p>
            <w:pPr>
              <w:ind w:left="66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Actuarial assumptions used to determine benefit obligations at end of period:</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w:t>
            </w:r>
          </w:p>
        </w:tc>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5.60%</w:t>
            </w:r>
          </w:p>
        </w:tc>
        <w:tc>
          <w:tcPr>
            <w:tcW w:w="1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6.12%</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Expected annual rate of compensation increase</w:t>
            </w:r>
          </w:p>
        </w:tc>
        <w:tc>
          <w:tcPr>
            <w:tcW w:w="1500" w:type="dxa"/>
            <w:vAlign w:val="bottom"/>
          </w:tcPr>
          <w:p>
            <w:pPr>
              <w:ind w:left="580"/>
              <w:spacing w:after="0"/>
              <w:rPr>
                <w:sz w:val="20"/>
                <w:szCs w:val="20"/>
                <w:color w:val="auto"/>
              </w:rPr>
            </w:pPr>
            <w:r>
              <w:rPr>
                <w:rFonts w:ascii="Arial" w:cs="Arial" w:eastAsia="Arial" w:hAnsi="Arial"/>
                <w:sz w:val="18"/>
                <w:szCs w:val="18"/>
                <w:color w:val="auto"/>
              </w:rPr>
              <w:t>3.24%</w:t>
            </w: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3.18%</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Actuarial assumptions used to determine net periodic benefit cost for the period: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1500" w:type="dxa"/>
            <w:vAlign w:val="bottom"/>
          </w:tcPr>
          <w:p>
            <w:pPr>
              <w:ind w:left="580"/>
              <w:spacing w:after="0"/>
              <w:rPr>
                <w:sz w:val="20"/>
                <w:szCs w:val="20"/>
                <w:color w:val="auto"/>
              </w:rPr>
            </w:pPr>
            <w:r>
              <w:rPr>
                <w:rFonts w:ascii="Arial" w:cs="Arial" w:eastAsia="Arial" w:hAnsi="Arial"/>
                <w:sz w:val="18"/>
                <w:szCs w:val="18"/>
                <w:color w:val="auto"/>
              </w:rPr>
              <w:t>6.12%</w:t>
            </w: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5.41%</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rate of return on plan assets</w:t>
            </w:r>
          </w:p>
        </w:tc>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4.06%</w:t>
            </w:r>
          </w:p>
        </w:tc>
        <w:tc>
          <w:tcPr>
            <w:tcW w:w="1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4.10%</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Expected annual rate of compensation increase</w:t>
            </w:r>
          </w:p>
        </w:tc>
        <w:tc>
          <w:tcPr>
            <w:tcW w:w="1500" w:type="dxa"/>
            <w:vAlign w:val="bottom"/>
          </w:tcPr>
          <w:p>
            <w:pPr>
              <w:ind w:left="580"/>
              <w:spacing w:after="0"/>
              <w:rPr>
                <w:sz w:val="20"/>
                <w:szCs w:val="20"/>
                <w:color w:val="auto"/>
              </w:rPr>
            </w:pPr>
            <w:r>
              <w:rPr>
                <w:rFonts w:ascii="Arial" w:cs="Arial" w:eastAsia="Arial" w:hAnsi="Arial"/>
                <w:sz w:val="18"/>
                <w:szCs w:val="18"/>
                <w:color w:val="auto"/>
              </w:rPr>
              <w:t>3.18%</w:t>
            </w: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3.04%</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determine a discount rate for our plans based on the estimated duration of each plan’s liabilities. For our euro denominated defined benefit pension plans, which consist of 95% of our benefit obligation, we match the plans’ expected future benefit payments against a yield curve derived from select bonds (bonds with market values that exceed €500 million, have a maturity greater than one year with no special features, and have a spread between the bid and ask prices of less than 5% of the average bid and ask prices). The yield curve derived for most of the euro denominated plans was 5.50%.</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While the study primarily gives consideration to recent insurers’ performance and historical returns, the assumption represents a long-term prospective return.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one plan in which the fair value of plan assets exceeds the projected benefit obligation and the accumulated benefit obligation. Therefore, for the pension plans in which the accumulated benefit obligations exceeds the fair value of plan assets, our total obligation and the fair value of plan assets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40" w:type="dxa"/>
            <w:vAlign w:val="bottom"/>
          </w:tcPr>
          <w:p>
            <w:pPr>
              <w:spacing w:after="0"/>
              <w:rPr>
                <w:sz w:val="20"/>
                <w:szCs w:val="20"/>
                <w:color w:val="auto"/>
              </w:rPr>
            </w:pPr>
          </w:p>
        </w:tc>
        <w:tc>
          <w:tcPr>
            <w:tcW w:w="254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8"/>
                <w:szCs w:val="18"/>
                <w:b w:val="1"/>
                <w:bCs w:val="1"/>
                <w:color w:val="auto"/>
                <w:w w:val="90"/>
              </w:rPr>
              <w:t>At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88"/>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960" w:type="dxa"/>
            <w:vAlign w:val="bottom"/>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71,799</w:t>
            </w:r>
          </w:p>
        </w:tc>
        <w:tc>
          <w:tcPr>
            <w:tcW w:w="10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65,482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9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67,576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61,414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r>
    </w:tbl>
    <w:p>
      <w:pPr>
        <w:spacing w:after="0" w:line="94" w:lineRule="exact"/>
        <w:rPr>
          <w:sz w:val="20"/>
          <w:szCs w:val="20"/>
          <w:color w:val="auto"/>
        </w:rPr>
      </w:pPr>
    </w:p>
    <w:p>
      <w:pPr>
        <w:sectPr>
          <w:pgSz w:w="11900" w:h="16838" w:orient="portrait"/>
          <w:cols w:equalWidth="0" w:num="1">
            <w:col w:w="11420"/>
          </w:cols>
          <w:pgMar w:left="240" w:top="114" w:right="239" w:bottom="1440" w:gutter="0" w:footer="0" w:header="0"/>
        </w:sect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Strategic pension plan asset allocations are determined by the objective to achieve an investment return, which together with the contributions paid, is sufficient to maintain reasonable control over the various funding risks of the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as of December 31, 2009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Quoted Prices in</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Active Markets for</w:t>
            </w: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Identical Assets</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r>
      <w:tr>
        <w:trPr>
          <w:trHeight w:val="241"/>
        </w:trPr>
        <w:tc>
          <w:tcPr>
            <w:tcW w:w="596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(Level 1)</w:t>
            </w:r>
          </w:p>
        </w:tc>
        <w:tc>
          <w:tcPr>
            <w:tcW w:w="26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80" w:type="dxa"/>
            <w:vAlign w:val="bottom"/>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Insurance funds</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9"/>
                <w:szCs w:val="19"/>
                <w:color w:val="auto"/>
              </w:rPr>
            </w:pPr>
          </w:p>
        </w:tc>
      </w:tr>
      <w:tr>
        <w:trPr>
          <w:trHeight w:val="237"/>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fair value of plan assets</w:t>
            </w:r>
          </w:p>
        </w:tc>
        <w:tc>
          <w:tcPr>
            <w:tcW w:w="1180" w:type="dxa"/>
            <w:vAlign w:val="bottom"/>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are not significant to our total company assets, no further breakdown is provided.</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our assets for unfunded plans, and reflecting expected future service, as appropriate, are expected to be paid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Estimated Annual</w:t>
            </w:r>
          </w:p>
        </w:tc>
      </w:tr>
      <w:tr>
        <w:trPr>
          <w:trHeight w:val="241"/>
        </w:trPr>
        <w:tc>
          <w:tcPr>
            <w:tcW w:w="97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Benefit Payments</w:t>
            </w:r>
          </w:p>
        </w:tc>
      </w:tr>
      <w:tr>
        <w:trPr>
          <w:trHeight w:val="216"/>
        </w:trPr>
        <w:tc>
          <w:tcPr>
            <w:tcW w:w="9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4,095</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3,648</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4,622</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w:t>
            </w:r>
          </w:p>
        </w:tc>
      </w:t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2015 - 2019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22,533</w:t>
            </w:r>
          </w:p>
        </w:tc>
      </w:tr>
    </w:tbl>
    <w:p>
      <w:pPr>
        <w:spacing w:after="0" w:line="21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stock issued pursuant to our ESPP, and the issuance of restricted and unrestricted stock awards and units. We expense stock-based compensation using the straight-line method over the vesting requirement period. For the years ended December 31, stock-based compensation expense and related tax benefit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6,903</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3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stock awards and units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9,306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Unrestricted stock awards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ESPP</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w:t>
            </w:r>
          </w:p>
        </w:tc>
        <w:tc>
          <w:tcPr>
            <w:tcW w:w="25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16,982</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3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Related tax benefit</w:t>
            </w:r>
          </w:p>
        </w:tc>
        <w:tc>
          <w:tcPr>
            <w:tcW w:w="25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4,329</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common stock upon the exercise of stock options or when vesting conditions on restricted awards are fully satisfied.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42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18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8"/>
              </w:rPr>
              <w:t>Employee Stock Options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3"/>
            <w:vMerge w:val="restart"/>
          </w:tcPr>
          <w:p>
            <w:pPr>
              <w:jc w:val="center"/>
              <w:ind w:right="480"/>
              <w:spacing w:after="0"/>
              <w:rPr>
                <w:sz w:val="20"/>
                <w:szCs w:val="20"/>
                <w:color w:val="auto"/>
              </w:rPr>
            </w:pPr>
            <w:r>
              <w:rPr>
                <w:rFonts w:ascii="Arial" w:cs="Arial" w:eastAsia="Arial" w:hAnsi="Arial"/>
                <w:sz w:val="18"/>
                <w:szCs w:val="18"/>
                <w:b w:val="1"/>
                <w:bCs w:val="1"/>
                <w:color w:val="auto"/>
                <w:w w:val="91"/>
              </w:rPr>
              <w:t>ESPP</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tcBorders>
              <w:bottom w:val="single" w:sz="8" w:color="auto"/>
            </w:tcBorders>
            <w:gridSpan w:val="5"/>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19"/>
                <w:szCs w:val="19"/>
                <w:color w:val="auto"/>
              </w:rPr>
            </w:pPr>
          </w:p>
        </w:tc>
        <w:tc>
          <w:tcPr>
            <w:tcW w:w="2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Expected life (years)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stock splits, dividends, and other similar events, 5,875,000 shares of common stock are reserved and authorized for issuance under our Amended and Restated 2000 Stock Incentive Plan. Of the authorized shares under the plan, no more than 1.0 million shares can be issued as non-stock options (awards). Awards consist of restricted stock units, restricted stock awards, and unrestricted stock awards. At December 31, 2009, shares available for issuance under the plan as either options or awards were 533,407.</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20" w:type="dxa"/>
            <w:vAlign w:val="bottom"/>
            <w:gridSpan w:val="11"/>
          </w:tcPr>
          <w:p>
            <w:pPr>
              <w:spacing w:after="0"/>
              <w:rPr>
                <w:sz w:val="20"/>
                <w:szCs w:val="20"/>
                <w:color w:val="auto"/>
              </w:rPr>
            </w:pPr>
            <w:r>
              <w:rPr>
                <w:rFonts w:ascii="Arial" w:cs="Arial" w:eastAsia="Arial" w:hAnsi="Arial"/>
                <w:sz w:val="18"/>
                <w:szCs w:val="18"/>
                <w:color w:val="auto"/>
              </w:rPr>
              <w:t>A summary of our stock option activity for the years ended December 31, 2009, 2008, and 2007 is as follows: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4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 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Intrinsic Value</w:t>
            </w:r>
          </w:p>
        </w:tc>
        <w:tc>
          <w:tcPr>
            <w:tcW w:w="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18"/>
                <w:szCs w:val="18"/>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49,469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68.45</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43,064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Forfeited</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44.28</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Expired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42.62</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December 31, 2007</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37.81</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6.98</w:t>
            </w:r>
          </w:p>
        </w:tc>
        <w:tc>
          <w:tcPr>
            <w:tcW w:w="16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90,769</w:t>
            </w: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Exercisable and expected to vest, December 31, 2007</w:t>
            </w:r>
          </w:p>
        </w:tc>
        <w:tc>
          <w:tcPr>
            <w:tcW w:w="1280" w:type="dxa"/>
            <w:vAlign w:val="bottom"/>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83,896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Exercisable, December 31, 2007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23.84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57,582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95.79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26.42</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28,543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Forfeited</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47.70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Expired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21.30</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December 31, 2008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51.53</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6.99</w:t>
            </w:r>
          </w:p>
        </w:tc>
        <w:tc>
          <w:tcPr>
            <w:tcW w:w="16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25,809</w:t>
            </w: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Exercisable and expected to vest, December 31, 2008</w:t>
            </w:r>
          </w:p>
        </w:tc>
        <w:tc>
          <w:tcPr>
            <w:tcW w:w="1280" w:type="dxa"/>
            <w:vAlign w:val="bottom"/>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50.50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25,673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Exercisable, December 31, 2008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35.71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23,253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57.96</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21.68</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Forfeited</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84.33</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Expired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57.23</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December 31, 2009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52.93</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5.90</w:t>
            </w:r>
          </w:p>
        </w:tc>
        <w:tc>
          <w:tcPr>
            <w:tcW w:w="16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22,863</w:t>
            </w: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Exercisable and expected to vest, December 31, 2009</w:t>
            </w:r>
          </w:p>
        </w:tc>
        <w:tc>
          <w:tcPr>
            <w:tcW w:w="1280" w:type="dxa"/>
            <w:vAlign w:val="bottom"/>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52.67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22,826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Exercisable, December 31, 2009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22,343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in the table above is the amount by which the market value of the underlying stock exceeded the exercise price of the outstanding options before applicable income taxes, based on the closing stock price on the last business day of the period, which represents amounts that would have been received by the optionees had all options been exercised on that date. As of December 31, 2009, total unrecognized stock-based compensation expense related to nonvested stock options was approximately $3.9 million, which is expected to be recognized over a weighted average period of approximately 15 months.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Certain employees and senior management receive restricted stock units (RSU’s) or restricted stock awards (RSA’s) (collectively, restricted awards) as a component of their total compensation. The fair value of a restricted award is the market close price of our common stock on the date of grant. Restricted awards generally vest over a three year period. Compensation expense, net of forfeitures, is recognized over the vesting period.</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awards are converted into shares of our common stock on a one-for-one basis and issued to employees. We are entitled to an income tax deduction in an amount equal to the taxable income reported by the employees upon vesting of the restricted awards.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784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gridSpan w:val="6"/>
          </w:tcPr>
          <w:p>
            <w:pPr>
              <w:spacing w:after="0"/>
              <w:rPr>
                <w:sz w:val="20"/>
                <w:szCs w:val="20"/>
                <w:color w:val="auto"/>
              </w:rPr>
            </w:pPr>
            <w:r>
              <w:rPr>
                <w:rFonts w:ascii="Arial" w:cs="Arial" w:eastAsia="Arial" w:hAnsi="Arial"/>
                <w:sz w:val="18"/>
                <w:szCs w:val="18"/>
                <w:color w:val="auto"/>
                <w:w w:val="90"/>
              </w:rPr>
              <w:t>The following tables summarize restricted award activity for the years ended December 31, 2009, 2008, and 2007:</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Average Grant</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Restricted Awards</w:t>
            </w:r>
          </w:p>
        </w:tc>
        <w:tc>
          <w:tcPr>
            <w:tcW w:w="100" w:type="dxa"/>
            <w:vAlign w:val="bottom"/>
          </w:tcPr>
          <w:p>
            <w:pPr>
              <w:spacing w:after="0"/>
              <w:rPr>
                <w:sz w:val="20"/>
                <w:szCs w:val="20"/>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Date Fair Value</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January 1, 2007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ind w:left="560"/>
              <w:spacing w:after="0"/>
              <w:rPr>
                <w:sz w:val="20"/>
                <w:szCs w:val="20"/>
                <w:color w:val="auto"/>
              </w:rPr>
            </w:pPr>
            <w:r>
              <w:rPr>
                <w:rFonts w:ascii="Arial" w:cs="Arial" w:eastAsia="Arial" w:hAnsi="Arial"/>
                <w:sz w:val="18"/>
                <w:szCs w:val="18"/>
                <w:color w:val="auto"/>
              </w:rPr>
              <w:t>Granted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Released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56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2007</w:t>
            </w:r>
          </w:p>
        </w:tc>
        <w:tc>
          <w:tcPr>
            <w:tcW w:w="120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Granted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ind w:left="560"/>
              <w:spacing w:after="0"/>
              <w:rPr>
                <w:sz w:val="20"/>
                <w:szCs w:val="20"/>
                <w:color w:val="auto"/>
              </w:rPr>
            </w:pPr>
            <w:r>
              <w:rPr>
                <w:rFonts w:ascii="Arial" w:cs="Arial" w:eastAsia="Arial" w:hAnsi="Arial"/>
                <w:sz w:val="18"/>
                <w:szCs w:val="18"/>
                <w:color w:val="auto"/>
              </w:rPr>
              <w:t>Released</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Forfeited</w:t>
            </w:r>
          </w:p>
        </w:tc>
        <w:tc>
          <w:tcPr>
            <w:tcW w:w="1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December 31, 2008</w:t>
            </w:r>
          </w:p>
        </w:tc>
        <w:tc>
          <w:tcPr>
            <w:tcW w:w="12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313</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ind w:left="560"/>
              <w:spacing w:after="0"/>
              <w:rPr>
                <w:sz w:val="20"/>
                <w:szCs w:val="20"/>
                <w:color w:val="auto"/>
              </w:rPr>
            </w:pPr>
            <w:r>
              <w:rPr>
                <w:rFonts w:ascii="Arial" w:cs="Arial" w:eastAsia="Arial" w:hAnsi="Arial"/>
                <w:sz w:val="18"/>
                <w:szCs w:val="18"/>
                <w:color w:val="auto"/>
              </w:rPr>
              <w:t>Granted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Released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56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2009</w:t>
            </w:r>
          </w:p>
        </w:tc>
        <w:tc>
          <w:tcPr>
            <w:tcW w:w="120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 December 31, 2009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to vest, December 31, 2009</w:t>
            </w: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is the market value of the stock released or vested, before applicable income taxes, based on the closing price on the stock release dates or at the end of the period for stock vested but not released. At December 31, 2009, unrecognized compensation expense was $8.6 million, which is expected to be recognized over a weighted average period of approximately 16 months.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issue unrestricted stock awards to our Board of Directors as part of their compensation. Awards are fully vested at issuance and are expensed when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Shares of unrestricted stock issued</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4,284</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59.40</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eligible employees can elect to deduct up to 10% of their regular cash compensation to purchase our common stock at a discounted price. The purchase price of the common stock is 85% of the fair market value of the stock at the end of each fiscal quarter. The sale of the stock occurs at the beginning of the subsequent quarter.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following table summarizes ESPP activity for the years ended December 31:</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Shares of stock sold to employees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61,407</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33,149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Weighted average fair value per share</w:t>
            </w:r>
            <w:r>
              <w:rPr>
                <w:rFonts w:ascii="Arial" w:cs="Arial" w:eastAsia="Arial" w:hAnsi="Arial"/>
                <w:sz w:val="25"/>
                <w:szCs w:val="25"/>
                <w:color w:val="auto"/>
                <w:vertAlign w:val="superscript"/>
              </w:rPr>
              <w:t>(1)</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4460" w:hanging="5612"/>
        <w:spacing w:after="0" w:line="606" w:lineRule="auto"/>
        <w:tabs>
          <w:tab w:leader="none" w:pos="259"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Relating to awards associated with the offering periods during the years ended December 31.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fair value of ESPP awards is estimated using the Black-Scholes option-pricing model. At December 31, 2009, all compensation cost associated with the ESPP had been recognized. There were approximately 247,000 shares of common stock available for future issuance under the ESPP at December 31, 2009.</w:t>
      </w:r>
    </w:p>
    <w:p>
      <w:pPr>
        <w:spacing w:after="0" w:line="1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Employee Savings Plans and Bonus, Profit Sharing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Savings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employee incentive savings plan in which substantially all of our U.S. employees are eligible to participate. Employees may contribute, on a tax-deferred basis, from 1% to 50% of their salary, up to the annual U.S. Internal Revenue Service limit. We provide a 50% match on the first 6% of the employee salary deferral, subject to statutory limitations. In 2009, we temporarily suspended the employee savings plan match effective April 1 through December 31. The expense for our matching contribution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Employee savings plan matching contribution</w:t>
            </w:r>
          </w:p>
        </w:tc>
        <w:tc>
          <w:tcPr>
            <w:tcW w:w="2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employee bonus and profit sharing plans in which many of our employees participate, which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 Bonus and profit sharing expense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5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Bonus and profit sharing expense</w:t>
            </w:r>
          </w:p>
        </w:tc>
        <w:tc>
          <w:tcPr>
            <w:tcW w:w="3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7.6 $</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r>
    </w:tbl>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00" w:type="dxa"/>
            <w:vAlign w:val="bottom"/>
            <w:gridSpan w:val="2"/>
            <w:vMerge w:val="continue"/>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20,392</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20"/>
              <w:spacing w:after="0"/>
              <w:rPr>
                <w:sz w:val="20"/>
                <w:szCs w:val="20"/>
                <w:color w:val="auto"/>
              </w:rPr>
            </w:pPr>
            <w:r>
              <w:rPr>
                <w:rFonts w:ascii="Arial" w:cs="Arial" w:eastAsia="Arial" w:hAnsi="Arial"/>
                <w:sz w:val="18"/>
                <w:szCs w:val="18"/>
                <w:color w:val="auto"/>
              </w:rPr>
              <w:t>Total current</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20,392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42,038</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(39,311)</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(3,341)</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(1,807)</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(28,118)</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(33,429)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20"/>
              <w:spacing w:after="0"/>
              <w:rPr>
                <w:sz w:val="20"/>
                <w:szCs w:val="20"/>
                <w:color w:val="auto"/>
              </w:rPr>
            </w:pPr>
            <w:r>
              <w:rPr>
                <w:rFonts w:ascii="Arial" w:cs="Arial" w:eastAsia="Arial" w:hAnsi="Arial"/>
                <w:sz w:val="18"/>
                <w:szCs w:val="18"/>
                <w:color w:val="auto"/>
              </w:rPr>
              <w:t>Total deferred</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(70,770)</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(43,317)</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6,553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benefit for income taxes</w:t>
            </w:r>
          </w:p>
        </w:tc>
        <w:tc>
          <w:tcPr>
            <w:tcW w:w="3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(43,825)</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1690"/>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58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gridSpan w:val="7"/>
          </w:tcPr>
          <w:p>
            <w:pPr>
              <w:spacing w:after="0"/>
              <w:rPr>
                <w:sz w:val="20"/>
                <w:szCs w:val="20"/>
                <w:color w:val="auto"/>
              </w:rPr>
            </w:pPr>
            <w:r>
              <w:rPr>
                <w:rFonts w:ascii="Arial" w:cs="Arial" w:eastAsia="Arial" w:hAnsi="Arial"/>
                <w:sz w:val="18"/>
                <w:szCs w:val="18"/>
                <w:color w:val="auto"/>
                <w:w w:val="92"/>
              </w:rPr>
              <w:t>A reconciliation of income taxes at the U.S. federal statutory rate of 35% to the consolidated actual tax rate is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0" w:type="dxa"/>
            <w:vAlign w:val="bottom"/>
            <w:gridSpan w:val="3"/>
            <w:vMerge w:val="continue"/>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34,946</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68,968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(81,020)</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(50,386)</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income (loss) before income taxes</w:t>
            </w:r>
          </w:p>
        </w:tc>
        <w:tc>
          <w:tcPr>
            <w:tcW w:w="17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(46,074)</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federal income tax provision (benefit)</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(16,126)</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(23,224)</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(4,341)</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 benefit, net of federal effect</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6,553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 process research and development</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Uncertain tax positions, including interest and penalties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12,053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tax rates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1,648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earnings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(18,224)</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(24,822)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U.S. tax on foreign earnings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7,932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15,470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tax benefit of foreign branch loss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(5,464)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benefit for income taxes</w:t>
            </w:r>
          </w:p>
        </w:tc>
        <w:tc>
          <w:tcPr>
            <w:tcW w:w="17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(43,825)</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tax benefits for 2009, 2008, and 2007 reflect benefits associated with lower statutory tax rates on foreign earnings as compared with our U.S. federal statutory rate, and the benefit of foreign interest expense deductions. We made an election under Internal Revenue Code Section 338 with respect to the Actaris acquisition, which resulted in a reduced global effective tax rate. Furthermore, during 2009, we recorded deferred tax assets for foreign tax credit carryforwards resulting from the election to claim foreign taxes as a credit instead of a deduction on our fiscal 2007 and 2008 U.S. tax returns.</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00"/>
          </w:cols>
          <w:pgMar w:left="240" w:top="114" w:right="1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6540" w:type="dxa"/>
            <w:vAlign w:val="bottom"/>
            <w:gridSpan w:val="2"/>
            <w:vMerge w:val="continue"/>
          </w:tcPr>
          <w:p>
            <w:pPr>
              <w:spacing w:after="0"/>
              <w:rPr>
                <w:sz w:val="17"/>
                <w:szCs w:val="17"/>
                <w:color w:val="auto"/>
              </w:rPr>
            </w:pPr>
          </w:p>
        </w:tc>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carryforwards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70,897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Tax credits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51,835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Derivatives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12,728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Warranty reserves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Equity compensation</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Pension plan benefits expense</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Inventory valuation</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Other deferred tax assets, net</w:t>
            </w: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deferred tax assets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189,174</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120"/>
              <w:spacing w:after="0"/>
              <w:rPr>
                <w:sz w:val="20"/>
                <w:szCs w:val="20"/>
                <w:color w:val="auto"/>
              </w:rPr>
            </w:pPr>
            <w:r>
              <w:rPr>
                <w:rFonts w:ascii="Arial" w:cs="Arial" w:eastAsia="Arial" w:hAnsi="Arial"/>
                <w:sz w:val="18"/>
                <w:szCs w:val="18"/>
                <w:color w:val="auto"/>
              </w:rPr>
              <w:t>Valuation allowance</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(22,425)</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deferred tax assets</w:t>
            </w:r>
          </w:p>
        </w:tc>
        <w:tc>
          <w:tcPr>
            <w:tcW w:w="2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166,749</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(115,972)</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Convertible debt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(18,524)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60"/>
              <w:spacing w:after="0"/>
              <w:rPr>
                <w:sz w:val="20"/>
                <w:szCs w:val="20"/>
                <w:color w:val="auto"/>
              </w:rPr>
            </w:pPr>
            <w:r>
              <w:rPr>
                <w:rFonts w:ascii="Arial" w:cs="Arial" w:eastAsia="Arial" w:hAnsi="Arial"/>
                <w:sz w:val="18"/>
                <w:szCs w:val="18"/>
                <w:color w:val="auto"/>
              </w:rPr>
              <w:t>Tax effect of accumulated translation</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deferred tax liabilities, net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120"/>
              <w:spacing w:after="0"/>
              <w:rPr>
                <w:sz w:val="20"/>
                <w:szCs w:val="20"/>
                <w:color w:val="auto"/>
              </w:rPr>
            </w:pPr>
            <w:r>
              <w:rPr>
                <w:rFonts w:ascii="Arial" w:cs="Arial" w:eastAsia="Arial" w:hAnsi="Arial"/>
                <w:sz w:val="18"/>
                <w:szCs w:val="18"/>
                <w:color w:val="auto"/>
              </w:rPr>
              <w:t>Total deferred tax liabilities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(138,375)</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(179,779)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Realization is dependent on generating sufficient taxable income prior to expiration of tax attribute carryforwards. Although realization is not assured, management believes it is more likely than not that all of the deferred tax assets will be realized. The amount of the deferred tax assets considered realizable, however, could be reduced in the near term if estimates of future taxable income during the carryforward periods are reduced or current tax planning strategies are not implemented.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2009, we had federal loss carryforwards of $97.0 million that expire during the years 2020 through 2029. The remaining portion of the loss carryforwards are composed primarily of Itron International’s losses in various foreign jurisdictions. The majority of these losses can be carried forward indefinitely. At December 31, 2009, there was a valuation allowance of $22.4 million associated with Itron International’s foreign loss carryforwards. We also had federal research and development tax credits of $25.0 million, which begin to expire in 2019. We have unused alternative minimum tax credits of $2.5 million at December 31, 2009, which are available to reduce future income tax liabilities. The alternative minimum tax credits may be carried forward indefinitely. We have foreign tax credits of $26.7 million, which begin to expire in 2017.</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Our deferred tax assets at December 31, 2009 do not include the tax effect on $57.8 million of excess tax benefits from employee stock option exercises.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$22.2 million if and when such excess tax benefits reduce cash taxes payable.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consist primarily of undistributed foreign earnings of $36.9 million and $30.8 million at December 31, 2009 and 2008, respectively. Foreign taxes have been provided on these undistributed foreign earnings. Determination of the amount of deferred taxes on these temporary differences is not practicable due to foreign tax credits and exclusions.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income tax in the U.S. federal jurisdiction and numerous foreign and state jurisdictions. The Internal Revenue Service has completed its examination of our federal income tax returns for the tax years through 1995. Due to the existence of net operating loss and tax credit carryforwards, tax years subsequent to 1995 remain open to examination by the major tax jurisdictions in which we are subject. Due to the geographic breadth of our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Due to the uncertain and complex application of tax regulations, it is possible that the ultimate resolution of audits may result in liabilities, which could be different from these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January 1, 2007</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Actaris acquisition opening balance</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increase to positions in prior years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Gross increases to current period tax positions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Audit settlements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Effect of change in exchange rates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December 31, 2007</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to positions in prior years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Gross decrease to positions in prior years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increases to current period tax positions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Audit settlements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change in exchange rates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Unrecognized tax benefits at December 31, 2008</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Gross increase to positions in prior years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decrease to positions in prior years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Gross increases to current period tax positions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Audit settlements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Effect of change in exchange rates</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December 31, 2009</w:t>
            </w:r>
          </w:p>
        </w:tc>
        <w:tc>
          <w:tcPr>
            <w:tcW w:w="1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At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c>
          <w:tcPr>
            <w:tcW w:w="1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(in millions)</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amount of unrecognized tax benefits that, if recognized,</w:t>
            </w:r>
          </w:p>
        </w:tc>
        <w:tc>
          <w:tcPr>
            <w:tcW w:w="1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would affect our effective tax rate</w:t>
            </w:r>
          </w:p>
        </w:tc>
        <w:tc>
          <w:tcPr>
            <w:tcW w:w="2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Interest and penalties recognized, and accrued interest and penalties recorded,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17"/>
        </w:trPr>
        <w:tc>
          <w:tcPr>
            <w:tcW w:w="1020" w:type="dxa"/>
            <w:vAlign w:val="bottom"/>
            <w:tcBorders>
              <w:top w:val="single" w:sz="8" w:color="0000EE"/>
            </w:tcBorders>
          </w:tcPr>
          <w:p>
            <w:pPr>
              <w:spacing w:after="0"/>
              <w:rPr>
                <w:sz w:val="18"/>
                <w:szCs w:val="18"/>
                <w:color w:val="auto"/>
              </w:rPr>
            </w:pPr>
          </w:p>
        </w:tc>
        <w:tc>
          <w:tcPr>
            <w:tcW w:w="66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5"/>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penalties recognized</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466"/>
        </w:trPr>
        <w:tc>
          <w:tcPr>
            <w:tcW w:w="10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8"/>
          </w:tcPr>
          <w:p>
            <w:pPr>
              <w:ind w:left="44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10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260" w:type="dxa"/>
            <w:vAlign w:val="bottom"/>
            <w:gridSpan w:val="5"/>
          </w:tcPr>
          <w:p>
            <w:pPr>
              <w:jc w:val="right"/>
              <w:ind w:right="650"/>
              <w:spacing w:after="0"/>
              <w:rPr>
                <w:sz w:val="20"/>
                <w:szCs w:val="20"/>
                <w:color w:val="auto"/>
              </w:rPr>
            </w:pPr>
            <w:r>
              <w:rPr>
                <w:rFonts w:ascii="Arial" w:cs="Arial" w:eastAsia="Arial" w:hAnsi="Arial"/>
                <w:sz w:val="17"/>
                <w:szCs w:val="17"/>
                <w:b w:val="1"/>
                <w:bCs w:val="1"/>
                <w:color w:val="auto"/>
                <w:w w:val="71"/>
              </w:rPr>
              <w:t>millions)</w:t>
            </w:r>
          </w:p>
        </w:tc>
        <w:tc>
          <w:tcPr>
            <w:tcW w:w="120" w:type="dxa"/>
            <w:vAlign w:val="bottom"/>
            <w:gridSpan w:val="2"/>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Accrued penalties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2009, we expect to pay $765,000 in income taxes, interest, and penalties related to uncertain tax positions over the next twelve months. We are not able to reasonably estimate the timing of future cash flows relating to the remaining balance.</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it reasonably possible that our unrecognized tax benefits may decrease by approximately $11.3 million within the next twelve months due to a change in the method of depreciation for certain foreign subsidiaries, expiration of statute of limitations, and a final ruling related to an audit.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Tax Jurisdiction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0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rPr>
              <w:t>Years Subject to Audit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gridSpan w:val="5"/>
            <w:shd w:val="clear" w:color="auto" w:fill="CCEEFF"/>
          </w:tcPr>
          <w:p>
            <w:pPr>
              <w:ind w:left="60"/>
              <w:spacing w:after="0"/>
              <w:rPr>
                <w:sz w:val="20"/>
                <w:szCs w:val="20"/>
                <w:color w:val="auto"/>
              </w:rPr>
            </w:pPr>
            <w:r>
              <w:rPr>
                <w:rFonts w:ascii="Arial" w:cs="Arial" w:eastAsia="Arial" w:hAnsi="Arial"/>
                <w:sz w:val="18"/>
                <w:szCs w:val="18"/>
                <w:color w:val="auto"/>
              </w:rPr>
              <w:t>Subsequent to 1995</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5"/>
          </w:tcPr>
          <w:p>
            <w:pPr>
              <w:ind w:left="60"/>
              <w:spacing w:after="0"/>
              <w:rPr>
                <w:sz w:val="20"/>
                <w:szCs w:val="20"/>
                <w:color w:val="auto"/>
              </w:rPr>
            </w:pPr>
            <w:r>
              <w:rPr>
                <w:rFonts w:ascii="Arial" w:cs="Arial" w:eastAsia="Arial" w:hAnsi="Arial"/>
                <w:sz w:val="18"/>
                <w:szCs w:val="18"/>
                <w:color w:val="auto"/>
              </w:rPr>
              <w:t>Subsequent to 2007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Subsequent to 2004</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5"/>
          </w:tcPr>
          <w:p>
            <w:pPr>
              <w:ind w:left="60"/>
              <w:spacing w:after="0"/>
              <w:rPr>
                <w:sz w:val="20"/>
                <w:szCs w:val="20"/>
                <w:color w:val="auto"/>
              </w:rPr>
            </w:pPr>
            <w:r>
              <w:rPr>
                <w:rFonts w:ascii="Arial" w:cs="Arial" w:eastAsia="Arial" w:hAnsi="Arial"/>
                <w:sz w:val="18"/>
                <w:szCs w:val="18"/>
                <w:color w:val="auto"/>
              </w:rPr>
              <w:t>Subsequent to 2005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Subsequent to 2002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45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Note 12:  Commitments and Contingencies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7460" w:type="dxa"/>
            <w:vAlign w:val="bottom"/>
          </w:tcPr>
          <w:p>
            <w:pPr>
              <w:ind w:left="160"/>
              <w:spacing w:after="0"/>
              <w:rPr>
                <w:sz w:val="20"/>
                <w:szCs w:val="20"/>
                <w:color w:val="auto"/>
              </w:rPr>
            </w:pPr>
            <w:r>
              <w:rPr>
                <w:rFonts w:ascii="Arial" w:cs="Arial" w:eastAsia="Arial" w:hAnsi="Arial"/>
                <w:sz w:val="18"/>
                <w:szCs w:val="18"/>
                <w:i w:val="1"/>
                <w:iCs w:val="1"/>
                <w:color w:val="auto"/>
              </w:rPr>
              <w:t>Commitments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8380" w:type="dxa"/>
            <w:vAlign w:val="bottom"/>
            <w:gridSpan w:val="5"/>
          </w:tcPr>
          <w:p>
            <w:pPr>
              <w:spacing w:after="0"/>
              <w:rPr>
                <w:sz w:val="20"/>
                <w:szCs w:val="20"/>
                <w:color w:val="auto"/>
              </w:rPr>
            </w:pPr>
            <w:r>
              <w:rPr>
                <w:rFonts w:ascii="Arial" w:cs="Arial" w:eastAsia="Arial" w:hAnsi="Arial"/>
                <w:sz w:val="18"/>
                <w:szCs w:val="18"/>
                <w:color w:val="auto"/>
                <w:w w:val="92"/>
              </w:rPr>
              <w:t>Operating lease rental expense for warehouse, manufacturing, and office facilities and equipment was as follows: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15.9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15.6 $</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2009, under noncancelable operating leases with initial or remaining terms in excess of one year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Minimum</w:t>
            </w:r>
          </w:p>
        </w:tc>
      </w:tr>
      <w:tr>
        <w:trPr>
          <w:trHeight w:val="241"/>
        </w:trPr>
        <w:tc>
          <w:tcPr>
            <w:tcW w:w="43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Payments</w:t>
            </w:r>
          </w:p>
        </w:tc>
      </w:tr>
      <w:tr>
        <w:trPr>
          <w:trHeight w:val="216"/>
        </w:trPr>
        <w:tc>
          <w:tcPr>
            <w:tcW w:w="43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980" w:type="dxa"/>
            <w:vAlign w:val="bottom"/>
            <w:gridSpan w:val="2"/>
            <w:shd w:val="clear" w:color="auto" w:fill="CCEEFF"/>
          </w:tcPr>
          <w:p>
            <w:pPr>
              <w:ind w:left="5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2011</w:t>
            </w: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6,520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2013</w:t>
            </w: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3,387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Beyond 2014</w:t>
            </w:r>
          </w:p>
        </w:tc>
        <w:tc>
          <w:tcPr>
            <w:tcW w:w="5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r>
      <w:tr>
        <w:trPr>
          <w:trHeight w:val="257"/>
        </w:trPr>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Future minimum lease payments</w:t>
            </w:r>
          </w:p>
        </w:tc>
        <w:tc>
          <w:tcPr>
            <w:tcW w:w="5980" w:type="dxa"/>
            <w:vAlign w:val="bottom"/>
            <w:gridSpan w:val="2"/>
            <w:shd w:val="clear" w:color="auto" w:fill="CCEEFF"/>
          </w:tcPr>
          <w:p>
            <w:pPr>
              <w:ind w:left="5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28,901</w:t>
            </w:r>
          </w:p>
        </w:tc>
      </w:tr>
      <w:tr>
        <w:trPr>
          <w:trHeight w:val="426"/>
        </w:trPr>
        <w:tc>
          <w:tcPr>
            <w:tcW w:w="4340" w:type="dxa"/>
            <w:vAlign w:val="bottom"/>
            <w:tcBorders>
              <w:top w:val="single" w:sz="8" w:color="CCEEFF"/>
            </w:tcBorders>
          </w:tcPr>
          <w:p>
            <w:pPr>
              <w:spacing w:after="0"/>
              <w:rPr>
                <w:sz w:val="24"/>
                <w:szCs w:val="24"/>
                <w:color w:val="auto"/>
              </w:rPr>
            </w:pPr>
          </w:p>
        </w:tc>
        <w:tc>
          <w:tcPr>
            <w:tcW w:w="5840" w:type="dxa"/>
            <w:vAlign w:val="bottom"/>
            <w:tcBorders>
              <w:top w:val="single" w:sz="8" w:color="CCEEFF"/>
            </w:tcBorders>
          </w:tcPr>
          <w:p>
            <w:pPr>
              <w:jc w:val="right"/>
              <w:ind w:right="4290"/>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4340" w:type="dxa"/>
            <w:vAlign w:val="bottom"/>
            <w:tcBorders>
              <w:bottom w:val="single" w:sz="8" w:color="808080"/>
            </w:tcBorders>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Rent expense is recognized straight-line over the lease term, including renewal periods if reasonably assured. We lease most of our sales and administration offices. Our leases typically contain renewal options similar to the original terms with lease payments that increase based on the consumer price index.</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At December 31, 2009, in addition to the outstanding standby letters of credit of $39.9 million issued under our credit facility’s $115 million multicurrency revolver, our Itron International operating segment has a total of $38.7 million of unsecured multicurrency revolving lines of credit with various financial institutions with total outstanding standby letters of credit of $13.0 million. At December 31, 2008, Itron International had a total of $28.8 million of unsecured multicurrency revolving lines of credit with various financial institutions with total outstanding standby letters of credit of $6.7 million. Unsecured surety bonds in force were $71.4 million and $33.1 million at December 31, 2009 and 2008,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December 31, 2009 were not material to our financial condition or results of operations.</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28, 2009, Itron and PT Berca completed a settlement agreement in which litigation against several Itron International subsidiaries and the successor in interest to another company previously owned by Schlumberger Limited (Schlumberger) was dismissed. PT Berca had claimed that it had preemptive rights in the PT Mecoindo joint venture and had sought to nullify the transaction in 2001 whereby Schlumberger transferred its ownership interest in PT Mecoindo to an Itron International subsidiary. The plaintiff also sought to collect damages for the earnings it otherwise would have earned had its alleged preemptive rights been observed. In connection with the settlement, certain portions of the debt of PT Mecoindo were converted to equity and PT Mecoindo was restructured so that Itron and PT Berca became approximately 51:49 owners of PT Mecoindo as of August 28, 2009 and ownership will become equal as of August 28, 2010. This settlement did not, and is not expected to, have a material impact on our financial condition or results of operations.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18, 2009, we received a statement of claim in the matter of an arbitration between Cinclus Technology (Cinclus) and Itron Metering Solutions UK Ltd (Itron UK). The claim relates to an alleged defect in meters sold to Cinclus during 2007 for installation on a project Cinclus was managing for E.ON, a utility with customers in Sweden. On December 23, 2009, we received a statement of claim in the matter of an arbitration between Cinclus and Itron UK relating to an alleged defect in meters sold to Cinclus during 2007 - 2009 for installation on a project Cinclus was managing for Fortum, a utility with customers in Sweden. Both arbitrations have been filed with the Arbitration Institute of the Stockholm Chamber of Commerce. In both arbitrations, Cinclus claims the meters provided by Itron UK fail to meet specifications because in certain environments the meters are affected by external events, which impairs the meter’s capability to measure energy accurately. Cinclus asserts that all meters must be replaced at Itron UK’s cost and expense, including the cost of field work to replace the meters, plus other losses and damages to be specified at a later date. Itron UK has denied all of the allegations and will defend these claims. We do not believe this matter will have a material adverse effect on our business or financial condition, although an unfavorable outcome could have a material adverse effect on Itron’s results of operations for the period in which such a loss is recognized.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and the IBNR accrual, which is included in wages and benefits payable,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4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Plan costs</w:t>
            </w:r>
          </w:p>
        </w:tc>
        <w:tc>
          <w:tcPr>
            <w:tcW w:w="40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19.8</w:t>
            </w: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r>
      <w:tr>
        <w:trPr>
          <w:trHeight w:val="466"/>
        </w:trPr>
        <w:tc>
          <w:tcPr>
            <w:tcW w:w="4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7"/>
          </w:tcPr>
          <w:p>
            <w:pPr>
              <w:ind w:left="34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4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Pr>
          <w:p>
            <w:pPr>
              <w:spacing w:after="0"/>
              <w:rPr>
                <w:sz w:val="19"/>
                <w:szCs w:val="19"/>
                <w:color w:val="auto"/>
              </w:rPr>
            </w:pPr>
          </w:p>
        </w:tc>
      </w:tr>
      <w:tr>
        <w:trPr>
          <w:trHeight w:val="216"/>
        </w:trPr>
        <w:tc>
          <w:tcPr>
            <w:tcW w:w="4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w:t>
            </w:r>
          </w:p>
        </w:tc>
        <w:tc>
          <w:tcPr>
            <w:tcW w:w="1260" w:type="dxa"/>
            <w:vAlign w:val="bottom"/>
            <w:gridSpan w:val="4"/>
          </w:tcPr>
          <w:p>
            <w:pPr>
              <w:jc w:val="right"/>
              <w:ind w:right="650"/>
              <w:spacing w:after="0"/>
              <w:rPr>
                <w:sz w:val="20"/>
                <w:szCs w:val="20"/>
                <w:color w:val="auto"/>
              </w:rPr>
            </w:pPr>
            <w:r>
              <w:rPr>
                <w:rFonts w:ascii="Arial" w:cs="Arial" w:eastAsia="Arial" w:hAnsi="Arial"/>
                <w:sz w:val="17"/>
                <w:szCs w:val="17"/>
                <w:b w:val="1"/>
                <w:bCs w:val="1"/>
                <w:color w:val="auto"/>
                <w:w w:val="71"/>
              </w:rPr>
              <w:t>millions)</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IBNR accrual</w:t>
            </w:r>
          </w:p>
        </w:tc>
        <w:tc>
          <w:tcPr>
            <w:tcW w:w="3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Actaris acquisition opening balance/adjustments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product warranties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 changes/adjustments to warranties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Claims activity</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Effect of change in exchange rates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20,941</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warranty</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warranty expense, which is classified within cost of revenues and consists of new product warranties issued and other changes and adjustments to warranties,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4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3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15.0 $</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Shareholder Rights Plan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4, 2002, the Board of Directors authorized the implementation of a Shareholder Rights Plan and declared a dividend of one preferred share purchase right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 one one-hundredth (1/100) of a share of Series R Cumulative Participating Preferred Stock of the Company (a Preferred Share) with economic terms similar to that of one common share.</w:t>
      </w:r>
    </w:p>
    <w:p>
      <w:pPr>
        <w:sectPr>
          <w:pgSz w:w="11900" w:h="16838" w:orient="portrait"/>
          <w:cols w:equalWidth="0" w:num="1">
            <w:col w:w="11420"/>
          </w:cols>
          <w:pgMar w:left="240" w:top="12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Comprehensive Income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comprehensive income is reflected as a net increase to shareholders’ equity and is not reflected in our results of operations. Accumulated balances within other comprehensive income, net of tax,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8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8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unrealized loss on derivative instruments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(10,301)</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nonderivative hedging instrument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hedging (gains) losses reclassified into net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r>
      <w:tr>
        <w:trPr>
          <w:trHeight w:val="223"/>
        </w:trPr>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plan benefits liability adjustment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Total accumulated other comprehensive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71,130</w:t>
            </w:r>
          </w:p>
        </w:tc>
        <w:tc>
          <w:tcPr>
            <w:tcW w:w="10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34,093</w:t>
            </w:r>
          </w:p>
        </w:tc>
      </w:tr>
      <w:tr>
        <w:trPr>
          <w:trHeight w:val="21"/>
        </w:trPr>
        <w:tc>
          <w:tcPr>
            <w:tcW w:w="8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provided are representative of fair values only at December 31, 2009 and December 31, 2008 and do not reflect subsequent changes in the economy, interest rates, tax rates, and other variables that may affect the determination of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At December 31, 2009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240"/>
              <w:spacing w:after="0"/>
              <w:rPr>
                <w:sz w:val="20"/>
                <w:szCs w:val="20"/>
                <w:color w:val="auto"/>
              </w:rPr>
            </w:pPr>
            <w:r>
              <w:rPr>
                <w:rFonts w:ascii="Arial" w:cs="Arial" w:eastAsia="Arial" w:hAnsi="Arial"/>
                <w:sz w:val="18"/>
                <w:szCs w:val="18"/>
                <w:b w:val="1"/>
                <w:bCs w:val="1"/>
                <w:color w:val="auto"/>
              </w:rPr>
              <w:t>At December 31, 2008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Carrying</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Carrying</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121,893</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121,893</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Arial" w:cs="Arial" w:eastAsia="Arial" w:hAnsi="Arial"/>
                <w:sz w:val="18"/>
                <w:szCs w:val="18"/>
                <w:color w:val="auto"/>
              </w:rPr>
              <w:t>Foreign exchange forwards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USD denominated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284,693</w:t>
            </w:r>
          </w:p>
        </w:tc>
        <w:tc>
          <w:tcPr>
            <w:tcW w:w="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284,693</w:t>
            </w:r>
          </w:p>
        </w:tc>
        <w:tc>
          <w:tcPr>
            <w:tcW w:w="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375,744</w:t>
            </w:r>
          </w:p>
        </w:tc>
        <w:tc>
          <w:tcPr>
            <w:tcW w:w="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 denominated term loan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360,494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Arial" w:cs="Arial" w:eastAsia="Arial" w:hAnsi="Arial"/>
                <w:sz w:val="18"/>
                <w:szCs w:val="18"/>
                <w:color w:val="auto"/>
              </w:rPr>
              <w:t>Convertible senior subordinated notes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208,169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282,859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306,337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subordinated notes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15,154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15,154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17,495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exchange forwards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is based on quoted prices from recent trades of the term loans. At December 31, 2009, the quoted exit price was 100.00; therefore, the fair value was the same as the carrying value.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The convertible notes are registered with the SEC and are generally transferable. The fair value is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from recent broker trades of the convertible notes. The carrying value is lower than the face value of the convertible notes as a result of separating the liability and equity components. The face value of the convertible notes was $223.6 million at December 31, 2009 and $344.6 million at December 31, 2008. See Note 6 for further discussion.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of significant other observable inputs (Level 2).</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two operating segments: Itron North America and Itron International. Itron North America generates a majority of its revenues in the United States and Canada, while Itron International generates a majority of its revenues in Europe, and the balance primarily in Africa, South America, and Asia/Pacific. On January 1, 2009, we realigned our management reporting and geographic reporting structure between our International and North America operations. Itron North America now includes sales of gas and water meters in North America, which were previously part of Itron International. Therefore, the operating segment information as set forth below is based on our current segment reporting structure. Historical segment information has been restated from the segment information previously provided to conform to our current segment reporting structure after the January 1, 2009 realignment.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gain (loss) on extinguishment of debt, other income (expense), and income tax expense (benefit) are not allocated to the segments, nor included in the measure of segment profit or loss.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Depreciation and amortization expense allocated to our segments was as follows: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9"/>
                <w:szCs w:val="19"/>
                <w:color w:val="auto"/>
              </w:rPr>
            </w:pPr>
          </w:p>
        </w:tc>
      </w:tr>
      <w:tr>
        <w:trPr>
          <w:trHeight w:val="216"/>
        </w:trPr>
        <w:tc>
          <w:tcPr>
            <w:tcW w:w="6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6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Itron International</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r>
      <w:tr>
        <w:trPr>
          <w:trHeight w:val="27"/>
        </w:trPr>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6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Company</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46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20"/>
                <w:szCs w:val="20"/>
                <w:color w:val="auto"/>
              </w:rPr>
            </w:pP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Segment Products</w:t>
            </w:r>
          </w:p>
        </w:tc>
        <w:tc>
          <w:tcPr>
            <w:tcW w:w="5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Itron North America</w:t>
            </w:r>
          </w:p>
        </w:tc>
        <w:tc>
          <w:tcPr>
            <w:tcW w:w="9260" w:type="dxa"/>
            <w:vAlign w:val="bottom"/>
            <w:gridSpan w:val="10"/>
          </w:tcPr>
          <w:p>
            <w:pPr>
              <w:spacing w:after="0"/>
              <w:rPr>
                <w:sz w:val="20"/>
                <w:szCs w:val="20"/>
                <w:color w:val="auto"/>
              </w:rPr>
            </w:pPr>
            <w:r>
              <w:rPr>
                <w:rFonts w:ascii="Arial" w:cs="Arial" w:eastAsia="Arial" w:hAnsi="Arial"/>
                <w:sz w:val="18"/>
                <w:szCs w:val="18"/>
                <w:color w:val="auto"/>
                <w:w w:val="92"/>
              </w:rPr>
              <w:t>Electronic and smart electricity meters; gas and water meters; electricity, gas, and water automated meter reading (AMR)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0"/>
          </w:tcPr>
          <w:p>
            <w:pPr>
              <w:spacing w:after="0"/>
              <w:rPr>
                <w:sz w:val="20"/>
                <w:szCs w:val="20"/>
                <w:color w:val="auto"/>
              </w:rPr>
            </w:pPr>
            <w:r>
              <w:rPr>
                <w:rFonts w:ascii="Arial" w:cs="Arial" w:eastAsia="Arial" w:hAnsi="Arial"/>
                <w:sz w:val="18"/>
                <w:szCs w:val="18"/>
                <w:color w:val="auto"/>
                <w:w w:val="95"/>
              </w:rPr>
              <w:t>advanced  metering  infrastructure  (AMI)/smart  meter  modules;  handheld,  mobile,  and  network  AMR  data  collection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0"/>
          </w:tcPr>
          <w:p>
            <w:pPr>
              <w:spacing w:after="0"/>
              <w:rPr>
                <w:sz w:val="20"/>
                <w:szCs w:val="20"/>
                <w:color w:val="auto"/>
              </w:rPr>
            </w:pPr>
            <w:r>
              <w:rPr>
                <w:rFonts w:ascii="Arial" w:cs="Arial" w:eastAsia="Arial" w:hAnsi="Arial"/>
                <w:sz w:val="18"/>
                <w:szCs w:val="18"/>
                <w:color w:val="auto"/>
                <w:w w:val="94"/>
              </w:rPr>
              <w:t>technologies; AMI network technologies; software, installation, implementation, consulting, maintenance support, and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Itron International</w:t>
            </w:r>
          </w:p>
        </w:tc>
        <w:tc>
          <w:tcPr>
            <w:tcW w:w="7040" w:type="dxa"/>
            <w:vAlign w:val="bottom"/>
            <w:gridSpan w:val="5"/>
          </w:tcPr>
          <w:p>
            <w:pPr>
              <w:spacing w:after="0"/>
              <w:rPr>
                <w:sz w:val="20"/>
                <w:szCs w:val="20"/>
                <w:color w:val="auto"/>
              </w:rPr>
            </w:pPr>
            <w:r>
              <w:rPr>
                <w:rFonts w:ascii="Arial" w:cs="Arial" w:eastAsia="Arial" w:hAnsi="Arial"/>
                <w:sz w:val="18"/>
                <w:szCs w:val="18"/>
                <w:color w:val="auto"/>
                <w:w w:val="95"/>
              </w:rPr>
              <w:t>Electromechanical, electronic, and smart electricity meters; mechanical and ultrasonic water</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94"/>
              </w:rPr>
              <w:t>and heat meters;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diaphragm,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0"/>
          </w:tcPr>
          <w:p>
            <w:pPr>
              <w:spacing w:after="0"/>
              <w:rPr>
                <w:sz w:val="20"/>
                <w:szCs w:val="20"/>
                <w:color w:val="auto"/>
              </w:rPr>
            </w:pPr>
            <w:r>
              <w:rPr>
                <w:rFonts w:ascii="Arial" w:cs="Arial" w:eastAsia="Arial" w:hAnsi="Arial"/>
                <w:sz w:val="18"/>
                <w:szCs w:val="18"/>
                <w:color w:val="auto"/>
                <w:w w:val="92"/>
              </w:rPr>
              <w:t>turbine, and rotary gas meters; one-way and two-way electricity prepayment systems, including smart key, keypad, and smart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0"/>
          </w:tcPr>
          <w:p>
            <w:pPr>
              <w:spacing w:after="0"/>
              <w:rPr>
                <w:sz w:val="20"/>
                <w:szCs w:val="20"/>
                <w:color w:val="auto"/>
              </w:rPr>
            </w:pPr>
            <w:r>
              <w:rPr>
                <w:rFonts w:ascii="Arial" w:cs="Arial" w:eastAsia="Arial" w:hAnsi="Arial"/>
                <w:sz w:val="18"/>
                <w:szCs w:val="18"/>
                <w:color w:val="auto"/>
                <w:w w:val="95"/>
              </w:rPr>
              <w:t>card;  two-way  gas  prepayment  systems  using  smart  card;  AMR  and  AMI  data  collection  technologies;  installation,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9"/>
              </w:rPr>
              <w:t>implementation, maintenance support, and other managed services.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5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gridSpan w:val="2"/>
            <w:vMerge w:val="continue"/>
          </w:tcPr>
          <w:p>
            <w:pPr>
              <w:spacing w:after="0"/>
              <w:rPr>
                <w:sz w:val="17"/>
                <w:szCs w:val="17"/>
                <w:color w:val="auto"/>
              </w:rPr>
            </w:pPr>
          </w:p>
        </w:tc>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615,762</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696,714</w:t>
            </w: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440"/>
              <w:spacing w:after="0"/>
              <w:rPr>
                <w:sz w:val="20"/>
                <w:szCs w:val="20"/>
                <w:color w:val="auto"/>
              </w:rPr>
            </w:pPr>
            <w:r>
              <w:rPr>
                <w:rFonts w:ascii="Arial" w:cs="Arial" w:eastAsia="Arial" w:hAnsi="Arial"/>
                <w:sz w:val="18"/>
                <w:szCs w:val="18"/>
                <w:color w:val="auto"/>
              </w:rPr>
              <w:t>Itron International</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1,071,685</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1,212,899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0"/>
              </w:rPr>
              <w:t>Total Company</w:t>
            </w:r>
          </w:p>
        </w:tc>
        <w:tc>
          <w:tcPr>
            <w:tcW w:w="5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1,687,447</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1,909,613</w:t>
            </w:r>
          </w:p>
        </w:tc>
        <w:tc>
          <w:tcPr>
            <w:tcW w:w="10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1,464,048</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440"/>
              <w:spacing w:after="0"/>
              <w:rPr>
                <w:sz w:val="20"/>
                <w:szCs w:val="20"/>
                <w:color w:val="auto"/>
              </w:rPr>
            </w:pPr>
            <w:r>
              <w:rPr>
                <w:rFonts w:ascii="Arial" w:cs="Arial" w:eastAsia="Arial" w:hAnsi="Arial"/>
                <w:sz w:val="18"/>
                <w:szCs w:val="18"/>
                <w:color w:val="auto"/>
              </w:rPr>
              <w:t>Itron North America</w:t>
            </w:r>
          </w:p>
        </w:tc>
        <w:tc>
          <w:tcPr>
            <w:tcW w:w="5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211,826</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263,920</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International</w:t>
            </w: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325,630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382,937</w:t>
            </w: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20"/>
              <w:spacing w:after="0"/>
              <w:rPr>
                <w:sz w:val="20"/>
                <w:szCs w:val="20"/>
                <w:color w:val="auto"/>
              </w:rPr>
            </w:pPr>
            <w:r>
              <w:rPr>
                <w:rFonts w:ascii="Arial" w:cs="Arial" w:eastAsia="Arial" w:hAnsi="Arial"/>
                <w:sz w:val="18"/>
                <w:szCs w:val="18"/>
                <w:color w:val="auto"/>
                <w:w w:val="90"/>
              </w:rPr>
              <w:t>Total Company</w:t>
            </w:r>
          </w:p>
        </w:tc>
        <w:tc>
          <w:tcPr>
            <w:tcW w:w="5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537,456</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646,857</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36,933</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440"/>
              <w:spacing w:after="0"/>
              <w:rPr>
                <w:sz w:val="20"/>
                <w:szCs w:val="20"/>
                <w:color w:val="auto"/>
              </w:rPr>
            </w:pPr>
            <w:r>
              <w:rPr>
                <w:rFonts w:ascii="Arial" w:cs="Arial" w:eastAsia="Arial" w:hAnsi="Arial"/>
                <w:sz w:val="18"/>
                <w:szCs w:val="18"/>
                <w:color w:val="auto"/>
              </w:rPr>
              <w:t>Itron International</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37,612</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74,070</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Corporate unallocated</w:t>
            </w: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(29,518)</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(37,682)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20"/>
              <w:spacing w:after="0"/>
              <w:rPr>
                <w:sz w:val="20"/>
                <w:szCs w:val="20"/>
                <w:color w:val="auto"/>
              </w:rPr>
            </w:pPr>
            <w:r>
              <w:rPr>
                <w:rFonts w:ascii="Arial" w:cs="Arial" w:eastAsia="Arial" w:hAnsi="Arial"/>
                <w:sz w:val="18"/>
                <w:szCs w:val="18"/>
                <w:color w:val="auto"/>
                <w:w w:val="90"/>
              </w:rPr>
              <w:t>Total Company</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45,027</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109,822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other income (expense)</w:t>
            </w: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(91,101)</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(91,240)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(46,074)</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18,582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(43,550)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No single customer represented more than 10% of total Company or operating segment revenues for the years ended December 31, 2009, 2008, and 2007.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operating segment were as follows:</w:t>
      </w:r>
    </w:p>
    <w:p>
      <w:pPr>
        <w:spacing w:after="0" w:line="248"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17145</wp:posOffset>
            </wp:positionV>
            <wp:extent cx="23583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6" w:lineRule="exact"/>
        <w:rPr>
          <w:sz w:val="20"/>
          <w:szCs w:val="20"/>
          <w:color w:val="auto"/>
        </w:rPr>
      </w:pPr>
    </w:p>
    <w:p>
      <w:pPr>
        <w:ind w:left="7980"/>
        <w:spacing w:after="0"/>
        <w:tabs>
          <w:tab w:leader="none" w:pos="9240" w:val="left"/>
          <w:tab w:leader="none" w:pos="1052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17145</wp:posOffset>
            </wp:positionV>
            <wp:extent cx="23583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6"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44"/>
        </w:trPr>
        <w:tc>
          <w:tcPr>
            <w:tcW w:w="5000" w:type="dxa"/>
            <w:vAlign w:val="bottom"/>
            <w:shd w:val="clear" w:color="auto" w:fill="CCEEFF"/>
          </w:tcPr>
          <w:p>
            <w:pPr>
              <w:spacing w:after="0" w:line="244" w:lineRule="exact"/>
              <w:rPr>
                <w:sz w:val="20"/>
                <w:szCs w:val="20"/>
                <w:color w:val="auto"/>
              </w:rPr>
            </w:pPr>
            <w:r>
              <w:rPr>
                <w:rFonts w:ascii="Arial" w:cs="Arial" w:eastAsia="Arial" w:hAnsi="Arial"/>
                <w:sz w:val="18"/>
                <w:szCs w:val="18"/>
                <w:color w:val="auto"/>
              </w:rPr>
              <w:t>Itron North America/Corporate</w:t>
            </w:r>
            <w:r>
              <w:rPr>
                <w:rFonts w:ascii="Arial" w:cs="Arial" w:eastAsia="Arial" w:hAnsi="Arial"/>
                <w:sz w:val="25"/>
                <w:szCs w:val="25"/>
                <w:color w:val="auto"/>
                <w:vertAlign w:val="superscript"/>
              </w:rPr>
              <w:t>(1)</w:t>
            </w:r>
          </w:p>
        </w:tc>
        <w:tc>
          <w:tcPr>
            <w:tcW w:w="2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753,403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844,555</w:t>
            </w:r>
          </w:p>
        </w:tc>
        <w:tc>
          <w:tcPr>
            <w:tcW w:w="1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704,252</w:t>
            </w:r>
          </w:p>
        </w:tc>
        <w:tc>
          <w:tcPr>
            <w:tcW w:w="120" w:type="dxa"/>
            <w:vAlign w:val="bottom"/>
            <w:shd w:val="clear" w:color="auto" w:fill="CCEEFF"/>
          </w:tcPr>
          <w:p>
            <w:pPr>
              <w:spacing w:after="0"/>
              <w:rPr>
                <w:sz w:val="21"/>
                <w:szCs w:val="2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Itron International</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2,137,065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2,025,083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2,355,995</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(35,847)</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(29,789)</w:t>
            </w:r>
          </w:p>
        </w:tc>
      </w:tr>
      <w:tr>
        <w:trPr>
          <w:trHeight w:val="27"/>
        </w:trPr>
        <w:tc>
          <w:tcPr>
            <w:tcW w:w="50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30"/>
        </w:trPr>
        <w:tc>
          <w:tcPr>
            <w:tcW w:w="50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5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2,854,621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2,856,348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3,030,458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-8255</wp:posOffset>
            </wp:positionV>
            <wp:extent cx="23583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5" w:lineRule="exact"/>
        <w:rPr>
          <w:sz w:val="20"/>
          <w:szCs w:val="20"/>
          <w:color w:val="auto"/>
        </w:rPr>
      </w:pPr>
    </w:p>
    <w:p>
      <w:pPr>
        <w:ind w:right="4500" w:firstLine="8"/>
        <w:spacing w:after="0" w:line="502" w:lineRule="auto"/>
        <w:tabs>
          <w:tab w:leader="none" w:pos="192"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We do not allocate assets between the Itron North America operating segment and Corporate. Revenues by region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-579120</wp:posOffset>
            </wp:positionV>
            <wp:extent cx="23583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9"/>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806,540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916,288</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United States and Canada</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606,472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647,966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274,435</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345,359</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243,838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1,687,447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1,909,613</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1,464,048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Arial" w:cs="Arial" w:eastAsia="Arial" w:hAnsi="Arial"/>
                <w:sz w:val="18"/>
                <w:szCs w:val="18"/>
                <w:color w:val="auto"/>
                <w:w w:val="93"/>
              </w:rPr>
              <w:t>Property, plant, and equipment, net, by geographic area were as follows:</w:t>
            </w:r>
          </w:p>
        </w:tc>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2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At December 31,</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116,081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96,952</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85,036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Outside United States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202,136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property, plant, and equipment, net</w:t>
            </w:r>
          </w:p>
        </w:tc>
        <w:tc>
          <w:tcPr>
            <w:tcW w:w="22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318,217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323,003</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96"/>
        </w:trPr>
        <w:tc>
          <w:tcPr>
            <w:tcW w:w="542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1730"/>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42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Consolidating Financial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subordinated notes and convertible notes, issued by Itron, Inc., are guaranteed by our U.S. domestic operating subsidiaries, which are 100% owned, and any future domestic subsidiaries. The guarantees are joint and several, full, complete, and unconditional. There are currently no restrictions on the ability of the subsidiary guarantors to transfer funds to the parent company.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2009, we transferred a substantial portion of our guarantor subsidiary operations located in the United States into the parent company. This change in legal entities implemented on January 1, 2009 is reflected in the below consolidating statements as of and for the year ended December 31, 2009. We have not restated the comparative prior period results due to the complexity of the transfer and the immaterial nature of the operations.</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Combined Non-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guarantor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Parent</w:t>
            </w: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Eliminations</w:t>
            </w: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603,426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1,124,562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(44,636)</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204,247</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333,108</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55,552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96,853</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76,957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41,821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77,316</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197,836</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294,593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492,429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6,411</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38,515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113,850</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(117,048)</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(73,441)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(114,137)</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117,267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2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(12,800)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(2,799)</w:t>
            </w:r>
          </w:p>
        </w:tc>
        <w:tc>
          <w:tcPr>
            <w:tcW w:w="1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(6,128)</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680"/>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(119,540)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(91,101)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31,221</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(81,025)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42,907</w:t>
            </w:r>
          </w:p>
        </w:tc>
        <w:tc>
          <w:tcPr>
            <w:tcW w:w="1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Equity in losses of guarantor and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 net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(76,377)</w:t>
            </w:r>
          </w:p>
        </w:tc>
        <w:tc>
          <w:tcPr>
            <w:tcW w:w="1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(19,363)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(15,665)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(80,075)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95,740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Year Ended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Combined Non-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guarantor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Eliminations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1,264,845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61,170</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873,052</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(39,741)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391,793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54,180</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104,424</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43,674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49,797</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75,892</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22,648</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97,716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200,197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321,706</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38,269</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70,087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121,864</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(120,649)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(93,706)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30,181</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(120,419)</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guarantor and non-guarantor</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(56,418)</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57,294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Year Ended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Combined Non-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guarantor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Eliminations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34,723</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639,679</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(45,982)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238,211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239,468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51,169</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69,801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52,737</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44,740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35,975</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197,373</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234,547</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(86,263)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(99,995)</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(84,212)</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86,266</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68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(87,587)</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(90,023)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42,139</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(82,666)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 losses of guarantor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 net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(70,384)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Consolidating Balance Sheet</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Combined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Non-guarantor</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Eliminations</w:t>
            </w: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117,104</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218,528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accounts receivable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71,581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98,881</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 current,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7,721</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32,349</w:t>
            </w:r>
          </w:p>
        </w:tc>
        <w:tc>
          <w:tcPr>
            <w:tcW w:w="1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42,772</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other</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292,484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479,602</w:t>
            </w:r>
          </w:p>
        </w:tc>
        <w:tc>
          <w:tcPr>
            <w:tcW w:w="1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(52,639)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725,916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116,081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202,136</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tax assets noncurrent, net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67,195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22,737</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12,492</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58,168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330,044</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174,781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(9,081)</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21,525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receivable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(1,818,098)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2,437,468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88,536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2,177,829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(1,849,212)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2,854,621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67,480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151,709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43,436</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Intercompany accounts payable</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50,869</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12,644</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Deferred tax liabilities current, net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intercompany advances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30,002</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317,367</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(52,261)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770,893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Pension plan benefits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63,040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(1,818,098)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tax liabilities noncurrent, net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(37,176)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117,871</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obligations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2,284,754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(1,870,359)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1,454,107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107,165</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80,723</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(187,888)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1,299,134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19,689</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(12,188)</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(207,336)</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219,524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(106,924)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2,437,467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88,536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2,177,830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(1,849,212)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2,854,621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Consolidating Balance Sheet</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Combined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Guarantor</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Non-guarantor</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Eliminations</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89,458</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7,868</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223,952</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accounts receivable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52,248</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105,280</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 current,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18,360</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37,429</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other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457,836</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96,952</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194,469</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Deferred tax assets noncurrent,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53,950</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(24,022)</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54,370</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27,303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400,213</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1,113,173</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151,268</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(146,364)</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(51,297)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receivable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(1,708,359)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2,359,048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276,048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2,009,740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(1,788,488)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2,856,348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158,565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46,932</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Intercompany accounts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(15,138)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51,093</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12,730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Deferred tax liabilities current,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intercompany advances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15,641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308,389</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(28,238)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Pension plan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55,811</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(1,708,359)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Deferred tax liabilities noncurrent,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92,105</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obligations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38,126</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33,597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2,200,300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(1,736,597)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992,184</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246,982</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(47,520)</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(199,462)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Accumulated other comprehensive income (loss),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(11,416)</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50,291</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(131,624)</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138,085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effect of change in accounting principle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1,058,776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242,451</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(190,560)</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(51,891)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276,048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Statement of Cash Flows</w:t>
      </w:r>
    </w:p>
    <w:p>
      <w:pPr>
        <w:jc w:val="center"/>
        <w:ind w:right="120"/>
        <w:spacing w:after="0"/>
        <w:rPr>
          <w:sz w:val="20"/>
          <w:szCs w:val="20"/>
          <w:color w:val="auto"/>
        </w:rPr>
      </w:pPr>
      <w:r>
        <w:rPr>
          <w:rFonts w:ascii="Arial" w:cs="Arial" w:eastAsia="Arial" w:hAnsi="Arial"/>
          <w:sz w:val="16"/>
          <w:szCs w:val="16"/>
          <w:b w:val="1"/>
          <w:bCs w:val="1"/>
          <w:color w:val="auto"/>
        </w:rPr>
        <w:t>Year ended December 31, 2009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Combined</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Combined Non-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Parent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guarantor</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6"/>
              </w:rPr>
              <w:t>Eliminations</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restart"/>
          </w:tcPr>
          <w:p>
            <w:pPr>
              <w:spacing w:after="0"/>
              <w:rPr>
                <w:sz w:val="20"/>
                <w:szCs w:val="20"/>
                <w:color w:val="auto"/>
              </w:rPr>
            </w:pPr>
            <w:r>
              <w:rPr>
                <w:rFonts w:ascii="Arial" w:cs="Arial" w:eastAsia="Arial" w:hAnsi="Arial"/>
                <w:sz w:val="16"/>
                <w:szCs w:val="16"/>
                <w:color w:val="auto"/>
              </w:rPr>
              <w:t>Operating activities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8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(2,249)</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(15,665)</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(80,075)</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95,740</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ind w:left="100"/>
              <w:spacing w:after="0" w:line="138" w:lineRule="exact"/>
              <w:rPr>
                <w:sz w:val="20"/>
                <w:szCs w:val="20"/>
                <w:color w:val="auto"/>
              </w:rPr>
            </w:pPr>
            <w:r>
              <w:rPr>
                <w:rFonts w:ascii="Arial" w:cs="Arial" w:eastAsia="Arial" w:hAnsi="Arial"/>
                <w:sz w:val="16"/>
                <w:szCs w:val="16"/>
                <w:color w:val="auto"/>
                <w:w w:val="98"/>
              </w:rPr>
              <w:t>Adjustments to reconcile net loss to net cash provided by operating</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activities: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48,089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107,648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155,737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16,982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16,982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Amortization of prepaid debt fees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8,258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8,258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Amortization of convertible debt discount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9,673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9,673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Loss on extinguishment of debt, net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(48,503)</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(15,745)</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(64,216)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9"/>
              </w:rPr>
              <w:t>Equity in losses of guarantor and non-guarantor subsidiaries, net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76,377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19,363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(95,740)</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Other adjustments, net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(1,424)</w:t>
            </w: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4,526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3,102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(21,190)</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(904)</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19,132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(12,273)</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15,808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3,535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Accounts payables, other current liabilities, and taxes payable</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18,904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(299)</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(8,732)</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9,873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Wages and benefits payable</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(6,449)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(8,261)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Unearned revenue</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18,704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(3,868)</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14,836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Warranty</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(1,953)</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(3,320)</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(5,273)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Intercompany transactions, net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(2,081)</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1,227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Other operating,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(7,370)</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(8,208)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103,455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3,798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33,534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140,787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Acquisitions of property, plant, and equipment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(21,679)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(31,227)</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(52,906)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ind w:left="100"/>
              <w:spacing w:after="0" w:line="138" w:lineRule="exact"/>
              <w:rPr>
                <w:sz w:val="20"/>
                <w:szCs w:val="20"/>
                <w:color w:val="auto"/>
              </w:rPr>
            </w:pPr>
            <w:r>
              <w:rPr>
                <w:rFonts w:ascii="Arial" w:cs="Arial" w:eastAsia="Arial" w:hAnsi="Arial"/>
                <w:sz w:val="16"/>
                <w:szCs w:val="16"/>
                <w:color w:val="auto"/>
              </w:rPr>
              <w:t>Business acquisitions &amp; contingent consideration, net of cash</w:t>
            </w:r>
          </w:p>
        </w:tc>
        <w:tc>
          <w:tcPr>
            <w:tcW w:w="240" w:type="dxa"/>
            <w:vAlign w:val="bottom"/>
          </w:tcPr>
          <w:p>
            <w:pPr>
              <w:spacing w:after="0"/>
              <w:rPr>
                <w:sz w:val="12"/>
                <w:szCs w:val="12"/>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(4,317)</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(4,317)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equivalents acquired</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Current intercompany notes,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(19,837)</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(3,658)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22,278</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Long-term intercompany notes receivable, net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4,765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(975)</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(4,925)</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Other investing,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(792)</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(41,860)</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(3,659)</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(25,828)</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17,353</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(53,994)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Payments on debt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(275,796)</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(275,796)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166,372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166,372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Prepaid debt fees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(3,936)</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(3,936)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Current intercompany notes, net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2,441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19,837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(22,278)</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Long-term intercompany notes payable,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(4,635)</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4,925</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Other financing, net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(761)</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cash (used in) provided by financing activities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(115,554)</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18,786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(17,353)</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(114,121)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0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w w:val="95"/>
              </w:rPr>
              <w:t>Effect of foreign exchange rate changes on cash and cash equivalents</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Increase (decrease) in cash and cash equivalents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(53,959)</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31,323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(22,497)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67,404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3,180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73,806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144,390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Cash transferred from guarantor to parent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2,940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(2,940)</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105,129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121,893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i w:val="1"/>
                <w:iCs w:val="1"/>
                <w:color w:val="auto"/>
              </w:rPr>
              <w:t>Non-cash transactions: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Fixed assets purchased but not yet paid</w:t>
            </w:r>
          </w:p>
        </w:tc>
        <w:tc>
          <w:tcPr>
            <w:tcW w:w="240" w:type="dxa"/>
            <w:vAlign w:val="bottom"/>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4,287</w:t>
            </w:r>
          </w:p>
        </w:tc>
        <w:tc>
          <w:tcPr>
            <w:tcW w:w="1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(568)</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3,719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Exchange of debt for common stock (see Note 6)</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120,984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120,984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i w:val="1"/>
                <w:iCs w:val="1"/>
                <w:color w:val="auto"/>
              </w:rPr>
              <w:t>Supplemental disclosure of cash flow information: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paid during the period for: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31,161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31,720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Interest, net of amounts capitalized</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Statement of Cash Flows</w:t>
      </w:r>
    </w:p>
    <w:p>
      <w:pPr>
        <w:jc w:val="center"/>
        <w:ind w:right="120"/>
        <w:spacing w:after="0"/>
        <w:rPr>
          <w:sz w:val="20"/>
          <w:szCs w:val="20"/>
          <w:color w:val="auto"/>
        </w:rPr>
      </w:pPr>
      <w:r>
        <w:rPr>
          <w:rFonts w:ascii="Arial" w:cs="Arial" w:eastAsia="Arial" w:hAnsi="Arial"/>
          <w:sz w:val="16"/>
          <w:szCs w:val="16"/>
          <w:b w:val="1"/>
          <w:bCs w:val="1"/>
          <w:color w:val="auto"/>
        </w:rPr>
        <w:t>Year ended December 31, 2008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Combined</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Combined Non-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Parent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guarantor</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6"/>
              </w:rPr>
              <w:t>Eliminations</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restart"/>
          </w:tcPr>
          <w:p>
            <w:pPr>
              <w:spacing w:after="0"/>
              <w:rPr>
                <w:sz w:val="20"/>
                <w:szCs w:val="20"/>
                <w:color w:val="auto"/>
              </w:rPr>
            </w:pPr>
            <w:r>
              <w:rPr>
                <w:rFonts w:ascii="Arial" w:cs="Arial" w:eastAsia="Arial" w:hAnsi="Arial"/>
                <w:sz w:val="16"/>
                <w:szCs w:val="16"/>
                <w:color w:val="auto"/>
              </w:rPr>
              <w:t>Operating activities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8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19,811</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(56,751)</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57,294</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19,811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ind w:left="100"/>
              <w:spacing w:after="0" w:line="138" w:lineRule="exact"/>
              <w:rPr>
                <w:sz w:val="20"/>
                <w:szCs w:val="20"/>
                <w:color w:val="auto"/>
              </w:rPr>
            </w:pPr>
            <w:r>
              <w:rPr>
                <w:rFonts w:ascii="Arial" w:cs="Arial" w:eastAsia="Arial" w:hAnsi="Arial"/>
                <w:sz w:val="16"/>
                <w:szCs w:val="16"/>
                <w:color w:val="auto"/>
                <w:w w:val="99"/>
              </w:rPr>
              <w:t>Adjustments to reconcile net income (loss) to net cash provided by</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41,276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130,216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173,673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16,582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16,582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Amortization of prepaid debt fees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8,917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Amortization of convertible debt discount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13,442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13,442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Deferred income taxes,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7,949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(51,126)</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(43,317)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ind w:left="220"/>
              <w:spacing w:after="0" w:line="138" w:lineRule="exact"/>
              <w:rPr>
                <w:sz w:val="20"/>
                <w:szCs w:val="20"/>
                <w:color w:val="auto"/>
              </w:rPr>
            </w:pPr>
            <w:r>
              <w:rPr>
                <w:rFonts w:ascii="Arial" w:cs="Arial" w:eastAsia="Arial" w:hAnsi="Arial"/>
                <w:sz w:val="16"/>
                <w:szCs w:val="16"/>
                <w:color w:val="auto"/>
              </w:rPr>
              <w:t>Equity  in  (earnings)  losses  of  guarantor  and  non-guarantor</w:t>
            </w: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56,418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(57,294)</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subsidiaries, net</w:t>
            </w: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Other adjustments,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(131)</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(2,159)</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14,131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19,864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(2,804)</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(692)</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8,410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4,914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Accounts payables, other current liabilities, and taxes payable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(17,766)</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(6,549)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Wages and benefits payable</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7,852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(366)</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7,708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Unearned revenue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Warranty</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1,194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(3,766)</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Intercompany transactions,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(225)</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Other operating, net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(6,220)</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(44,659)</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29,463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(21,416)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cash provided by (used in) operating activities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172,552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(28,483)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49,077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193,146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Acquisitions of property, plant, and equipment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(31,625)</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(5,763)</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(26,042)</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(63,430)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shd w:val="clear" w:color="auto" w:fill="CCEEFF"/>
          </w:tcPr>
          <w:p>
            <w:pPr>
              <w:ind w:left="100"/>
              <w:spacing w:after="0" w:line="138" w:lineRule="exact"/>
              <w:rPr>
                <w:sz w:val="20"/>
                <w:szCs w:val="20"/>
                <w:color w:val="auto"/>
              </w:rPr>
            </w:pPr>
            <w:r>
              <w:rPr>
                <w:rFonts w:ascii="Arial" w:cs="Arial" w:eastAsia="Arial" w:hAnsi="Arial"/>
                <w:sz w:val="16"/>
                <w:szCs w:val="16"/>
                <w:color w:val="auto"/>
              </w:rPr>
              <w:t>Business  acquisitions  &amp;  contingent  consideration,  net  of  cash</w:t>
            </w:r>
          </w:p>
        </w:tc>
        <w:tc>
          <w:tcPr>
            <w:tcW w:w="2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(6,897)</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equivalents acquired</w:t>
            </w: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transferred to parent</w:t>
            </w:r>
          </w:p>
        </w:tc>
        <w:tc>
          <w:tcPr>
            <w:tcW w:w="24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7,806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(7,806)</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Cash transferred to guarantor subsidiaries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(9,744)</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transferred to non-guarantor subsidiaries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908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(908)</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Current intercompany notes,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(5,352)</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6,302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(4,232)</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Long-term intercompany notes receivable, net</w:t>
            </w:r>
          </w:p>
        </w:tc>
        <w:tc>
          <w:tcPr>
            <w:tcW w:w="24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Other investing,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(21,159)</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36,936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(12,525)</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3,252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(62,187)</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42,261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(24,459)</w:t>
            </w: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(22,690)</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(67,075)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Payments on debt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(388,371)</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(388,371)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324,494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324,494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Prepaid debt fees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(214)</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received from parent</w:t>
            </w:r>
          </w:p>
        </w:tc>
        <w:tc>
          <w:tcPr>
            <w:tcW w:w="24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(1,938)</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(908)</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2,846</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Cash received from guarantor subsidiaries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(7,806)</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received from non-guarantor subsidiaries</w:t>
            </w:r>
          </w:p>
        </w:tc>
        <w:tc>
          <w:tcPr>
            <w:tcW w:w="24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(7,806)</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7,806</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Intercompany notes payable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(2,518)</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(1,998)</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4,232</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Other financing, net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715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715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cash used in financing activities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(70,898)</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(12,262)</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(2,906)</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22,690</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(63,376)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5"/>
              </w:rPr>
              <w:t>Effect of foreign exchange rate changes on cash and cash equivalents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(10,293)</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(10,293)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Increase in cash and cash equivalents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39,467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1,516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11,419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52,402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27,937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62,387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91,988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67,404</w:t>
            </w:r>
          </w:p>
        </w:tc>
        <w:tc>
          <w:tcPr>
            <w:tcW w:w="1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3,180</w:t>
            </w:r>
          </w:p>
        </w:tc>
        <w:tc>
          <w:tcPr>
            <w:tcW w:w="1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73,806</w:t>
            </w:r>
          </w:p>
        </w:tc>
        <w:tc>
          <w:tcPr>
            <w:tcW w:w="1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144,390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i w:val="1"/>
                <w:iCs w:val="1"/>
                <w:color w:val="auto"/>
              </w:rPr>
              <w:t>Non-cash transactions: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Fixed assets purchased but not yet paid</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2,796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Exchange of debt for common stock (see Note 6)</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Contingent consideration payable for previous acquisitions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i w:val="1"/>
                <w:iCs w:val="1"/>
                <w:color w:val="auto"/>
              </w:rPr>
              <w:t>Supplemental disclosure of cash flow information: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paid during the period for: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26,300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26,377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Interest, net of amounts capitalized</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71,842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Statement of Cash Flows</w:t>
      </w:r>
    </w:p>
    <w:p>
      <w:pPr>
        <w:jc w:val="center"/>
        <w:ind w:right="120"/>
        <w:spacing w:after="0"/>
        <w:rPr>
          <w:sz w:val="20"/>
          <w:szCs w:val="20"/>
          <w:color w:val="auto"/>
        </w:rPr>
      </w:pPr>
      <w:r>
        <w:rPr>
          <w:rFonts w:ascii="Arial" w:cs="Arial" w:eastAsia="Arial" w:hAnsi="Arial"/>
          <w:sz w:val="16"/>
          <w:szCs w:val="16"/>
          <w:b w:val="1"/>
          <w:bCs w:val="1"/>
          <w:color w:val="auto"/>
        </w:rPr>
        <w:t>Year Ended December 31, 2007</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Combined</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Combined Non-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Parent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guarantor</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6"/>
              </w:rPr>
              <w:t>Eliminations</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restart"/>
          </w:tcPr>
          <w:p>
            <w:pPr>
              <w:spacing w:after="0"/>
              <w:rPr>
                <w:sz w:val="20"/>
                <w:szCs w:val="20"/>
                <w:color w:val="auto"/>
              </w:rPr>
            </w:pPr>
            <w:r>
              <w:rPr>
                <w:rFonts w:ascii="Arial" w:cs="Arial" w:eastAsia="Arial" w:hAnsi="Arial"/>
                <w:sz w:val="16"/>
                <w:szCs w:val="16"/>
                <w:color w:val="auto"/>
              </w:rPr>
              <w:t>Operating activities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8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(22,851)</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(4,467)</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(70,384)</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74,851</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(22,851)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ind w:left="100"/>
              <w:spacing w:after="0" w:line="138" w:lineRule="exact"/>
              <w:rPr>
                <w:sz w:val="20"/>
                <w:szCs w:val="20"/>
                <w:color w:val="auto"/>
              </w:rPr>
            </w:pPr>
            <w:r>
              <w:rPr>
                <w:rFonts w:ascii="Arial" w:cs="Arial" w:eastAsia="Arial" w:hAnsi="Arial"/>
                <w:sz w:val="16"/>
                <w:szCs w:val="16"/>
                <w:color w:val="auto"/>
                <w:w w:val="98"/>
              </w:rPr>
              <w:t>Adjustments to reconcile net loss to net cash provided by operating</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activities: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43,754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81,212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126,440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In-process research and development</w:t>
            </w:r>
          </w:p>
        </w:tc>
        <w:tc>
          <w:tcPr>
            <w:tcW w:w="24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35,975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35,975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11,656</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11,656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Amortization of prepaid debt fees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13,526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13,526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Amortization of convertible debt discount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10,970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10,970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(23,708)</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(3,765)</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(13,552)</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(41,025)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Equity in losses of non-guarantor subsidiaries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72,295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(74,851)</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Other adjustments, net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1,224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(14,358)</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(713)</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(25,647)</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(40,718)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18,565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19,419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Accounts payables, other current liabilities and taxes payable</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12,259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1,875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(4,101)</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10,033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Wages and benefits payable</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(5,254)</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Unearned revenue</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3,823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(1,163)</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2,660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Warranty</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1,119</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1,761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Intercompany transactions, net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(7,878)</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1,817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6,061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Other operating,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(5,698)</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9,273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3,957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90,605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42,643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133,327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Proceeds from the maturities of investments, held to maturity</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35,000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Proceeds from the sale of property, plant and equipment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(350)</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Acquisitions of property, plant and equipment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(20,847)</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5,852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(25,607)</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(40,602)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00" w:type="dxa"/>
            <w:vAlign w:val="bottom"/>
          </w:tcPr>
          <w:p>
            <w:pPr>
              <w:ind w:left="100"/>
              <w:spacing w:after="0" w:line="138" w:lineRule="exact"/>
              <w:rPr>
                <w:sz w:val="20"/>
                <w:szCs w:val="20"/>
                <w:color w:val="auto"/>
              </w:rPr>
            </w:pPr>
            <w:r>
              <w:rPr>
                <w:rFonts w:ascii="Arial" w:cs="Arial" w:eastAsia="Arial" w:hAnsi="Arial"/>
                <w:sz w:val="16"/>
                <w:szCs w:val="16"/>
                <w:color w:val="auto"/>
                <w:w w:val="93"/>
              </w:rPr>
              <w:t>Business acquisitions &amp; contingent consideration, net of cash and cash</w:t>
            </w:r>
          </w:p>
        </w:tc>
        <w:tc>
          <w:tcPr>
            <w:tcW w:w="240" w:type="dxa"/>
            <w:vAlign w:val="bottom"/>
          </w:tcPr>
          <w:p>
            <w:pPr>
              <w:spacing w:after="0"/>
              <w:rPr>
                <w:sz w:val="12"/>
                <w:szCs w:val="12"/>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(1,716,253)</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(1,716,253)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equivalents acquired</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Cash transferred to parent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(7,806)</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transferred to guarantor subsidiaries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(250)</w:t>
            </w: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(7,806)</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8,056</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Cash transferred to non-guarantor subsidiaries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(5,658)</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5,658</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Intercompany notes, net</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120,673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(3,282)</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(41,857)</w:t>
            </w: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(75,534)</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Other investing,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(140,889)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(9,113)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157,441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(1,728,574)</w:t>
            </w:r>
          </w:p>
        </w:tc>
        <w:tc>
          <w:tcPr>
            <w:tcW w:w="140" w:type="dxa"/>
            <w:vAlign w:val="bottom"/>
          </w:tcPr>
          <w:p>
            <w:pPr>
              <w:spacing w:after="0"/>
              <w:rPr>
                <w:sz w:val="14"/>
                <w:szCs w:val="14"/>
                <w:color w:val="auto"/>
              </w:rPr>
            </w:pPr>
          </w:p>
        </w:tc>
        <w:tc>
          <w:tcPr>
            <w:tcW w:w="118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(14,352)</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82,524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(54,014)</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(1,714,416)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Proceeds from borrowings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1,159,025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1,159,023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Payments on debt</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(76,099)</w:t>
            </w: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(76,099)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Change in short-term borrowing, net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(1,902)</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247,617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247,617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Excess tax benefits from stock-based compensation</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Prepaid debt fees</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(22,083)</w:t>
            </w: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(22,083)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Cash transferred from parent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(5,908)</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transferred from guarantor subsidiaries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7,806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(7,806)</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Cash transferred from non-guarantor subsidiaries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Intercompany notes payable</w:t>
            </w:r>
          </w:p>
        </w:tc>
        <w:tc>
          <w:tcPr>
            <w:tcW w:w="24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(3,843)</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7,881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(79,572)</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75,534</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Other financing, net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20"/>
              <w:spacing w:after="0" w:line="162" w:lineRule="exact"/>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1,312,423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15,937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(72,014)</w:t>
            </w: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54,014</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1,310,360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w w:val="95"/>
              </w:rPr>
              <w:t>Effect of foreign exchange rate changes on cash and cash equivalents</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1,312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Increase (decrease) in cash and cash equivalents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(325,546)</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54,465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(269,417)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353,483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7,922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361,405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27,937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62,387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91,988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i w:val="1"/>
                <w:iCs w:val="1"/>
                <w:color w:val="auto"/>
              </w:rPr>
              <w:t>Non-cash transactions: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Capital expenditures incurred but not yet paid</w:t>
            </w:r>
          </w:p>
        </w:tc>
        <w:tc>
          <w:tcPr>
            <w:tcW w:w="240" w:type="dxa"/>
            <w:vAlign w:val="bottom"/>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(5,129)</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3,899</w:t>
            </w:r>
          </w:p>
        </w:tc>
        <w:tc>
          <w:tcPr>
            <w:tcW w:w="1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Contingent consideration payable for previous acquisitions</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Arial" w:cs="Arial" w:eastAsia="Arial" w:hAnsi="Arial"/>
                <w:sz w:val="16"/>
                <w:szCs w:val="16"/>
                <w:i w:val="1"/>
                <w:iCs w:val="1"/>
                <w:color w:val="auto"/>
              </w:rPr>
              <w:t>Supplemental disclosure of cash flow information: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Arial" w:cs="Arial" w:eastAsia="Arial" w:hAnsi="Arial"/>
                <w:sz w:val="16"/>
                <w:szCs w:val="16"/>
                <w:color w:val="auto"/>
              </w:rPr>
              <w:t>Cash paid during the year for: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18,866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21,714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Interest (net of amount capitalized)</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76,317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Note 17: Quarterly Results (Unaudited)</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7"/>
              </w:rPr>
              <w:t>First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Fourth</w:t>
            </w:r>
          </w:p>
        </w:tc>
        <w:tc>
          <w:tcPr>
            <w:tcW w:w="240" w:type="dxa"/>
            <w:vAlign w:val="bottom"/>
          </w:tcPr>
          <w:p>
            <w:pPr>
              <w:spacing w:after="0"/>
              <w:rPr>
                <w:sz w:val="24"/>
                <w:szCs w:val="2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2009</w:t>
            </w:r>
          </w:p>
        </w:tc>
        <w:tc>
          <w:tcPr>
            <w:tcW w:w="3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8"/>
                <w:szCs w:val="18"/>
                <w:b w:val="1"/>
                <w:bCs w:val="1"/>
                <w:color w:val="auto"/>
              </w:rPr>
              <w:t>(in</w:t>
            </w: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w w:val="73"/>
              </w:rPr>
              <w:t>thousands, except</w:t>
            </w:r>
          </w:p>
        </w:tc>
        <w:tc>
          <w:tcPr>
            <w:tcW w:w="3900" w:type="dxa"/>
            <w:vAlign w:val="bottom"/>
            <w:gridSpan w:val="10"/>
          </w:tcPr>
          <w:p>
            <w:pPr>
              <w:jc w:val="right"/>
              <w:ind w:right="840"/>
              <w:spacing w:after="0"/>
              <w:rPr>
                <w:sz w:val="20"/>
                <w:szCs w:val="20"/>
                <w:color w:val="auto"/>
              </w:rPr>
            </w:pPr>
            <w:r>
              <w:rPr>
                <w:rFonts w:ascii="Arial" w:cs="Arial" w:eastAsia="Arial" w:hAnsi="Arial"/>
                <w:sz w:val="18"/>
                <w:szCs w:val="18"/>
                <w:b w:val="1"/>
                <w:bCs w:val="1"/>
                <w:color w:val="auto"/>
                <w:w w:val="87"/>
              </w:rPr>
              <w:t>per common share and stock price data)</w:t>
            </w:r>
          </w:p>
        </w:tc>
        <w:tc>
          <w:tcPr>
            <w:tcW w:w="0" w:type="dxa"/>
            <w:vAlign w:val="bottom"/>
          </w:tcPr>
          <w:p>
            <w:pPr>
              <w:spacing w:after="0"/>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Statement of operations data:</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388,518</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413,748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476,823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129,584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133,109</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129,479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145,284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15,289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Diluted earnings per common share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Stock Price: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High</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Low</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40.10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42.77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54.92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2008 </w:t>
            </w:r>
            <w:r>
              <w:rPr>
                <w:rFonts w:ascii="Arial" w:cs="Arial" w:eastAsia="Arial" w:hAnsi="Arial"/>
                <w:sz w:val="25"/>
                <w:szCs w:val="25"/>
                <w:b w:val="1"/>
                <w:bCs w:val="1"/>
                <w:color w:val="auto"/>
                <w:vertAlign w:val="superscript"/>
              </w:rPr>
              <w:t>(1)</w:t>
            </w: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Statement of operations data: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Revenues</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478,476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513,931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484,818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432,388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1,909,613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176,210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162,960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11,089</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Basic earnings per common share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 Price: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High</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106.25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Low</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245"/>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On January1, 2009, we adopted FSP 14-1 relating to our convertible notes. See Note 1 for the impact of the adoption of FSP 14-1 on our results of operations.</w:t>
      </w:r>
    </w:p>
    <w:p>
      <w:pPr>
        <w:spacing w:after="0" w:line="2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February 24, 2010, the date of issuance of our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2009, or in any period subsequent to such date, through the date of this report.</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6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2009,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02"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ind w:left="660" w:hanging="652"/>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2009.</w:t>
      </w:r>
    </w:p>
    <w:p>
      <w:pPr>
        <w:spacing w:after="0" w:line="205"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The effectiveness of our internal control over financial reporting as of December 31, 2009 has been audited by Ernst &amp; Young LLP, an independent registered public accounting firm, as stated in their report that is included in this Annual Report on Form 10-K.</w:t>
      </w:r>
    </w:p>
    <w:p>
      <w:pPr>
        <w:spacing w:after="0" w:line="197" w:lineRule="exact"/>
        <w:rPr>
          <w:rFonts w:ascii="Arial" w:cs="Arial" w:eastAsia="Arial" w:hAnsi="Arial"/>
          <w:sz w:val="17"/>
          <w:szCs w:val="17"/>
          <w:color w:val="auto"/>
        </w:rPr>
      </w:pPr>
    </w:p>
    <w:p>
      <w:pPr>
        <w:jc w:val="both"/>
        <w:ind w:left="660" w:hanging="652"/>
        <w:spacing w:after="0" w:line="28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 Company’s disclosure controls, including the Company’s internal controls,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reasonable level of assurance that the stated objectives are met. We concluded, as stated in (a) above, that the Company’s internal control over financial reporting was effective in providing this reasonable level of assurance as of December 31, 2009.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96"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There have been no changes in internal control over financial reporting during the quarter ended December 31, 2009 that have materially affected, or are reasonably likely to materially affect, our internal controls over financial reporting.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Itron, Inc.’s internal control over financial reporting as of December 31, 2009, based on criteria established in Internal Control—Integrated Framework issued by the Committee of Sponsoring Organizations of the Treadway Commission (the COSO criteria). Itron,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effectiveness of the Company’s internal control over financial reporting based on our audit.</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Itron, Inc. maintained, in all material respects, effective internal control over financial reporting as of December 31, 2009, based on the COSO criteria.</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balance sheets of Itron, Inc. as of December 31, 2009 and 2008, and the related consolidated statements of operations, shareholders’ equity, and cash flows for each of the three years in the period ended December 31, 2009 and our report dated February 24, 2010 expressed an unqualified opinion thereon.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2009 that was not reported.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“Item 1 – Election of Directors” appearing in our Proxy Statement for the Annual Meeting of Shareholders to be held on May 4, 2010 (the 2009 Proxy Statement) sets forth certain information with regard to our directors as required by Item 401 of Regulation S-K and is incorporated herein by reference.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“Management” in Part I of this Annual Report on Form 10-K.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2009 Proxy Statement sets forth certain information as required by Item 405 of Regulation S-K and is incorporated herein by reference.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2009 Proxy Statement sets forth certain information with respect to the Registrant’s code of conduct and ethics as required by Item 406 of Regulation S-K and is incorporate herein by reference. Our code of ethics can be accessed on our website, at </w:t>
      </w:r>
      <w:r>
        <w:rPr>
          <w:rFonts w:ascii="Arial" w:cs="Arial" w:eastAsia="Arial" w:hAnsi="Arial"/>
          <w:sz w:val="18"/>
          <w:szCs w:val="18"/>
          <w:i w:val="1"/>
          <w:iCs w:val="1"/>
          <w:color w:val="auto"/>
        </w:rPr>
        <w:t xml:space="preserve">www.itron.com </w:t>
      </w:r>
      <w:r>
        <w:rPr>
          <w:rFonts w:ascii="Arial" w:cs="Arial" w:eastAsia="Arial" w:hAnsi="Arial"/>
          <w:sz w:val="18"/>
          <w:szCs w:val="18"/>
          <w:color w:val="auto"/>
        </w:rPr>
        <w:t>under the investor relations section.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the registrant’s board of directors during 2009, as set forth by Item 407(c)(3) of Regulation S-K.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2009 Proxy Statement sets forth certain information regarding the Audit/Finance Committee, including the members of the Committee and the Audit/Finance Committee financial experts, as set forth by Item 407(d)(4) and (d)(5) of Regulation S-K and is incorporate herein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2009 Proxy Statement set forth certain information with respect to the compensation of directors and management of Itron as required by Item 402 of Regulation S-K and are incorporated herein by reference.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2009 Proxy Statement sets forth certain information regarding members of the Compensation Committee required by Item 407(e)(4) of Regulation S-K and is incorporated herein by reference.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2009 Proxy Statement sets forth certain information required by Item 407(e)(5) of Regulation S-K and is incorporated herein by reference.</w:t>
      </w:r>
    </w:p>
    <w:p>
      <w:pPr>
        <w:spacing w:after="0" w:line="184" w:lineRule="exact"/>
        <w:rPr>
          <w:sz w:val="20"/>
          <w:szCs w:val="20"/>
          <w:color w:val="auto"/>
        </w:rPr>
      </w:pPr>
    </w:p>
    <w:p>
      <w:pPr>
        <w:ind w:left="980" w:right="1240" w:hanging="971"/>
        <w:spacing w:after="0" w:line="244" w:lineRule="auto"/>
        <w:tabs>
          <w:tab w:leader="none" w:pos="960" w:val="left"/>
        </w:tabs>
        <w:rPr>
          <w:sz w:val="20"/>
          <w:szCs w:val="20"/>
          <w:color w:val="auto"/>
        </w:rPr>
      </w:pPr>
      <w:r>
        <w:rPr>
          <w:rFonts w:ascii="Arial" w:cs="Arial" w:eastAsia="Arial" w:hAnsi="Arial"/>
          <w:sz w:val="22"/>
          <w:szCs w:val="22"/>
          <w:b w:val="1"/>
          <w:bCs w:val="1"/>
          <w:color w:val="auto"/>
        </w:rPr>
        <w:t>ITEM 12:</w:t>
        <w:tab/>
        <w:t>SECURITY OWNERSHIP OF CERTAIN BENEFICIAL OWNERS AND MANAGEMENT AND RELATED STOCKHOLDER MATTERS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section entitled “Equity Compensation Plan Information” appearing in the 2009 Proxy Statement sets forth certain information required by Item 201(d) of Regulation S-K and is incorporated herein by reference.</w:t>
      </w: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2009 Proxy Statement sets forth certain information with respect to the ownership of our common stock as required by Item 403 of Regulation S-K and is incorporated herein by reference.</w:t>
      </w:r>
    </w:p>
    <w:p>
      <w:pPr>
        <w:spacing w:after="0" w:line="1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“Transactions with Related Persons” appearing in the 2009 Proxy Statement sets forth certain information required by Item 404 of Regulation S-K and is incorporate herein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2009 Proxy Statement sets forth certain information with respect to director independence as required by Item 407(a) of Regulation S-K and is incorporated herein by reference.</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2009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10460" w:type="dxa"/>
            <w:vAlign w:val="bottom"/>
            <w:gridSpan w:val="2"/>
          </w:tcPr>
          <w:p>
            <w:pPr>
              <w:ind w:left="4340"/>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16"/>
        </w:trPr>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2.1</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Stock purchase agreement between the stockholders of Actaris Metering Systems SA, LBO France Gestion SAS and Itron, Inc. (Filed as Exhibit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 to Itron, Inc.’s Current Report on Form 8-K, filed on April 24, 2007 - File 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2.2</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Amendment No. 1 to Stock Purchase Agreement between the stockholders of Actaris Metering Systems SA, LBO France Gestion SAS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Itron, Inc. (Filed as Exhibit 2.2 to Itron, Inc.’s Current Report on Form 8-K, filed on April 24, 2007 - File 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Amended and Restated Articles of Incorporation of Itron, Inc. (Filed as Exhibit 3.1 to Itron, Inc.’s Annual Report on Form 10-K, filed on March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 2003 - File 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3.2</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Amended and Restated Bylaws of Itron, Inc. (Filed as Exhibit 3.2 to Itron, Inc.'s Annual Report on Form 10-K, filed on February 26, 2008 - File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4.1</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Rights Agreement between Itron, Inc. and Mellon Investor Services LLC, as Rights Agent, dated December 11, 2002. (Filed as Exhibit 4.1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Itron, Inc.’s Registration of Securities on Form 8-A, filed on December 16, 2002 - File 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4.2</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Indenture relating to Itron, Inc.'s 2.50% convertible senior subordinated notes due 2026, dated August 4, 2006. (Filed as Exhibit 4.16 to Itron,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Inc.'s Quarterly Report on Form 10-Q, filed on November 6, 2006 - File 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4.3</w:t>
            </w:r>
          </w:p>
        </w:tc>
        <w:tc>
          <w:tcPr>
            <w:tcW w:w="10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Credit Agreement dated April 18, 2007, among Itron, Inc. and the subsidiary guarantors and UBS Securities LLC, Wells Fargo Bank, National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Association and Mizuho Corporate Bank, Ltd. (Filed as Exhibit 4.1 to Itron, Inc.'s Current Report on Form 8-K, filed on April 24, 2007 - File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 0-22418)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10580" w:type="dxa"/>
            <w:vAlign w:val="bottom"/>
            <w:gridSpan w:val="2"/>
          </w:tcPr>
          <w:p>
            <w:pPr>
              <w:jc w:val="right"/>
              <w:ind w:right="553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gridSpan w:val="3"/>
          </w:tcPr>
          <w:p>
            <w:pPr>
              <w:ind w:left="2320"/>
              <w:spacing w:after="0"/>
              <w:rPr>
                <w:sz w:val="20"/>
                <w:szCs w:val="20"/>
                <w:color w:val="auto"/>
              </w:rPr>
            </w:pPr>
            <w:r>
              <w:rPr>
                <w:rFonts w:ascii="Arial" w:cs="Arial" w:eastAsia="Arial" w:hAnsi="Arial"/>
                <w:sz w:val="18"/>
                <w:szCs w:val="18"/>
                <w:b w:val="1"/>
                <w:bCs w:val="1"/>
                <w:color w:val="auto"/>
              </w:rPr>
              <w:t>Description of Exhibits</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4.4</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Security Agreement dated April 18, 2007, among Itron, Inc. and the subsidiary guarantors and Wells Fargo Bank, National Association as</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Collateral Agent. (Filed as Exhibit 4.2 to Itron, Inc.'s Current Report on Form 8-K, filed on April 24, 2007 -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4.5</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Amendment No. 1 dated April 24, 2009 to the Credit Agreement dated April 18, 2007 among Itron, Inc. and the subsidiary guarantors, the</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2"/>
              </w:rPr>
              <w:t>lenders, and issuing banks, and Wells Fargo Bank, National Association (Filed as Exhibit 4.1 to Itron, Inc.'s Current Report on Form 8-K, filed</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on April 27, 2009 -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4.6</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Amendment No. 2 dated February 12, 2010 to the Credit Agreement dated April 18, 2007 among Itron, Inc. and the subsidiary guarantors, and</w:t>
            </w:r>
          </w:p>
        </w:tc>
      </w:tr>
      <w:tr>
        <w:trPr>
          <w:trHeight w:val="210"/>
        </w:trPr>
        <w:tc>
          <w:tcPr>
            <w:tcW w:w="840" w:type="dxa"/>
            <w:vAlign w:val="bottom"/>
            <w:shd w:val="clear" w:color="auto" w:fill="CCEEFF"/>
          </w:tcPr>
          <w:p>
            <w:pPr>
              <w:spacing w:after="0"/>
              <w:rPr>
                <w:sz w:val="18"/>
                <w:szCs w:val="18"/>
                <w:color w:val="auto"/>
              </w:rPr>
            </w:pPr>
          </w:p>
        </w:tc>
        <w:tc>
          <w:tcPr>
            <w:tcW w:w="10580" w:type="dxa"/>
            <w:vAlign w:val="bottom"/>
            <w:gridSpan w:val="6"/>
            <w:shd w:val="clear" w:color="auto" w:fill="CCEEFF"/>
          </w:tcPr>
          <w:p>
            <w:pPr>
              <w:ind w:left="140"/>
              <w:spacing w:after="0" w:line="190" w:lineRule="exact"/>
              <w:rPr>
                <w:sz w:val="20"/>
                <w:szCs w:val="20"/>
                <w:color w:val="auto"/>
              </w:rPr>
            </w:pPr>
            <w:r>
              <w:rPr>
                <w:rFonts w:ascii="Arial" w:cs="Arial" w:eastAsia="Arial" w:hAnsi="Arial"/>
                <w:sz w:val="18"/>
                <w:szCs w:val="18"/>
                <w:color w:val="auto"/>
              </w:rPr>
              <w:t>the lenders. (</w:t>
            </w:r>
            <w:r>
              <w:rPr>
                <w:rFonts w:ascii="Arial" w:cs="Arial" w:eastAsia="Arial" w:hAnsi="Arial"/>
                <w:sz w:val="18"/>
                <w:szCs w:val="18"/>
                <w:color w:val="0000EE"/>
              </w:rPr>
              <w:t>attached hereto</w:t>
            </w:r>
            <w:r>
              <w:rPr>
                <w:rFonts w:ascii="Arial" w:cs="Arial" w:eastAsia="Arial" w:hAnsi="Arial"/>
                <w:sz w:val="18"/>
                <w:szCs w:val="18"/>
                <w:color w:val="auto"/>
              </w:rPr>
              <w:t>)</w:t>
            </w:r>
          </w:p>
        </w:tc>
      </w:tr>
      <w:tr>
        <w:trPr>
          <w:trHeight w:val="216"/>
        </w:trPr>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Form of Change in Control Severance Agreement for Executive Officers. * (Filed as Exhibit 10.7 to Itron, Inc.'s Current Report on Form 8-K,</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filed on February 18, 2010 -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10.2</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First Amendment to Change in Control Agreement between Itron, Inc. and Marcel Regnier.* (Filed as Exhibit 10.2 to Itron, Inc.'s Current</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Report on Form 8-K, filed on December 17, 2008 -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Employee Agreement between Actaris Management Services S.A. and Marcel Regnier.* (Filed as Exhibit 10.1 to Itron, Inc.'s Current Report on</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Form 8-K, filed on December 17, 2008 -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10.4</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Form of Indemnification Agreements between Itron, Inc. and certain directors and officers.* (Filed as Exhibit 10.9 to Itron, Inc.'s Annual Report</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on Form 10-K, filed on March 30, 2000 -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580" w:type="dxa"/>
            <w:vAlign w:val="bottom"/>
            <w:gridSpan w:val="6"/>
            <w:shd w:val="clear" w:color="auto" w:fill="CCEEFF"/>
          </w:tcPr>
          <w:p>
            <w:pPr>
              <w:ind w:left="140"/>
              <w:spacing w:after="0" w:line="176" w:lineRule="exact"/>
              <w:rPr>
                <w:sz w:val="20"/>
                <w:szCs w:val="20"/>
                <w:color w:val="auto"/>
              </w:rPr>
            </w:pPr>
            <w:r>
              <w:rPr>
                <w:rFonts w:ascii="Arial" w:cs="Arial" w:eastAsia="Arial" w:hAnsi="Arial"/>
                <w:sz w:val="18"/>
                <w:szCs w:val="18"/>
                <w:color w:val="auto"/>
              </w:rPr>
              <w:t>Schedule of directors and executive officers who are parties to Indemnification Agreements with Itron, Inc. * (</w:t>
            </w:r>
            <w:r>
              <w:rPr>
                <w:rFonts w:ascii="Arial" w:cs="Arial" w:eastAsia="Arial" w:hAnsi="Arial"/>
                <w:sz w:val="18"/>
                <w:szCs w:val="18"/>
                <w:color w:val="0000EE"/>
              </w:rPr>
              <w:t>attached hereto</w:t>
            </w:r>
            <w:r>
              <w:rPr>
                <w:rFonts w:ascii="Arial" w:cs="Arial" w:eastAsia="Arial" w:hAnsi="Arial"/>
                <w:sz w:val="18"/>
                <w:szCs w:val="18"/>
                <w:color w:val="auto"/>
              </w:rPr>
              <w:t>)</w:t>
            </w:r>
          </w:p>
        </w:tc>
      </w:tr>
      <w:tr>
        <w:trPr>
          <w:trHeight w:val="216"/>
        </w:trPr>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10.6</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rPr>
              <w:t>Amended and Restated 2000 Stock Incentive Plan. (Filed as Appendix A to Itron, Inc.'s Proxy Statement for the Annual Meeting of</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Shareholders to be held on May 15, 2007 -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10.7</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Terms of the Amended and Restated Equity Grant Program for Nonemployee Directors under the Itron, Inc. Amended and Restated 2000 Stock</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Incentive Plan. (Filed as Exhibit 10.4 to Itron, Inc.'s Annual Report on Form 10-K, filed on February 26, 2008 -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10.8</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Form of Non-Qualified Stock Option Grant Notice and Agreement for Nonemployee Directors under the Itron, Inc. Amended and Restated 2000</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7"/>
              </w:rPr>
              <w:t>Stock Incentive Plan. (Filed as Exhibit 10.9 to Itron, Inc.'s Annual Report on Form 10-K, filed on February 26, 2009 -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10.9</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Form of Restricted Stock Unit Award Notice and Agreement for U.S. Participants for use in connection with the Company’s Long-Term</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2"/>
              </w:rPr>
              <w:t>Performance Plan (LTPP) and issued under the Company’s Amended and Restated 2000 Stock Incentive Plan.* (Filed as Exhibit 10.1 to Itron,</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Inc.'s Current Report on Form 8-K, filed on February 18, 2010 -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10.10</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Form of Restricted Stock Unit Award Notice and Agreement for International Participants (excluding France) for use in connection with the</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3"/>
              </w:rPr>
              <w:t>Company’s LTPP and issued under the Company’s Amended and Restated 2000 Stock Incentive Plan.* (Filed as Exhibit 10.2 to Itron, Inc.'s</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Current Report on Form 8-K, filed on February 18, 2010 -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10.11</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Form of Restricted Stock Unit Award Notice and Agreement for Participants in France for use in connection with the Company’s LTPP and</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2"/>
              </w:rPr>
              <w:t>issued under the Company’s Amended and Restated 2000 Stock Incentive Plan.* (Filed as Exhibit 10.3 to Itron, Inc.'s Current Report on Form</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8-K, filed on February 18, 2010 - File No. 0-22418)</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10.12</w:t>
            </w:r>
          </w:p>
        </w:tc>
        <w:tc>
          <w:tcPr>
            <w:tcW w:w="10580" w:type="dxa"/>
            <w:vAlign w:val="bottom"/>
            <w:gridSpan w:val="6"/>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Form of Restricted Stock Unit Award Notice and Agreement for all Participants (excluding France) for use in connection with the Company’s</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4"/>
              </w:rPr>
              <w:t>Amended and Restated 2000 Stock Incentive Plan.* (Filed as Exhibit 10.4 to Itron, Inc.'s Current Report on Form 8-K, filed on February 18,</w:t>
            </w:r>
          </w:p>
        </w:tc>
      </w:tr>
      <w:tr>
        <w:trPr>
          <w:trHeight w:val="230"/>
        </w:trPr>
        <w:tc>
          <w:tcPr>
            <w:tcW w:w="840" w:type="dxa"/>
            <w:vAlign w:val="bottom"/>
            <w:shd w:val="clear" w:color="auto" w:fill="CCEEFF"/>
          </w:tcPr>
          <w:p>
            <w:pPr>
              <w:spacing w:after="0"/>
              <w:rPr>
                <w:sz w:val="20"/>
                <w:szCs w:val="20"/>
                <w:color w:val="auto"/>
              </w:rPr>
            </w:pPr>
          </w:p>
        </w:tc>
        <w:tc>
          <w:tcPr>
            <w:tcW w:w="105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2010 - File No. 0-22418)</w:t>
            </w:r>
          </w:p>
        </w:tc>
      </w:tr>
      <w:tr>
        <w:trPr>
          <w:trHeight w:val="459"/>
        </w:trPr>
        <w:tc>
          <w:tcPr>
            <w:tcW w:w="840" w:type="dxa"/>
            <w:vAlign w:val="bottom"/>
          </w:tcPr>
          <w:p>
            <w:pPr>
              <w:spacing w:after="0"/>
              <w:rPr>
                <w:sz w:val="24"/>
                <w:szCs w:val="24"/>
                <w:color w:val="auto"/>
              </w:rPr>
            </w:pPr>
          </w:p>
        </w:tc>
        <w:tc>
          <w:tcPr>
            <w:tcW w:w="8100" w:type="dxa"/>
            <w:vAlign w:val="bottom"/>
            <w:gridSpan w:val="4"/>
          </w:tcPr>
          <w:p>
            <w:pPr>
              <w:jc w:val="right"/>
              <w:ind w:right="3050"/>
              <w:spacing w:after="0"/>
              <w:rPr>
                <w:sz w:val="20"/>
                <w:szCs w:val="20"/>
                <w:color w:val="auto"/>
              </w:rPr>
            </w:pPr>
            <w:r>
              <w:rPr>
                <w:rFonts w:ascii="Arial" w:cs="Arial" w:eastAsia="Arial" w:hAnsi="Arial"/>
                <w:sz w:val="18"/>
                <w:szCs w:val="18"/>
                <w:color w:val="auto"/>
              </w:rPr>
              <w:t>86</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4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740" w:type="dxa"/>
            <w:vAlign w:val="bottom"/>
            <w:tcBorders>
              <w:bottom w:val="single" w:sz="8" w:color="auto"/>
            </w:tcBorders>
            <w:gridSpan w:val="3"/>
          </w:tcPr>
          <w:p>
            <w:pPr>
              <w:ind w:left="1660"/>
              <w:spacing w:after="0"/>
              <w:rPr>
                <w:sz w:val="20"/>
                <w:szCs w:val="20"/>
                <w:color w:val="auto"/>
              </w:rPr>
            </w:pPr>
            <w:r>
              <w:rPr>
                <w:rFonts w:ascii="Arial" w:cs="Arial" w:eastAsia="Arial" w:hAnsi="Arial"/>
                <w:sz w:val="18"/>
                <w:szCs w:val="18"/>
                <w:b w:val="1"/>
                <w:bCs w:val="1"/>
                <w:color w:val="auto"/>
              </w:rPr>
              <w:t>Description of Exhibits</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10.13</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Form of Restricted Stock Unit Award Notice and Agreement for Participants in France for use in connection with the Company’s Amended and</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Restated 2000 Stock Incentive Plan.* (Filed as Exhibit 10.5 to Itron, Inc.'s Current Report on Form 8-K, filed on February 18, 2010 - File No.</w:t>
            </w:r>
          </w:p>
        </w:tc>
      </w:tr>
      <w:tr>
        <w:trPr>
          <w:trHeight w:val="230"/>
        </w:trPr>
        <w:tc>
          <w:tcPr>
            <w:tcW w:w="9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0-22418)</w:t>
            </w:r>
          </w:p>
        </w:tc>
        <w:tc>
          <w:tcPr>
            <w:tcW w:w="8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10.14</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Form of Stock Option Grant Notice and Agreement for use in connection with both incentive and non-qualified stock options granted under the</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Company’s Amended and Restated 2000 Stock Incentive Plan.* (Filed as Exhibit 10.6 to Itron, Inc.'s Current Report on Form 8-K, filed on</w:t>
            </w: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February 18, 2010 - File No. 0-22418)</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10.15</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2"/>
              </w:rPr>
              <w:t>Executive Deferred Compensation Plan.* (Filed as Exhibit 10.19 to Itron, Inc.'s Annual Report on form 10-K, Filed on February 26, 2009 - File</w:t>
            </w: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 0-22418)</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10.16</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Amended and Restated 2002 Employee Stock Purchase Plan. (Filed as Exhibit 10.20 to Itron's Annual Report on Form 10-K, filed on February</w:t>
            </w: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26, 2009 - File No. 0-22418)</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10.17</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2"/>
              </w:rPr>
              <w:t>1989 Restated Stock Option Plan. (Filed as Appendix A to Itron, Inc.'s Proxy Statement for the Annual Meeting of Shareholders to be held on</w:t>
            </w: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April 29, 1997 - File No. 0-22418)</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shd w:val="clear" w:color="auto" w:fill="CCEEFF"/>
          </w:tcPr>
          <w:p>
            <w:pPr>
              <w:spacing w:after="0"/>
              <w:rPr>
                <w:sz w:val="18"/>
                <w:szCs w:val="18"/>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Stock Option Plan for Nonemployee Directors. (Filed as Exhibit 10.11 to Itron, Inc.'s Registration Statement on Form S-1 dated July 22, 1992)</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shd w:val="clear" w:color="auto" w:fill="CCEEFF"/>
          </w:tcPr>
          <w:p>
            <w:pPr>
              <w:spacing w:after="0"/>
              <w:rPr>
                <w:sz w:val="18"/>
                <w:szCs w:val="18"/>
                <w:color w:val="auto"/>
              </w:rPr>
            </w:pPr>
          </w:p>
        </w:tc>
        <w:tc>
          <w:tcPr>
            <w:tcW w:w="10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Notice of Restricted Stock Award.* (Filed as Exhibit 10.23 to Itron, Inc.'s Report on Form 8-K, filed on February 17, 2006 - File No. 0-22418)</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19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12.1</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Statement re Computation of Ratios.</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21.1</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Subsidiaries of Itron, Inc.</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23.1</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Consent of Ernst &amp; Young LLP Independent Registered Public Accounting Firm</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31.1</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31.2</w:t>
            </w:r>
          </w:p>
        </w:tc>
        <w:tc>
          <w:tcPr>
            <w:tcW w:w="120" w:type="dxa"/>
            <w:vAlign w:val="bottom"/>
            <w:shd w:val="clear" w:color="auto" w:fill="CCEEFF"/>
          </w:tcPr>
          <w:p>
            <w:pPr>
              <w:spacing w:after="0"/>
              <w:rPr>
                <w:sz w:val="17"/>
                <w:szCs w:val="17"/>
                <w:color w:val="auto"/>
              </w:rPr>
            </w:pPr>
          </w:p>
        </w:tc>
        <w:tc>
          <w:tcPr>
            <w:tcW w:w="10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32.1</w:t>
            </w:r>
          </w:p>
        </w:tc>
        <w:tc>
          <w:tcPr>
            <w:tcW w:w="120" w:type="dxa"/>
            <w:vAlign w:val="bottom"/>
            <w:shd w:val="clear" w:color="auto" w:fill="CCEEFF"/>
          </w:tcPr>
          <w:p>
            <w:pPr>
              <w:spacing w:after="0"/>
              <w:rPr>
                <w:sz w:val="15"/>
                <w:szCs w:val="15"/>
                <w:color w:val="auto"/>
              </w:rPr>
            </w:pPr>
          </w:p>
        </w:tc>
        <w:tc>
          <w:tcPr>
            <w:tcW w:w="10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Certification Pursuant to Section 906 of the Sarbanes-Oxley Act of 2002.</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040" w:hanging="59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24th day of February, 2010.</w:t>
      </w:r>
    </w:p>
    <w:p>
      <w:pPr>
        <w:spacing w:after="0" w:line="18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04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14605</wp:posOffset>
            </wp:positionV>
            <wp:extent cx="37388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38880" cy="17145"/>
                    </a:xfrm>
                    <a:prstGeom prst="rect">
                      <a:avLst/>
                    </a:prstGeom>
                    <a:noFill/>
                  </pic:spPr>
                </pic:pic>
              </a:graphicData>
            </a:graphic>
          </wp:anchor>
        </w:drawing>
      </w:r>
    </w:p>
    <w:p>
      <w:pPr>
        <w:spacing w:after="0" w:line="12"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24th day of February,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b w:val="1"/>
                <w:bCs w:val="1"/>
                <w:color w:val="auto"/>
                <w:w w:val="89"/>
              </w:rPr>
              <w:t>Signature</w:t>
            </w:r>
          </w:p>
        </w:tc>
        <w:tc>
          <w:tcPr>
            <w:tcW w:w="140" w:type="dxa"/>
            <w:vAlign w:val="bottom"/>
          </w:tcPr>
          <w:p>
            <w:pPr>
              <w:spacing w:after="0"/>
              <w:rPr>
                <w:sz w:val="20"/>
                <w:szCs w:val="20"/>
                <w:color w:val="auto"/>
              </w:rPr>
            </w:pPr>
          </w:p>
        </w:tc>
        <w:tc>
          <w:tcPr>
            <w:tcW w:w="7620" w:type="dxa"/>
            <w:vAlign w:val="bottom"/>
            <w:tcBorders>
              <w:bottom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Title</w:t>
            </w:r>
          </w:p>
        </w:tc>
      </w:tr>
      <w:tr>
        <w:trPr>
          <w:trHeight w:val="439"/>
        </w:trPr>
        <w:tc>
          <w:tcPr>
            <w:tcW w:w="82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8"/>
                <w:szCs w:val="18"/>
                <w:color w:val="auto"/>
                <w:w w:val="97"/>
              </w:rPr>
              <w:t>MALCOLM UNSWORTH</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3"/>
              </w:rPr>
              <w:t>Malcolm Unsworth</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(Principal Executive Officer), Director</w:t>
            </w:r>
          </w:p>
        </w:tc>
      </w:tr>
      <w:tr>
        <w:trPr>
          <w:trHeight w:val="421"/>
        </w:trPr>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1"/>
              </w:rPr>
              <w:t>/S/</w:t>
            </w:r>
          </w:p>
        </w:tc>
        <w:tc>
          <w:tcPr>
            <w:tcW w:w="31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color w:val="auto"/>
                <w:w w:val="97"/>
              </w:rPr>
              <w:t>STEVEN M. HELMBRECHT</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2"/>
              </w:rPr>
              <w:t>Steven M. Helmbrecht</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Sr. Vice President and Chief Financial Officer (Principal Financial and Accounting Officer)</w:t>
            </w:r>
          </w:p>
        </w:tc>
      </w:tr>
      <w:tr>
        <w:trPr>
          <w:trHeight w:val="421"/>
        </w:trPr>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1"/>
              </w:rPr>
              <w:t>/S/</w:t>
            </w: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color w:val="auto"/>
              </w:rPr>
              <w:t>MICHAEL B. BRACY</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Michael B. Bracy</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21"/>
        </w:trPr>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0"/>
              </w:rPr>
              <w:t>/S/</w:t>
            </w:r>
          </w:p>
        </w:tc>
        <w:tc>
          <w:tcPr>
            <w:tcW w:w="266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98"/>
              </w:rPr>
              <w:t>KIRBY A. DYESS</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Kirby A. Dyess</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21"/>
        </w:trPr>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color w:val="auto"/>
                <w:w w:val="95"/>
              </w:rPr>
              <w:t>JON E. ELIASSEN</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Jon E. Eliassen</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r>
      <w:tr>
        <w:trPr>
          <w:trHeight w:val="421"/>
        </w:trPr>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/S/</w:t>
            </w:r>
          </w:p>
        </w:tc>
        <w:tc>
          <w:tcPr>
            <w:tcW w:w="31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color w:val="auto"/>
                <w:w w:val="95"/>
              </w:rPr>
              <w:t>CHARLES H. GAYLORD, JR.</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3"/>
              </w:rPr>
              <w:t>Charles H. Gaylord, Jr.</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21"/>
        </w:trPr>
        <w:tc>
          <w:tcPr>
            <w:tcW w:w="8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8"/>
                <w:szCs w:val="18"/>
                <w:color w:val="auto"/>
                <w:w w:val="98"/>
              </w:rPr>
              <w:t>THOMAS S. GLANVILLE</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Thomas S. Glanville</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21"/>
        </w:trPr>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1"/>
              </w:rPr>
              <w:t>/S/</w:t>
            </w: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890"/>
              <w:spacing w:after="0"/>
              <w:rPr>
                <w:sz w:val="20"/>
                <w:szCs w:val="20"/>
                <w:color w:val="auto"/>
              </w:rPr>
            </w:pPr>
            <w:r>
              <w:rPr>
                <w:rFonts w:ascii="Arial" w:cs="Arial" w:eastAsia="Arial" w:hAnsi="Arial"/>
                <w:sz w:val="18"/>
                <w:szCs w:val="18"/>
                <w:color w:val="auto"/>
                <w:w w:val="95"/>
              </w:rPr>
              <w:t>SHARON L. NELSON</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Sharon L. Nelson</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21"/>
        </w:trPr>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0"/>
              </w:rPr>
              <w:t>/S/</w:t>
            </w:r>
          </w:p>
        </w:tc>
        <w:tc>
          <w:tcPr>
            <w:tcW w:w="266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color w:val="auto"/>
                <w:w w:val="96"/>
              </w:rPr>
              <w:t>GARY E. PRUITT</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5"/>
              </w:rPr>
              <w:t>Gary E. Pruitt</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21"/>
        </w:trPr>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8"/>
                <w:szCs w:val="18"/>
                <w:color w:val="auto"/>
                <w:w w:val="99"/>
              </w:rPr>
              <w:t>GRAHAM M. WILSON</w:t>
            </w:r>
          </w:p>
        </w:tc>
        <w:tc>
          <w:tcPr>
            <w:tcW w:w="1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5"/>
              </w:rPr>
              <w:t>Graham M. Wilson</w:t>
            </w: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441"/>
        </w:trPr>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760" w:type="dxa"/>
            <w:vAlign w:val="bottom"/>
            <w:gridSpan w:val="2"/>
          </w:tcPr>
          <w:p>
            <w:pPr>
              <w:jc w:val="right"/>
              <w:ind w:right="5530"/>
              <w:spacing w:after="0"/>
              <w:rPr>
                <w:sz w:val="20"/>
                <w:szCs w:val="20"/>
                <w:color w:val="auto"/>
              </w:rPr>
            </w:pPr>
            <w:r>
              <w:rPr>
                <w:rFonts w:ascii="Arial" w:cs="Arial" w:eastAsia="Arial" w:hAnsi="Arial"/>
                <w:sz w:val="18"/>
                <w:szCs w:val="18"/>
                <w:color w:val="auto"/>
              </w:rPr>
              <w:t>88</w:t>
            </w:r>
          </w:p>
        </w:tc>
      </w:tr>
      <w:tr>
        <w:trPr>
          <w:trHeight w:val="118"/>
        </w:trPr>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SCHEDULE II:  VALUATION AND QUALIFYING ACCOUNTS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Acquisition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Additions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line="216"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r>
              <w:rPr>
                <w:rFonts w:ascii="Arial" w:cs="Arial" w:eastAsia="Arial" w:hAnsi="Arial"/>
                <w:sz w:val="18"/>
                <w:szCs w:val="18"/>
                <w:b w:val="1"/>
                <w:bCs w:val="1"/>
                <w:color w:val="auto"/>
                <w:w w:val="86"/>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charged to</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and 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costs and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 of period</w:t>
            </w:r>
          </w:p>
        </w:tc>
        <w:tc>
          <w:tcPr>
            <w:tcW w:w="0" w:type="dxa"/>
            <w:vAlign w:val="bottom"/>
          </w:tcPr>
          <w:p>
            <w:pPr>
              <w:spacing w:after="0"/>
              <w:rPr>
                <w:sz w:val="1"/>
                <w:szCs w:val="1"/>
                <w:color w:val="auto"/>
              </w:rPr>
            </w:pPr>
          </w:p>
        </w:tc>
      </w:t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of period</w:t>
            </w:r>
          </w:p>
        </w:tc>
        <w:tc>
          <w:tcPr>
            <w:tcW w:w="1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adjustments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expenses</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Noncurrent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13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Year ended December 31, 2009: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6"/>
          </w:tcPr>
          <w:p>
            <w:pPr>
              <w:ind w:left="7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valuation allowance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Deferred tax assets valuation allowance</w:t>
            </w:r>
            <w:r>
              <w:rPr>
                <w:rFonts w:ascii="Arial" w:cs="Arial" w:eastAsia="Arial" w:hAnsi="Arial"/>
                <w:sz w:val="25"/>
                <w:szCs w:val="25"/>
                <w:color w:val="auto"/>
                <w:vertAlign w:val="superscript"/>
              </w:rPr>
              <w:t>(1)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2,966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9" w:lineRule="exact"/>
        <w:rPr>
          <w:sz w:val="20"/>
          <w:szCs w:val="20"/>
          <w:color w:val="auto"/>
        </w:rPr>
      </w:pPr>
    </w:p>
    <w:p>
      <w:pPr>
        <w:ind w:left="340" w:right="20" w:hanging="245"/>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On April 18, 2007, we completed the acquisition of Actaris Metering Systems SA and continued to make adjustments to the purchase price as the valuation of assets and liabilities were finalized in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i w:val="1"/>
          <w:i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AMENDMENT NO. 2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200" w:lineRule="exact"/>
        <w:rPr>
          <w:sz w:val="20"/>
          <w:szCs w:val="20"/>
          <w:color w:val="auto"/>
        </w:rPr>
      </w:pPr>
    </w:p>
    <w:p>
      <w:pPr>
        <w:spacing w:after="0" w:line="29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ITRON, INC.,</w:t>
      </w:r>
    </w:p>
    <w:p>
      <w:pPr>
        <w:spacing w:after="0" w:line="200" w:lineRule="exact"/>
        <w:rPr>
          <w:sz w:val="20"/>
          <w:szCs w:val="20"/>
          <w:color w:val="auto"/>
        </w:rPr>
      </w:pPr>
    </w:p>
    <w:p>
      <w:pPr>
        <w:spacing w:after="0" w:line="29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as Borrower,</w:t>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The Subsidiary Guarantors,</w:t>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The Lenders Party Hereto,</w:t>
      </w:r>
    </w:p>
    <w:p>
      <w:pPr>
        <w:spacing w:after="0" w:line="200" w:lineRule="exact"/>
        <w:rPr>
          <w:sz w:val="20"/>
          <w:szCs w:val="20"/>
          <w:color w:val="auto"/>
        </w:rPr>
      </w:pPr>
    </w:p>
    <w:p>
      <w:pPr>
        <w:spacing w:after="0" w:line="29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dated as of February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1936115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AMENDMENT NO. 2 AND WAIVER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12, 2010</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Reference is made to the Credit Agreement, dated as of April 18, 2007 (as amended by the Amendment No. 1, dated as of April 24, 2009 and as otherwise restated, amended and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but not otherwise defined herein having the meanings given to them in the Credit Agreement), among Itron, Inc., a Washington corporation (“</w:t>
      </w:r>
      <w:r>
        <w:rPr>
          <w:rFonts w:ascii="Arial" w:cs="Arial" w:eastAsia="Arial" w:hAnsi="Arial"/>
          <w:sz w:val="18"/>
          <w:szCs w:val="18"/>
          <w:b w:val="1"/>
          <w:bCs w:val="1"/>
          <w:color w:val="auto"/>
        </w:rPr>
        <w:t>Borrower</w:t>
      </w:r>
      <w:r>
        <w:rPr>
          <w:rFonts w:ascii="Arial" w:cs="Arial" w:eastAsia="Arial" w:hAnsi="Arial"/>
          <w:sz w:val="18"/>
          <w:szCs w:val="18"/>
          <w:color w:val="auto"/>
        </w:rPr>
        <w:t>”), the Subsidiary Guarantors, the Lenders, UBS Securities LLC, as Syndication Agent, Wells Fargo Bank, National Association (“</w:t>
      </w:r>
      <w:r>
        <w:rPr>
          <w:rFonts w:ascii="Arial" w:cs="Arial" w:eastAsia="Arial" w:hAnsi="Arial"/>
          <w:sz w:val="18"/>
          <w:szCs w:val="18"/>
          <w:b w:val="1"/>
          <w:bCs w:val="1"/>
          <w:color w:val="auto"/>
        </w:rPr>
        <w:t>Wells Fargo</w:t>
      </w:r>
      <w:r>
        <w:rPr>
          <w:rFonts w:ascii="Arial" w:cs="Arial" w:eastAsia="Arial" w:hAnsi="Arial"/>
          <w:sz w:val="18"/>
          <w:szCs w:val="18"/>
          <w:color w:val="auto"/>
        </w:rPr>
        <w:t>”), as Swingline Lender, as an Issuing Bank, as Administrative Agent and as Collateral Agent, and Mizuho Corporate Bank, Ltd., as an Issuing Bank and as Documentation Agent.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Borrower and the Subsidiary Guarantors have requested that the Required Lenders agree to (i) amend the definition of “Consolidated Net Income” under the Credit Agreement and (ii) waive certain provisions identified below under the Credit Agreement in order to permit the Luxemburg Restructuring (as defined below) and the Foreign Subsidiary Restructuring (as defined below), as set forth in this Amendment No. 2 and Waiver (this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200" w:lineRule="exact"/>
        <w:rPr>
          <w:sz w:val="20"/>
          <w:szCs w:val="20"/>
          <w:color w:val="auto"/>
        </w:rPr>
      </w:pPr>
    </w:p>
    <w:p>
      <w:pPr>
        <w:spacing w:after="0" w:line="25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WHEREAS, Borrower, the Subsidiary Guarantors and the Lenders signatory hereto agree to amend the definition of Consolidated Net Income and to waive certain provisions identified below under the Credit Agreement in order to permit the Luxemburg Restructuring (as defined below) and the Foreign Subsidiary Restructuring (as defined below), subject to the terms and conditions of this Amendment.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and for good and valuable consideration, the receipt and sufficiency of which are hereby acknowledged, the parties hereto agree as follows:</w:t>
      </w:r>
    </w:p>
    <w:p>
      <w:pPr>
        <w:spacing w:after="0" w:line="220"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definition of “Consolidated Net Income” in Section 1.01 of the Credit Agreement is hereby amended by inserting the following in clause (b)(i) of said definition, immediately after the phrase “or similar distributions by such Subsidiary of that income” contained therein:</w:t>
      </w:r>
    </w:p>
    <w:p>
      <w:pPr>
        <w:spacing w:after="0" w:line="197" w:lineRule="exact"/>
        <w:rPr>
          <w:sz w:val="20"/>
          <w:szCs w:val="20"/>
          <w:color w:val="auto"/>
        </w:rPr>
      </w:pPr>
    </w:p>
    <w:p>
      <w:pPr>
        <w:jc w:val="both"/>
        <w:ind w:left="1300" w:right="660"/>
        <w:spacing w:after="0" w:line="255" w:lineRule="auto"/>
        <w:rPr>
          <w:sz w:val="20"/>
          <w:szCs w:val="20"/>
          <w:color w:val="auto"/>
        </w:rPr>
      </w:pPr>
      <w:r>
        <w:rPr>
          <w:rFonts w:ascii="Arial" w:cs="Arial" w:eastAsia="Arial" w:hAnsi="Arial"/>
          <w:sz w:val="18"/>
          <w:szCs w:val="18"/>
          <w:color w:val="auto"/>
        </w:rPr>
        <w:t>“(other than such amounts paid or permitted to be paid, as principal or interest, on intercompany notes constituting obligations of such Subsidiary owing to (x) the Borrower or (y) another Subsidiary of the Borrower to the extent the terms of the Organizational Documents of such other Subsidiary, or of any direct or indirect parent company of such other Subsidiary, or any agreement, instrument or Requirement of Law, do not restrict the declaration or payment of such amounts as dividends, similar distributions or the payment of principal or interest on intercompany notes, directly or indirectly through one or more intermediate Subsidiaries,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93" w:name="page94"/>
    <w:bookmarkEnd w:id="93"/>
    <w:p>
      <w:pPr>
        <w:ind w:left="640"/>
        <w:spacing w:after="0"/>
        <w:tabs>
          <w:tab w:leader="none" w:pos="18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Limited Waiver</w:t>
      </w:r>
      <w:r>
        <w:rPr>
          <w:rFonts w:ascii="Arial" w:cs="Arial" w:eastAsia="Arial" w:hAnsi="Arial"/>
          <w:sz w:val="16"/>
          <w:szCs w:val="16"/>
          <w:b w:val="1"/>
          <w:bCs w:val="1"/>
          <w:color w:val="auto"/>
        </w:rPr>
        <w:t>.</w:t>
      </w:r>
    </w:p>
    <w:p>
      <w:pPr>
        <w:spacing w:after="0" w:line="279" w:lineRule="exact"/>
        <w:rPr>
          <w:sz w:val="20"/>
          <w:szCs w:val="20"/>
          <w:color w:val="auto"/>
        </w:rPr>
      </w:pPr>
    </w:p>
    <w:p>
      <w:pPr>
        <w:ind w:left="1060" w:hanging="41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Luxemburg Restructuring</w:t>
      </w:r>
      <w:r>
        <w:rPr>
          <w:rFonts w:ascii="Arial" w:cs="Arial" w:eastAsia="Arial" w:hAnsi="Arial"/>
          <w:sz w:val="18"/>
          <w:szCs w:val="18"/>
          <w:color w:val="auto"/>
        </w:rPr>
        <w:t>” shall mean the following transactions:</w:t>
      </w:r>
    </w:p>
    <w:p>
      <w:pPr>
        <w:spacing w:after="0" w:line="283" w:lineRule="exact"/>
        <w:rPr>
          <w:rFonts w:ascii="Arial" w:cs="Arial" w:eastAsia="Arial" w:hAnsi="Arial"/>
          <w:sz w:val="18"/>
          <w:szCs w:val="18"/>
          <w:color w:val="auto"/>
        </w:rPr>
      </w:pPr>
    </w:p>
    <w:p>
      <w:pPr>
        <w:jc w:val="both"/>
        <w:ind w:right="100" w:firstLine="1941"/>
        <w:spacing w:after="0" w:line="264" w:lineRule="auto"/>
        <w:tabs>
          <w:tab w:leader="none" w:pos="23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formation by the Borrower of a new Wholly Owned direct Subsidiary of the Borrower organized under the laws of Luxembourg (such Subsidiary, “</w:t>
      </w:r>
      <w:r>
        <w:rPr>
          <w:rFonts w:ascii="Arial" w:cs="Arial" w:eastAsia="Arial" w:hAnsi="Arial"/>
          <w:sz w:val="18"/>
          <w:szCs w:val="18"/>
          <w:b w:val="1"/>
          <w:bCs w:val="1"/>
          <w:color w:val="auto"/>
        </w:rPr>
        <w:t>New Lux</w:t>
      </w:r>
      <w:r>
        <w:rPr>
          <w:rFonts w:ascii="Arial" w:cs="Arial" w:eastAsia="Arial" w:hAnsi="Arial"/>
          <w:sz w:val="18"/>
          <w:szCs w:val="18"/>
          <w:color w:val="auto"/>
        </w:rPr>
        <w:t>”) (including the investment of €12,500 by the Borrower in New Lux in exchange for shares of stock in New Lux);</w:t>
      </w:r>
    </w:p>
    <w:p>
      <w:pPr>
        <w:spacing w:after="0" w:line="231" w:lineRule="exact"/>
        <w:rPr>
          <w:rFonts w:ascii="Arial" w:cs="Arial" w:eastAsia="Arial" w:hAnsi="Arial"/>
          <w:sz w:val="18"/>
          <w:szCs w:val="18"/>
          <w:color w:val="auto"/>
        </w:rPr>
      </w:pPr>
    </w:p>
    <w:p>
      <w:pPr>
        <w:ind w:right="480" w:firstLine="1941"/>
        <w:spacing w:after="0" w:line="313" w:lineRule="auto"/>
        <w:tabs>
          <w:tab w:leader="none" w:pos="23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conversion of share premium and convertible preferred equity certificates (“</w:t>
      </w:r>
      <w:r>
        <w:rPr>
          <w:rFonts w:ascii="Arial" w:cs="Arial" w:eastAsia="Arial" w:hAnsi="Arial"/>
          <w:sz w:val="17"/>
          <w:szCs w:val="17"/>
          <w:b w:val="1"/>
          <w:bCs w:val="1"/>
          <w:color w:val="auto"/>
        </w:rPr>
        <w:t>CPECs</w:t>
      </w:r>
      <w:r>
        <w:rPr>
          <w:rFonts w:ascii="Arial" w:cs="Arial" w:eastAsia="Arial" w:hAnsi="Arial"/>
          <w:sz w:val="17"/>
          <w:szCs w:val="17"/>
          <w:color w:val="auto"/>
        </w:rPr>
        <w:t>”) of Itron Acquisition Company (known currently as Itron Luxembourg Sarl) held by the Borrower into share capital of Itron Acquisition Company;</w:t>
      </w:r>
    </w:p>
    <w:p>
      <w:pPr>
        <w:spacing w:after="0" w:line="196" w:lineRule="exact"/>
        <w:rPr>
          <w:rFonts w:ascii="Arial" w:cs="Arial" w:eastAsia="Arial" w:hAnsi="Arial"/>
          <w:sz w:val="17"/>
          <w:szCs w:val="17"/>
          <w:color w:val="auto"/>
        </w:rPr>
      </w:pPr>
    </w:p>
    <w:p>
      <w:pPr>
        <w:ind w:left="2420" w:hanging="479"/>
        <w:spacing w:after="0"/>
        <w:tabs>
          <w:tab w:leader="none" w:pos="2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decrease in share capital of Itron Acquisition Company in order to offset accumulated losses of Itron</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Acquisition Company;</w:t>
      </w:r>
    </w:p>
    <w:p>
      <w:pPr>
        <w:spacing w:after="0" w:line="264" w:lineRule="exact"/>
        <w:rPr>
          <w:rFonts w:ascii="Arial" w:cs="Arial" w:eastAsia="Arial" w:hAnsi="Arial"/>
          <w:sz w:val="18"/>
          <w:szCs w:val="18"/>
          <w:color w:val="auto"/>
        </w:rPr>
      </w:pPr>
    </w:p>
    <w:p>
      <w:pPr>
        <w:ind w:left="2420" w:hanging="479"/>
        <w:spacing w:after="0"/>
        <w:tabs>
          <w:tab w:leader="none" w:pos="2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issuance of new shares of stock of Itron Acquisition Company to reflect the adjusted amount of share capital;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64" w:lineRule="exact"/>
        <w:rPr>
          <w:rFonts w:ascii="Arial" w:cs="Arial" w:eastAsia="Arial" w:hAnsi="Arial"/>
          <w:sz w:val="16"/>
          <w:szCs w:val="16"/>
          <w:color w:val="auto"/>
        </w:rPr>
      </w:pPr>
    </w:p>
    <w:p>
      <w:pPr>
        <w:ind w:right="480" w:firstLine="1941"/>
        <w:spacing w:after="0" w:line="277" w:lineRule="auto"/>
        <w:tabs>
          <w:tab w:leader="none" w:pos="23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contribution by the Borrower of 100% of its Equity Interests in Itron Acquisition Company to New Lux in exchange for (x) additional shares of stock of New Lux and (y) CPECs issued by New Lux to the Borrower.</w:t>
      </w:r>
    </w:p>
    <w:p>
      <w:pPr>
        <w:spacing w:after="0" w:line="220" w:lineRule="exact"/>
        <w:rPr>
          <w:rFonts w:ascii="Arial" w:cs="Arial" w:eastAsia="Arial" w:hAnsi="Arial"/>
          <w:sz w:val="18"/>
          <w:szCs w:val="18"/>
          <w:color w:val="auto"/>
        </w:rPr>
      </w:pPr>
    </w:p>
    <w:p>
      <w:pPr>
        <w:ind w:left="-660" w:right="40" w:firstLine="1305"/>
        <w:spacing w:after="0" w:line="258" w:lineRule="auto"/>
        <w:tabs>
          <w:tab w:leader="none" w:pos="10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 Restructuring</w:t>
      </w:r>
      <w:r>
        <w:rPr>
          <w:rFonts w:ascii="Arial" w:cs="Arial" w:eastAsia="Arial" w:hAnsi="Arial"/>
          <w:sz w:val="18"/>
          <w:szCs w:val="18"/>
          <w:color w:val="auto"/>
        </w:rPr>
        <w:t>” shall mean (i) the conversion to equity or write-off of intercompany indebtedness of Foreign Subsidiaries of the Borrower which existed prior to the Closing Date (and were Subsidiaries of the Borrower prior to the Closing Date) and (ii) the transfer by the Borrower or Subsidiary Guarantors (by investment, sale, merger or otherwise) of Foreign Subsidiaries of the Borrower which existed prior to the Closing Date (and were Subsidiaries of the Borrower prior to the Closing Date) and are not Subsidiaries of Itron Acquisition Company to New Lux, Itron Acquisition Company or Subsidiaries of New Lux.</w:t>
      </w:r>
    </w:p>
    <w:p>
      <w:pPr>
        <w:spacing w:after="0" w:line="237" w:lineRule="exact"/>
        <w:rPr>
          <w:rFonts w:ascii="Arial" w:cs="Arial" w:eastAsia="Arial" w:hAnsi="Arial"/>
          <w:sz w:val="18"/>
          <w:szCs w:val="18"/>
          <w:color w:val="auto"/>
        </w:rPr>
      </w:pPr>
    </w:p>
    <w:p>
      <w:pPr>
        <w:ind w:left="-660" w:right="160" w:firstLine="1305"/>
        <w:spacing w:after="0" w:line="258" w:lineRule="auto"/>
        <w:tabs>
          <w:tab w:leader="none" w:pos="10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Covenants</w:t>
      </w:r>
      <w:r>
        <w:rPr>
          <w:rFonts w:ascii="Arial" w:cs="Arial" w:eastAsia="Arial" w:hAnsi="Arial"/>
          <w:sz w:val="18"/>
          <w:szCs w:val="18"/>
          <w:color w:val="auto"/>
        </w:rPr>
        <w:t>” shall mean (x) the following Sections of the Credit Agreement: 6.04, 6.06, 6.07 (solely as provided for in clause (iii) of the definition of, the Luxembourg Restructuring), 6.09 and 6.12(a) (solely as it relates to the terms of the CPECs to be issued by New Lux to Borrower) and (y) the covenants contained in Section 8 of the Pledge Over Shares and CPECS, made on April 18, 2007, among the Borrower, the Collateral Agent and Itron Acquisition Company (the “</w:t>
      </w:r>
      <w:r>
        <w:rPr>
          <w:rFonts w:ascii="Arial" w:cs="Arial" w:eastAsia="Arial" w:hAnsi="Arial"/>
          <w:sz w:val="18"/>
          <w:szCs w:val="18"/>
          <w:b w:val="1"/>
          <w:bCs w:val="1"/>
          <w:color w:val="auto"/>
        </w:rPr>
        <w:t>Existing Luxembourg Pledge Agreement</w:t>
      </w:r>
      <w:r>
        <w:rPr>
          <w:rFonts w:ascii="Arial" w:cs="Arial" w:eastAsia="Arial" w:hAnsi="Arial"/>
          <w:sz w:val="18"/>
          <w:szCs w:val="18"/>
          <w:color w:val="auto"/>
        </w:rPr>
        <w:t>”) and (z) covenants or representations in any Security Document which restrict the Foreign Subsidiary Restructuring.</w:t>
      </w:r>
    </w:p>
    <w:p>
      <w:pPr>
        <w:spacing w:after="0" w:line="241" w:lineRule="exact"/>
        <w:rPr>
          <w:rFonts w:ascii="Arial" w:cs="Arial" w:eastAsia="Arial" w:hAnsi="Arial"/>
          <w:sz w:val="18"/>
          <w:szCs w:val="18"/>
          <w:color w:val="auto"/>
        </w:rPr>
      </w:pPr>
    </w:p>
    <w:p>
      <w:pPr>
        <w:ind w:left="-660" w:firstLine="1305"/>
        <w:spacing w:after="0" w:line="269" w:lineRule="auto"/>
        <w:tabs>
          <w:tab w:leader="none" w:pos="1062"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Subject to and on the condition that the Borrower and the Subsidiary Guarantors fully perform and satisfy all obligations of the Borrower and the Subsidiary Guarantors set forth in this Amendment within the times and in the manner set forth in this Amendment, the Required Lenders hereby waive the Specified Covenants solely for the purpose of permitting the Luxemburg Restructuring and the Foreign Subsidiary Restructuring and any breach of any Specified Covenant that has resulted or would result in any Default or Event of Default absent this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Luxemburg Restructuring is completed on or prior to April 30, 2010. The calculation of permitted Investments pursuant to Section 6.04(f)(vi) of the Credit Agreement, as well as the amount of Acquisition Consideration for Foreign Acquisitions shall not include any amounts as a result of the Luxembourg Restructuring or any Foreign Subsidiary Restructuring. The Borrower and each Subsidiary Guarantor hereby acknowledge and agree that (i) nothing contained in this Amendment or otherwise shall constitute a waiver with respect to any other Default or Event of Default that may now exist or that may at any time, from time to time, arise, other than the waivers expressly provided for herein and the Agents, the Lenders and the other Secured Parties shall have the right to exercise all remedies provided for in the Loan Documents and otherwise available at law and in equity with respect thereto and (ii) nothing contained in this Amendment or otherwise shall give rise to any agreement or obligation by any Agent or any Lender to enter into any further waiver or any amendment of any of the Credit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207010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48" w:right="239" w:bottom="1440" w:gutter="0" w:footer="0" w:header="0"/>
        </w:sectPr>
      </w:pPr>
    </w:p>
    <w:bookmarkStart w:id="94" w:name="page95"/>
    <w:bookmarkEnd w:id="94"/>
    <w:p>
      <w:pPr>
        <w:ind w:right="20" w:firstLine="1305"/>
        <w:spacing w:after="0" w:line="276" w:lineRule="auto"/>
        <w:tabs>
          <w:tab w:leader="none" w:pos="17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Required Lenders hereby consent to the release by the Collateral Agent of its Liens on (i) intercompany loans converted to equity or written off in connection with a Foreign Subsidiary Restructuring and (ii) the Equity Interests of Itron Acquisition Company and any Foreign Subsidiary transferred by the Borrower or a Subsidiary Guarantor to New Lux or a Subsidiary thereof pursuant to the Luxembourg Restructuring or the Foreign Subsidiary Restructuring and authorizes the Collateral Agent and the Administrative Agent to enter into such documents, instruments and releases, and such amendments or termination of Security Documents as may be necessary to effectuate such releases.</w:t>
      </w:r>
    </w:p>
    <w:p>
      <w:pPr>
        <w:spacing w:after="0" w:line="223" w:lineRule="exact"/>
        <w:rPr>
          <w:sz w:val="20"/>
          <w:szCs w:val="20"/>
          <w:color w:val="auto"/>
        </w:rPr>
      </w:pPr>
    </w:p>
    <w:p>
      <w:pPr>
        <w:ind w:right="80" w:firstLine="1297"/>
        <w:spacing w:after="0" w:line="25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shall become effective immediately satisfaction of all of the conditions set forth below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(such effective date,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all such conditions are not satisfied by February 16, 2010, this Amendment shall automatically terminate without further action or notice and shall be of no further force or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waivers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solely as they relate to the Luxembourg Restructuring, shall also be subject to the prior satisfaction of the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w:t>
      </w:r>
    </w:p>
    <w:p>
      <w:pPr>
        <w:spacing w:after="0" w:line="238" w:lineRule="exact"/>
        <w:rPr>
          <w:sz w:val="20"/>
          <w:szCs w:val="20"/>
          <w:color w:val="auto"/>
        </w:rPr>
      </w:pPr>
    </w:p>
    <w:p>
      <w:pPr>
        <w:ind w:right="120" w:firstLine="1305"/>
        <w:spacing w:after="0" w:line="282" w:lineRule="auto"/>
        <w:tabs>
          <w:tab w:leader="none" w:pos="1712"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of Counterparts</w:t>
      </w:r>
      <w:r>
        <w:rPr>
          <w:rFonts w:ascii="Arial" w:cs="Arial" w:eastAsia="Arial" w:hAnsi="Arial"/>
          <w:sz w:val="18"/>
          <w:szCs w:val="18"/>
          <w:color w:val="auto"/>
        </w:rPr>
        <w:t>. The Administrative Agent shall have received counterparts of this Amendment, duly executed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Parties and the Required Lenders.</w:t>
      </w:r>
    </w:p>
    <w:p>
      <w:pPr>
        <w:spacing w:after="0" w:line="215" w:lineRule="exact"/>
        <w:rPr>
          <w:rFonts w:ascii="Arial" w:cs="Arial" w:eastAsia="Arial" w:hAnsi="Arial"/>
          <w:sz w:val="18"/>
          <w:szCs w:val="18"/>
          <w:color w:val="auto"/>
        </w:rPr>
      </w:pPr>
    </w:p>
    <w:p>
      <w:pPr>
        <w:ind w:right="20" w:firstLine="1305"/>
        <w:spacing w:after="0" w:line="273" w:lineRule="auto"/>
        <w:tabs>
          <w:tab w:leader="none" w:pos="1722"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Officers’ Certificates</w:t>
      </w:r>
      <w:r>
        <w:rPr>
          <w:rFonts w:ascii="Arial" w:cs="Arial" w:eastAsia="Arial" w:hAnsi="Arial"/>
          <w:sz w:val="17"/>
          <w:szCs w:val="17"/>
          <w:color w:val="auto"/>
        </w:rPr>
        <w:t>. The Administrative Agent shall have received (i) a certificate of the Secretary or Assistant Secretary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Officer) of each Loan Party dated the Amendment Effective Date and certifying that (A) attached thereto is a true and complete copy of resolutions duly adopted by the board of directors, general partners, members or managers, as applicable, of such Loan Party authorizing the execution, delivery and performance of this Amendment and that such resolutions have not been modified, rescinded or amended and are in full force and effect and (B) attached thereto are true and complete copies of all other documents evidencing necessary organizational action and governmental and other material third party approvals and consents, if any, with respect to this Amendment and the matters and transactions contemplated hereby, and (ii) such other documents as Wells Fargo Securities, LLC (the “</w:t>
      </w:r>
      <w:r>
        <w:rPr>
          <w:rFonts w:ascii="Arial" w:cs="Arial" w:eastAsia="Arial" w:hAnsi="Arial"/>
          <w:sz w:val="17"/>
          <w:szCs w:val="17"/>
          <w:b w:val="1"/>
          <w:bCs w:val="1"/>
          <w:color w:val="auto"/>
        </w:rPr>
        <w:t>Lead Arranger</w:t>
      </w:r>
      <w:r>
        <w:rPr>
          <w:rFonts w:ascii="Arial" w:cs="Arial" w:eastAsia="Arial" w:hAnsi="Arial"/>
          <w:sz w:val="17"/>
          <w:szCs w:val="17"/>
          <w:color w:val="auto"/>
        </w:rPr>
        <w:t>”) or the Administrative Agent may reasonably request.</w:t>
      </w:r>
    </w:p>
    <w:p>
      <w:pPr>
        <w:spacing w:after="0" w:line="22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Conditions to Luxembourg Restructuring</w:t>
      </w:r>
      <w:r>
        <w:rPr>
          <w:rFonts w:ascii="Arial" w:cs="Arial" w:eastAsia="Arial" w:hAnsi="Arial"/>
          <w:sz w:val="18"/>
          <w:szCs w:val="18"/>
          <w:b w:val="1"/>
          <w:bCs w:val="1"/>
          <w:color w:val="auto"/>
        </w:rPr>
        <w:t>.</w:t>
      </w:r>
      <w:r>
        <w:rPr>
          <w:rFonts w:ascii="Arial" w:cs="Arial" w:eastAsia="Arial" w:hAnsi="Arial"/>
          <w:sz w:val="18"/>
          <w:szCs w:val="18"/>
          <w:color w:val="auto"/>
        </w:rPr>
        <w:t xml:space="preserve"> The waivers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solely as they relate to the Luxembourg Restructuring, shall become effective immediately upon satisfaction of all of the conditions set forth below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all such conditions are not satisfied by April 30, 2010, such waivers shall not become effective).</w:t>
      </w:r>
    </w:p>
    <w:p>
      <w:pPr>
        <w:spacing w:after="0" w:line="230" w:lineRule="exact"/>
        <w:rPr>
          <w:sz w:val="20"/>
          <w:szCs w:val="20"/>
          <w:color w:val="auto"/>
        </w:rPr>
      </w:pPr>
    </w:p>
    <w:p>
      <w:pPr>
        <w:ind w:right="200" w:firstLine="1305"/>
        <w:spacing w:after="0" w:line="281" w:lineRule="auto"/>
        <w:tabs>
          <w:tab w:leader="none" w:pos="1712"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Legal Opinions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 shall have received, on behalf of itself and the Lenders, a written opinion of (i) Perkins</w:t>
      </w:r>
      <w:r>
        <w:rPr>
          <w:rFonts w:ascii="Arial" w:cs="Arial" w:eastAsia="Arial" w:hAnsi="Arial"/>
          <w:sz w:val="17"/>
          <w:szCs w:val="17"/>
          <w:b w:val="1"/>
          <w:bCs w:val="1"/>
          <w:color w:val="auto"/>
        </w:rPr>
        <w:t xml:space="preserve"> </w:t>
      </w:r>
      <w:r>
        <w:rPr>
          <w:rFonts w:ascii="Arial" w:cs="Arial" w:eastAsia="Arial" w:hAnsi="Arial"/>
          <w:sz w:val="17"/>
          <w:szCs w:val="17"/>
          <w:color w:val="auto"/>
        </w:rPr>
        <w:t>Coie LLP, special counsel for the Loan Parties and (ii) AMMC Law, special Luxembourg counsel to the Loan Parties, in each case, addressed to the Administrative Agent and the Lenders and covering such matters relating to this Amendment and the Loan Documents as the Administrative Agent shall reasonably request, which opinions shall be in form and substance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95" w:name="page96"/>
    <w:bookmarkEnd w:id="95"/>
    <w:p>
      <w:pPr>
        <w:ind w:right="20" w:firstLine="1305"/>
        <w:spacing w:after="0" w:line="272" w:lineRule="auto"/>
        <w:tabs>
          <w:tab w:leader="none" w:pos="1722"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Luxembourg Pledge Agreement</w:t>
      </w:r>
      <w:r>
        <w:rPr>
          <w:rFonts w:ascii="Arial" w:cs="Arial" w:eastAsia="Arial" w:hAnsi="Arial"/>
          <w:sz w:val="17"/>
          <w:szCs w:val="17"/>
          <w:color w:val="auto"/>
        </w:rPr>
        <w:t>. The Administrative Agent shall have received (i) one or more fully executed pledge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in form and substance satisfactory to the Administrative Agent and effective under Luxembourg law to grant a Lien in favor of the Collateral Agent, for the ratable benefit of the Secured Parties, on 66% of the Voting Stock of New Lux and 100% of the Equity Interests of New Lux not constituting Voting Stock (including, without limitation, any CPECs issued by New Lux to the Borrower) and (ii) such other documents, certificates, agreements and evidence of other actions necessary to perfect the Lien in favor of the Collateral Agent, for the ratable benefit of the Secured Parties, under the laws of Luxembourg on such Equity Interests to the satisfaction of the Administrative Agent (such pledge agreements and such other documents, certificates, agreements and actions are collectively referred to herein as the “</w:t>
      </w:r>
      <w:r>
        <w:rPr>
          <w:rFonts w:ascii="Arial" w:cs="Arial" w:eastAsia="Arial" w:hAnsi="Arial"/>
          <w:sz w:val="17"/>
          <w:szCs w:val="17"/>
          <w:b w:val="1"/>
          <w:bCs w:val="1"/>
          <w:color w:val="auto"/>
        </w:rPr>
        <w:t>New Lux Pledge</w:t>
      </w:r>
      <w:r>
        <w:rPr>
          <w:rFonts w:ascii="Arial" w:cs="Arial" w:eastAsia="Arial" w:hAnsi="Arial"/>
          <w:sz w:val="17"/>
          <w:szCs w:val="17"/>
          <w:color w:val="auto"/>
        </w:rPr>
        <w:t>”). The effectiveness of the New Lux Pledge shall occur concurrently with or prior to the effectiveness of the Itron Acquisition Company release (as defined below).</w:t>
      </w:r>
    </w:p>
    <w:p>
      <w:pPr>
        <w:spacing w:after="0" w:line="226" w:lineRule="exact"/>
        <w:rPr>
          <w:rFonts w:ascii="Arial" w:cs="Arial" w:eastAsia="Arial" w:hAnsi="Arial"/>
          <w:sz w:val="17"/>
          <w:szCs w:val="17"/>
          <w:color w:val="auto"/>
        </w:rPr>
      </w:pPr>
    </w:p>
    <w:p>
      <w:pPr>
        <w:ind w:right="20" w:firstLine="1305"/>
        <w:spacing w:after="0" w:line="261" w:lineRule="auto"/>
        <w:tabs>
          <w:tab w:leader="none" w:pos="171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of Equity Pledge</w:t>
      </w:r>
      <w:r>
        <w:rPr>
          <w:rFonts w:ascii="Arial" w:cs="Arial" w:eastAsia="Arial" w:hAnsi="Arial"/>
          <w:sz w:val="18"/>
          <w:szCs w:val="18"/>
          <w:color w:val="auto"/>
        </w:rPr>
        <w:t>. Execution and delivery of a release (the “</w:t>
      </w:r>
      <w:r>
        <w:rPr>
          <w:rFonts w:ascii="Arial" w:cs="Arial" w:eastAsia="Arial" w:hAnsi="Arial"/>
          <w:sz w:val="18"/>
          <w:szCs w:val="18"/>
          <w:b w:val="1"/>
          <w:bCs w:val="1"/>
          <w:color w:val="auto"/>
        </w:rPr>
        <w:t>Itron Acquisition Company Release</w:t>
      </w:r>
      <w:r>
        <w:rPr>
          <w:rFonts w:ascii="Arial" w:cs="Arial" w:eastAsia="Arial" w:hAnsi="Arial"/>
          <w:sz w:val="18"/>
          <w:szCs w:val="18"/>
          <w:color w:val="auto"/>
        </w:rPr>
        <w:t>”) of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Luxembourg Pledge Agreement in form and substance satisfactory to the Administrative Agent, the effectiveness of which shall be concurrent with (and in no event prior to) the contribution of the Collateral subject to such Pledge Over Shares and CPECS by the Borrower to New Lux and the effectiveness of the New Lux Pledge.</w:t>
      </w:r>
    </w:p>
    <w:p>
      <w:pPr>
        <w:spacing w:after="0" w:line="234" w:lineRule="exact"/>
        <w:rPr>
          <w:rFonts w:ascii="Arial" w:cs="Arial" w:eastAsia="Arial" w:hAnsi="Arial"/>
          <w:sz w:val="18"/>
          <w:szCs w:val="18"/>
          <w:color w:val="auto"/>
        </w:rPr>
      </w:pPr>
    </w:p>
    <w:p>
      <w:pPr>
        <w:ind w:right="80" w:firstLine="1305"/>
        <w:spacing w:after="0" w:line="282" w:lineRule="auto"/>
        <w:tabs>
          <w:tab w:leader="none" w:pos="172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Issuer’s Acknowledgement</w:t>
      </w:r>
      <w:r>
        <w:rPr>
          <w:rFonts w:ascii="Arial" w:cs="Arial" w:eastAsia="Arial" w:hAnsi="Arial"/>
          <w:sz w:val="18"/>
          <w:szCs w:val="18"/>
          <w:color w:val="auto"/>
        </w:rPr>
        <w:t>. The Administrative Agent shall have received an issuer’s acknowledgement of the Security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New Lux, in form and substance satisfactory to the Administrative Agent.</w:t>
      </w:r>
    </w:p>
    <w:p>
      <w:pPr>
        <w:spacing w:after="0" w:line="215" w:lineRule="exact"/>
        <w:rPr>
          <w:rFonts w:ascii="Arial" w:cs="Arial" w:eastAsia="Arial" w:hAnsi="Arial"/>
          <w:sz w:val="18"/>
          <w:szCs w:val="18"/>
          <w:color w:val="auto"/>
        </w:rPr>
      </w:pPr>
    </w:p>
    <w:p>
      <w:pPr>
        <w:ind w:right="160" w:firstLine="1305"/>
        <w:spacing w:after="0" w:line="282" w:lineRule="auto"/>
        <w:tabs>
          <w:tab w:leader="none" w:pos="171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Renewal Intercompany Note</w:t>
      </w:r>
      <w:r>
        <w:rPr>
          <w:rFonts w:ascii="Arial" w:cs="Arial" w:eastAsia="Arial" w:hAnsi="Arial"/>
          <w:sz w:val="18"/>
          <w:szCs w:val="18"/>
          <w:color w:val="auto"/>
        </w:rPr>
        <w:t>. The Administrative Agent shall have received satisfactory evidence that New Lux has become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Renewal Intercompany Note, dated May 17, 2007.</w:t>
      </w:r>
    </w:p>
    <w:p>
      <w:pPr>
        <w:spacing w:after="0" w:line="215" w:lineRule="exact"/>
        <w:rPr>
          <w:rFonts w:ascii="Arial" w:cs="Arial" w:eastAsia="Arial" w:hAnsi="Arial"/>
          <w:sz w:val="18"/>
          <w:szCs w:val="18"/>
          <w:color w:val="auto"/>
        </w:rPr>
      </w:pPr>
    </w:p>
    <w:p>
      <w:pPr>
        <w:ind w:right="100" w:firstLine="1305"/>
        <w:spacing w:after="0" w:line="282" w:lineRule="auto"/>
        <w:tabs>
          <w:tab w:leader="none" w:pos="169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Perfection Certificate</w:t>
      </w:r>
      <w:r>
        <w:rPr>
          <w:rFonts w:ascii="Arial" w:cs="Arial" w:eastAsia="Arial" w:hAnsi="Arial"/>
          <w:sz w:val="18"/>
          <w:szCs w:val="18"/>
          <w:color w:val="auto"/>
        </w:rPr>
        <w:t>. The Collateral Agent shall have received a Perfection Certificate Supplement to the Perfection Certificate,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substance acceptable to the Collateral Agent, reflecting the Luxembourg Restructuring.</w:t>
      </w:r>
    </w:p>
    <w:p>
      <w:pPr>
        <w:spacing w:after="0" w:line="21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r>
        <w:rPr>
          <w:rFonts w:ascii="Arial" w:cs="Arial" w:eastAsia="Arial" w:hAnsi="Arial"/>
          <w:sz w:val="18"/>
          <w:szCs w:val="18"/>
          <w:color w:val="auto"/>
        </w:rPr>
        <w:t xml:space="preserve"> Each Loan Party represents and warrants to the Administrative Agent and each Lender as of the Amendment Effective Date as follows:</w:t>
      </w:r>
    </w:p>
    <w:p>
      <w:pPr>
        <w:spacing w:after="0" w:line="216" w:lineRule="exact"/>
        <w:rPr>
          <w:sz w:val="20"/>
          <w:szCs w:val="20"/>
          <w:color w:val="auto"/>
        </w:rPr>
      </w:pPr>
    </w:p>
    <w:p>
      <w:pPr>
        <w:ind w:right="40" w:firstLine="1305"/>
        <w:spacing w:after="0" w:line="256" w:lineRule="auto"/>
        <w:tabs>
          <w:tab w:leader="none" w:pos="172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Power; Authorization; Enforceable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has the requisite power and authority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execution, delivery and performance of this Amendment has been duly authorized by all necessary action on the part of each Loan Party. Each of this Amendment and each other Loan Document constitutes a legal, valid and binding obligation of each Loan Party party hereto or thereto, as the case may be, enforceable against each such Loan Party in accordance with its terms, except as may be limited by bankruptcy, insolvency, reorganization, moratorium or similar laws relating to or limiting creditors’ rights generally or by general equitable principles (whether enforcement is sought by proceedings in equity or at law).</w:t>
      </w:r>
    </w:p>
    <w:p>
      <w:pPr>
        <w:spacing w:after="0" w:line="241" w:lineRule="exact"/>
        <w:rPr>
          <w:rFonts w:ascii="Arial" w:cs="Arial" w:eastAsia="Arial" w:hAnsi="Arial"/>
          <w:sz w:val="18"/>
          <w:szCs w:val="18"/>
          <w:b w:val="1"/>
          <w:bCs w:val="1"/>
          <w:color w:val="auto"/>
        </w:rPr>
      </w:pPr>
    </w:p>
    <w:p>
      <w:pPr>
        <w:ind w:firstLine="1305"/>
        <w:spacing w:after="0" w:line="271" w:lineRule="auto"/>
        <w:tabs>
          <w:tab w:leader="none" w:pos="1733"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Legal Bar</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delivery and performance of this Amendment by the Loan Parties does not and, to the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Parties, will not (i) violate any provision of any law or any governmental rule or regulation applicable to any Loan Party, or any certificate of incorporation, certificate of formation, by-laws, operating agreement or other organizational document of any Loan Party, or any order, judgment or decree of any court or other Governmental Authority binding on any Loan Party, (ii) violate any provision of, or result in any default or breach under, any contractual obligation of any Loan Party except to the extent such violation, default or breach could not reasonably be expected to have a Material Adverse Effect, (iii) result in or require the creation or imposition of any Lien upon any of the properties or assets of any Loan Party (other than the Liens created by the Loan Documents) or (iv) require any approval of stockholders or partners or any approval or consent of any Person under any contractual obligation of any Loan Party, except for such approvals or consents which have been obtained on or before the Amendment Effective Date (other than any such approvals or consents the failure of which to obtain will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96" w:name="page97"/>
    <w:bookmarkEnd w:id="96"/>
    <w:p>
      <w:pPr>
        <w:ind w:right="100" w:firstLine="1305"/>
        <w:spacing w:after="0" w:line="277" w:lineRule="auto"/>
        <w:tabs>
          <w:tab w:leader="none" w:pos="1712"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Accuracy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representations and warranties of each Loan Party set forth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are true and correct in all material respects (except that any representation and warranty that is qualified as to “materiality” or “Material Adverse Effect” shall be true and correct in all respects) on and as of the Amendment Effective Date with the same effect as though made on and as of such date, except to the extent such representations and warranties expressly relate to an earlier date, in which case they are true and correct in all material respects (or, if qualified as to materiality” or “Material Adverse Effect”, true and correct in all respects) as of such earlier date.</w:t>
      </w:r>
    </w:p>
    <w:p>
      <w:pPr>
        <w:spacing w:after="0" w:line="222" w:lineRule="exact"/>
        <w:rPr>
          <w:rFonts w:ascii="Arial" w:cs="Arial" w:eastAsia="Arial" w:hAnsi="Arial"/>
          <w:sz w:val="17"/>
          <w:szCs w:val="17"/>
          <w:b w:val="1"/>
          <w:bCs w:val="1"/>
          <w:color w:val="auto"/>
        </w:rPr>
      </w:pPr>
    </w:p>
    <w:p>
      <w:pPr>
        <w:ind w:left="1740" w:hanging="435"/>
        <w:spacing w:after="0"/>
        <w:tabs>
          <w:tab w:leader="none" w:pos="17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On the Amendment Effective Date, and after giving effect to this Amendment, no Default has occurred and 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continuing.</w:t>
      </w:r>
    </w:p>
    <w:p>
      <w:pPr>
        <w:spacing w:after="0" w:line="261"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Validity of Obligations and Liens; Grant of Security Interest</w:t>
      </w:r>
      <w:r>
        <w:rPr>
          <w:rFonts w:ascii="Arial" w:cs="Arial" w:eastAsia="Arial" w:hAnsi="Arial"/>
          <w:sz w:val="16"/>
          <w:szCs w:val="16"/>
          <w:b w:val="1"/>
          <w:bCs w:val="1"/>
          <w:color w:val="auto"/>
        </w:rPr>
        <w:t>.</w:t>
      </w:r>
    </w:p>
    <w:p>
      <w:pPr>
        <w:spacing w:after="0" w:line="279" w:lineRule="exact"/>
        <w:rPr>
          <w:sz w:val="20"/>
          <w:szCs w:val="20"/>
          <w:color w:val="auto"/>
        </w:rPr>
      </w:pPr>
    </w:p>
    <w:p>
      <w:pPr>
        <w:ind w:right="80" w:firstLine="1305"/>
        <w:spacing w:after="0" w:line="256" w:lineRule="auto"/>
        <w:tabs>
          <w:tab w:leader="none" w:pos="172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acknowledges and agrees that (i) each Loan Party is indebted to the Lenders, the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Banks and the Agents for the Obligations, without defense, counterclaim or offset of any kind, and each Loan Party hereby ratifies and reaffirms the validity, enforceability and binding nature of such Obligations and (ii) no Loan Party has as of the Amendment Effective Date any claim, right or cause of action of any kind against any Lender, Issuing Bank or Agent or any of such Lender’s, Issuing Banks’ or Agents’ respective present or former subsidiaries, Affiliates, officers, directors, employees, attorneys or other representatives or agents in connection with this Amendment, the Credit Agreement and the other Loan Documents, or the transactions contemplated hereby or thereby.</w:t>
      </w:r>
    </w:p>
    <w:p>
      <w:pPr>
        <w:spacing w:after="0" w:line="241" w:lineRule="exact"/>
        <w:rPr>
          <w:rFonts w:ascii="Arial" w:cs="Arial" w:eastAsia="Arial" w:hAnsi="Arial"/>
          <w:sz w:val="18"/>
          <w:szCs w:val="18"/>
          <w:b w:val="1"/>
          <w:bCs w:val="1"/>
          <w:color w:val="auto"/>
        </w:rPr>
      </w:pPr>
    </w:p>
    <w:p>
      <w:pPr>
        <w:ind w:firstLine="1305"/>
        <w:spacing w:after="0" w:line="266" w:lineRule="auto"/>
        <w:tabs>
          <w:tab w:leader="none" w:pos="173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Liens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hereby ratifies and reaffirms the validity and enforceability (without defense, counterclaim or</w:t>
      </w:r>
      <w:r>
        <w:rPr>
          <w:rFonts w:ascii="Arial" w:cs="Arial" w:eastAsia="Arial" w:hAnsi="Arial"/>
          <w:sz w:val="18"/>
          <w:szCs w:val="18"/>
          <w:b w:val="1"/>
          <w:bCs w:val="1"/>
          <w:color w:val="auto"/>
        </w:rPr>
        <w:t xml:space="preserve"> </w:t>
      </w:r>
      <w:r>
        <w:rPr>
          <w:rFonts w:ascii="Arial" w:cs="Arial" w:eastAsia="Arial" w:hAnsi="Arial"/>
          <w:sz w:val="18"/>
          <w:szCs w:val="18"/>
          <w:color w:val="auto"/>
        </w:rPr>
        <w:t>offset of any kind) of the Liens and security interests granted to secure the Obligations by such Loan Party to any Agent, for the ratable benefit of the Secured Parties, pursuant to the Security Documents to which such Loan Party is a party.</w:t>
      </w:r>
    </w:p>
    <w:p>
      <w:pPr>
        <w:spacing w:after="0" w:line="230" w:lineRule="exact"/>
        <w:rPr>
          <w:sz w:val="20"/>
          <w:szCs w:val="20"/>
          <w:color w:val="auto"/>
        </w:rPr>
      </w:pPr>
    </w:p>
    <w:p>
      <w:pPr>
        <w:jc w:val="both"/>
        <w:ind w:right="20" w:firstLine="1297"/>
        <w:spacing w:after="0" w:line="26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Payment of Fees and Expenses of the Administrative Agent and the Lead Arranger</w:t>
      </w:r>
      <w:r>
        <w:rPr>
          <w:rFonts w:ascii="Arial" w:cs="Arial" w:eastAsia="Arial" w:hAnsi="Arial"/>
          <w:sz w:val="18"/>
          <w:szCs w:val="18"/>
          <w:color w:val="auto"/>
        </w:rPr>
        <w:t>. Borrower shall pay to the extent invoiced, all reasonable out-of-pocket expenses incurred by the Agents and their Affiliates in connection with the Loan Documents, this Amendment and the Luxembourg Restructuring, including, without limitation, the fees, charges and disbursements of Skadden, Arps, Slate, Meagher &amp; Flom LLP, counsel for the Administrative Agent.</w:t>
      </w:r>
    </w:p>
    <w:p>
      <w:pPr>
        <w:spacing w:after="0" w:line="234" w:lineRule="exact"/>
        <w:rPr>
          <w:sz w:val="20"/>
          <w:szCs w:val="20"/>
          <w:color w:val="auto"/>
        </w:rPr>
      </w:pPr>
    </w:p>
    <w:p>
      <w:pPr>
        <w:jc w:val="both"/>
        <w:ind w:right="560" w:firstLine="1297"/>
        <w:spacing w:after="0" w:line="26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shall be governed by, and construed in accordance with, the laws of the State of New York (including without limitation Section 5-1401 of the General Obligations Law of the State of New York), without regard to conflicts of laws principles.</w:t>
      </w:r>
    </w:p>
    <w:p>
      <w:pPr>
        <w:spacing w:after="0" w:line="230"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Amendment by telecopier or in PDF format via electronic mail shall be effective as delivery of an original executed counterpart of this Amendment.</w:t>
      </w:r>
    </w:p>
    <w:p>
      <w:pPr>
        <w:spacing w:after="0" w:line="234"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u w:val="single" w:color="auto"/>
          <w:color w:val="auto"/>
        </w:rPr>
        <w:t>Continuing Effectiveness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modified by this Amendment, the Credit Agreement shall remain in full force and effect and each is hereby ratified and confirmed in all respects, and this Amendment shall be a Loan Document for all purposes. This Amendment shall not constitute an amendment or waiver of any provision of the Credit Agreement except as expressly stated herein, and shall not be construed as an amendment, waiver or consent to any action on the part of any Company that would require an amendment, waiver or consent of any of the Lenders, Issuing Banks or Agents except as expressly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8" w:right="279" w:bottom="1440" w:gutter="0" w:footer="0" w:header="0"/>
        </w:sectPr>
      </w:pPr>
    </w:p>
    <w:bookmarkStart w:id="97" w:name="page98"/>
    <w:bookmarkEnd w:id="97"/>
    <w:p>
      <w:pPr>
        <w:ind w:right="20" w:firstLine="1297"/>
        <w:spacing w:after="0" w:line="255"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WAIVES, TO THE FULLEST EXTENT PERMITTED BY APPLICABLE LAW, ANY RIGHT IT MAY HAVE TO A TRIAL BY JURY IN ANY LEGAL PROCEEDING DIRECTLY OR INDIRECTLY ARISING OUT OF OR RELATING TO THIS AMENDMENT,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THIS WAIVER AND (B) ACKNOWLEDGES THAT IT AND THE OTHER PARTIES HERETO HAVE BEEN INDUCED TO ENTER INTO THIS AMENDMENT BY, AMONG OTHER THINGS, THE MUTUAL WAIVERS AND CERTIFICATIONS IN THIS SECTION.</w:t>
      </w:r>
    </w:p>
    <w:p>
      <w:pPr>
        <w:spacing w:after="0" w:line="239"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and subsection headings in this Amendment are included herein for convenience of reference only and shall not constitute a part of this Amendment for any other purpose or be given any substantive effect.</w:t>
      </w:r>
    </w:p>
    <w:p>
      <w:pPr>
        <w:spacing w:after="0" w:line="216" w:lineRule="exact"/>
        <w:rPr>
          <w:sz w:val="20"/>
          <w:szCs w:val="20"/>
          <w:color w:val="auto"/>
        </w:rPr>
      </w:pPr>
    </w:p>
    <w:p>
      <w:pPr>
        <w:jc w:val="both"/>
        <w:ind w:right="100" w:firstLine="1297"/>
        <w:spacing w:after="0" w:line="26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shall be binding upon and inure to the benefit of each of the Loan Parties and each of their respective successors and assigns, and upon the Agents, the Issuing Banks and the Lenders and their successors and assigns. No Loan Parties’ rights or obligations hereunder nor any interest therein may be assigned or delegated without the prior written consent of all Lenders and the Administrative Agent.</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8" w:right="299" w:bottom="1440" w:gutter="0" w:footer="0" w:header="0"/>
        </w:sectPr>
      </w:pPr>
    </w:p>
    <w:bookmarkStart w:id="98" w:name="page99"/>
    <w:bookmarkEnd w:id="98"/>
    <w:p>
      <w:pPr>
        <w:jc w:val="cente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598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17"/>
                <w:szCs w:val="17"/>
                <w:color w:val="auto"/>
              </w:rPr>
            </w:pP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Steven M. Helmbrecht</w:t>
            </w:r>
          </w:p>
        </w:tc>
        <w:tc>
          <w:tcPr>
            <w:tcW w:w="8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020" w:type="dxa"/>
            <w:vAlign w:val="bottom"/>
            <w:gridSpan w:val="5"/>
          </w:tcPr>
          <w:p>
            <w:pPr>
              <w:ind w:left="300"/>
              <w:spacing w:after="0"/>
              <w:rPr>
                <w:sz w:val="20"/>
                <w:szCs w:val="20"/>
                <w:color w:val="auto"/>
              </w:rPr>
            </w:pPr>
            <w:r>
              <w:rPr>
                <w:rFonts w:ascii="Arial" w:cs="Arial" w:eastAsia="Arial" w:hAnsi="Arial"/>
                <w:sz w:val="18"/>
                <w:szCs w:val="18"/>
                <w:color w:val="auto"/>
              </w:rPr>
              <w:t>Steven M. Helmbrecht</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gridSpan w:val="5"/>
          </w:tcPr>
          <w:p>
            <w:pPr>
              <w:ind w:left="200"/>
              <w:spacing w:after="0"/>
              <w:rPr>
                <w:sz w:val="20"/>
                <w:szCs w:val="20"/>
                <w:color w:val="auto"/>
              </w:rPr>
            </w:pPr>
            <w:r>
              <w:rPr>
                <w:rFonts w:ascii="Arial" w:cs="Arial" w:eastAsia="Arial" w:hAnsi="Arial"/>
                <w:sz w:val="18"/>
                <w:szCs w:val="18"/>
                <w:color w:val="auto"/>
                <w:w w:val="90"/>
              </w:rPr>
              <w:t>Senior V.P. and Chief Financial Officer</w:t>
            </w:r>
          </w:p>
        </w:tc>
      </w:tr>
      <w:tr>
        <w:trPr>
          <w:trHeight w:val="392"/>
        </w:trPr>
        <w:tc>
          <w:tcPr>
            <w:tcW w:w="3700" w:type="dxa"/>
            <w:vAlign w:val="bottom"/>
            <w:gridSpan w:val="6"/>
          </w:tcPr>
          <w:p>
            <w:pPr>
              <w:spacing w:after="0"/>
              <w:rPr>
                <w:sz w:val="20"/>
                <w:szCs w:val="20"/>
                <w:color w:val="auto"/>
              </w:rPr>
            </w:pPr>
            <w:r>
              <w:rPr>
                <w:rFonts w:ascii="Arial" w:cs="Arial" w:eastAsia="Arial" w:hAnsi="Arial"/>
                <w:sz w:val="18"/>
                <w:szCs w:val="18"/>
                <w:color w:val="auto"/>
              </w:rPr>
              <w:t>ITRON INTERNATIONAL, INC.</w:t>
            </w:r>
          </w:p>
        </w:tc>
      </w:tr>
      <w:tr>
        <w:trPr>
          <w:trHeight w:val="783"/>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David Arkley</w:t>
            </w:r>
          </w:p>
        </w:tc>
        <w:tc>
          <w:tcPr>
            <w:tcW w:w="1480" w:type="dxa"/>
            <w:vAlign w:val="bottom"/>
            <w:gridSpan w:val="3"/>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020" w:type="dxa"/>
            <w:vAlign w:val="bottom"/>
            <w:gridSpan w:val="5"/>
          </w:tcPr>
          <w:p>
            <w:pPr>
              <w:ind w:left="300"/>
              <w:spacing w:after="0"/>
              <w:rPr>
                <w:sz w:val="20"/>
                <w:szCs w:val="20"/>
                <w:color w:val="auto"/>
              </w:rPr>
            </w:pPr>
            <w:r>
              <w:rPr>
                <w:rFonts w:ascii="Arial" w:cs="Arial" w:eastAsia="Arial" w:hAnsi="Arial"/>
                <w:sz w:val="18"/>
                <w:szCs w:val="18"/>
                <w:color w:val="auto"/>
              </w:rPr>
              <w:t>David Arkley</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gridSpan w:val="5"/>
          </w:tcPr>
          <w:p>
            <w:pPr>
              <w:ind w:left="200"/>
              <w:spacing w:after="0"/>
              <w:rPr>
                <w:sz w:val="20"/>
                <w:szCs w:val="20"/>
                <w:color w:val="auto"/>
              </w:rPr>
            </w:pPr>
            <w:r>
              <w:rPr>
                <w:rFonts w:ascii="Arial" w:cs="Arial" w:eastAsia="Arial" w:hAnsi="Arial"/>
                <w:sz w:val="18"/>
                <w:szCs w:val="18"/>
                <w:color w:val="auto"/>
              </w:rPr>
              <w:t>Vice President</w:t>
            </w:r>
          </w:p>
        </w:tc>
      </w:tr>
      <w:tr>
        <w:trPr>
          <w:trHeight w:val="392"/>
        </w:trPr>
        <w:tc>
          <w:tcPr>
            <w:tcW w:w="3700" w:type="dxa"/>
            <w:vAlign w:val="bottom"/>
            <w:gridSpan w:val="6"/>
          </w:tcPr>
          <w:p>
            <w:pPr>
              <w:spacing w:after="0"/>
              <w:rPr>
                <w:sz w:val="20"/>
                <w:szCs w:val="20"/>
                <w:color w:val="auto"/>
              </w:rPr>
            </w:pPr>
            <w:r>
              <w:rPr>
                <w:rFonts w:ascii="Arial" w:cs="Arial" w:eastAsia="Arial" w:hAnsi="Arial"/>
                <w:sz w:val="18"/>
                <w:szCs w:val="18"/>
                <w:color w:val="auto"/>
              </w:rPr>
              <w:t>ITRON ENGINEERING SERVICES, INC.</w:t>
            </w:r>
          </w:p>
        </w:tc>
      </w:tr>
      <w:tr>
        <w:trPr>
          <w:trHeight w:val="783"/>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David Arkley</w:t>
            </w:r>
          </w:p>
        </w:tc>
        <w:tc>
          <w:tcPr>
            <w:tcW w:w="1480" w:type="dxa"/>
            <w:vAlign w:val="bottom"/>
            <w:gridSpan w:val="3"/>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020" w:type="dxa"/>
            <w:vAlign w:val="bottom"/>
            <w:gridSpan w:val="5"/>
          </w:tcPr>
          <w:p>
            <w:pPr>
              <w:ind w:left="300"/>
              <w:spacing w:after="0"/>
              <w:rPr>
                <w:sz w:val="20"/>
                <w:szCs w:val="20"/>
                <w:color w:val="auto"/>
              </w:rPr>
            </w:pPr>
            <w:r>
              <w:rPr>
                <w:rFonts w:ascii="Arial" w:cs="Arial" w:eastAsia="Arial" w:hAnsi="Arial"/>
                <w:sz w:val="18"/>
                <w:szCs w:val="18"/>
                <w:color w:val="auto"/>
              </w:rPr>
              <w:t>David Arkley</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gridSpan w:val="5"/>
          </w:tcPr>
          <w:p>
            <w:pPr>
              <w:ind w:left="200"/>
              <w:spacing w:after="0"/>
              <w:rPr>
                <w:sz w:val="20"/>
                <w:szCs w:val="20"/>
                <w:color w:val="auto"/>
              </w:rPr>
            </w:pPr>
            <w:r>
              <w:rPr>
                <w:rFonts w:ascii="Arial" w:cs="Arial" w:eastAsia="Arial" w:hAnsi="Arial"/>
                <w:sz w:val="18"/>
                <w:szCs w:val="18"/>
                <w:color w:val="auto"/>
              </w:rPr>
              <w:t>Vice President</w:t>
            </w:r>
          </w:p>
        </w:tc>
      </w:tr>
      <w:tr>
        <w:trPr>
          <w:trHeight w:val="392"/>
        </w:trPr>
        <w:tc>
          <w:tcPr>
            <w:tcW w:w="3700" w:type="dxa"/>
            <w:vAlign w:val="bottom"/>
            <w:gridSpan w:val="6"/>
          </w:tcPr>
          <w:p>
            <w:pPr>
              <w:spacing w:after="0"/>
              <w:rPr>
                <w:sz w:val="20"/>
                <w:szCs w:val="20"/>
                <w:color w:val="auto"/>
              </w:rPr>
            </w:pPr>
            <w:r>
              <w:rPr>
                <w:rFonts w:ascii="Arial" w:cs="Arial" w:eastAsia="Arial" w:hAnsi="Arial"/>
                <w:sz w:val="18"/>
                <w:szCs w:val="18"/>
                <w:color w:val="auto"/>
              </w:rPr>
              <w:t>ITRON BRAZIL I, LLC</w:t>
            </w:r>
          </w:p>
        </w:tc>
      </w:tr>
      <w:tr>
        <w:trPr>
          <w:trHeight w:val="783"/>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/s/ John W. Holleran</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020" w:type="dxa"/>
            <w:vAlign w:val="bottom"/>
            <w:gridSpan w:val="5"/>
          </w:tcPr>
          <w:p>
            <w:pPr>
              <w:ind w:left="300"/>
              <w:spacing w:after="0"/>
              <w:rPr>
                <w:sz w:val="20"/>
                <w:szCs w:val="20"/>
                <w:color w:val="auto"/>
              </w:rPr>
            </w:pPr>
            <w:r>
              <w:rPr>
                <w:rFonts w:ascii="Arial" w:cs="Arial" w:eastAsia="Arial" w:hAnsi="Arial"/>
                <w:sz w:val="18"/>
                <w:szCs w:val="18"/>
                <w:color w:val="auto"/>
              </w:rPr>
              <w:t>John W. Holleran</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gridSpan w:val="5"/>
          </w:tcPr>
          <w:p>
            <w:pPr>
              <w:ind w:left="200"/>
              <w:spacing w:after="0"/>
              <w:rPr>
                <w:sz w:val="20"/>
                <w:szCs w:val="20"/>
                <w:color w:val="auto"/>
              </w:rPr>
            </w:pPr>
            <w:r>
              <w:rPr>
                <w:rFonts w:ascii="Arial" w:cs="Arial" w:eastAsia="Arial" w:hAnsi="Arial"/>
                <w:sz w:val="18"/>
                <w:szCs w:val="18"/>
                <w:color w:val="auto"/>
              </w:rPr>
              <w:t>Manager</w:t>
            </w:r>
          </w:p>
        </w:tc>
      </w:tr>
      <w:tr>
        <w:trPr>
          <w:trHeight w:val="392"/>
        </w:trPr>
        <w:tc>
          <w:tcPr>
            <w:tcW w:w="3700" w:type="dxa"/>
            <w:vAlign w:val="bottom"/>
            <w:gridSpan w:val="6"/>
          </w:tcPr>
          <w:p>
            <w:pPr>
              <w:spacing w:after="0"/>
              <w:rPr>
                <w:sz w:val="20"/>
                <w:szCs w:val="20"/>
                <w:color w:val="auto"/>
              </w:rPr>
            </w:pPr>
            <w:r>
              <w:rPr>
                <w:rFonts w:ascii="Arial" w:cs="Arial" w:eastAsia="Arial" w:hAnsi="Arial"/>
                <w:sz w:val="18"/>
                <w:szCs w:val="18"/>
                <w:color w:val="auto"/>
              </w:rPr>
              <w:t>ITRON BRAZIL II, LLC</w:t>
            </w:r>
          </w:p>
        </w:tc>
      </w:tr>
      <w:tr>
        <w:trPr>
          <w:trHeight w:val="783"/>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/s/ John W. Holleran</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020" w:type="dxa"/>
            <w:vAlign w:val="bottom"/>
            <w:gridSpan w:val="5"/>
          </w:tcPr>
          <w:p>
            <w:pPr>
              <w:ind w:left="300"/>
              <w:spacing w:after="0"/>
              <w:rPr>
                <w:sz w:val="20"/>
                <w:szCs w:val="20"/>
                <w:color w:val="auto"/>
              </w:rPr>
            </w:pPr>
            <w:r>
              <w:rPr>
                <w:rFonts w:ascii="Arial" w:cs="Arial" w:eastAsia="Arial" w:hAnsi="Arial"/>
                <w:sz w:val="18"/>
                <w:szCs w:val="18"/>
                <w:color w:val="auto"/>
              </w:rPr>
              <w:t>John W. Holleran</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gridSpan w:val="5"/>
          </w:tcPr>
          <w:p>
            <w:pPr>
              <w:ind w:left="200"/>
              <w:spacing w:after="0"/>
              <w:rPr>
                <w:sz w:val="20"/>
                <w:szCs w:val="20"/>
                <w:color w:val="auto"/>
              </w:rPr>
            </w:pPr>
            <w:r>
              <w:rPr>
                <w:rFonts w:ascii="Arial" w:cs="Arial" w:eastAsia="Arial" w:hAnsi="Arial"/>
                <w:sz w:val="18"/>
                <w:szCs w:val="18"/>
                <w:color w:val="auto"/>
              </w:rPr>
              <w:t>Manager</w:t>
            </w:r>
          </w:p>
        </w:tc>
      </w:tr>
    </w:tbl>
    <w:p>
      <w:pPr>
        <w:spacing w:after="0" w:line="16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ITRON US GAS LLC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Itron, Inc., its Sole Member</w:t>
      </w:r>
    </w:p>
    <w:p>
      <w:pPr>
        <w:spacing w:after="0" w:line="200" w:lineRule="exact"/>
        <w:rPr>
          <w:sz w:val="20"/>
          <w:szCs w:val="20"/>
          <w:color w:val="auto"/>
        </w:rPr>
      </w:pPr>
    </w:p>
    <w:p>
      <w:pPr>
        <w:spacing w:after="0" w:line="400" w:lineRule="exact"/>
        <w:rPr>
          <w:sz w:val="20"/>
          <w:szCs w:val="20"/>
          <w:color w:val="auto"/>
        </w:rPr>
      </w:pPr>
    </w:p>
    <w:tbl>
      <w:tblPr>
        <w:tblLayout w:type="fixed"/>
        <w:tblInd w:w="598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John W. Holleran</w:t>
            </w: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1"/>
              </w:rPr>
              <w:t>John W Holleran</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Corporate Secretary</w:t>
            </w:r>
          </w:p>
        </w:tc>
      </w:tr>
    </w:tbl>
    <w:p>
      <w:pPr>
        <w:spacing w:after="0" w:line="200" w:lineRule="exact"/>
        <w:rPr>
          <w:sz w:val="20"/>
          <w:szCs w:val="20"/>
          <w:color w:val="auto"/>
        </w:rPr>
      </w:pPr>
    </w:p>
    <w:p>
      <w:pPr>
        <w:spacing w:after="0" w:line="39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THE REQUIRED LENDERS</w:t>
      </w:r>
    </w:p>
    <w:p>
      <w:pPr>
        <w:spacing w:after="0" w:line="185" w:lineRule="exact"/>
        <w:rPr>
          <w:sz w:val="20"/>
          <w:szCs w:val="20"/>
          <w:color w:val="auto"/>
        </w:rPr>
      </w:pPr>
    </w:p>
    <w:p>
      <w:pPr>
        <w:ind w:left="6020"/>
        <w:spacing w:after="0"/>
        <w:tabs>
          <w:tab w:leader="none" w:pos="6500" w:val="left"/>
        </w:tabs>
        <w:rPr>
          <w:sz w:val="20"/>
          <w:szCs w:val="20"/>
          <w:color w:val="auto"/>
        </w:rPr>
      </w:pPr>
      <w:r>
        <w:rPr>
          <w:rFonts w:ascii="Arial" w:cs="Arial" w:eastAsia="Arial" w:hAnsi="Arial"/>
          <w:sz w:val="18"/>
          <w:szCs w:val="18"/>
          <w:color w:val="auto"/>
        </w:rPr>
        <w:t>By:</w:t>
        <w:tab/>
        <w:t>/s/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-10160</wp:posOffset>
            </wp:positionV>
            <wp:extent cx="1299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99210" cy="8890"/>
                    </a:xfrm>
                    <a:prstGeom prst="rect">
                      <a:avLst/>
                    </a:prstGeom>
                    <a:noFill/>
                  </pic:spPr>
                </pic:pic>
              </a:graphicData>
            </a:graphic>
          </wp:anchor>
        </w:drawing>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Lender</w:t>
      </w:r>
    </w:p>
    <w:p>
      <w:pPr>
        <w:sectPr>
          <w:pgSz w:w="11900" w:h="16838" w:orient="portrait"/>
          <w:cols w:equalWidth="0" w:num="1">
            <w:col w:w="11380"/>
          </w:cols>
          <w:pgMar w:left="260" w:top="125" w:right="259" w:bottom="1126"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AGREEMENTS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 Bracy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H. Eggleston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Philippe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ectPr>
          <w:pgSz w:w="11900" w:h="16838" w:orient="portrait"/>
          <w:cols w:equalWidth="0" w:num="1">
            <w:col w:w="11420"/>
          </w:cols>
          <w:pgMar w:left="240" w:top="36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4700" w:type="dxa"/>
            <w:vAlign w:val="bottom"/>
            <w:vMerge w:val="restart"/>
          </w:tcPr>
          <w:p>
            <w:pPr>
              <w:spacing w:after="0"/>
              <w:rPr>
                <w:sz w:val="20"/>
                <w:szCs w:val="20"/>
                <w:color w:val="auto"/>
              </w:rPr>
            </w:pPr>
            <w:r>
              <w:rPr>
                <w:rFonts w:ascii="Arial" w:cs="Arial" w:eastAsia="Arial" w:hAnsi="Arial"/>
                <w:sz w:val="18"/>
                <w:szCs w:val="18"/>
                <w:color w:val="auto"/>
              </w:rPr>
              <w:t>STATEMENT RE COMPUTATION OF RATIOS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5"/>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2"/>
              </w:rPr>
              <w:t>thousands, except</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ratios)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700" w:type="dxa"/>
            <w:vAlign w:val="bottom"/>
          </w:tcPr>
          <w:p>
            <w:pPr>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80"/>
              <w:spacing w:after="0" w:line="216" w:lineRule="exact"/>
              <w:rPr>
                <w:sz w:val="20"/>
                <w:szCs w:val="20"/>
                <w:color w:val="auto"/>
              </w:rPr>
            </w:pPr>
            <w:r>
              <w:rPr>
                <w:rFonts w:ascii="Arial" w:cs="Arial" w:eastAsia="Arial" w:hAnsi="Arial"/>
                <w:sz w:val="18"/>
                <w:szCs w:val="18"/>
                <w:color w:val="auto"/>
              </w:rPr>
              <w:t>Pre-tax income (loss)</w:t>
            </w:r>
            <w:r>
              <w:rPr>
                <w:rFonts w:ascii="Arial" w:cs="Arial" w:eastAsia="Arial" w:hAnsi="Arial"/>
                <w:sz w:val="25"/>
                <w:szCs w:val="25"/>
                <w:color w:val="auto"/>
                <w:vertAlign w:val="superscript"/>
              </w:rPr>
              <w:t>(5)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(46,074)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18,582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(43,550)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52,235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37"/>
        </w:trPr>
        <w:tc>
          <w:tcPr>
            <w:tcW w:w="4700" w:type="dxa"/>
            <w:vAlign w:val="bottom"/>
          </w:tcPr>
          <w:p>
            <w:pPr>
              <w:ind w:left="580"/>
              <w:spacing w:after="0"/>
              <w:rPr>
                <w:sz w:val="20"/>
                <w:szCs w:val="20"/>
                <w:color w:val="auto"/>
              </w:rPr>
            </w:pPr>
            <w:r>
              <w:rPr>
                <w:rFonts w:ascii="Arial" w:cs="Arial" w:eastAsia="Arial" w:hAnsi="Arial"/>
                <w:sz w:val="18"/>
                <w:szCs w:val="18"/>
                <w:color w:val="auto"/>
              </w:rPr>
              <w:t>Less: income from equity investees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(46,351)</w:t>
            </w: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(43,908)</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700" w:type="dxa"/>
            <w:vAlign w:val="bottom"/>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80"/>
              <w:spacing w:after="0" w:line="216"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5"/>
                <w:szCs w:val="25"/>
                <w:color w:val="auto"/>
                <w:vertAlign w:val="superscript"/>
              </w:rPr>
              <w:t>(2) (5)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94,177</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100,935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18,944</w:t>
            </w:r>
          </w:p>
        </w:tc>
        <w:tc>
          <w:tcPr>
            <w:tcW w:w="0" w:type="dxa"/>
            <w:vAlign w:val="bottom"/>
          </w:tcPr>
          <w:p>
            <w:pPr>
              <w:spacing w:after="0"/>
              <w:rPr>
                <w:sz w:val="1"/>
                <w:szCs w:val="1"/>
                <w:color w:val="auto"/>
              </w:rPr>
            </w:pPr>
          </w:p>
        </w:tc>
      </w:tr>
      <w:tr>
        <w:trPr>
          <w:trHeight w:val="230"/>
        </w:trPr>
        <w:tc>
          <w:tcPr>
            <w:tcW w:w="4700" w:type="dxa"/>
            <w:vAlign w:val="bottom"/>
          </w:tcPr>
          <w:p>
            <w:pPr>
              <w:ind w:left="580"/>
              <w:spacing w:after="0"/>
              <w:rPr>
                <w:sz w:val="20"/>
                <w:szCs w:val="20"/>
                <w:color w:val="auto"/>
              </w:rPr>
            </w:pPr>
            <w:r>
              <w:rPr>
                <w:rFonts w:ascii="Arial" w:cs="Arial" w:eastAsia="Arial" w:hAnsi="Arial"/>
                <w:sz w:val="18"/>
                <w:szCs w:val="18"/>
                <w:color w:val="auto"/>
              </w:rPr>
              <w:t>Interest portion of rent 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a) Fixed charges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75,552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105,033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5"/>
                <w:szCs w:val="25"/>
                <w:color w:val="auto"/>
                <w:vertAlign w:val="superscript"/>
              </w:rPr>
              <w:t>(3)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29,201</w:t>
            </w:r>
          </w:p>
        </w:tc>
        <w:tc>
          <w:tcPr>
            <w:tcW w:w="2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117,829</w:t>
            </w:r>
          </w:p>
        </w:tc>
        <w:tc>
          <w:tcPr>
            <w:tcW w:w="22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61,125</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48,902</w:t>
            </w: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8"/>
                <w:szCs w:val="18"/>
                <w:color w:val="auto"/>
              </w:rPr>
              <w:t>Ratios: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700" w:type="dxa"/>
            <w:vAlign w:val="bottom"/>
          </w:tcPr>
          <w:p>
            <w:pPr>
              <w:ind w:left="58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5"/>
                <w:szCs w:val="25"/>
                <w:color w:val="auto"/>
                <w:vertAlign w:val="superscript"/>
              </w:rPr>
              <w:t>(b/a)</w:t>
            </w:r>
          </w:p>
        </w:tc>
        <w:tc>
          <w:tcPr>
            <w:tcW w:w="24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34"/>
        </w:trPr>
        <w:tc>
          <w:tcPr>
            <w:tcW w:w="470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(46,351)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(43,908)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240"/>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46" w:lineRule="exact"/>
        <w:rPr>
          <w:rFonts w:ascii="Arial" w:cs="Arial" w:eastAsia="Arial" w:hAnsi="Arial"/>
          <w:sz w:val="25"/>
          <w:szCs w:val="25"/>
          <w:color w:val="auto"/>
          <w:vertAlign w:val="superscript"/>
        </w:rPr>
      </w:pPr>
    </w:p>
    <w:p>
      <w:pPr>
        <w:ind w:left="660" w:hanging="240"/>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Interest expense, gross, includes amortization of prepaid debt fees and discount.</w:t>
      </w:r>
    </w:p>
    <w:p>
      <w:pPr>
        <w:spacing w:after="0" w:line="201" w:lineRule="exact"/>
        <w:rPr>
          <w:rFonts w:ascii="Arial" w:cs="Arial" w:eastAsia="Arial" w:hAnsi="Arial"/>
          <w:sz w:val="25"/>
          <w:szCs w:val="25"/>
          <w:color w:val="auto"/>
          <w:vertAlign w:val="superscript"/>
        </w:rPr>
      </w:pPr>
    </w:p>
    <w:p>
      <w:pPr>
        <w:ind w:left="660" w:right="20" w:hanging="240"/>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Earnings for ratio consist of income (loss) from continuing operations before income taxes, less income (loss) from equity investees, plus fixed charges.</w:t>
      </w:r>
    </w:p>
    <w:p>
      <w:pPr>
        <w:spacing w:after="0" w:line="203" w:lineRule="exact"/>
        <w:rPr>
          <w:rFonts w:ascii="Arial" w:cs="Arial" w:eastAsia="Arial" w:hAnsi="Arial"/>
          <w:sz w:val="25"/>
          <w:szCs w:val="25"/>
          <w:color w:val="auto"/>
          <w:vertAlign w:val="superscript"/>
        </w:rPr>
      </w:pPr>
    </w:p>
    <w:p>
      <w:pPr>
        <w:ind w:left="660" w:hanging="240"/>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Due to Itron's losses for the years ended December 31, 2009 and 2007, the coverage ratio was less than 1:1. Additional earnings of $46,351 and $43,908 would have been needed to achieve a coverage ratio of 1:1 in each of those respective periods.</w:t>
      </w:r>
    </w:p>
    <w:p>
      <w:pPr>
        <w:spacing w:after="0" w:line="203" w:lineRule="exact"/>
        <w:rPr>
          <w:rFonts w:ascii="Arial" w:cs="Arial" w:eastAsia="Arial" w:hAnsi="Arial"/>
          <w:sz w:val="25"/>
          <w:szCs w:val="25"/>
          <w:color w:val="auto"/>
          <w:vertAlign w:val="superscript"/>
        </w:rPr>
      </w:pPr>
    </w:p>
    <w:p>
      <w:pPr>
        <w:jc w:val="both"/>
        <w:ind w:left="660" w:hanging="240"/>
        <w:spacing w:after="0" w:line="273"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 xml:space="preserve">On January 1, 2009, we adopted FASB Staff Position (FSP) APB 14-1, </w:t>
      </w:r>
      <w:r>
        <w:rPr>
          <w:rFonts w:ascii="Arial" w:cs="Arial" w:eastAsia="Arial" w:hAnsi="Arial"/>
          <w:sz w:val="16"/>
          <w:szCs w:val="16"/>
          <w:i w:val="1"/>
          <w:iCs w:val="1"/>
          <w:color w:val="auto"/>
        </w:rPr>
        <w:t>Accounting for Convertible Debt Instruments That May Be Settled in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upon Conversion (Including Partial Cash Settlement) </w:t>
      </w:r>
      <w:r>
        <w:rPr>
          <w:rFonts w:ascii="Arial" w:cs="Arial" w:eastAsia="Arial" w:hAnsi="Arial"/>
          <w:sz w:val="16"/>
          <w:szCs w:val="16"/>
          <w:color w:val="auto"/>
        </w:rPr>
        <w:t>(FSP 14-1) relating to our convertible senior subordinate notes issued in August 2006.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FSP 14-1 is now embedded within ASC 470-20). We used the SEC staff’s Alternative A transition election for presenting prior financial information, and therefore, the financial information as of and for the year ended December 31, 2006 has not been adjusted and is not comparable to the financial information as of and for the years ended December 31, 2009, 2008, and 2007. Refer to Item 8: "Financial Statements and Supplementary Data Note 1: Summary of Significant Accounting Policies" for a discussion of the effects of the implementation of FSP 14-1.</w:t>
      </w:r>
    </w:p>
    <w:p>
      <w:pPr>
        <w:sectPr>
          <w:pgSz w:w="11900" w:h="16838" w:orient="portrait"/>
          <w:cols w:equalWidth="0" w:num="1">
            <w:col w:w="11420"/>
          </w:cols>
          <w:pgMar w:left="240" w:top="36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SUBSIDIARIES OF THE REGISTRANT AT DECEMBER 31, 2009</w:t>
            </w:r>
          </w:p>
        </w:tc>
        <w:tc>
          <w:tcPr>
            <w:tcW w:w="5340" w:type="dxa"/>
            <w:vAlign w:val="bottom"/>
          </w:tcPr>
          <w:p>
            <w:pPr>
              <w:spacing w:after="0"/>
              <w:rPr>
                <w:sz w:val="20"/>
                <w:szCs w:val="20"/>
                <w:color w:val="auto"/>
              </w:rPr>
            </w:pPr>
          </w:p>
        </w:tc>
      </w:tr>
      <w:tr>
        <w:trPr>
          <w:trHeight w:val="637"/>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Itron, Inc. Domestic Subsidiaries</w:t>
            </w:r>
          </w:p>
        </w:tc>
        <w:tc>
          <w:tcPr>
            <w:tcW w:w="53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State of Incorporation</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Itron, International, Inc.</w:t>
            </w:r>
          </w:p>
        </w:tc>
        <w:tc>
          <w:tcPr>
            <w:tcW w:w="5340" w:type="dxa"/>
            <w:vAlign w:val="bottom"/>
          </w:tcPr>
          <w:p>
            <w:pPr>
              <w:ind w:left="800"/>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Itron Engineering Services, Inc.</w:t>
            </w:r>
          </w:p>
        </w:tc>
        <w:tc>
          <w:tcPr>
            <w:tcW w:w="5340" w:type="dxa"/>
            <w:vAlign w:val="bottom"/>
          </w:tcPr>
          <w:p>
            <w:pPr>
              <w:ind w:left="800"/>
              <w:spacing w:after="0"/>
              <w:rPr>
                <w:sz w:val="20"/>
                <w:szCs w:val="20"/>
                <w:color w:val="auto"/>
              </w:rPr>
            </w:pPr>
            <w:r>
              <w:rPr>
                <w:rFonts w:ascii="Arial" w:cs="Arial" w:eastAsia="Arial" w:hAnsi="Arial"/>
                <w:sz w:val="18"/>
                <w:szCs w:val="18"/>
                <w:color w:val="auto"/>
              </w:rPr>
              <w:t>Washington</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Itron Brazil I, LLC</w:t>
            </w:r>
          </w:p>
        </w:tc>
        <w:tc>
          <w:tcPr>
            <w:tcW w:w="5340" w:type="dxa"/>
            <w:vAlign w:val="bottom"/>
          </w:tcPr>
          <w:p>
            <w:pPr>
              <w:ind w:left="800"/>
              <w:spacing w:after="0"/>
              <w:rPr>
                <w:sz w:val="20"/>
                <w:szCs w:val="20"/>
                <w:color w:val="auto"/>
              </w:rPr>
            </w:pPr>
            <w:r>
              <w:rPr>
                <w:rFonts w:ascii="Arial" w:cs="Arial" w:eastAsia="Arial" w:hAnsi="Arial"/>
                <w:sz w:val="18"/>
                <w:szCs w:val="18"/>
                <w:color w:val="auto"/>
              </w:rPr>
              <w:t>Washington</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Itron Brazil II, LLC</w:t>
            </w:r>
          </w:p>
        </w:tc>
        <w:tc>
          <w:tcPr>
            <w:tcW w:w="5340" w:type="dxa"/>
            <w:vAlign w:val="bottom"/>
          </w:tcPr>
          <w:p>
            <w:pPr>
              <w:ind w:left="800"/>
              <w:spacing w:after="0"/>
              <w:rPr>
                <w:sz w:val="20"/>
                <w:szCs w:val="20"/>
                <w:color w:val="auto"/>
              </w:rPr>
            </w:pPr>
            <w:r>
              <w:rPr>
                <w:rFonts w:ascii="Arial" w:cs="Arial" w:eastAsia="Arial" w:hAnsi="Arial"/>
                <w:sz w:val="18"/>
                <w:szCs w:val="18"/>
                <w:color w:val="auto"/>
              </w:rPr>
              <w:t>Washington</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Itron US Gas, LLC</w:t>
            </w:r>
          </w:p>
        </w:tc>
        <w:tc>
          <w:tcPr>
            <w:tcW w:w="5340" w:type="dxa"/>
            <w:vAlign w:val="bottom"/>
          </w:tcPr>
          <w:p>
            <w:pPr>
              <w:ind w:left="800"/>
              <w:spacing w:after="0"/>
              <w:rPr>
                <w:sz w:val="20"/>
                <w:szCs w:val="20"/>
                <w:color w:val="auto"/>
              </w:rPr>
            </w:pPr>
            <w:r>
              <w:rPr>
                <w:rFonts w:ascii="Arial" w:cs="Arial" w:eastAsia="Arial" w:hAnsi="Arial"/>
                <w:sz w:val="18"/>
                <w:szCs w:val="18"/>
                <w:color w:val="auto"/>
              </w:rPr>
              <w:t>Delaware</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57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Itron SAS</w:t>
            </w:r>
          </w:p>
        </w:tc>
        <w:tc>
          <w:tcPr>
            <w:tcW w:w="5760" w:type="dxa"/>
            <w:vAlign w:val="bottom"/>
          </w:tcPr>
          <w:p>
            <w:pPr>
              <w:ind w:left="1220"/>
              <w:spacing w:after="0" w:line="201" w:lineRule="exact"/>
              <w:rPr>
                <w:sz w:val="20"/>
                <w:szCs w:val="20"/>
                <w:color w:val="auto"/>
              </w:rPr>
            </w:pPr>
            <w:r>
              <w:rPr>
                <w:rFonts w:ascii="Arial" w:cs="Arial" w:eastAsia="Arial" w:hAnsi="Arial"/>
                <w:sz w:val="18"/>
                <w:szCs w:val="18"/>
                <w:color w:val="auto"/>
              </w:rPr>
              <w:t>France</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Itron-Australasia Pty. Limited</w:t>
            </w:r>
          </w:p>
        </w:tc>
        <w:tc>
          <w:tcPr>
            <w:tcW w:w="5760" w:type="dxa"/>
            <w:vAlign w:val="bottom"/>
          </w:tcPr>
          <w:p>
            <w:pPr>
              <w:ind w:left="1220"/>
              <w:spacing w:after="0"/>
              <w:rPr>
                <w:sz w:val="20"/>
                <w:szCs w:val="20"/>
                <w:color w:val="auto"/>
              </w:rPr>
            </w:pPr>
            <w:r>
              <w:rPr>
                <w:rFonts w:ascii="Arial" w:cs="Arial" w:eastAsia="Arial" w:hAnsi="Arial"/>
                <w:sz w:val="18"/>
                <w:szCs w:val="18"/>
                <w:color w:val="auto"/>
              </w:rPr>
              <w:t>Australia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Limited</w:t>
            </w:r>
          </w:p>
        </w:tc>
        <w:tc>
          <w:tcPr>
            <w:tcW w:w="5760" w:type="dxa"/>
            <w:vAlign w:val="bottom"/>
          </w:tcPr>
          <w:p>
            <w:pPr>
              <w:ind w:left="1220"/>
              <w:spacing w:after="0"/>
              <w:rPr>
                <w:sz w:val="20"/>
                <w:szCs w:val="20"/>
                <w:color w:val="auto"/>
              </w:rPr>
            </w:pPr>
            <w:r>
              <w:rPr>
                <w:rFonts w:ascii="Arial" w:cs="Arial" w:eastAsia="Arial" w:hAnsi="Arial"/>
                <w:sz w:val="18"/>
                <w:szCs w:val="18"/>
                <w:color w:val="auto"/>
              </w:rPr>
              <w:t>United Kingdom</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B.V.</w:t>
            </w:r>
          </w:p>
        </w:tc>
        <w:tc>
          <w:tcPr>
            <w:tcW w:w="5760" w:type="dxa"/>
            <w:vAlign w:val="bottom"/>
          </w:tcPr>
          <w:p>
            <w:pPr>
              <w:ind w:left="1220"/>
              <w:spacing w:after="0"/>
              <w:rPr>
                <w:sz w:val="20"/>
                <w:szCs w:val="20"/>
                <w:color w:val="auto"/>
              </w:rPr>
            </w:pPr>
            <w:r>
              <w:rPr>
                <w:rFonts w:ascii="Arial" w:cs="Arial" w:eastAsia="Arial" w:hAnsi="Arial"/>
                <w:sz w:val="18"/>
                <w:szCs w:val="18"/>
                <w:color w:val="auto"/>
              </w:rPr>
              <w:t>Netherlands</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Canada, Inc.</w:t>
            </w:r>
          </w:p>
        </w:tc>
        <w:tc>
          <w:tcPr>
            <w:tcW w:w="5760" w:type="dxa"/>
            <w:vAlign w:val="bottom"/>
          </w:tcPr>
          <w:p>
            <w:pPr>
              <w:ind w:left="1220"/>
              <w:spacing w:after="0"/>
              <w:rPr>
                <w:sz w:val="20"/>
                <w:szCs w:val="20"/>
                <w:color w:val="auto"/>
              </w:rPr>
            </w:pPr>
            <w:r>
              <w:rPr>
                <w:rFonts w:ascii="Arial" w:cs="Arial" w:eastAsia="Arial" w:hAnsi="Arial"/>
                <w:sz w:val="18"/>
                <w:szCs w:val="18"/>
                <w:color w:val="auto"/>
              </w:rPr>
              <w:t>Canada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Distribucion, S.A. de C.V.</w:t>
            </w:r>
          </w:p>
        </w:tc>
        <w:tc>
          <w:tcPr>
            <w:tcW w:w="5760" w:type="dxa"/>
            <w:vAlign w:val="bottom"/>
          </w:tcPr>
          <w:p>
            <w:pPr>
              <w:ind w:left="1220"/>
              <w:spacing w:after="0"/>
              <w:rPr>
                <w:sz w:val="20"/>
                <w:szCs w:val="20"/>
                <w:color w:val="auto"/>
              </w:rPr>
            </w:pPr>
            <w:r>
              <w:rPr>
                <w:rFonts w:ascii="Arial" w:cs="Arial" w:eastAsia="Arial" w:hAnsi="Arial"/>
                <w:sz w:val="18"/>
                <w:szCs w:val="18"/>
                <w:color w:val="auto"/>
              </w:rPr>
              <w:t>Mexico</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Servicios, S.A. de C.V.</w:t>
            </w:r>
          </w:p>
        </w:tc>
        <w:tc>
          <w:tcPr>
            <w:tcW w:w="5760" w:type="dxa"/>
            <w:vAlign w:val="bottom"/>
          </w:tcPr>
          <w:p>
            <w:pPr>
              <w:ind w:left="1220"/>
              <w:spacing w:after="0"/>
              <w:rPr>
                <w:sz w:val="20"/>
                <w:szCs w:val="20"/>
                <w:color w:val="auto"/>
              </w:rPr>
            </w:pPr>
            <w:r>
              <w:rPr>
                <w:rFonts w:ascii="Arial" w:cs="Arial" w:eastAsia="Arial" w:hAnsi="Arial"/>
                <w:sz w:val="18"/>
                <w:szCs w:val="18"/>
                <w:color w:val="auto"/>
              </w:rPr>
              <w:t>Mexico</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Australasia Holdings Pty. Limited</w:t>
            </w:r>
          </w:p>
        </w:tc>
        <w:tc>
          <w:tcPr>
            <w:tcW w:w="5760" w:type="dxa"/>
            <w:vAlign w:val="bottom"/>
          </w:tcPr>
          <w:p>
            <w:pPr>
              <w:ind w:left="1220"/>
              <w:spacing w:after="0"/>
              <w:rPr>
                <w:sz w:val="20"/>
                <w:szCs w:val="20"/>
                <w:color w:val="auto"/>
              </w:rPr>
            </w:pPr>
            <w:r>
              <w:rPr>
                <w:rFonts w:ascii="Arial" w:cs="Arial" w:eastAsia="Arial" w:hAnsi="Arial"/>
                <w:sz w:val="18"/>
                <w:szCs w:val="18"/>
                <w:color w:val="auto"/>
              </w:rPr>
              <w:t>Australia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Australasia Technologies Pty. Ltd.</w:t>
            </w:r>
          </w:p>
        </w:tc>
        <w:tc>
          <w:tcPr>
            <w:tcW w:w="5760" w:type="dxa"/>
            <w:vAlign w:val="bottom"/>
          </w:tcPr>
          <w:p>
            <w:pPr>
              <w:ind w:left="1220"/>
              <w:spacing w:after="0"/>
              <w:rPr>
                <w:sz w:val="20"/>
                <w:szCs w:val="20"/>
                <w:color w:val="auto"/>
              </w:rPr>
            </w:pPr>
            <w:r>
              <w:rPr>
                <w:rFonts w:ascii="Arial" w:cs="Arial" w:eastAsia="Arial" w:hAnsi="Arial"/>
                <w:sz w:val="18"/>
                <w:szCs w:val="18"/>
                <w:color w:val="auto"/>
              </w:rPr>
              <w:t>Australia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Inc, Taiwan</w:t>
            </w:r>
          </w:p>
        </w:tc>
        <w:tc>
          <w:tcPr>
            <w:tcW w:w="5760" w:type="dxa"/>
            <w:vAlign w:val="bottom"/>
          </w:tcPr>
          <w:p>
            <w:pPr>
              <w:ind w:left="1220"/>
              <w:spacing w:after="0"/>
              <w:rPr>
                <w:sz w:val="20"/>
                <w:szCs w:val="20"/>
                <w:color w:val="auto"/>
              </w:rPr>
            </w:pPr>
            <w:r>
              <w:rPr>
                <w:rFonts w:ascii="Arial" w:cs="Arial" w:eastAsia="Arial" w:hAnsi="Arial"/>
                <w:sz w:val="18"/>
                <w:szCs w:val="18"/>
                <w:color w:val="auto"/>
              </w:rPr>
              <w:t>Taiwan</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Middle East LLC</w:t>
            </w:r>
          </w:p>
        </w:tc>
        <w:tc>
          <w:tcPr>
            <w:tcW w:w="5760" w:type="dxa"/>
            <w:vAlign w:val="bottom"/>
          </w:tcPr>
          <w:p>
            <w:pPr>
              <w:ind w:left="1220"/>
              <w:spacing w:after="0"/>
              <w:rPr>
                <w:sz w:val="20"/>
                <w:szCs w:val="20"/>
                <w:color w:val="auto"/>
              </w:rPr>
            </w:pPr>
            <w:r>
              <w:rPr>
                <w:rFonts w:ascii="Arial" w:cs="Arial" w:eastAsia="Arial" w:hAnsi="Arial"/>
                <w:sz w:val="18"/>
                <w:szCs w:val="18"/>
                <w:color w:val="auto"/>
              </w:rPr>
              <w:t>Qatar</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Sistemas e Tecnologia Ltda.</w:t>
            </w:r>
          </w:p>
        </w:tc>
        <w:tc>
          <w:tcPr>
            <w:tcW w:w="5760" w:type="dxa"/>
            <w:vAlign w:val="bottom"/>
          </w:tcPr>
          <w:p>
            <w:pPr>
              <w:ind w:left="1220"/>
              <w:spacing w:after="0"/>
              <w:rPr>
                <w:sz w:val="20"/>
                <w:szCs w:val="20"/>
                <w:color w:val="auto"/>
              </w:rPr>
            </w:pPr>
            <w:r>
              <w:rPr>
                <w:rFonts w:ascii="Arial" w:cs="Arial" w:eastAsia="Arial" w:hAnsi="Arial"/>
                <w:sz w:val="18"/>
                <w:szCs w:val="18"/>
                <w:color w:val="auto"/>
              </w:rPr>
              <w:t>Brazil</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Argentina S.A.</w:t>
            </w:r>
          </w:p>
        </w:tc>
        <w:tc>
          <w:tcPr>
            <w:tcW w:w="5760" w:type="dxa"/>
            <w:vAlign w:val="bottom"/>
          </w:tcPr>
          <w:p>
            <w:pPr>
              <w:ind w:left="1220"/>
              <w:spacing w:after="0"/>
              <w:rPr>
                <w:sz w:val="20"/>
                <w:szCs w:val="20"/>
                <w:color w:val="auto"/>
              </w:rPr>
            </w:pPr>
            <w:r>
              <w:rPr>
                <w:rFonts w:ascii="Arial" w:cs="Arial" w:eastAsia="Arial" w:hAnsi="Arial"/>
                <w:sz w:val="18"/>
                <w:szCs w:val="18"/>
                <w:color w:val="auto"/>
              </w:rPr>
              <w:t>Argentina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Actaris Pty Ltd.</w:t>
            </w:r>
          </w:p>
        </w:tc>
        <w:tc>
          <w:tcPr>
            <w:tcW w:w="5760" w:type="dxa"/>
            <w:vAlign w:val="bottom"/>
          </w:tcPr>
          <w:p>
            <w:pPr>
              <w:ind w:left="1220"/>
              <w:spacing w:after="0"/>
              <w:rPr>
                <w:sz w:val="20"/>
                <w:szCs w:val="20"/>
                <w:color w:val="auto"/>
              </w:rPr>
            </w:pPr>
            <w:r>
              <w:rPr>
                <w:rFonts w:ascii="Arial" w:cs="Arial" w:eastAsia="Arial" w:hAnsi="Arial"/>
                <w:sz w:val="18"/>
                <w:szCs w:val="18"/>
                <w:color w:val="auto"/>
              </w:rPr>
              <w:t>Australia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Austria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Austria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Holding Belgium S.A.</w:t>
            </w:r>
          </w:p>
        </w:tc>
        <w:tc>
          <w:tcPr>
            <w:tcW w:w="5760" w:type="dxa"/>
            <w:vAlign w:val="bottom"/>
          </w:tcPr>
          <w:p>
            <w:pPr>
              <w:ind w:left="1220"/>
              <w:spacing w:after="0"/>
              <w:rPr>
                <w:sz w:val="20"/>
                <w:szCs w:val="20"/>
                <w:color w:val="auto"/>
              </w:rPr>
            </w:pPr>
            <w:r>
              <w:rPr>
                <w:rFonts w:ascii="Arial" w:cs="Arial" w:eastAsia="Arial" w:hAnsi="Arial"/>
                <w:sz w:val="18"/>
                <w:szCs w:val="18"/>
                <w:color w:val="auto"/>
              </w:rPr>
              <w:t>Belgium</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Actaris Holding 6 S.A.</w:t>
            </w:r>
          </w:p>
        </w:tc>
        <w:tc>
          <w:tcPr>
            <w:tcW w:w="5760" w:type="dxa"/>
            <w:vAlign w:val="bottom"/>
          </w:tcPr>
          <w:p>
            <w:pPr>
              <w:ind w:left="1220"/>
              <w:spacing w:after="0"/>
              <w:rPr>
                <w:sz w:val="20"/>
                <w:szCs w:val="20"/>
                <w:color w:val="auto"/>
              </w:rPr>
            </w:pPr>
            <w:r>
              <w:rPr>
                <w:rFonts w:ascii="Arial" w:cs="Arial" w:eastAsia="Arial" w:hAnsi="Arial"/>
                <w:sz w:val="18"/>
                <w:szCs w:val="18"/>
                <w:color w:val="auto"/>
              </w:rPr>
              <w:t>Belgium</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Management Services S.A.</w:t>
            </w:r>
          </w:p>
        </w:tc>
        <w:tc>
          <w:tcPr>
            <w:tcW w:w="5760" w:type="dxa"/>
            <w:vAlign w:val="bottom"/>
          </w:tcPr>
          <w:p>
            <w:pPr>
              <w:ind w:left="1220"/>
              <w:spacing w:after="0"/>
              <w:rPr>
                <w:sz w:val="20"/>
                <w:szCs w:val="20"/>
                <w:color w:val="auto"/>
              </w:rPr>
            </w:pPr>
            <w:r>
              <w:rPr>
                <w:rFonts w:ascii="Arial" w:cs="Arial" w:eastAsia="Arial" w:hAnsi="Arial"/>
                <w:sz w:val="18"/>
                <w:szCs w:val="18"/>
                <w:color w:val="auto"/>
              </w:rPr>
              <w:t>Belgium</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Contigea S.A.</w:t>
            </w:r>
          </w:p>
        </w:tc>
        <w:tc>
          <w:tcPr>
            <w:tcW w:w="5760" w:type="dxa"/>
            <w:vAlign w:val="bottom"/>
          </w:tcPr>
          <w:p>
            <w:pPr>
              <w:ind w:left="1220"/>
              <w:spacing w:after="0"/>
              <w:rPr>
                <w:sz w:val="20"/>
                <w:szCs w:val="20"/>
                <w:color w:val="auto"/>
              </w:rPr>
            </w:pPr>
            <w:r>
              <w:rPr>
                <w:rFonts w:ascii="Arial" w:cs="Arial" w:eastAsia="Arial" w:hAnsi="Arial"/>
                <w:sz w:val="18"/>
                <w:szCs w:val="18"/>
                <w:color w:val="auto"/>
              </w:rPr>
              <w:t>Belgium</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Soluções para Energia e Água Ltda.</w:t>
            </w:r>
          </w:p>
        </w:tc>
        <w:tc>
          <w:tcPr>
            <w:tcW w:w="5760" w:type="dxa"/>
            <w:vAlign w:val="bottom"/>
          </w:tcPr>
          <w:p>
            <w:pPr>
              <w:ind w:left="1220"/>
              <w:spacing w:after="0"/>
              <w:rPr>
                <w:sz w:val="20"/>
                <w:szCs w:val="20"/>
                <w:color w:val="auto"/>
              </w:rPr>
            </w:pPr>
            <w:r>
              <w:rPr>
                <w:rFonts w:ascii="Arial" w:cs="Arial" w:eastAsia="Arial" w:hAnsi="Arial"/>
                <w:sz w:val="18"/>
                <w:szCs w:val="18"/>
                <w:color w:val="auto"/>
              </w:rPr>
              <w:t>Brazil</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China Gas Holding Co., Ltd. (J.V. majority)</w:t>
            </w:r>
          </w:p>
        </w:tc>
        <w:tc>
          <w:tcPr>
            <w:tcW w:w="5760" w:type="dxa"/>
            <w:vAlign w:val="bottom"/>
          </w:tcPr>
          <w:p>
            <w:pPr>
              <w:ind w:left="1220"/>
              <w:spacing w:after="0"/>
              <w:rPr>
                <w:sz w:val="20"/>
                <w:szCs w:val="20"/>
                <w:color w:val="auto"/>
              </w:rPr>
            </w:pPr>
            <w:r>
              <w:rPr>
                <w:rFonts w:ascii="Arial" w:cs="Arial" w:eastAsia="Arial" w:hAnsi="Arial"/>
                <w:sz w:val="18"/>
                <w:szCs w:val="18"/>
                <w:color w:val="auto"/>
              </w:rPr>
              <w:t>British Virgin Islands</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Compañía Chilena de Medición S.A.</w:t>
            </w:r>
          </w:p>
        </w:tc>
        <w:tc>
          <w:tcPr>
            <w:tcW w:w="5760" w:type="dxa"/>
            <w:vAlign w:val="bottom"/>
          </w:tcPr>
          <w:p>
            <w:pPr>
              <w:ind w:left="1220"/>
              <w:spacing w:after="0"/>
              <w:rPr>
                <w:sz w:val="20"/>
                <w:szCs w:val="20"/>
                <w:color w:val="auto"/>
              </w:rPr>
            </w:pPr>
            <w:r>
              <w:rPr>
                <w:rFonts w:ascii="Arial" w:cs="Arial" w:eastAsia="Arial" w:hAnsi="Arial"/>
                <w:sz w:val="18"/>
                <w:szCs w:val="18"/>
                <w:color w:val="auto"/>
              </w:rPr>
              <w:t>Chile</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Metering Systems (Chongqing) Co., Ltd. (J.V. majority)</w:t>
            </w:r>
          </w:p>
        </w:tc>
        <w:tc>
          <w:tcPr>
            <w:tcW w:w="5760" w:type="dxa"/>
            <w:vAlign w:val="bottom"/>
          </w:tcPr>
          <w:p>
            <w:pPr>
              <w:ind w:left="1220"/>
              <w:spacing w:after="0"/>
              <w:rPr>
                <w:sz w:val="20"/>
                <w:szCs w:val="20"/>
                <w:color w:val="auto"/>
              </w:rPr>
            </w:pPr>
            <w:r>
              <w:rPr>
                <w:rFonts w:ascii="Arial" w:cs="Arial" w:eastAsia="Arial" w:hAnsi="Arial"/>
                <w:sz w:val="18"/>
                <w:szCs w:val="18"/>
                <w:color w:val="auto"/>
              </w:rPr>
              <w:t>China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Metering Systems (Suzhou) Co., Ltd.</w:t>
            </w:r>
          </w:p>
        </w:tc>
        <w:tc>
          <w:tcPr>
            <w:tcW w:w="5760" w:type="dxa"/>
            <w:vAlign w:val="bottom"/>
          </w:tcPr>
          <w:p>
            <w:pPr>
              <w:ind w:left="1220"/>
              <w:spacing w:after="0"/>
              <w:rPr>
                <w:sz w:val="20"/>
                <w:szCs w:val="20"/>
                <w:color w:val="auto"/>
              </w:rPr>
            </w:pPr>
            <w:r>
              <w:rPr>
                <w:rFonts w:ascii="Arial" w:cs="Arial" w:eastAsia="Arial" w:hAnsi="Arial"/>
                <w:sz w:val="18"/>
                <w:szCs w:val="18"/>
                <w:color w:val="auto"/>
              </w:rPr>
              <w:t>China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Czech Republic s.r.o.</w:t>
            </w:r>
          </w:p>
        </w:tc>
        <w:tc>
          <w:tcPr>
            <w:tcW w:w="5760" w:type="dxa"/>
            <w:vAlign w:val="bottom"/>
          </w:tcPr>
          <w:p>
            <w:pPr>
              <w:ind w:left="1220"/>
              <w:spacing w:after="0"/>
              <w:rPr>
                <w:sz w:val="20"/>
                <w:szCs w:val="20"/>
                <w:color w:val="auto"/>
              </w:rPr>
            </w:pPr>
            <w:r>
              <w:rPr>
                <w:rFonts w:ascii="Arial" w:cs="Arial" w:eastAsia="Arial" w:hAnsi="Arial"/>
                <w:sz w:val="18"/>
                <w:szCs w:val="18"/>
                <w:color w:val="auto"/>
              </w:rPr>
              <w:t>Czech Republic</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Actaris Maleteknik A/S</w:t>
            </w:r>
          </w:p>
        </w:tc>
        <w:tc>
          <w:tcPr>
            <w:tcW w:w="5760" w:type="dxa"/>
            <w:vAlign w:val="bottom"/>
          </w:tcPr>
          <w:p>
            <w:pPr>
              <w:ind w:left="1220"/>
              <w:spacing w:after="0"/>
              <w:rPr>
                <w:sz w:val="20"/>
                <w:szCs w:val="20"/>
                <w:color w:val="auto"/>
              </w:rPr>
            </w:pPr>
            <w:r>
              <w:rPr>
                <w:rFonts w:ascii="Arial" w:cs="Arial" w:eastAsia="Arial" w:hAnsi="Arial"/>
                <w:sz w:val="18"/>
                <w:szCs w:val="18"/>
                <w:color w:val="auto"/>
              </w:rPr>
              <w:t>Denmark</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France</w:t>
            </w:r>
          </w:p>
        </w:tc>
        <w:tc>
          <w:tcPr>
            <w:tcW w:w="5760" w:type="dxa"/>
            <w:vAlign w:val="bottom"/>
          </w:tcPr>
          <w:p>
            <w:pPr>
              <w:ind w:left="1220"/>
              <w:spacing w:after="0"/>
              <w:rPr>
                <w:sz w:val="20"/>
                <w:szCs w:val="20"/>
                <w:color w:val="auto"/>
              </w:rPr>
            </w:pPr>
            <w:r>
              <w:rPr>
                <w:rFonts w:ascii="Arial" w:cs="Arial" w:eastAsia="Arial" w:hAnsi="Arial"/>
                <w:sz w:val="18"/>
                <w:szCs w:val="18"/>
                <w:color w:val="auto"/>
              </w:rPr>
              <w:t>France</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Holding France</w:t>
            </w:r>
          </w:p>
        </w:tc>
        <w:tc>
          <w:tcPr>
            <w:tcW w:w="5760" w:type="dxa"/>
            <w:vAlign w:val="bottom"/>
          </w:tcPr>
          <w:p>
            <w:pPr>
              <w:ind w:left="1220"/>
              <w:spacing w:after="0"/>
              <w:rPr>
                <w:sz w:val="20"/>
                <w:szCs w:val="20"/>
                <w:color w:val="auto"/>
              </w:rPr>
            </w:pPr>
            <w:r>
              <w:rPr>
                <w:rFonts w:ascii="Arial" w:cs="Arial" w:eastAsia="Arial" w:hAnsi="Arial"/>
                <w:sz w:val="18"/>
                <w:szCs w:val="18"/>
                <w:color w:val="auto"/>
              </w:rPr>
              <w:t>France</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Holding Germany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Zähler &amp; Systemtechnik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ZSO Beteiligungs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 Unterstutzungskasse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Allmess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Heliowatt Unterstutzungseinrichtung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JB Rombach Anlagenbau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SEWA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Thielmann Energietechnik GmbH</w:t>
            </w:r>
          </w:p>
        </w:tc>
        <w:tc>
          <w:tcPr>
            <w:tcW w:w="5760" w:type="dxa"/>
            <w:vAlign w:val="bottom"/>
          </w:tcPr>
          <w:p>
            <w:pPr>
              <w:ind w:left="1220"/>
              <w:spacing w:after="0"/>
              <w:rPr>
                <w:sz w:val="20"/>
                <w:szCs w:val="20"/>
                <w:color w:val="auto"/>
              </w:rPr>
            </w:pPr>
            <w:r>
              <w:rPr>
                <w:rFonts w:ascii="Arial" w:cs="Arial" w:eastAsia="Arial" w:hAnsi="Arial"/>
                <w:sz w:val="18"/>
                <w:szCs w:val="18"/>
                <w:color w:val="auto"/>
              </w:rPr>
              <w:t>Germany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ItronHolding Hungary Vagyonkezelő Kft.</w:t>
            </w:r>
          </w:p>
        </w:tc>
        <w:tc>
          <w:tcPr>
            <w:tcW w:w="5760" w:type="dxa"/>
            <w:vAlign w:val="bottom"/>
          </w:tcPr>
          <w:p>
            <w:pPr>
              <w:ind w:left="1220"/>
              <w:spacing w:after="0"/>
              <w:rPr>
                <w:sz w:val="20"/>
                <w:szCs w:val="20"/>
                <w:color w:val="auto"/>
              </w:rPr>
            </w:pPr>
            <w:r>
              <w:rPr>
                <w:rFonts w:ascii="Arial" w:cs="Arial" w:eastAsia="Arial" w:hAnsi="Arial"/>
                <w:sz w:val="18"/>
                <w:szCs w:val="18"/>
                <w:color w:val="auto"/>
              </w:rPr>
              <w:t>Hungary</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Flogiston Kft. (J.V. minority participation)</w:t>
            </w:r>
          </w:p>
        </w:tc>
        <w:tc>
          <w:tcPr>
            <w:tcW w:w="5760" w:type="dxa"/>
            <w:vAlign w:val="bottom"/>
          </w:tcPr>
          <w:p>
            <w:pPr>
              <w:ind w:left="1220"/>
              <w:spacing w:after="0"/>
              <w:rPr>
                <w:sz w:val="20"/>
                <w:szCs w:val="20"/>
                <w:color w:val="auto"/>
              </w:rPr>
            </w:pPr>
            <w:r>
              <w:rPr>
                <w:rFonts w:ascii="Arial" w:cs="Arial" w:eastAsia="Arial" w:hAnsi="Arial"/>
                <w:sz w:val="18"/>
                <w:szCs w:val="18"/>
                <w:color w:val="auto"/>
              </w:rPr>
              <w:t>Hungary</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GANZ Meter Company Ltd.</w:t>
            </w:r>
          </w:p>
        </w:tc>
        <w:tc>
          <w:tcPr>
            <w:tcW w:w="5760" w:type="dxa"/>
            <w:vAlign w:val="bottom"/>
          </w:tcPr>
          <w:p>
            <w:pPr>
              <w:ind w:left="1220"/>
              <w:spacing w:after="0"/>
              <w:rPr>
                <w:sz w:val="20"/>
                <w:szCs w:val="20"/>
                <w:color w:val="auto"/>
              </w:rPr>
            </w:pPr>
            <w:r>
              <w:rPr>
                <w:rFonts w:ascii="Arial" w:cs="Arial" w:eastAsia="Arial" w:hAnsi="Arial"/>
                <w:sz w:val="18"/>
                <w:szCs w:val="18"/>
                <w:color w:val="auto"/>
              </w:rPr>
              <w:t>Hungary</w:t>
            </w:r>
          </w:p>
        </w:tc>
      </w:tr>
      <w:tr>
        <w:trPr>
          <w:trHeight w:val="659"/>
        </w:trPr>
        <w:tc>
          <w:tcPr>
            <w:tcW w:w="566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1"/>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53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rPr>
              <w:t>Itron India Private Limited</w:t>
            </w:r>
          </w:p>
        </w:tc>
        <w:tc>
          <w:tcPr>
            <w:tcW w:w="5300" w:type="dxa"/>
            <w:vAlign w:val="bottom"/>
          </w:tcPr>
          <w:p>
            <w:pPr>
              <w:ind w:left="700"/>
              <w:spacing w:after="0" w:line="201" w:lineRule="exact"/>
              <w:rPr>
                <w:sz w:val="20"/>
                <w:szCs w:val="20"/>
                <w:color w:val="auto"/>
              </w:rPr>
            </w:pPr>
            <w:r>
              <w:rPr>
                <w:rFonts w:ascii="Arial" w:cs="Arial" w:eastAsia="Arial" w:hAnsi="Arial"/>
                <w:sz w:val="18"/>
                <w:szCs w:val="18"/>
                <w:color w:val="auto"/>
              </w:rPr>
              <w:t>India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CG Actaris Electricity Management Private Limited (J.V. majority)</w:t>
            </w:r>
          </w:p>
        </w:tc>
        <w:tc>
          <w:tcPr>
            <w:tcW w:w="5300" w:type="dxa"/>
            <w:vAlign w:val="bottom"/>
          </w:tcPr>
          <w:p>
            <w:pPr>
              <w:ind w:left="700"/>
              <w:spacing w:after="0"/>
              <w:rPr>
                <w:sz w:val="20"/>
                <w:szCs w:val="20"/>
                <w:color w:val="auto"/>
              </w:rPr>
            </w:pPr>
            <w:r>
              <w:rPr>
                <w:rFonts w:ascii="Arial" w:cs="Arial" w:eastAsia="Arial" w:hAnsi="Arial"/>
                <w:sz w:val="18"/>
                <w:szCs w:val="18"/>
                <w:color w:val="auto"/>
              </w:rPr>
              <w:t>India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PT Mecoindo (J.V. majority)</w:t>
            </w:r>
          </w:p>
        </w:tc>
        <w:tc>
          <w:tcPr>
            <w:tcW w:w="5300" w:type="dxa"/>
            <w:vAlign w:val="bottom"/>
          </w:tcPr>
          <w:p>
            <w:pPr>
              <w:ind w:left="700"/>
              <w:spacing w:after="0"/>
              <w:rPr>
                <w:sz w:val="20"/>
                <w:szCs w:val="20"/>
                <w:color w:val="auto"/>
              </w:rPr>
            </w:pPr>
            <w:r>
              <w:rPr>
                <w:rFonts w:ascii="Arial" w:cs="Arial" w:eastAsia="Arial" w:hAnsi="Arial"/>
                <w:sz w:val="18"/>
                <w:szCs w:val="18"/>
                <w:color w:val="auto"/>
              </w:rPr>
              <w:t>Indonesia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Abfar Industrial Corporation (J.V. minority)</w:t>
            </w:r>
          </w:p>
        </w:tc>
        <w:tc>
          <w:tcPr>
            <w:tcW w:w="5300" w:type="dxa"/>
            <w:vAlign w:val="bottom"/>
          </w:tcPr>
          <w:p>
            <w:pPr>
              <w:ind w:left="700"/>
              <w:spacing w:after="0"/>
              <w:rPr>
                <w:sz w:val="20"/>
                <w:szCs w:val="20"/>
                <w:color w:val="auto"/>
              </w:rPr>
            </w:pPr>
            <w:r>
              <w:rPr>
                <w:rFonts w:ascii="Arial" w:cs="Arial" w:eastAsia="Arial" w:hAnsi="Arial"/>
                <w:sz w:val="18"/>
                <w:szCs w:val="18"/>
                <w:color w:val="auto"/>
              </w:rPr>
              <w:t>Iran</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Sherkatesahami Kontorsazi SKI (J.V. minority)</w:t>
            </w:r>
          </w:p>
        </w:tc>
        <w:tc>
          <w:tcPr>
            <w:tcW w:w="5300" w:type="dxa"/>
            <w:vAlign w:val="bottom"/>
          </w:tcPr>
          <w:p>
            <w:pPr>
              <w:ind w:left="700"/>
              <w:spacing w:after="0"/>
              <w:rPr>
                <w:sz w:val="20"/>
                <w:szCs w:val="20"/>
                <w:color w:val="auto"/>
              </w:rPr>
            </w:pPr>
            <w:r>
              <w:rPr>
                <w:rFonts w:ascii="Arial" w:cs="Arial" w:eastAsia="Arial" w:hAnsi="Arial"/>
                <w:sz w:val="18"/>
                <w:szCs w:val="18"/>
                <w:color w:val="auto"/>
              </w:rPr>
              <w:t>Iran</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Italia S.p.A.</w:t>
            </w:r>
          </w:p>
        </w:tc>
        <w:tc>
          <w:tcPr>
            <w:tcW w:w="5300" w:type="dxa"/>
            <w:vAlign w:val="bottom"/>
          </w:tcPr>
          <w:p>
            <w:pPr>
              <w:ind w:left="700"/>
              <w:spacing w:after="0"/>
              <w:rPr>
                <w:sz w:val="20"/>
                <w:szCs w:val="20"/>
                <w:color w:val="auto"/>
              </w:rPr>
            </w:pPr>
            <w:r>
              <w:rPr>
                <w:rFonts w:ascii="Arial" w:cs="Arial" w:eastAsia="Arial" w:hAnsi="Arial"/>
                <w:sz w:val="18"/>
                <w:szCs w:val="18"/>
                <w:color w:val="auto"/>
              </w:rPr>
              <w:t>Italy</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Luxembourg S.À R.L</w:t>
            </w:r>
          </w:p>
        </w:tc>
        <w:tc>
          <w:tcPr>
            <w:tcW w:w="5300" w:type="dxa"/>
            <w:vAlign w:val="bottom"/>
          </w:tcPr>
          <w:p>
            <w:pPr>
              <w:ind w:left="700"/>
              <w:spacing w:after="0"/>
              <w:rPr>
                <w:sz w:val="20"/>
                <w:szCs w:val="20"/>
                <w:color w:val="auto"/>
              </w:rPr>
            </w:pPr>
            <w:r>
              <w:rPr>
                <w:rFonts w:ascii="Arial" w:cs="Arial" w:eastAsia="Arial" w:hAnsi="Arial"/>
                <w:sz w:val="18"/>
                <w:szCs w:val="18"/>
                <w:color w:val="auto"/>
              </w:rPr>
              <w:t>Luxembourg</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Financial Services S.À R.L</w:t>
            </w:r>
          </w:p>
        </w:tc>
        <w:tc>
          <w:tcPr>
            <w:tcW w:w="5300" w:type="dxa"/>
            <w:vAlign w:val="bottom"/>
          </w:tcPr>
          <w:p>
            <w:pPr>
              <w:ind w:left="700"/>
              <w:spacing w:after="0"/>
              <w:rPr>
                <w:sz w:val="20"/>
                <w:szCs w:val="20"/>
                <w:color w:val="auto"/>
              </w:rPr>
            </w:pPr>
            <w:r>
              <w:rPr>
                <w:rFonts w:ascii="Arial" w:cs="Arial" w:eastAsia="Arial" w:hAnsi="Arial"/>
                <w:sz w:val="18"/>
                <w:szCs w:val="18"/>
                <w:color w:val="auto"/>
              </w:rPr>
              <w:t>Luxembourg</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 Asia SDN Bhd</w:t>
            </w:r>
          </w:p>
        </w:tc>
        <w:tc>
          <w:tcPr>
            <w:tcW w:w="5300" w:type="dxa"/>
            <w:vAlign w:val="bottom"/>
          </w:tcPr>
          <w:p>
            <w:pPr>
              <w:ind w:left="700"/>
              <w:spacing w:after="0"/>
              <w:rPr>
                <w:sz w:val="20"/>
                <w:szCs w:val="20"/>
                <w:color w:val="auto"/>
              </w:rPr>
            </w:pPr>
            <w:r>
              <w:rPr>
                <w:rFonts w:ascii="Arial" w:cs="Arial" w:eastAsia="Arial" w:hAnsi="Arial"/>
                <w:sz w:val="18"/>
                <w:szCs w:val="18"/>
                <w:color w:val="auto"/>
              </w:rPr>
              <w:t>Malaysia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Metertek Sdn Bhd (J.V. minority)</w:t>
            </w:r>
          </w:p>
        </w:tc>
        <w:tc>
          <w:tcPr>
            <w:tcW w:w="5300" w:type="dxa"/>
            <w:vAlign w:val="bottom"/>
          </w:tcPr>
          <w:p>
            <w:pPr>
              <w:ind w:left="700"/>
              <w:spacing w:after="0"/>
              <w:rPr>
                <w:sz w:val="20"/>
                <w:szCs w:val="20"/>
                <w:color w:val="auto"/>
              </w:rPr>
            </w:pPr>
            <w:r>
              <w:rPr>
                <w:rFonts w:ascii="Arial" w:cs="Arial" w:eastAsia="Arial" w:hAnsi="Arial"/>
                <w:sz w:val="18"/>
                <w:szCs w:val="18"/>
                <w:color w:val="auto"/>
              </w:rPr>
              <w:t>Malaysia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 Distribución México S.A. de C.V.</w:t>
            </w:r>
          </w:p>
        </w:tc>
        <w:tc>
          <w:tcPr>
            <w:tcW w:w="5300" w:type="dxa"/>
            <w:vAlign w:val="bottom"/>
          </w:tcPr>
          <w:p>
            <w:pPr>
              <w:ind w:left="700"/>
              <w:spacing w:after="0"/>
              <w:rPr>
                <w:sz w:val="20"/>
                <w:szCs w:val="20"/>
                <w:color w:val="auto"/>
              </w:rPr>
            </w:pPr>
            <w:r>
              <w:rPr>
                <w:rFonts w:ascii="Arial" w:cs="Arial" w:eastAsia="Arial" w:hAnsi="Arial"/>
                <w:sz w:val="18"/>
                <w:szCs w:val="18"/>
                <w:color w:val="auto"/>
              </w:rPr>
              <w:t>Mexico</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 Servicios México S.A. de C.V.</w:t>
            </w:r>
          </w:p>
        </w:tc>
        <w:tc>
          <w:tcPr>
            <w:tcW w:w="5300" w:type="dxa"/>
            <w:vAlign w:val="bottom"/>
          </w:tcPr>
          <w:p>
            <w:pPr>
              <w:ind w:left="700"/>
              <w:spacing w:after="0"/>
              <w:rPr>
                <w:sz w:val="20"/>
                <w:szCs w:val="20"/>
                <w:color w:val="auto"/>
              </w:rPr>
            </w:pPr>
            <w:r>
              <w:rPr>
                <w:rFonts w:ascii="Arial" w:cs="Arial" w:eastAsia="Arial" w:hAnsi="Arial"/>
                <w:sz w:val="18"/>
                <w:szCs w:val="18"/>
                <w:color w:val="auto"/>
              </w:rPr>
              <w:t>Mexico</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Societe Marocaine des Compteurs Vincent S.A. (J.V. minority)</w:t>
            </w:r>
          </w:p>
        </w:tc>
        <w:tc>
          <w:tcPr>
            <w:tcW w:w="5300" w:type="dxa"/>
            <w:vAlign w:val="bottom"/>
          </w:tcPr>
          <w:p>
            <w:pPr>
              <w:ind w:left="700"/>
              <w:spacing w:after="0"/>
              <w:rPr>
                <w:sz w:val="20"/>
                <w:szCs w:val="20"/>
                <w:color w:val="auto"/>
              </w:rPr>
            </w:pPr>
            <w:r>
              <w:rPr>
                <w:rFonts w:ascii="Arial" w:cs="Arial" w:eastAsia="Arial" w:hAnsi="Arial"/>
                <w:sz w:val="18"/>
                <w:szCs w:val="18"/>
                <w:color w:val="auto"/>
              </w:rPr>
              <w:t>Morocco</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Inal- Indústria Nacional de Precisão Limitada</w:t>
            </w:r>
          </w:p>
        </w:tc>
        <w:tc>
          <w:tcPr>
            <w:tcW w:w="5300" w:type="dxa"/>
            <w:vAlign w:val="bottom"/>
          </w:tcPr>
          <w:p>
            <w:pPr>
              <w:ind w:left="700"/>
              <w:spacing w:after="0"/>
              <w:rPr>
                <w:sz w:val="20"/>
                <w:szCs w:val="20"/>
                <w:color w:val="auto"/>
              </w:rPr>
            </w:pPr>
            <w:r>
              <w:rPr>
                <w:rFonts w:ascii="Arial" w:cs="Arial" w:eastAsia="Arial" w:hAnsi="Arial"/>
                <w:sz w:val="18"/>
                <w:szCs w:val="18"/>
                <w:color w:val="auto"/>
              </w:rPr>
              <w:t>Mozambique</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Nederland B.V.</w:t>
            </w:r>
          </w:p>
        </w:tc>
        <w:tc>
          <w:tcPr>
            <w:tcW w:w="5300" w:type="dxa"/>
            <w:vAlign w:val="bottom"/>
          </w:tcPr>
          <w:p>
            <w:pPr>
              <w:ind w:left="700"/>
              <w:spacing w:after="0"/>
              <w:rPr>
                <w:sz w:val="20"/>
                <w:szCs w:val="20"/>
                <w:color w:val="auto"/>
              </w:rPr>
            </w:pPr>
            <w:r>
              <w:rPr>
                <w:rFonts w:ascii="Arial" w:cs="Arial" w:eastAsia="Arial" w:hAnsi="Arial"/>
                <w:sz w:val="18"/>
                <w:szCs w:val="18"/>
                <w:color w:val="auto"/>
              </w:rPr>
              <w:t>Netherlands</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Polska sp. Z.o.o.</w:t>
            </w:r>
          </w:p>
        </w:tc>
        <w:tc>
          <w:tcPr>
            <w:tcW w:w="5300" w:type="dxa"/>
            <w:vAlign w:val="bottom"/>
          </w:tcPr>
          <w:p>
            <w:pPr>
              <w:ind w:left="700"/>
              <w:spacing w:after="0"/>
              <w:rPr>
                <w:sz w:val="20"/>
                <w:szCs w:val="20"/>
                <w:color w:val="auto"/>
              </w:rPr>
            </w:pPr>
            <w:r>
              <w:rPr>
                <w:rFonts w:ascii="Arial" w:cs="Arial" w:eastAsia="Arial" w:hAnsi="Arial"/>
                <w:sz w:val="18"/>
                <w:szCs w:val="18"/>
                <w:color w:val="auto"/>
              </w:rPr>
              <w:t>Poland</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Portugal S.A.</w:t>
            </w:r>
          </w:p>
        </w:tc>
        <w:tc>
          <w:tcPr>
            <w:tcW w:w="530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Contadores de Àgua Lda.</w:t>
            </w:r>
          </w:p>
        </w:tc>
        <w:tc>
          <w:tcPr>
            <w:tcW w:w="530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Contadores de Gás Lda.</w:t>
            </w:r>
          </w:p>
        </w:tc>
        <w:tc>
          <w:tcPr>
            <w:tcW w:w="530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Imobiliaria S.A.</w:t>
            </w:r>
          </w:p>
        </w:tc>
        <w:tc>
          <w:tcPr>
            <w:tcW w:w="530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Sistemas de Medição Lda.</w:t>
            </w:r>
          </w:p>
        </w:tc>
        <w:tc>
          <w:tcPr>
            <w:tcW w:w="530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Ricont - Empresa de Reparação e Instalação de Contadores Lda.</w:t>
            </w:r>
          </w:p>
        </w:tc>
        <w:tc>
          <w:tcPr>
            <w:tcW w:w="530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Measurement and Systems (Proprietary) Limited</w:t>
            </w:r>
          </w:p>
        </w:tc>
        <w:tc>
          <w:tcPr>
            <w:tcW w:w="5300" w:type="dxa"/>
            <w:vAlign w:val="bottom"/>
          </w:tcPr>
          <w:p>
            <w:pPr>
              <w:ind w:left="700"/>
              <w:spacing w:after="0"/>
              <w:rPr>
                <w:sz w:val="20"/>
                <w:szCs w:val="20"/>
                <w:color w:val="auto"/>
              </w:rPr>
            </w:pPr>
            <w:r>
              <w:rPr>
                <w:rFonts w:ascii="Arial" w:cs="Arial" w:eastAsia="Arial" w:hAnsi="Arial"/>
                <w:sz w:val="18"/>
                <w:szCs w:val="18"/>
                <w:color w:val="auto"/>
              </w:rPr>
              <w:t>Republic of South Africa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Metering Solutions South Africa (Proprietary) Limited (J.V. majority)</w:t>
            </w:r>
          </w:p>
        </w:tc>
        <w:tc>
          <w:tcPr>
            <w:tcW w:w="5300" w:type="dxa"/>
            <w:vAlign w:val="bottom"/>
          </w:tcPr>
          <w:p>
            <w:pPr>
              <w:ind w:left="700"/>
              <w:spacing w:after="0"/>
              <w:rPr>
                <w:sz w:val="20"/>
                <w:szCs w:val="20"/>
                <w:color w:val="auto"/>
              </w:rPr>
            </w:pPr>
            <w:r>
              <w:rPr>
                <w:rFonts w:ascii="Arial" w:cs="Arial" w:eastAsia="Arial" w:hAnsi="Arial"/>
                <w:sz w:val="18"/>
                <w:szCs w:val="18"/>
                <w:color w:val="auto"/>
              </w:rPr>
              <w:t>Republic of South Africa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IPAY (Proprietary) Limited (J.V.minority)</w:t>
            </w:r>
          </w:p>
        </w:tc>
        <w:tc>
          <w:tcPr>
            <w:tcW w:w="5300" w:type="dxa"/>
            <w:vAlign w:val="bottom"/>
          </w:tcPr>
          <w:p>
            <w:pPr>
              <w:ind w:left="700"/>
              <w:spacing w:after="0"/>
              <w:rPr>
                <w:sz w:val="20"/>
                <w:szCs w:val="20"/>
                <w:color w:val="auto"/>
              </w:rPr>
            </w:pPr>
            <w:r>
              <w:rPr>
                <w:rFonts w:ascii="Arial" w:cs="Arial" w:eastAsia="Arial" w:hAnsi="Arial"/>
                <w:sz w:val="18"/>
                <w:szCs w:val="18"/>
                <w:color w:val="auto"/>
              </w:rPr>
              <w:t>Republic of South Africa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w:t>
            </w:r>
          </w:p>
        </w:tc>
        <w:tc>
          <w:tcPr>
            <w:tcW w:w="5300" w:type="dxa"/>
            <w:vAlign w:val="bottom"/>
          </w:tcPr>
          <w:p>
            <w:pPr>
              <w:ind w:left="700"/>
              <w:spacing w:after="0"/>
              <w:rPr>
                <w:sz w:val="20"/>
                <w:szCs w:val="20"/>
                <w:color w:val="auto"/>
              </w:rPr>
            </w:pPr>
            <w:r>
              <w:rPr>
                <w:rFonts w:ascii="Arial" w:cs="Arial" w:eastAsia="Arial" w:hAnsi="Arial"/>
                <w:sz w:val="18"/>
                <w:szCs w:val="18"/>
                <w:color w:val="auto"/>
              </w:rPr>
              <w:t>Russia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 OOO Ltd.</w:t>
            </w:r>
          </w:p>
        </w:tc>
        <w:tc>
          <w:tcPr>
            <w:tcW w:w="5300" w:type="dxa"/>
            <w:vAlign w:val="bottom"/>
          </w:tcPr>
          <w:p>
            <w:pPr>
              <w:ind w:left="700"/>
              <w:spacing w:after="0"/>
              <w:rPr>
                <w:sz w:val="20"/>
                <w:szCs w:val="20"/>
                <w:color w:val="auto"/>
              </w:rPr>
            </w:pPr>
            <w:r>
              <w:rPr>
                <w:rFonts w:ascii="Arial" w:cs="Arial" w:eastAsia="Arial" w:hAnsi="Arial"/>
                <w:sz w:val="18"/>
                <w:szCs w:val="18"/>
                <w:color w:val="auto"/>
              </w:rPr>
              <w:t>Russia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Arabian Metering Company</w:t>
            </w:r>
          </w:p>
        </w:tc>
        <w:tc>
          <w:tcPr>
            <w:tcW w:w="5300" w:type="dxa"/>
            <w:vAlign w:val="bottom"/>
          </w:tcPr>
          <w:p>
            <w:pPr>
              <w:ind w:left="700"/>
              <w:spacing w:after="0"/>
              <w:rPr>
                <w:sz w:val="20"/>
                <w:szCs w:val="20"/>
                <w:color w:val="auto"/>
              </w:rPr>
            </w:pPr>
            <w:r>
              <w:rPr>
                <w:rFonts w:ascii="Arial" w:cs="Arial" w:eastAsia="Arial" w:hAnsi="Arial"/>
                <w:sz w:val="18"/>
                <w:szCs w:val="18"/>
                <w:color w:val="auto"/>
              </w:rPr>
              <w:t>Saudi Arabia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Metering Systems Singapore Pte. Ltd.</w:t>
            </w:r>
          </w:p>
        </w:tc>
        <w:tc>
          <w:tcPr>
            <w:tcW w:w="5300" w:type="dxa"/>
            <w:vAlign w:val="bottom"/>
          </w:tcPr>
          <w:p>
            <w:pPr>
              <w:ind w:left="700"/>
              <w:spacing w:after="0"/>
              <w:rPr>
                <w:sz w:val="20"/>
                <w:szCs w:val="20"/>
                <w:color w:val="auto"/>
              </w:rPr>
            </w:pPr>
            <w:r>
              <w:rPr>
                <w:rFonts w:ascii="Arial" w:cs="Arial" w:eastAsia="Arial" w:hAnsi="Arial"/>
                <w:sz w:val="18"/>
                <w:szCs w:val="18"/>
                <w:color w:val="auto"/>
              </w:rPr>
              <w:t>Singapore</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Soluciones De Medida España SL</w:t>
            </w:r>
          </w:p>
        </w:tc>
        <w:tc>
          <w:tcPr>
            <w:tcW w:w="5300" w:type="dxa"/>
            <w:vAlign w:val="bottom"/>
          </w:tcPr>
          <w:p>
            <w:pPr>
              <w:ind w:left="700"/>
              <w:spacing w:after="0"/>
              <w:rPr>
                <w:sz w:val="20"/>
                <w:szCs w:val="20"/>
                <w:color w:val="auto"/>
              </w:rPr>
            </w:pPr>
            <w:r>
              <w:rPr>
                <w:rFonts w:ascii="Arial" w:cs="Arial" w:eastAsia="Arial" w:hAnsi="Arial"/>
                <w:sz w:val="18"/>
                <w:szCs w:val="18"/>
                <w:color w:val="auto"/>
              </w:rPr>
              <w:t>Spain</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Holdings Spain SLU</w:t>
            </w:r>
          </w:p>
        </w:tc>
        <w:tc>
          <w:tcPr>
            <w:tcW w:w="5300" w:type="dxa"/>
            <w:vAlign w:val="bottom"/>
          </w:tcPr>
          <w:p>
            <w:pPr>
              <w:ind w:left="700"/>
              <w:spacing w:after="0"/>
              <w:rPr>
                <w:sz w:val="20"/>
                <w:szCs w:val="20"/>
                <w:color w:val="auto"/>
              </w:rPr>
            </w:pPr>
            <w:r>
              <w:rPr>
                <w:rFonts w:ascii="Arial" w:cs="Arial" w:eastAsia="Arial" w:hAnsi="Arial"/>
                <w:sz w:val="18"/>
                <w:szCs w:val="18"/>
                <w:color w:val="auto"/>
              </w:rPr>
              <w:t>Spain</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Sweden AB</w:t>
            </w:r>
          </w:p>
        </w:tc>
        <w:tc>
          <w:tcPr>
            <w:tcW w:w="5300" w:type="dxa"/>
            <w:vAlign w:val="bottom"/>
          </w:tcPr>
          <w:p>
            <w:pPr>
              <w:ind w:left="700"/>
              <w:spacing w:after="0"/>
              <w:rPr>
                <w:sz w:val="20"/>
                <w:szCs w:val="20"/>
                <w:color w:val="auto"/>
              </w:rPr>
            </w:pPr>
            <w:r>
              <w:rPr>
                <w:rFonts w:ascii="Arial" w:cs="Arial" w:eastAsia="Arial" w:hAnsi="Arial"/>
                <w:sz w:val="18"/>
                <w:szCs w:val="18"/>
                <w:color w:val="auto"/>
              </w:rPr>
              <w:t>Sweden</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Switzerland S.A.</w:t>
            </w:r>
          </w:p>
        </w:tc>
        <w:tc>
          <w:tcPr>
            <w:tcW w:w="5300" w:type="dxa"/>
            <w:vAlign w:val="bottom"/>
          </w:tcPr>
          <w:p>
            <w:pPr>
              <w:ind w:left="700"/>
              <w:spacing w:after="0"/>
              <w:rPr>
                <w:sz w:val="20"/>
                <w:szCs w:val="20"/>
                <w:color w:val="auto"/>
              </w:rPr>
            </w:pPr>
            <w:r>
              <w:rPr>
                <w:rFonts w:ascii="Arial" w:cs="Arial" w:eastAsia="Arial" w:hAnsi="Arial"/>
                <w:sz w:val="18"/>
                <w:szCs w:val="18"/>
                <w:color w:val="auto"/>
              </w:rPr>
              <w:t>Switzerland</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Maghreb Compteurs S.A. (J.V. minority)</w:t>
            </w:r>
          </w:p>
        </w:tc>
        <w:tc>
          <w:tcPr>
            <w:tcW w:w="5300" w:type="dxa"/>
            <w:vAlign w:val="bottom"/>
          </w:tcPr>
          <w:p>
            <w:pPr>
              <w:ind w:left="700"/>
              <w:spacing w:after="0"/>
              <w:rPr>
                <w:sz w:val="20"/>
                <w:szCs w:val="20"/>
                <w:color w:val="auto"/>
              </w:rPr>
            </w:pPr>
            <w:r>
              <w:rPr>
                <w:rFonts w:ascii="Arial" w:cs="Arial" w:eastAsia="Arial" w:hAnsi="Arial"/>
                <w:sz w:val="18"/>
                <w:szCs w:val="18"/>
                <w:color w:val="auto"/>
              </w:rPr>
              <w:t>Tunisia</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Ukraine</w:t>
            </w:r>
          </w:p>
        </w:tc>
        <w:tc>
          <w:tcPr>
            <w:tcW w:w="5300" w:type="dxa"/>
            <w:vAlign w:val="bottom"/>
          </w:tcPr>
          <w:p>
            <w:pPr>
              <w:ind w:left="700"/>
              <w:spacing w:after="0"/>
              <w:rPr>
                <w:sz w:val="20"/>
                <w:szCs w:val="20"/>
                <w:color w:val="auto"/>
              </w:rPr>
            </w:pPr>
            <w:r>
              <w:rPr>
                <w:rFonts w:ascii="Arial" w:cs="Arial" w:eastAsia="Arial" w:hAnsi="Arial"/>
                <w:sz w:val="18"/>
                <w:szCs w:val="18"/>
                <w:color w:val="auto"/>
              </w:rPr>
              <w:t>Ukraine</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Ukrgas Meters Company (J.V. majority)</w:t>
            </w:r>
          </w:p>
        </w:tc>
        <w:tc>
          <w:tcPr>
            <w:tcW w:w="5300" w:type="dxa"/>
            <w:vAlign w:val="bottom"/>
          </w:tcPr>
          <w:p>
            <w:pPr>
              <w:ind w:left="700"/>
              <w:spacing w:after="0"/>
              <w:rPr>
                <w:sz w:val="20"/>
                <w:szCs w:val="20"/>
                <w:color w:val="auto"/>
              </w:rPr>
            </w:pPr>
            <w:r>
              <w:rPr>
                <w:rFonts w:ascii="Arial" w:cs="Arial" w:eastAsia="Arial" w:hAnsi="Arial"/>
                <w:sz w:val="18"/>
                <w:szCs w:val="18"/>
                <w:color w:val="auto"/>
              </w:rPr>
              <w:t>Ukraine</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 Development UK II Ltd.</w:t>
            </w:r>
          </w:p>
        </w:tc>
        <w:tc>
          <w:tcPr>
            <w:tcW w:w="5300" w:type="dxa"/>
            <w:vAlign w:val="bottom"/>
          </w:tcPr>
          <w:p>
            <w:pPr>
              <w:ind w:left="700"/>
              <w:spacing w:after="0"/>
              <w:rPr>
                <w:sz w:val="20"/>
                <w:szCs w:val="20"/>
                <w:color w:val="auto"/>
              </w:rPr>
            </w:pPr>
            <w:r>
              <w:rPr>
                <w:rFonts w:ascii="Arial" w:cs="Arial" w:eastAsia="Arial" w:hAnsi="Arial"/>
                <w:sz w:val="18"/>
                <w:szCs w:val="18"/>
                <w:color w:val="auto"/>
              </w:rPr>
              <w:t>United Kingdom</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Actaris Development UK Ltd.</w:t>
            </w:r>
          </w:p>
        </w:tc>
        <w:tc>
          <w:tcPr>
            <w:tcW w:w="5300" w:type="dxa"/>
            <w:vAlign w:val="bottom"/>
          </w:tcPr>
          <w:p>
            <w:pPr>
              <w:ind w:left="700"/>
              <w:spacing w:after="0"/>
              <w:rPr>
                <w:sz w:val="20"/>
                <w:szCs w:val="20"/>
                <w:color w:val="auto"/>
              </w:rPr>
            </w:pPr>
            <w:r>
              <w:rPr>
                <w:rFonts w:ascii="Arial" w:cs="Arial" w:eastAsia="Arial" w:hAnsi="Arial"/>
                <w:sz w:val="18"/>
                <w:szCs w:val="18"/>
                <w:color w:val="auto"/>
              </w:rPr>
              <w:t>United Kingdom</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Itron Metering Solutions UK Ltd.</w:t>
            </w:r>
          </w:p>
        </w:tc>
        <w:tc>
          <w:tcPr>
            <w:tcW w:w="5300" w:type="dxa"/>
            <w:vAlign w:val="bottom"/>
          </w:tcPr>
          <w:p>
            <w:pPr>
              <w:ind w:left="700"/>
              <w:spacing w:after="0"/>
              <w:rPr>
                <w:sz w:val="20"/>
                <w:szCs w:val="20"/>
                <w:color w:val="auto"/>
              </w:rPr>
            </w:pPr>
            <w:r>
              <w:rPr>
                <w:rFonts w:ascii="Arial" w:cs="Arial" w:eastAsia="Arial" w:hAnsi="Arial"/>
                <w:sz w:val="18"/>
                <w:szCs w:val="18"/>
                <w:color w:val="auto"/>
              </w:rPr>
              <w:t>United Kingdom</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Itron Development UK Ltd.</w:t>
            </w:r>
          </w:p>
        </w:tc>
        <w:tc>
          <w:tcPr>
            <w:tcW w:w="5300" w:type="dxa"/>
            <w:vAlign w:val="bottom"/>
          </w:tcPr>
          <w:p>
            <w:pPr>
              <w:ind w:left="7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513"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333-28933) pertaining to the Itron, Inc. 1989 Restated Stock Option Plan,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333-40356) pertaining to the Itron, Inc. 2000 Stock Incentive Commission Plan,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333-89966) pertaining to the Itron, Inc. 2002 Employee Stock Purchase Plan,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52"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333-125461) pertaining to the Itron, Inc. Amended and Restated 2000 Stock Incentive Plan, and the Itron, Inc. Amended and Restated 2002 Employee Stock Purchase Plan,</w:t>
      </w:r>
    </w:p>
    <w:p>
      <w:pPr>
        <w:spacing w:after="0" w:line="197"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S-4/A No. 333-118782) of Itron, Inc., and</w:t>
      </w:r>
    </w:p>
    <w:p>
      <w:pPr>
        <w:spacing w:after="0" w:line="252" w:lineRule="exact"/>
        <w:rPr>
          <w:rFonts w:ascii="Arial" w:cs="Arial" w:eastAsia="Arial" w:hAnsi="Arial"/>
          <w:sz w:val="18"/>
          <w:szCs w:val="18"/>
          <w:color w:val="auto"/>
        </w:rPr>
      </w:pPr>
    </w:p>
    <w:p>
      <w:pPr>
        <w:ind w:left="660" w:hanging="39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S-3ASR No. 333-158417) of Itron, Inc. and in the related Prospectus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reports dated February 24, 2010, with respect to the consolidated financial statements and schedule of Itron, Inc. and the effectiveness of internal control over financial reporting of Itron, Inc. included in the Annual Report (Form 10-K) for the year ended December 31,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ADOPTED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252"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jc w:val="both"/>
        <w:ind w:left="1960" w:right="20" w:hanging="655"/>
        <w:spacing w:after="0" w:line="342"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655"/>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6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 February 24, 2010</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Steven M. Helmbrecht, certify that:</w:t>
      </w:r>
    </w:p>
    <w:p>
      <w:pPr>
        <w:spacing w:after="0" w:line="25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jc w:val="both"/>
        <w:ind w:left="1960" w:right="20" w:hanging="655"/>
        <w:spacing w:after="0" w:line="342" w:lineRule="auto"/>
        <w:tabs>
          <w:tab w:leader="none" w:pos="1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0" w:hanging="655"/>
        <w:spacing w:after="0" w:line="27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60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32"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2010</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2009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170"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MALCOLM UNSWORTH</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24, 2010</w:t>
      </w:r>
    </w:p>
    <w:p>
      <w:pPr>
        <w:spacing w:after="0" w:line="200" w:lineRule="exact"/>
        <w:rPr>
          <w:sz w:val="20"/>
          <w:szCs w:val="20"/>
          <w:color w:val="auto"/>
        </w:rPr>
      </w:pPr>
    </w:p>
    <w:p>
      <w:pPr>
        <w:spacing w:after="0" w:line="2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STEVEN M. HELMBRECHT</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24,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o"/>
      <w:numFmt w:val="bullet"/>
      <w:start w:val="1"/>
    </w:lvl>
  </w:abstractNum>
  <w:abstractNum w:abstractNumId="10">
    <w:nsid w:val="721DA317"/>
    <w:multiLevelType w:val="hybridMultilevel"/>
    <w:lvl w:ilvl="0">
      <w:lvlJc w:val="left"/>
      <w:lvlText w:val="o"/>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3"/>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Letter"/>
      <w:start w:val="1"/>
    </w:lvl>
    <w:lvl w:ilvl="1">
      <w:lvlJc w:val="left"/>
      <w:lvlText w:val="(%2)"/>
      <w:numFmt w:val="lowerRoman"/>
      <w:start w:val="1"/>
    </w:lvl>
  </w:abstractNum>
  <w:abstractNum w:abstractNumId="21">
    <w:nsid w:val="71F32454"/>
    <w:multiLevelType w:val="hybridMultilevel"/>
    <w:lvl w:ilvl="0">
      <w:lvlJc w:val="left"/>
      <w:lvlText w:val="(%1)"/>
      <w:numFmt w:val="lowerLetter"/>
      <w:start w:val="5"/>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2019-12-10T05:48:30Z</dcterms:created>
  <dcterms:modified xsi:type="dcterms:W3CDTF">2019-12-10T05:48:30Z</dcterms:modified>
</cp:coreProperties>
</file>