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911860</wp:posOffset>
            </wp:positionV>
            <wp:extent cx="6926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51435</wp:posOffset>
            </wp:positionV>
            <wp:extent cx="1028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102" w:lineRule="exact"/>
        <w:rPr>
          <w:sz w:val="24"/>
          <w:szCs w:val="24"/>
          <w:color w:val="auto"/>
        </w:rPr>
      </w:pPr>
    </w:p>
    <w:p>
      <w:pPr>
        <w:jc w:val="center"/>
        <w:ind w:left="66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63" w:lineRule="exact"/>
        <w:rPr>
          <w:sz w:val="24"/>
          <w:szCs w:val="24"/>
          <w:color w:val="auto"/>
        </w:rPr>
      </w:pPr>
    </w:p>
    <w:p>
      <w:pPr>
        <w:sectPr>
          <w:pgSz w:w="11900" w:h="16838" w:orient="portrait"/>
          <w:cols w:equalWidth="0" w:num="2">
            <w:col w:w="2980" w:space="580"/>
            <w:col w:w="768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000-22418</w:t>
      </w:r>
    </w:p>
    <w:p>
      <w:pPr>
        <w:sectPr>
          <w:pgSz w:w="11900" w:h="16838" w:orient="portrait"/>
          <w:cols w:equalWidth="0" w:num="1">
            <w:col w:w="11240"/>
          </w:cols>
          <w:pgMar w:left="320" w:top="1440" w:right="339" w:bottom="1440" w:gutter="0" w:footer="0" w:header="0"/>
          <w:type w:val="continuous"/>
        </w:sectPr>
      </w:pP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ITRON, INC.</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240"/>
          </w:cols>
          <w:pgMar w:left="320" w:top="1440" w:right="339" w:bottom="1440" w:gutter="0" w:footer="0" w:header="0"/>
          <w:type w:val="continuous"/>
        </w:sectPr>
      </w:pPr>
    </w:p>
    <w:p>
      <w:pPr>
        <w:spacing w:after="0" w:line="26"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91-1011792</w:t>
      </w:r>
    </w:p>
    <w:p>
      <w:pPr>
        <w:spacing w:after="0" w:line="3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1440"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2111 N Molter Road, Liberty Lake, Washington 99019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11"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7960" w:type="dxa"/>
            <w:vAlign w:val="bottom"/>
            <w:gridSpan w:val="5"/>
          </w:tcPr>
          <w:p>
            <w:pPr>
              <w:jc w:val="center"/>
              <w:ind w:right="3090"/>
              <w:spacing w:after="0"/>
              <w:rPr>
                <w:sz w:val="20"/>
                <w:szCs w:val="20"/>
                <w:color w:val="auto"/>
              </w:rPr>
            </w:pPr>
            <w:r>
              <w:rPr>
                <w:rFonts w:ascii="Times New Roman" w:cs="Times New Roman" w:eastAsia="Times New Roman" w:hAnsi="Times New Roman"/>
                <w:sz w:val="14"/>
                <w:szCs w:val="14"/>
                <w:b w:val="1"/>
                <w:bCs w:val="1"/>
                <w:color w:val="auto"/>
              </w:rPr>
              <w:t>(Address and telephone number of registrant's principal executive offices)</w:t>
            </w:r>
          </w:p>
        </w:tc>
      </w:tr>
      <w:tr>
        <w:trPr>
          <w:trHeight w:val="469"/>
        </w:trPr>
        <w:tc>
          <w:tcPr>
            <w:tcW w:w="3140" w:type="dxa"/>
            <w:vAlign w:val="bottom"/>
          </w:tcPr>
          <w:p>
            <w:pPr>
              <w:spacing w:after="0"/>
              <w:rPr>
                <w:sz w:val="24"/>
                <w:szCs w:val="24"/>
                <w:color w:val="auto"/>
              </w:rPr>
            </w:pPr>
          </w:p>
        </w:tc>
        <w:tc>
          <w:tcPr>
            <w:tcW w:w="7960" w:type="dxa"/>
            <w:vAlign w:val="bottom"/>
            <w:gridSpan w:val="5"/>
          </w:tcPr>
          <w:p>
            <w:pPr>
              <w:jc w:val="center"/>
              <w:ind w:right="30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56"/>
        </w:trPr>
        <w:tc>
          <w:tcPr>
            <w:tcW w:w="314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40" w:type="dxa"/>
            <w:vAlign w:val="bottom"/>
            <w:tcBorders>
              <w:top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ITRI</w:t>
            </w:r>
          </w:p>
        </w:tc>
        <w:tc>
          <w:tcPr>
            <w:tcW w:w="10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1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17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Rule</w:t>
            </w:r>
          </w:p>
        </w:tc>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12b-2</w:t>
            </w: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w:t>
            </w:r>
          </w:p>
        </w:tc>
        <w:tc>
          <w:tcPr>
            <w:tcW w:w="1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w:t>
            </w:r>
          </w:p>
        </w:tc>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Act.</w:t>
            </w:r>
          </w:p>
        </w:tc>
      </w:tr>
      <w:tr>
        <w:trPr>
          <w:trHeight w:val="312"/>
        </w:trPr>
        <w:tc>
          <w:tcPr>
            <w:tcW w:w="24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Large accelerated filer</w:t>
            </w: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Accelerated filer</w:t>
            </w:r>
          </w:p>
        </w:tc>
        <w:tc>
          <w:tcPr>
            <w:tcW w:w="1260" w:type="dxa"/>
            <w:vAlign w:val="bottom"/>
          </w:tcPr>
          <w:p>
            <w:pPr>
              <w:spacing w:after="0"/>
              <w:rPr>
                <w:sz w:val="24"/>
                <w:szCs w:val="24"/>
                <w:color w:val="auto"/>
              </w:rPr>
            </w:pP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Non-accelerated filer</w:t>
            </w:r>
          </w:p>
        </w:tc>
        <w:tc>
          <w:tcPr>
            <w:tcW w:w="480" w:type="dxa"/>
            <w:vAlign w:val="bottom"/>
          </w:tcPr>
          <w:p>
            <w:pPr>
              <w:spacing w:after="0"/>
              <w:rPr>
                <w:sz w:val="24"/>
                <w:szCs w:val="24"/>
                <w:color w:val="auto"/>
              </w:rPr>
            </w:pP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1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3"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October 31, 2022, there were outstanding 45,177,993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6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Itron, Inc.</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0" w:type="dxa"/>
            <w:vAlign w:val="bottom"/>
            <w:vMerge w:val="restart"/>
          </w:tcPr>
          <w:p>
            <w:pPr>
              <w:spacing w:after="0"/>
              <w:rPr>
                <w:sz w:val="24"/>
                <w:szCs w:val="24"/>
                <w:color w:val="auto"/>
              </w:rPr>
            </w:pPr>
          </w:p>
        </w:tc>
        <w:tc>
          <w:tcPr>
            <w:tcW w:w="102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9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60" w:type="dxa"/>
            <w:vAlign w:val="bottom"/>
            <w:vMerge w:val="continue"/>
          </w:tcPr>
          <w:p>
            <w:pPr>
              <w:spacing w:after="0"/>
              <w:rPr>
                <w:sz w:val="14"/>
                <w:szCs w:val="14"/>
                <w:color w:val="auto"/>
              </w:rPr>
            </w:pPr>
          </w:p>
        </w:tc>
        <w:tc>
          <w:tcPr>
            <w:tcW w:w="10200" w:type="dxa"/>
            <w:vAlign w:val="bottom"/>
            <w:gridSpan w:val="17"/>
            <w:vMerge w:val="continue"/>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tcPr>
          <w:p>
            <w:pPr>
              <w:ind w:left="38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Financial Statements (Unaudited)</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400" w:type="dxa"/>
            <w:vAlign w:val="bottom"/>
            <w:gridSpan w:val="5"/>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4920" w:type="dxa"/>
            <w:vAlign w:val="bottom"/>
            <w:gridSpan w:val="2"/>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tcPr>
          <w:p>
            <w:pPr>
              <w:ind w:left="38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vMerge w:val="restart"/>
          </w:tcPr>
          <w:p>
            <w:pPr>
              <w:spacing w:after="0"/>
              <w:rPr>
                <w:sz w:val="12"/>
                <w:szCs w:val="12"/>
                <w:color w:val="auto"/>
              </w:rPr>
            </w:pPr>
          </w:p>
        </w:tc>
        <w:tc>
          <w:tcPr>
            <w:tcW w:w="102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3"/>
        </w:trPr>
        <w:tc>
          <w:tcPr>
            <w:tcW w:w="60" w:type="dxa"/>
            <w:vAlign w:val="bottom"/>
            <w:vMerge w:val="continue"/>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60" w:type="dxa"/>
            <w:vAlign w:val="bottom"/>
          </w:tcPr>
          <w:p>
            <w:pPr>
              <w:spacing w:after="0"/>
              <w:rPr>
                <w:sz w:val="24"/>
                <w:szCs w:val="24"/>
                <w:color w:val="auto"/>
              </w:rPr>
            </w:pPr>
          </w:p>
        </w:tc>
        <w:tc>
          <w:tcPr>
            <w:tcW w:w="2780" w:type="dxa"/>
            <w:vAlign w:val="bottom"/>
            <w:tcBorders>
              <w:top w:val="single" w:sz="8" w:color="0000FF"/>
            </w:tcBorders>
            <w:gridSpan w:val="8"/>
          </w:tcPr>
          <w:p>
            <w:pPr>
              <w:ind w:left="38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Legal Proceedings</w:t>
            </w:r>
          </w:p>
        </w:tc>
        <w:tc>
          <w:tcPr>
            <w:tcW w:w="7420" w:type="dxa"/>
            <w:vAlign w:val="bottom"/>
            <w:gridSpan w:val="9"/>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FF"/>
              </w:rPr>
              <w:t>Risk Factors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Unregistered Sales of Equity Securities and Use of Proceeds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FF"/>
              </w:rPr>
              <w:t>Other Information</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FF"/>
              </w:rPr>
              <w:t>Exhibits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260" w:type="dxa"/>
            <w:vAlign w:val="bottom"/>
            <w:gridSpan w:val="18"/>
            <w:vMerge w:val="restart"/>
          </w:tcPr>
          <w:p>
            <w:pPr>
              <w:ind w:left="60"/>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6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10260" w:type="dxa"/>
            <w:vAlign w:val="bottom"/>
            <w:gridSpan w:val="18"/>
            <w:vMerge w:val="continue"/>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2"/>
        </w:trPr>
        <w:tc>
          <w:tcPr>
            <w:tcW w:w="60" w:type="dxa"/>
            <w:vAlign w:val="bottom"/>
            <w:tcBorders>
              <w:bottom w:val="single" w:sz="8" w:color="9A9A9A"/>
            </w:tcBorders>
          </w:tcPr>
          <w:p>
            <w:pPr>
              <w:spacing w:after="0"/>
              <w:rPr>
                <w:sz w:val="24"/>
                <w:szCs w:val="24"/>
                <w:color w:val="auto"/>
              </w:rPr>
            </w:pPr>
          </w:p>
        </w:tc>
        <w:tc>
          <w:tcPr>
            <w:tcW w:w="9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80" w:type="dxa"/>
            <w:vAlign w:val="bottom"/>
          </w:tcPr>
          <w:p>
            <w:pPr>
              <w:spacing w:after="0"/>
              <w:rPr>
                <w:sz w:val="18"/>
                <w:szCs w:val="18"/>
                <w:color w:val="auto"/>
              </w:rPr>
            </w:pPr>
          </w:p>
        </w:tc>
        <w:tc>
          <w:tcPr>
            <w:tcW w:w="32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100" w:type="dxa"/>
            <w:vAlign w:val="bottom"/>
            <w:gridSpan w:val="4"/>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2"/>
        </w:trPr>
        <w:tc>
          <w:tcPr>
            <w:tcW w:w="4360" w:type="dxa"/>
            <w:vAlign w:val="bottom"/>
            <w:tcBorders>
              <w:bottom w:val="single" w:sz="8" w:color="auto"/>
            </w:tcBorders>
            <w:vMerge w:val="continue"/>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1,265,470</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Service revenues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73,069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220,574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230,465</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1,328,073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1,495,935</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cost of revenues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908,923</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Service cost of revenues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128,043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135,130</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351,986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946,682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1,044,053</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381,391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451,882</w:t>
            </w:r>
          </w:p>
        </w:tc>
        <w:tc>
          <w:tcPr>
            <w:tcW w:w="0" w:type="dxa"/>
            <w:vAlign w:val="bottom"/>
          </w:tcPr>
          <w:p>
            <w:pPr>
              <w:spacing w:after="0"/>
              <w:rPr>
                <w:sz w:val="1"/>
                <w:szCs w:val="1"/>
                <w:color w:val="auto"/>
              </w:rPr>
            </w:pPr>
          </w:p>
        </w:tc>
      </w:tr>
      <w:tr>
        <w:trPr>
          <w:trHeight w:val="256"/>
        </w:trPr>
        <w:tc>
          <w:tcPr>
            <w:tcW w:w="4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221,974</w:t>
            </w:r>
          </w:p>
        </w:tc>
        <w:tc>
          <w:tcPr>
            <w:tcW w:w="0" w:type="dxa"/>
            <w:vAlign w:val="bottom"/>
          </w:tcPr>
          <w:p>
            <w:pPr>
              <w:spacing w:after="0"/>
              <w:rPr>
                <w:sz w:val="1"/>
                <w:szCs w:val="1"/>
                <w:color w:val="auto"/>
              </w:rPr>
            </w:pPr>
          </w:p>
        </w:tc>
      </w:tr>
      <w:tr>
        <w:trPr>
          <w:trHeight w:val="229"/>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147,379</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26,914</w:t>
            </w:r>
          </w:p>
        </w:tc>
        <w:tc>
          <w:tcPr>
            <w:tcW w:w="0" w:type="dxa"/>
            <w:vAlign w:val="bottom"/>
          </w:tcPr>
          <w:p>
            <w:pPr>
              <w:spacing w:after="0"/>
              <w:rPr>
                <w:sz w:val="1"/>
                <w:szCs w:val="1"/>
                <w:color w:val="auto"/>
              </w:rPr>
            </w:pPr>
          </w:p>
        </w:tc>
      </w:tr>
      <w:tr>
        <w:trPr>
          <w:trHeight w:val="229"/>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sale of business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28,274</w:t>
            </w:r>
          </w:p>
        </w:tc>
        <w:tc>
          <w:tcPr>
            <w:tcW w:w="0" w:type="dxa"/>
            <w:vAlign w:val="bottom"/>
          </w:tcPr>
          <w:p>
            <w:pPr>
              <w:spacing w:after="0"/>
              <w:rPr>
                <w:sz w:val="1"/>
                <w:szCs w:val="1"/>
                <w:color w:val="auto"/>
              </w:rPr>
            </w:pPr>
          </w:p>
        </w:tc>
      </w:tr>
      <w:tr>
        <w:trPr>
          <w:trHeight w:val="229"/>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401,211</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423,711</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28,171</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30"/>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(27,107)</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(42,465)</w:t>
            </w:r>
          </w:p>
        </w:tc>
        <w:tc>
          <w:tcPr>
            <w:tcW w:w="0" w:type="dxa"/>
            <w:vAlign w:val="bottom"/>
          </w:tcPr>
          <w:p>
            <w:pPr>
              <w:spacing w:after="0"/>
              <w:rPr>
                <w:sz w:val="1"/>
                <w:szCs w:val="1"/>
                <w:color w:val="auto"/>
              </w:rPr>
            </w:pPr>
          </w:p>
        </w:tc>
      </w:tr>
      <w:tr>
        <w:trPr>
          <w:trHeight w:val="236"/>
        </w:trPr>
        <w:tc>
          <w:tcPr>
            <w:tcW w:w="4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(14,294)</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Itron, Inc.</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(22,389)</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 Basic</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43,983</w:t>
            </w:r>
          </w:p>
        </w:tc>
        <w:tc>
          <w:tcPr>
            <w:tcW w:w="0" w:type="dxa"/>
            <w:vAlign w:val="bottom"/>
          </w:tcPr>
          <w:p>
            <w:pPr>
              <w:spacing w:after="0"/>
              <w:rPr>
                <w:sz w:val="1"/>
                <w:szCs w:val="1"/>
                <w:color w:val="auto"/>
              </w:rPr>
            </w:pP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43,983</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8"/>
                <w:szCs w:val="18"/>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auto"/>
            </w:tcBorders>
            <w:vMerge w:val="continue"/>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(17,118)</w:t>
            </w:r>
          </w:p>
        </w:tc>
        <w:tc>
          <w:tcPr>
            <w:tcW w:w="0" w:type="dxa"/>
            <w:vAlign w:val="bottom"/>
          </w:tcPr>
          <w:p>
            <w:pPr>
              <w:spacing w:after="0"/>
              <w:rPr>
                <w:sz w:val="1"/>
                <w:szCs w:val="1"/>
                <w:color w:val="auto"/>
              </w:rPr>
            </w:pPr>
          </w:p>
        </w:tc>
      </w:tr>
      <w:tr>
        <w:trPr>
          <w:trHeight w:val="175"/>
        </w:trPr>
        <w:tc>
          <w:tcPr>
            <w:tcW w:w="43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Foreign currency translation adjustment reclassified to</w:t>
            </w: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for sale or disposal of business</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unrealized gain on derivative instruments, designated</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 cash flow hedges</w:t>
            </w:r>
          </w:p>
        </w:tc>
        <w:tc>
          <w:tcPr>
            <w:tcW w:w="28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benefit obligation adjustment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(13,213)</w:t>
            </w: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 net of tax</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(33,088)</w:t>
            </w: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Comprehensive income attributable to noncontrolling</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interests, net of tax</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Itron,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768"/>
        </w:trPr>
        <w:tc>
          <w:tcPr>
            <w:tcW w:w="1280" w:type="dxa"/>
            <w:vAlign w:val="bottom"/>
            <w:tcBorders>
              <w:top w:val="single" w:sz="8" w:color="0000FF"/>
            </w:tcBorders>
          </w:tcPr>
          <w:p>
            <w:pPr>
              <w:spacing w:after="0"/>
              <w:rPr>
                <w:sz w:val="24"/>
                <w:szCs w:val="24"/>
                <w:color w:val="auto"/>
              </w:rPr>
            </w:pPr>
          </w:p>
        </w:tc>
        <w:tc>
          <w:tcPr>
            <w:tcW w:w="548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rPr>
              <w:t>ITRON, INC.</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780" w:type="dxa"/>
            <w:vAlign w:val="bottom"/>
            <w:gridSpan w:val="4"/>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5480" w:type="dxa"/>
            <w:vAlign w:val="bottom"/>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7"/>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2"/>
                <w:szCs w:val="22"/>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40" w:type="dxa"/>
            <w:vAlign w:val="bottom"/>
          </w:tcPr>
          <w:p>
            <w:pPr>
              <w:spacing w:after="0"/>
              <w:rPr>
                <w:sz w:val="22"/>
                <w:szCs w:val="22"/>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8"/>
        </w:trPr>
        <w:tc>
          <w:tcPr>
            <w:tcW w:w="1280" w:type="dxa"/>
            <w:vAlign w:val="bottom"/>
            <w:tcBorders>
              <w:top w:val="single" w:sz="8" w:color="auto"/>
            </w:tcBorders>
          </w:tcPr>
          <w:p>
            <w:pPr>
              <w:spacing w:after="0"/>
              <w:rPr>
                <w:sz w:val="18"/>
                <w:szCs w:val="18"/>
                <w:color w:val="auto"/>
              </w:rPr>
            </w:pPr>
          </w:p>
        </w:tc>
        <w:tc>
          <w:tcPr>
            <w:tcW w:w="5480" w:type="dxa"/>
            <w:vAlign w:val="bottom"/>
            <w:tcBorders>
              <w:top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r>
      <w:tr>
        <w:trPr>
          <w:trHeight w:val="23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162,579</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298,459</w:t>
            </w: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165,799</w:t>
            </w:r>
          </w:p>
        </w:tc>
      </w:tr>
      <w:tr>
        <w:trPr>
          <w:trHeight w:val="230"/>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122,948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123,092</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749,929</w:t>
            </w:r>
          </w:p>
        </w:tc>
      </w:tr>
      <w:tr>
        <w:trPr>
          <w:trHeight w:val="162"/>
        </w:trPr>
        <w:tc>
          <w:tcPr>
            <w:tcW w:w="676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163,184</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181,472</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42,178</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65,523</w:t>
            </w: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92,529</w:t>
            </w: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1,011,051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1,098,975</w:t>
            </w: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2,316,782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2,393,790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128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40" w:type="dxa"/>
            <w:vAlign w:val="bottom"/>
          </w:tcPr>
          <w:p>
            <w:pPr>
              <w:spacing w:after="0"/>
              <w:rPr>
                <w:sz w:val="9"/>
                <w:szCs w:val="9"/>
                <w:color w:val="auto"/>
              </w:rPr>
            </w:pPr>
          </w:p>
        </w:tc>
      </w:tr>
      <w:tr>
        <w:trPr>
          <w:trHeight w:val="230"/>
        </w:trPr>
        <w:tc>
          <w:tcPr>
            <w:tcW w:w="1280" w:type="dxa"/>
            <w:vAlign w:val="bottom"/>
            <w:shd w:val="clear" w:color="auto" w:fill="CCEEFF"/>
          </w:tcPr>
          <w:p>
            <w:pPr>
              <w:spacing w:after="0"/>
              <w:rPr>
                <w:sz w:val="19"/>
                <w:szCs w:val="19"/>
                <w:color w:val="auto"/>
              </w:rPr>
            </w:pPr>
          </w:p>
        </w:tc>
        <w:tc>
          <w:tcPr>
            <w:tcW w:w="5480" w:type="dxa"/>
            <w:vAlign w:val="bottom"/>
            <w:shd w:val="clear" w:color="auto" w:fill="CCEEFF"/>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9"/>
              </w:rPr>
              <w:t>LIABILITIES AND EQUITY</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193,129</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81,253</w:t>
            </w: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113,532</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Taxes payable</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12,208</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warranty</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18,406</w:t>
            </w:r>
          </w:p>
        </w:tc>
      </w:tr>
      <w:tr>
        <w:trPr>
          <w:trHeight w:val="229"/>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Unearned revenue</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110,531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82,816</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501,344</w:t>
            </w:r>
          </w:p>
        </w:tc>
      </w:tr>
      <w:tr>
        <w:trPr>
          <w:trHeight w:val="162"/>
        </w:trPr>
        <w:tc>
          <w:tcPr>
            <w:tcW w:w="676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450,228</w:t>
            </w: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warranty</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13,616</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87,863</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57,314</w:t>
            </w: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118,049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138,666</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1,199,609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1,251,031</w:t>
            </w:r>
          </w:p>
        </w:tc>
      </w:tr>
      <w:tr>
        <w:trPr>
          <w:trHeight w:val="162"/>
        </w:trPr>
        <w:tc>
          <w:tcPr>
            <w:tcW w:w="676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 issued or outstanding</w:t>
            </w:r>
          </w:p>
        </w:tc>
        <w:tc>
          <w:tcPr>
            <w:tcW w:w="220" w:type="dxa"/>
            <w:vAlign w:val="bottom"/>
          </w:tcPr>
          <w:p>
            <w:pPr>
              <w:spacing w:after="0"/>
              <w:rPr>
                <w:sz w:val="19"/>
                <w:szCs w:val="19"/>
                <w:color w:val="auto"/>
              </w:rPr>
            </w:pP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76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no par value, 75,000 shares authorized, 45,154 and 45,152 shares issued</w:t>
            </w:r>
          </w:p>
        </w:tc>
        <w:tc>
          <w:tcPr>
            <w:tcW w:w="2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43"/>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w:t>
            </w:r>
          </w:p>
        </w:tc>
        <w:tc>
          <w:tcPr>
            <w:tcW w:w="22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1,783,193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1,779,775</w:t>
            </w:r>
          </w:p>
        </w:tc>
      </w:tr>
      <w:tr>
        <w:trPr>
          <w:trHeight w:val="229"/>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(148,098)</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(547,544)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(515,600)</w:t>
            </w:r>
          </w:p>
        </w:tc>
      </w:tr>
      <w:tr>
        <w:trPr>
          <w:trHeight w:val="223"/>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Itron, Inc. shareholders' equity</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1,093,828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1,116,077</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26,682</w:t>
            </w:r>
          </w:p>
        </w:tc>
      </w:tr>
      <w:tr>
        <w:trPr>
          <w:trHeight w:val="223"/>
        </w:trPr>
        <w:tc>
          <w:tcPr>
            <w:tcW w:w="676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1,117,173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1,142,759</w:t>
            </w: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2,316,782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2,393,790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20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Itron, Inc.</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2"/>
                <w:szCs w:val="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98"/>
        </w:trPr>
        <w:tc>
          <w:tcPr>
            <w:tcW w:w="282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45,152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1,779,775</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(148,098)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(515,600)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1,116,077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1,142,759</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52,815</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6,127</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 repurchased program</w:t>
            </w:r>
          </w:p>
        </w:tc>
        <w:tc>
          <w:tcPr>
            <w:tcW w:w="8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(16,629)</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March 31, 2022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1,770,057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(514,694)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1,160,080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1,186,752</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(36,865)</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(20,422)</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6,405</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June 30, 2022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1,777,476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(551,661)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1,110,110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1,133,100</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4,472</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(26,116)</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4,884</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September 30, 2022</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45,154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1,783,193</w:t>
            </w:r>
          </w:p>
        </w:tc>
        <w:tc>
          <w:tcPr>
            <w:tcW w:w="100" w:type="dxa"/>
            <w:vAlign w:val="bottom"/>
          </w:tcPr>
          <w:p>
            <w:pPr>
              <w:spacing w:after="0"/>
              <w:rPr>
                <w:sz w:val="16"/>
                <w:szCs w:val="16"/>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(141,821)</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(547,544)</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1,093,828</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23,345</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1,117,173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20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Itron, Inc.</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96"/>
        </w:trPr>
        <w:tc>
          <w:tcPr>
            <w:tcW w:w="282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1,389,419</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(138,526)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(434,345)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816,548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23,725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840,273</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13,580</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(11,783)</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2,009</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6,270</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issued related to equity offering</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389,419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389,419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389,419</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 of warrants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45,349</w:t>
            </w: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Purchases of convertible note hedge contracts,</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(63,576)</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(63,576)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(63,576)</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Registration fee</w:t>
            </w: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March 31, 2021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1,768,517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(421,742)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1,196,466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24,702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1,221,168</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(32,445)</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5,137</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6,316</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Registration fee</w:t>
            </w: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June 30, 2021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1,775,315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(454,865)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1,175,278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25,380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1,200,658</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(6,567)</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5,665</w:t>
            </w:r>
          </w:p>
        </w:tc>
        <w:tc>
          <w:tcPr>
            <w:tcW w:w="0" w:type="dxa"/>
            <w:vAlign w:val="bottom"/>
          </w:tcPr>
          <w:p>
            <w:pPr>
              <w:spacing w:after="0"/>
              <w:rPr>
                <w:sz w:val="1"/>
                <w:szCs w:val="1"/>
                <w:color w:val="auto"/>
              </w:rPr>
            </w:pPr>
          </w:p>
        </w:tc>
      </w:tr>
      <w:tr>
        <w:trPr>
          <w:trHeight w:val="221"/>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September 30, 2021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45,260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1,782,060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(151,739)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(456,734)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1,173,587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26,239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1,199,826</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(19,875)</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Depreciation and amortization of intangible assets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50,612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64,252</w:t>
            </w:r>
          </w:p>
        </w:tc>
        <w:tc>
          <w:tcPr>
            <w:tcW w:w="0" w:type="dxa"/>
            <w:vAlign w:val="bottom"/>
          </w:tcPr>
          <w:p>
            <w:pPr>
              <w:spacing w:after="0"/>
              <w:rPr>
                <w:sz w:val="1"/>
                <w:szCs w:val="1"/>
                <w:color w:val="auto"/>
              </w:rPr>
            </w:pPr>
          </w:p>
        </w:tc>
      </w:tr>
      <w:tr>
        <w:trPr>
          <w:trHeight w:val="195"/>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12,250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12,962</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18,251</w:t>
            </w:r>
          </w:p>
        </w:tc>
        <w:tc>
          <w:tcPr>
            <w:tcW w:w="0" w:type="dxa"/>
            <w:vAlign w:val="bottom"/>
          </w:tcPr>
          <w:p>
            <w:pPr>
              <w:spacing w:after="0"/>
              <w:rPr>
                <w:sz w:val="1"/>
                <w:szCs w:val="1"/>
                <w:color w:val="auto"/>
              </w:rPr>
            </w:pPr>
          </w:p>
        </w:tc>
      </w:tr>
      <w:tr>
        <w:trPr>
          <w:trHeight w:val="195"/>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Amortization of prepaid debt fees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2,610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17,383</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Deferred taxes, net</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(5,170)</w:t>
            </w:r>
          </w:p>
        </w:tc>
        <w:tc>
          <w:tcPr>
            <w:tcW w:w="0" w:type="dxa"/>
            <w:vAlign w:val="bottom"/>
          </w:tcPr>
          <w:p>
            <w:pPr>
              <w:spacing w:after="0"/>
              <w:rPr>
                <w:sz w:val="1"/>
                <w:szCs w:val="1"/>
                <w:color w:val="auto"/>
              </w:rPr>
            </w:pPr>
          </w:p>
        </w:tc>
      </w:tr>
      <w:tr>
        <w:trPr>
          <w:trHeight w:val="195"/>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Loss on sale of business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3,182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28,274</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Loss on extinguishment of debt, net</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95"/>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Goodwill impairment</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38,480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Restructuring, non-cash</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0" w:type="dxa"/>
            <w:vAlign w:val="bottom"/>
          </w:tcPr>
          <w:p>
            <w:pPr>
              <w:spacing w:after="0"/>
              <w:rPr>
                <w:sz w:val="1"/>
                <w:szCs w:val="1"/>
                <w:color w:val="auto"/>
              </w:rPr>
            </w:pPr>
          </w:p>
        </w:tc>
      </w:tr>
      <w:tr>
        <w:trPr>
          <w:trHeight w:val="195"/>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Other adjustments, net</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2,148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 and sale of business: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12,270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40,624</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current assets</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26,072</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long-term assets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5,058</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 other current liabilities, and taxes payable</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42,550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(27,124)</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Wages and benefits payable</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14,110</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Unearned revenue</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32,151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(13,158)</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Warranty</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(5,969)</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operating, net</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(29,246)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(31,364)</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37,530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141,147</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Investing activities</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proceeds related to the sale of business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55,933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3,142</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Acquisitions of property, plant, and equipment</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(27,781)</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Business acquisitions, net of cash and cash equivalents acquired</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investing, net</w:t>
            </w: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2,424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w:t>
            </w:r>
          </w:p>
        </w:tc>
        <w:tc>
          <w:tcPr>
            <w:tcW w:w="0" w:type="dxa"/>
            <w:vAlign w:val="bottom"/>
          </w:tcPr>
          <w:p>
            <w:pPr>
              <w:spacing w:after="0"/>
              <w:rPr>
                <w:sz w:val="1"/>
                <w:szCs w:val="1"/>
                <w:color w:val="auto"/>
              </w:rPr>
            </w:pPr>
          </w:p>
        </w:tc>
      </w:tr>
      <w:tr>
        <w:trPr>
          <w:trHeight w:val="189"/>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43,494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(21,819)</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Financing activities</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460,000</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 on debt</w:t>
            </w:r>
          </w:p>
        </w:tc>
        <w:tc>
          <w:tcPr>
            <w:tcW w:w="36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(946,094)</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4,351</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common stock offering</w:t>
            </w:r>
          </w:p>
        </w:tc>
        <w:tc>
          <w:tcPr>
            <w:tcW w:w="36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389,419</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sale of warrants</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45,349</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Purchases of convertible note hedge contracts</w:t>
            </w:r>
          </w:p>
        </w:tc>
        <w:tc>
          <w:tcPr>
            <w:tcW w:w="36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(84,139)</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debt fees</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(12,021)</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financing, net</w:t>
            </w: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6,327</w:t>
            </w:r>
          </w:p>
        </w:tc>
        <w:tc>
          <w:tcPr>
            <w:tcW w:w="0" w:type="dxa"/>
            <w:vAlign w:val="bottom"/>
          </w:tcPr>
          <w:p>
            <w:pPr>
              <w:spacing w:after="0"/>
              <w:rPr>
                <w:sz w:val="1"/>
                <w:szCs w:val="1"/>
                <w:color w:val="auto"/>
              </w:rPr>
            </w:pPr>
          </w:p>
        </w:tc>
      </w:tr>
      <w:tr>
        <w:trPr>
          <w:trHeight w:val="189"/>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(19,396)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(136,808)</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(8,794)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52,834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(18,242)</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162,579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206,933</w:t>
            </w:r>
          </w:p>
        </w:tc>
        <w:tc>
          <w:tcPr>
            <w:tcW w:w="0" w:type="dxa"/>
            <w:vAlign w:val="bottom"/>
          </w:tcPr>
          <w:p>
            <w:pPr>
              <w:spacing w:after="0"/>
              <w:rPr>
                <w:sz w:val="1"/>
                <w:szCs w:val="1"/>
                <w:color w:val="auto"/>
              </w:rPr>
            </w:pPr>
          </w:p>
        </w:tc>
      </w:tr>
      <w:tr>
        <w:trPr>
          <w:trHeight w:val="221"/>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215,413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188,691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Supplemental disclosure of cash flow information:</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Income taxes, net</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w:t>
            </w:r>
          </w:p>
        </w:tc>
        <w:tc>
          <w:tcPr>
            <w:tcW w:w="0" w:type="dxa"/>
            <w:vAlign w:val="bottom"/>
          </w:tcPr>
          <w:p>
            <w:pPr>
              <w:spacing w:after="0"/>
              <w:rPr>
                <w:sz w:val="1"/>
                <w:szCs w:val="1"/>
                <w:color w:val="auto"/>
              </w:rPr>
            </w:pPr>
          </w:p>
        </w:tc>
      </w:tr>
      <w:tr>
        <w:trPr>
          <w:trHeight w:val="188"/>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Interest</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8,655</w:t>
            </w: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the terms "we", "us", "our", "Itron", and the "Company" refer to Itron, Inc. and its subsidiaries.</w:t>
      </w:r>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Financial Statement Preparation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presented in this Quarterly Report on Form 10-Q are unaudited and reflect entries necessary for the fair presentation of the Consolidated Statements of Operations and the Consolidated Statements of Comprehensive Income (Loss) for the three and nine months ended September 30, 2022 and 2021, Consolidated Statements of Equity for the three months ended September 30, 2022 and 2021, June 30, 2022 and 2021, and March 31, 2022 and 2021, the Consolidated Statements of Cash Flows for the nine months ended September 30, 2022 and 2021, and the Consolidated Balance Sheets as of September 30, 2022 and December 31, 2021, of Itron, Inc. and its subsidiaries. All entries required for the fair presentation of the financial statements are of a normal recurring nature, except as disclosed. The results of operations for the three and nine months ended September 30, 2022 are not necessarily indicative of the results expected for the full year or for any other period.</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information and notes normally included in financial statements prepared in accordance with U.S. generally accepted accounting principles (GAAP) have been partially or completely omitted pursuant to the rules and regulations of the U.S. Securities and Exchange Commission (SEC) regarding interim results. These consolidated financial statements should be read in conjunction with the consolidated financial statements and the notes thereto for the fiscal year ended December 31, 2021 filed with the SEC in our Annual Report on Form 10-K on February 28, 2022 (2021 Annual Report). There have been no significant changes in financial statement preparation or significant accounting policies since December 31, 2021.</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COVID-19 pandemic has had global economic impacts including disrupting customer demand and global supply chains, resulting in market volatility. The extent of the recent pandemic and its ongoing impact on our operations is volatile, but is being monitored closely by our management. New variants of the virus may cause previously lifted restrictions to be reinstated, which could result in more disruptions. As economies have reopened, global supply chains have struggled to keep pace with rapidly changing demand. The resulting supply constraints have manifested across a variety of areas including mechanical, electrical, and logistics portions of the supply chain, which has impacted our ability to ship products in a timely manner. In particular, our ability to obtain adequate supply of semiconductor components has impacted our ability to service recovering customer demand. While we believe the current imbalance in supply and demand is temporal, the timeline to recovery is uncertain. Efforts are ongoing with suppliers to increase supply, including the approval of alternate sources. Recently, inflation in our raw materials and component costs, freight charges, and labor costs have increased above historical levels, due to, among other things, the continuing impacts of the pandemic and uncertain economic environment. We may or may not be able to fully recover these increased costs through pricing actions with our customers. At this time, we have not identified any significant decrease in long-term customer demand for our products and services. However, certain of our customer projects have experienced delay in deliveries, with revenue originally forecasted in prior periods shifting to future periods.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have limited direct business exposure in Russia, Belarus and Ukraine, the Russian military actions and the resulting sanctions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the military action, sanctions, and resulting market and/or supply disruptions are impossible to predict, but could be substantial</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During the third quarter of 2022, we substantially liquidated our legal entity in Russia, recognizing a loss of $1.9 million for the reclassification of the currency translation adjustment from accumulated other comprehensive income (AOCI). The loss was classified within sales, general and administrative expense within the Consolidated Statements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May 2021, the Financial Accounting Standards Board (FASB) issued Accounting Standards Update (ASU) 2021-04 amending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260), Debt-Modifications and Extinguishments (Subtopic 470-50), Compensation - Stock Compensation (Topic 718), and Derivatives and Hedging - Contracts in Entity's Own Equity (Subtopic 815-40). </w:t>
      </w:r>
      <w:r>
        <w:rPr>
          <w:rFonts w:ascii="Times New Roman" w:cs="Times New Roman" w:eastAsia="Times New Roman" w:hAnsi="Times New Roman"/>
          <w:sz w:val="18"/>
          <w:szCs w:val="18"/>
          <w:color w:val="auto"/>
        </w:rPr>
        <w:t>The amendment affects entities when a freestanding equity-classified written call option is modified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exchanged and remains equity classified after the modification or exchange. We adopted this amendment as of the effective date of January 1, 2022. The adoption of this amendment did not have a material impact on our financial statements.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July 2021, the FASB issued ASU 2021-05, </w:t>
      </w:r>
      <w:r>
        <w:rPr>
          <w:rFonts w:ascii="Times New Roman" w:cs="Times New Roman" w:eastAsia="Times New Roman" w:hAnsi="Times New Roman"/>
          <w:sz w:val="18"/>
          <w:szCs w:val="18"/>
          <w:i w:val="1"/>
          <w:iCs w:val="1"/>
          <w:color w:val="auto"/>
        </w:rPr>
        <w:t>Leases (Topic 842): Lessors-Certain Leases with Variable Lease Payments</w:t>
      </w:r>
      <w:r>
        <w:rPr>
          <w:rFonts w:ascii="Times New Roman" w:cs="Times New Roman" w:eastAsia="Times New Roman" w:hAnsi="Times New Roman"/>
          <w:sz w:val="18"/>
          <w:szCs w:val="18"/>
          <w:color w:val="auto"/>
        </w:rPr>
        <w:t>. The amendments in this Update modify the lease classification requirements for lessors to align them with practice under Topic 840, particularly in the area of day-one loss accounting. Lessors should classify and account for a lease with variable lease payments that do not depend on a reference index or a rate as an operating lease if certain criteria are met. The effective date for this amendment was January 1, 2022. The adoption of this amendment did not have a material impact on our financial statements.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2021, the FASB issued ASU 2021-10 amending </w:t>
      </w:r>
      <w:r>
        <w:rPr>
          <w:rFonts w:ascii="Times New Roman" w:cs="Times New Roman" w:eastAsia="Times New Roman" w:hAnsi="Times New Roman"/>
          <w:sz w:val="18"/>
          <w:szCs w:val="18"/>
          <w:i w:val="1"/>
          <w:iCs w:val="1"/>
          <w:color w:val="auto"/>
        </w:rPr>
        <w:t>Government Assistance: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832)</w:t>
      </w:r>
      <w:r>
        <w:rPr>
          <w:rFonts w:ascii="Times New Roman" w:cs="Times New Roman" w:eastAsia="Times New Roman" w:hAnsi="Times New Roman"/>
          <w:sz w:val="18"/>
          <w:szCs w:val="18"/>
          <w:color w:val="auto"/>
        </w:rPr>
        <w:t>. The FASB issued this Update to increase the transparency of government assistance including the disclosure of (1) the types of assistance, (2) an entity's accounting for the assistance, and (3) the effect of the assistance on an entity's financial statements. The effective date for this amendment was January 1, 2022. The adoption of this amendment did not have a material impact on our financial statements.</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In October 2021, the FASB issued ASU 2021-08 amending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Topic 805),</w:t>
      </w:r>
      <w:r>
        <w:rPr>
          <w:rFonts w:ascii="Times New Roman" w:cs="Times New Roman" w:eastAsia="Times New Roman" w:hAnsi="Times New Roman"/>
          <w:sz w:val="17"/>
          <w:szCs w:val="17"/>
          <w:color w:val="auto"/>
        </w:rPr>
        <w:t xml:space="preserve"> which was necessary due to 2014-09, </w:t>
      </w:r>
      <w:r>
        <w:rPr>
          <w:rFonts w:ascii="Times New Roman" w:cs="Times New Roman" w:eastAsia="Times New Roman" w:hAnsi="Times New Roman"/>
          <w:sz w:val="17"/>
          <w:szCs w:val="17"/>
          <w:i w:val="1"/>
          <w:iCs w:val="1"/>
          <w:color w:val="auto"/>
        </w:rPr>
        <w:t>Revenue from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Contracts with Customers (Topic 606). </w:t>
      </w:r>
      <w:r>
        <w:rPr>
          <w:rFonts w:ascii="Times New Roman" w:cs="Times New Roman" w:eastAsia="Times New Roman" w:hAnsi="Times New Roman"/>
          <w:sz w:val="17"/>
          <w:szCs w:val="17"/>
          <w:color w:val="auto"/>
        </w:rPr>
        <w:t>The FASB issued this Update to improve the accounting for acquired revenue contracts with customers in a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combination by addressing diversity in practice and inconsistency related to (1) recognition of an acquired contract liability and (2) payment terms and their effect on subsequent revenue recognized by the acquirer. The effective date for this amendment is January 1, 2023 and all interim periods thereafter. These amendments are to be applied prospectively to business combinations occurring on or after the effective date of the amendments. We currently plan to apply the practical expedients as needed for any future acquisitions. The practical expedients cover contracts that were modified prior to acquisition date as well as determining which date an acquirer would have to determine the standalone selling price of each performance obligation in an acquired contract.</w:t>
      </w:r>
    </w:p>
    <w:p>
      <w:pPr>
        <w:spacing w:after="0" w:line="19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(EPS):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common shareholders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(22,389)</w:t>
            </w: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43,983</w:t>
            </w:r>
          </w:p>
        </w:tc>
        <w:tc>
          <w:tcPr>
            <w:tcW w:w="0" w:type="dxa"/>
            <w:vAlign w:val="bottom"/>
          </w:tcPr>
          <w:p>
            <w:pPr>
              <w:spacing w:after="0"/>
              <w:rPr>
                <w:sz w:val="1"/>
                <w:szCs w:val="1"/>
                <w:color w:val="auto"/>
              </w:rPr>
            </w:pP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Dilutive effect of stock-based awards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Dilutive effect of convertible notes</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2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45,330</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45,240</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45,075</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43,983</w:t>
            </w:r>
          </w:p>
        </w:tc>
        <w:tc>
          <w:tcPr>
            <w:tcW w:w="0" w:type="dxa"/>
            <w:vAlign w:val="bottom"/>
          </w:tcPr>
          <w:p>
            <w:pPr>
              <w:spacing w:after="0"/>
              <w:rPr>
                <w:sz w:val="1"/>
                <w:szCs w:val="1"/>
                <w:color w:val="auto"/>
              </w:rPr>
            </w:pPr>
          </w:p>
        </w:tc>
      </w:tr>
      <w:tr>
        <w:trPr>
          <w:trHeight w:val="234"/>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8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Awards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0.4 million and 0.7 million stock-based awards were excluded from the calculation of diluted EPS for the three and nine months ended September 30, 2022 because they were anti-dilutive. Approximately 0.4 million and 0.5 million stock-based awards were excluded from the calculation of diluted EPS for the three and nine months ended September 30, 2021 because they were anti-dilutive. These stock-based awards could be dilutive in future periods.</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Convertible Notes and Warrants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our Convertible Notes issued in March 2021,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closing prices of our common stock for the quarter ended September 30, 2022 were used as the basis for determining the dilutive effect on EPS. The quarterly average closing prices for our common stock did not exceed the conversion price of $126.00, and therefore all associated shares were anti-dilutive.</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conjunction with the issuance of the Convertible Notes, we sold warrants to purchase 3.7 million shares of Itron common stock. The warrants have a strike price of $180.00 per share. For calculating the dilutive effect of the warrants, we use the treasury stock method. With this method, we assume exercise of the warrants at the beginning of the period, or at time of issuance if later, and the issuance of common stock upon exercise. Proceeds from the exercise of the warrants are assumed to be used to repurchase shares of our stock at the average market price during the period. The incremental shares, representing the number of shares assumed to be exercised with the warrants less the number of shares repurchased, are included in diluted weighted average common shares outstanding. For periods where the warrants strike price of $180.00 per share is greater than the average share price of Itron stock for the period, the warrants would be anti-dilutive. For the three and nine months ended September 30, 2022, the quarterly average closing prices of our common stock did not exceed the warrant strike price and therefore 3.7 million shares were considered anti-dilutive.</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Convertible Note Hedge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issuance of the Convertible Notes, we entered into privately negotiated call option contracts on our common stock (the Convertible Note Hedge Transactions) with certain commercial banks (the Counterparties).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Exercise of the Convertible Note Hedge Transactions would reduce the number of shares of our common stock outstanding and therefore would be anti-dilutive.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Certain Balance Sheet Components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accounts receivable from contracts with customers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Accounts receivable, net</w:t>
            </w: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9"/>
                <w:szCs w:val="19"/>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60" w:type="dxa"/>
            <w:vAlign w:val="bottom"/>
          </w:tcPr>
          <w:p>
            <w:pPr>
              <w:spacing w:after="0"/>
              <w:rPr>
                <w:sz w:val="19"/>
                <w:szCs w:val="19"/>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 (net of allowance of $4,506 and $5,730)</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231,998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261,124</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34,671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37,335</w:t>
            </w:r>
          </w:p>
        </w:tc>
      </w:tr>
      <w:tr>
        <w:trPr>
          <w:trHeight w:val="237"/>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266,669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298,459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Allowance for credit losses account activity</w:t>
            </w: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3120" w:type="dxa"/>
            <w:vAlign w:val="bottom"/>
            <w:gridSpan w:val="7"/>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5,730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0" w:type="dxa"/>
            <w:vAlign w:val="bottom"/>
          </w:tcPr>
          <w:p>
            <w:pPr>
              <w:spacing w:after="0"/>
              <w:rPr>
                <w:sz w:val="1"/>
                <w:szCs w:val="1"/>
                <w:color w:val="auto"/>
              </w:rPr>
            </w:pP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(release of) doubtful accounts, net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recovered (written-off),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4,506</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4,506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i w:val="1"/>
                <w:iCs w:val="1"/>
                <w:color w:val="auto"/>
              </w:rPr>
              <w:t>Inventories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7"/>
        </w:trPr>
        <w:tc>
          <w:tcPr>
            <w:tcW w:w="4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122,434</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7,856</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35,253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35,509</w:t>
            </w:r>
          </w:p>
        </w:tc>
        <w:tc>
          <w:tcPr>
            <w:tcW w:w="0" w:type="dxa"/>
            <w:vAlign w:val="bottom"/>
          </w:tcPr>
          <w:p>
            <w:pPr>
              <w:spacing w:after="0"/>
              <w:rPr>
                <w:sz w:val="1"/>
                <w:szCs w:val="1"/>
                <w:color w:val="auto"/>
              </w:rPr>
            </w:pPr>
          </w:p>
        </w:tc>
      </w:tr>
      <w:tr>
        <w:trPr>
          <w:trHeight w:val="210"/>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inventories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203,612</w:t>
            </w:r>
          </w:p>
        </w:tc>
        <w:tc>
          <w:tcPr>
            <w:tcW w:w="12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165,799</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i w:val="1"/>
                <w:iCs w:val="1"/>
                <w:color w:val="auto"/>
              </w:rPr>
              <w:t>Property, plant, and equipment, net</w:t>
            </w: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0"/>
        </w:trPr>
        <w:tc>
          <w:tcPr>
            <w:tcW w:w="4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296,488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314,502</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Computers and software</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115,822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111,540</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furniture, and improvements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131,764</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8,952</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 including purchased equipment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39,527</w:t>
            </w:r>
          </w:p>
        </w:tc>
        <w:tc>
          <w:tcPr>
            <w:tcW w:w="0" w:type="dxa"/>
            <w:vAlign w:val="bottom"/>
          </w:tcPr>
          <w:p>
            <w:pPr>
              <w:spacing w:after="0"/>
              <w:rPr>
                <w:sz w:val="1"/>
                <w:szCs w:val="1"/>
                <w:color w:val="auto"/>
              </w:rPr>
            </w:pPr>
          </w:p>
        </w:tc>
      </w:tr>
      <w:tr>
        <w:trPr>
          <w:trHeight w:val="207"/>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cost</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566,654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606,285</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(427,886)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(443,101)</w:t>
            </w:r>
          </w:p>
        </w:tc>
        <w:tc>
          <w:tcPr>
            <w:tcW w:w="0" w:type="dxa"/>
            <w:vAlign w:val="bottom"/>
          </w:tcPr>
          <w:p>
            <w:pPr>
              <w:spacing w:after="0"/>
              <w:rPr>
                <w:sz w:val="1"/>
                <w:szCs w:val="1"/>
                <w:color w:val="auto"/>
              </w:rPr>
            </w:pPr>
          </w:p>
        </w:tc>
      </w:tr>
      <w:tr>
        <w:trPr>
          <w:trHeight w:val="209"/>
        </w:trPr>
        <w:tc>
          <w:tcPr>
            <w:tcW w:w="43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138,768</w:t>
            </w:r>
          </w:p>
        </w:tc>
        <w:tc>
          <w:tcPr>
            <w:tcW w:w="12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163,184</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Borders>
              <w:bottom w:val="single" w:sz="8" w:color="auto"/>
            </w:tcBorders>
            <w:gridSpan w:val="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6"/>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Depreciation expense</w:t>
            </w:r>
          </w:p>
        </w:tc>
        <w:tc>
          <w:tcPr>
            <w:tcW w:w="260" w:type="dxa"/>
            <w:vAlign w:val="bottom"/>
          </w:tcPr>
          <w:p>
            <w:pPr>
              <w:spacing w:after="0"/>
              <w:rPr>
                <w:sz w:val="24"/>
                <w:szCs w:val="24"/>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24"/>
                <w:szCs w:val="24"/>
                <w:color w:val="auto"/>
              </w:rPr>
            </w:pPr>
          </w:p>
        </w:tc>
        <w:tc>
          <w:tcPr>
            <w:tcW w:w="3120" w:type="dxa"/>
            <w:vAlign w:val="bottom"/>
            <w:gridSpan w:val="7"/>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Intangible Assets and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(accretion) of our intangible assets and liabilities, other than goodwill,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(Amortization)</w:t>
            </w:r>
          </w:p>
        </w:tc>
        <w:tc>
          <w:tcPr>
            <w:tcW w:w="28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Net</w:t>
            </w:r>
          </w:p>
        </w:tc>
        <w:tc>
          <w:tcPr>
            <w:tcW w:w="26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300" w:type="dxa"/>
            <w:vAlign w:val="bottom"/>
          </w:tcPr>
          <w:p>
            <w:pPr>
              <w:spacing w:after="0"/>
              <w:rPr>
                <w:sz w:val="14"/>
                <w:szCs w:val="14"/>
                <w:color w:val="auto"/>
              </w:rPr>
            </w:pPr>
          </w:p>
        </w:tc>
        <w:tc>
          <w:tcPr>
            <w:tcW w:w="9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3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Accretion</w:t>
            </w:r>
          </w:p>
        </w:tc>
        <w:tc>
          <w:tcPr>
            <w:tcW w:w="2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Accretion</w:t>
            </w:r>
          </w:p>
        </w:tc>
        <w:tc>
          <w:tcPr>
            <w:tcW w:w="3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Core-developed technology</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(484,225)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505,429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(491,047)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14,382</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336,421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75,378</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w:t>
            </w:r>
          </w:p>
        </w:tc>
        <w:tc>
          <w:tcPr>
            <w:tcW w:w="0" w:type="dxa"/>
            <w:vAlign w:val="bottom"/>
          </w:tcPr>
          <w:p>
            <w:pPr>
              <w:spacing w:after="0"/>
              <w:rPr>
                <w:sz w:val="1"/>
                <w:szCs w:val="1"/>
                <w:color w:val="auto"/>
              </w:rPr>
            </w:pPr>
          </w:p>
        </w:tc>
      </w:tr>
      <w:tr>
        <w:trPr>
          <w:trHeight w:val="213"/>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37"/>
        </w:trPr>
        <w:tc>
          <w:tcPr>
            <w:tcW w:w="3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intangible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881,309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(810,963)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928,422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(835,893)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92,529</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Liabilities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23,785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23,441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intangible assets and liabilities activity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gross beginning balance</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928,422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1,000,037</w:t>
            </w:r>
          </w:p>
        </w:tc>
      </w:tr>
      <w:tr>
        <w:trPr>
          <w:trHeight w:val="213"/>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(47,113)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(21,109)</w:t>
            </w:r>
          </w:p>
        </w:tc>
      </w:tr>
      <w:tr>
        <w:trPr>
          <w:trHeight w:val="234"/>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gross ending balance</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881,309</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978,928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liabilities, gross beginning balance</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5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liabilities, gross ending balance</w:t>
            </w: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Assumed intangible liabilities reflect the present value of the projected cash outflows for an existing contract where remaining costs are expected to exceed projected 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annual amortization (accretion)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0" w:type="dxa"/>
            <w:vAlign w:val="bottom"/>
          </w:tcPr>
          <w:p>
            <w:pPr>
              <w:spacing w:after="0"/>
              <w:rPr>
                <w:sz w:val="16"/>
                <w:szCs w:val="16"/>
                <w:color w:val="auto"/>
              </w:rPr>
            </w:pPr>
          </w:p>
        </w:tc>
        <w:tc>
          <w:tcPr>
            <w:tcW w:w="1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00" w:type="dxa"/>
            <w:vAlign w:val="bottom"/>
          </w:tcPr>
          <w:p>
            <w:pPr>
              <w:spacing w:after="0"/>
              <w:rPr>
                <w:sz w:val="16"/>
                <w:szCs w:val="16"/>
                <w:color w:val="auto"/>
              </w:rPr>
            </w:pPr>
          </w:p>
        </w:tc>
        <w:tc>
          <w:tcPr>
            <w:tcW w:w="1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Accretion</w:t>
            </w:r>
          </w:p>
        </w:tc>
        <w:tc>
          <w:tcPr>
            <w:tcW w:w="1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Estimated Annual</w:t>
            </w:r>
          </w:p>
        </w:tc>
        <w:tc>
          <w:tcPr>
            <w:tcW w:w="0" w:type="dxa"/>
            <w:vAlign w:val="bottom"/>
          </w:tcPr>
          <w:p>
            <w:pPr>
              <w:spacing w:after="0"/>
              <w:rPr>
                <w:sz w:val="1"/>
                <w:szCs w:val="1"/>
                <w:color w:val="auto"/>
              </w:rPr>
            </w:pPr>
          </w:p>
        </w:tc>
      </w:tr>
      <w:tr>
        <w:trPr>
          <w:trHeight w:val="214"/>
        </w:trPr>
        <w:tc>
          <w:tcPr>
            <w:tcW w:w="60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Amortization, net</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 (amount remaining at September 30, 2022)</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w w:val="97"/>
              </w:rPr>
              <w:t>(115)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6,342</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18,616</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14,748</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14,080</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10,160</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6,285</w:t>
            </w:r>
          </w:p>
        </w:tc>
        <w:tc>
          <w:tcPr>
            <w:tcW w:w="0" w:type="dxa"/>
            <w:vAlign w:val="bottom"/>
          </w:tcPr>
          <w:p>
            <w:pPr>
              <w:spacing w:after="0"/>
              <w:rPr>
                <w:sz w:val="1"/>
                <w:szCs w:val="1"/>
                <w:color w:val="auto"/>
              </w:rPr>
            </w:pPr>
          </w:p>
        </w:tc>
      </w:tr>
      <w:tr>
        <w:trPr>
          <w:trHeight w:val="234"/>
        </w:trPr>
        <w:tc>
          <w:tcPr>
            <w:tcW w:w="6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intangible assets subject to amortization (accretion)</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w w:val="97"/>
              </w:rPr>
              <w:t>(115)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70,231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reflects changes in the carrying amount of goodwill for the nine months ended September 30, 2022:</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60" w:type="dxa"/>
            <w:vAlign w:val="bottom"/>
          </w:tcPr>
          <w:p>
            <w:pPr>
              <w:spacing w:after="0"/>
              <w:rPr>
                <w:sz w:val="18"/>
                <w:szCs w:val="18"/>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Networked Solutions</w:t>
            </w:r>
          </w:p>
        </w:tc>
        <w:tc>
          <w:tcPr>
            <w:tcW w:w="340" w:type="dxa"/>
            <w:vAlign w:val="bottom"/>
          </w:tcPr>
          <w:p>
            <w:pPr>
              <w:spacing w:after="0"/>
              <w:rPr>
                <w:sz w:val="18"/>
                <w:szCs w:val="18"/>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260" w:type="dxa"/>
            <w:vAlign w:val="bottom"/>
          </w:tcPr>
          <w:p>
            <w:pPr>
              <w:spacing w:after="0"/>
              <w:rPr>
                <w:sz w:val="18"/>
                <w:szCs w:val="18"/>
                <w:color w:val="auto"/>
              </w:rPr>
            </w:pPr>
          </w:p>
        </w:tc>
        <w:tc>
          <w:tcPr>
            <w:tcW w:w="16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 Company</w:t>
            </w:r>
          </w:p>
        </w:tc>
      </w:tr>
      <w:tr>
        <w:trPr>
          <w:trHeight w:val="213"/>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balance at January 1, 2022</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918,005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141,593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1,098,975</w:t>
            </w:r>
          </w:p>
        </w:tc>
      </w:tr>
      <w:tr>
        <w:trPr>
          <w:trHeight w:val="213"/>
        </w:trPr>
        <w:tc>
          <w:tcPr>
            <w:tcW w:w="3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Adjustment to goodwill acquired</w:t>
            </w:r>
          </w:p>
        </w:tc>
        <w:tc>
          <w:tcPr>
            <w:tcW w:w="24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Goodwill impairment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(38,480)</w:t>
            </w:r>
          </w:p>
        </w:tc>
      </w:tr>
      <w:tr>
        <w:trPr>
          <w:trHeight w:val="213"/>
        </w:trPr>
        <w:tc>
          <w:tcPr>
            <w:tcW w:w="3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(42,105)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(49,421)</w:t>
            </w:r>
          </w:p>
        </w:tc>
      </w:tr>
      <w:tr>
        <w:trPr>
          <w:trHeight w:val="235"/>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balance at September 30, 2022</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875,877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135,174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1,011,051</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On October 12, 2021, we acquired SELC Group Limited (SELC), from Sensus Metering Systems (LUXCO3) S.ár.l. During the nine months ended September 30, 2022, an adjustment was recorded to the goodwill acquired.</w:t>
      </w:r>
    </w:p>
    <w:p>
      <w:pPr>
        <w:spacing w:after="0" w:line="189"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As the result of increases in raw material, component, labor and other costs, coupled with a decrease in forecasted revenue within the Device Solutions operating segment and reporting unit, which we determined during the second quarter of 2022, we performed an interim goodwill impairment test. At the conclusion of the test, a goodwill impairment of $38.5 million was recognized in our Corporate unallocated segment as of June 30, 2022. No interim impairment test was determined to be necessary for the Networked Solutions or Outcomes reporting units. Refer to Note 1: Summary of Significant Accounting Policies in Part II, Item 8: Financial Statements and Supplementary Data of our Annual Report on Form 10-K for the fiscal year ended December 31, 2021 for a description of our reporting units and our method used to determine the fair values of our reporting units and to determine the amount of any goodwill impairment.</w:t>
      </w:r>
    </w:p>
    <w:p>
      <w:pPr>
        <w:spacing w:after="0" w:line="212"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6:</w:t>
        <w:tab/>
        <w:t>Debt</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components of our borrowings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Credit facility</w:t>
            </w: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460,000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2"/>
        </w:trPr>
        <w:tc>
          <w:tcPr>
            <w:tcW w:w="2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debt</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3"/>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Less: unamortized prepaid debt fees - convertible notes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9,772</w:t>
            </w:r>
          </w:p>
        </w:tc>
      </w:tr>
      <w:tr>
        <w:trPr>
          <w:trHeight w:val="235"/>
        </w:trPr>
        <w:tc>
          <w:tcPr>
            <w:tcW w:w="20" w:type="dxa"/>
            <w:vAlign w:val="bottom"/>
          </w:tcPr>
          <w:p>
            <w:pPr>
              <w:spacing w:after="0"/>
              <w:rPr>
                <w:sz w:val="19"/>
                <w:szCs w:val="19"/>
                <w:color w:val="auto"/>
              </w:rPr>
            </w:pPr>
          </w:p>
        </w:tc>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Long-term debt,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451,947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450,228</w:t>
            </w: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9"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Our current credit facility, initially entered on January 5, 2018 (as amended, the 2018 credit facility), provided for committed credit facilities in the amount of $1.2 billion U.S. dollars. This facility originally consisted of a $650 million U.S. dollar term loan (the term loan) and a multicurrency revolving line of credit (the revolver) with a principal amount of up to $500 million. The revolver also contains a $300 million standby letter of credit sub-facility and a $50 million swingline sub-facility. The term loan was fully repaid in August 2021.</w:t>
      </w:r>
    </w:p>
    <w:p>
      <w:pPr>
        <w:spacing w:after="0" w:line="216"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The 2018 credit facility was amended on October 18, 2019, and this amendment extended the maturity date to October 18, 2024. The amendment also modified the required interest payments and with covenants based on total net leverage instead of total leverage. On October 19, 2020, we entered into a second amendment to obtain temporary covenant relief while also adding an additional level of pricing to the pricing grid, which is effective throughout the remaining term of the debt. On March 8, 2021, we entered into a third amendment to the 2018 credit facility, which modified provisions to permit cash settlement upon the conversion of the Convertible Notes, the Convertible Note Hedge Transactions and Warrant Transactions and also to adjust certain settlement provisions for convertible indebtedness. Refer to Note 7: Derivative Financial Instruments for further details of the Convertible Note Hedge Transactions and Warrant Transactions.</w:t>
      </w:r>
    </w:p>
    <w:p>
      <w:pPr>
        <w:spacing w:after="0" w:line="216"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On February 25, 2022, we entered into a fourth amendment to the 2018 credit facility, which modifies to allow for the addback of non-cash expenses related to restructuring charges incurred during the quarter ended December 31, 2021 and also adjusts the maximum total net leverage ratio thresholds for the period beginning with the first quarter of 2022 through the fourth quarter of 2022 to allow for increased operational flexibility. The maximum leverage ratio is increased to 4.75:1 for the first through third quarters of 2022 and 4.50:1 for the fourth quarter of 2022.</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2018 credit facility permits us and certain of our foreign subsidiaries to borrow in U.S. dollars, euros,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September 30, 2022.</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2018 credit facility, we elect applicable market interest rates for both the term loan and any outstanding revolving loans. We also pay an applicable margin, which is based on our total net leverage ratio as defined in the credit agreement. The applicable rates per annum may be based on either:</w:t>
      </w:r>
    </w:p>
    <w:p>
      <w:pPr>
        <w:jc w:val="both"/>
        <w:ind w:right="20" w:firstLine="8"/>
        <w:spacing w:after="0" w:line="255" w:lineRule="auto"/>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2022, there were no outstanding loan balances under the Credit Facility, and $55.9 million was utilized by outstanding standby letters of credit, resulting in $444.1 million available for additional borrowings or standby letters of credit within the revolver. At September 30, 2022, $244.1 million was available for additional standby letters of credit under the letter of credit sub-facility, and no amounts were outstanding under the swingline sub-facility.</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12, 2021, we closed the sale of the Convertible Notes in a private placement to qualified institutional buyers, resulting in net proceeds to us of $448.5 million after deducting initial purchasers’ discounts of the offering. The Convertible Notes do not bear regular interest, and the principal amount does not accrete. The Convertible Notes will mature on March 15, 2026, unless earlier repurchased, redeemed, or converted in accordance with their terms. No sinking fund is provided for the Convertible Notes.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conversion rate of the Convertible Notes is 7.9365 shares of our common stock per $1,000 principal amount of notes, which is equivalent to an initial conversion price of approximately $126.00 per share. The conversion rate of the Convertible Notes is subject to adjustment upon the occurrence of certain specified events. In addition, upon the occurrence of a make-whole fundamental change (as defined in the indenture governing the Convertible Notes) or upon a notice of redemption, we will, in certain circumstances, increase the conversion rate for a holder that elects to convert its Convertible Notes in connection with such make-whole fundamental change or notice of redemption, as the case may be.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December 15, 2025, the Convertible Notes are convertible at the option of the holders only under the following circumstances: (1) during any calendar quarter commencing after the calendar quarter ending on June 30, 2021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Convertible Notes for each trading day of the measurement period was less than 98% of the product of the last reported sale price of the common stock and the conversion rate on each such trading day; (3) upon the occurrence of specified corporate events; or (4) upon redemption by us. On or after December 15, 2025, until the close of business on the second scheduled trading day immediately preceding March 15, 2026, holders of the Convertible Notes may convert all or a portion of their notes at any time. Upon conversion, we will pay cash up to the aggregate principal amount of Convertible Notes to be converted and pay and/or deliver, as the case may be, cash, shares of common stock or a combination of cash and shares of common stock, at our election, in respect of the remainder, if any, of our conversion obligation in excess of the aggregate principal amount of the Convertible Notes being converted.</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or after March 20, 2024 and prior to December 15, 2025, we may redeem for cash all or part of the Convertible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The redemption price of each Convertible Notes to be redeemed will be the principal amount of such note, plus accrued and unpaid special interest, if any. Upon the occurrence of a fundamental change (as defined in the indenture governing the Convertible Notes), subject to a limited exception described in the indenture governing the Convertible Notes, holders may require us to repurchase all or a portion of their notes for cash at a</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price equal to plus accrued and unpaid special interest to, but not including, the fundamental change repurchase date (as defined in the indenture governing the Convertible Notes).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Convertible Notes are senior unsecured obligations and rank equally in right of payment with all of our existing and future unsubordinated debt and senior in right of payment to any future debt that is expressly subordinated in right of payment to the Convertible Notes. The Convertible Notes will be effectively subordinated to any of our existing and future secured debt to the extent of the assets securing such indebtedness. The Convertible Notes will be structurally subordinated to all existing debt and any future debt and any other liabilities of our subsidiaries.</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Debt Maturities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required minimum principal payments on our long-term debt in aggregate over the next five years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1"/>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 (amount remaining at September 30, 2022)</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9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minimum payments on debt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7:</w:t>
        <w:tab/>
        <w:t>Derivative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our risk management strategy, we use derivative instruments to hedge certain foreign currency and interest rate exposures. Refer to Note 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and Note 14: Fair Value of Financial Instruments for additional disclosures on our derivative instruments.</w:t>
      </w:r>
    </w:p>
    <w:p>
      <w:pPr>
        <w:spacing w:after="0" w:line="2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fair values of our derivative instruments are determined using the income approach and significant other observable inputs (and are classified as "Level 2" in the fair value hierarchy).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 The fair values of our derivative instruments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ind w:left="16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780" w:type="dxa"/>
            <w:vAlign w:val="bottom"/>
            <w:tcBorders>
              <w:bottom w:val="single" w:sz="8" w:color="auto"/>
            </w:tcBorders>
          </w:tcPr>
          <w:p>
            <w:pPr>
              <w:spacing w:after="0"/>
              <w:rPr>
                <w:sz w:val="18"/>
                <w:szCs w:val="18"/>
                <w:color w:val="auto"/>
              </w:rPr>
            </w:pPr>
          </w:p>
        </w:tc>
      </w:tr>
      <w:tr>
        <w:trPr>
          <w:trHeight w:val="214"/>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Assets</w:t>
            </w:r>
          </w:p>
        </w:tc>
        <w:tc>
          <w:tcPr>
            <w:tcW w:w="34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2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 under ASC 815-20</w:t>
            </w:r>
          </w:p>
        </w:tc>
        <w:tc>
          <w:tcPr>
            <w:tcW w:w="260" w:type="dxa"/>
            <w:vAlign w:val="bottom"/>
          </w:tcPr>
          <w:p>
            <w:pPr>
              <w:spacing w:after="0"/>
              <w:rPr>
                <w:sz w:val="18"/>
                <w:szCs w:val="18"/>
                <w:color w:val="auto"/>
              </w:rPr>
            </w:pPr>
          </w:p>
        </w:tc>
        <w:tc>
          <w:tcPr>
            <w:tcW w:w="2440" w:type="dxa"/>
            <w:vAlign w:val="bottom"/>
            <w:gridSpan w:val="3"/>
          </w:tcPr>
          <w:p>
            <w:pPr>
              <w:ind w:left="15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80" w:type="dxa"/>
            <w:vAlign w:val="bottom"/>
          </w:tcPr>
          <w:p>
            <w:pPr>
              <w:spacing w:after="0"/>
              <w:rPr>
                <w:sz w:val="18"/>
                <w:szCs w:val="18"/>
                <w:color w:val="auto"/>
              </w:rPr>
            </w:pPr>
          </w:p>
        </w:tc>
      </w:tr>
      <w:tr>
        <w:trPr>
          <w:trHeight w:val="218"/>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3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7"/>
        </w:trPr>
        <w:tc>
          <w:tcPr>
            <w:tcW w:w="332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Total asset derivatives</w:t>
            </w:r>
          </w:p>
        </w:tc>
        <w:tc>
          <w:tcPr>
            <w:tcW w:w="344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6"/>
        </w:trPr>
        <w:tc>
          <w:tcPr>
            <w:tcW w:w="33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4"/>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Liabilities</w:t>
            </w:r>
          </w:p>
        </w:tc>
        <w:tc>
          <w:tcPr>
            <w:tcW w:w="34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r>
      <w:tr>
        <w:trPr>
          <w:trHeight w:val="211"/>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 under ASC 815-20</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3"/>
        </w:trPr>
        <w:tc>
          <w:tcPr>
            <w:tcW w:w="3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344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6"/>
                <w:szCs w:val="16"/>
                <w:color w:val="auto"/>
              </w:rPr>
              <w:t>862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34"/>
        </w:trPr>
        <w:tc>
          <w:tcPr>
            <w:tcW w:w="33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Total liability derivatives</w:t>
            </w:r>
          </w:p>
        </w:tc>
        <w:tc>
          <w:tcPr>
            <w:tcW w:w="34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862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changes in accumulated other comprehensive income (loss) (AOCI), net of tax, for our derivative and nonderivative hedging instruments designated as hedging instruments, net of tax,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gain (loss) on hedging instruments at January 1,</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(16,001)</w:t>
            </w: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gain (loss) on derivative instruments</w:t>
            </w:r>
          </w:p>
        </w:tc>
        <w:tc>
          <w:tcPr>
            <w:tcW w:w="5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w:t>
            </w: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Realized (gains) losses reclassified into net income (loss)</w:t>
            </w:r>
          </w:p>
        </w:tc>
        <w:tc>
          <w:tcPr>
            <w:tcW w:w="5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r>
      <w:tr>
        <w:trPr>
          <w:trHeight w:val="20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gain (loss) on hedging instruments at September 30,</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14,590</w:t>
            </w:r>
          </w:p>
        </w:tc>
        <w:tc>
          <w:tcPr>
            <w:tcW w:w="1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(14,183)</w:t>
            </w:r>
          </w:p>
        </w:tc>
      </w:tr>
      <w:tr>
        <w:trPr>
          <w:trHeight w:val="2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Reclassification of amounts related to hedging instruments are included in interest expense in the Consolidated Statements of Operations. Included in the net unrealized gain (loss) on hedging instruments at September 30, 2022 and 2021 is a loss of $14.4 million, net of tax, related to our nonderivative net investment hedge, which terminated in 2011. This loss on our net investment hedge will remain in AOCI until earnings are impacted by a sale or liquidation of the associated foreign operation.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effect of netting arrangements on our financial position related to the offsetting of our recognized derivative assets and liabilities under master netting arrangements or similar agreements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Offsetting of Derivative Assets</w:t>
            </w:r>
          </w:p>
        </w:tc>
        <w:tc>
          <w:tcPr>
            <w:tcW w:w="520" w:type="dxa"/>
            <w:vAlign w:val="bottom"/>
          </w:tcPr>
          <w:p>
            <w:pPr>
              <w:spacing w:after="0"/>
              <w:rPr>
                <w:sz w:val="16"/>
                <w:szCs w:val="16"/>
                <w:color w:val="auto"/>
              </w:rPr>
            </w:pPr>
          </w:p>
        </w:tc>
        <w:tc>
          <w:tcPr>
            <w:tcW w:w="1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Amounts of</w:t>
            </w:r>
          </w:p>
        </w:tc>
        <w:tc>
          <w:tcPr>
            <w:tcW w:w="100" w:type="dxa"/>
            <w:vAlign w:val="bottom"/>
          </w:tcPr>
          <w:p>
            <w:pPr>
              <w:spacing w:after="0"/>
              <w:rPr>
                <w:sz w:val="16"/>
                <w:szCs w:val="16"/>
                <w:color w:val="auto"/>
              </w:rPr>
            </w:pPr>
          </w:p>
        </w:tc>
        <w:tc>
          <w:tcPr>
            <w:tcW w:w="40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Gross Amounts Not Offset in the Consolidated Balance</w:t>
            </w: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2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Assets</w:t>
            </w:r>
          </w:p>
        </w:tc>
        <w:tc>
          <w:tcPr>
            <w:tcW w:w="100" w:type="dxa"/>
            <w:vAlign w:val="bottom"/>
          </w:tcPr>
          <w:p>
            <w:pPr>
              <w:spacing w:after="0"/>
              <w:rPr>
                <w:sz w:val="10"/>
                <w:szCs w:val="10"/>
                <w:color w:val="auto"/>
              </w:rPr>
            </w:pPr>
          </w:p>
        </w:tc>
        <w:tc>
          <w:tcPr>
            <w:tcW w:w="4020" w:type="dxa"/>
            <w:vAlign w:val="bottom"/>
            <w:gridSpan w:val="5"/>
            <w:vMerge w:val="continue"/>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gridSpan w:val="2"/>
            <w:vMerge w:val="continue"/>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Presented in the</w:t>
            </w:r>
          </w:p>
        </w:tc>
        <w:tc>
          <w:tcPr>
            <w:tcW w:w="100" w:type="dxa"/>
            <w:vAlign w:val="bottom"/>
          </w:tcPr>
          <w:p>
            <w:pPr>
              <w:spacing w:after="0"/>
              <w:rPr>
                <w:sz w:val="14"/>
                <w:szCs w:val="14"/>
                <w:color w:val="auto"/>
              </w:rPr>
            </w:pPr>
          </w:p>
        </w:tc>
        <w:tc>
          <w:tcPr>
            <w:tcW w:w="1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Derivative Financial</w:t>
            </w: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Pr>
          <w:p>
            <w:pPr>
              <w:spacing w:after="0"/>
              <w:rPr>
                <w:sz w:val="14"/>
                <w:szCs w:val="14"/>
                <w:color w:val="auto"/>
              </w:rPr>
            </w:pPr>
          </w:p>
        </w:tc>
        <w:tc>
          <w:tcPr>
            <w:tcW w:w="19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 Balance</w:t>
            </w: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Collateral Received</w:t>
            </w:r>
          </w:p>
        </w:tc>
        <w:tc>
          <w:tcPr>
            <w:tcW w:w="320" w:type="dxa"/>
            <w:vAlign w:val="bottom"/>
          </w:tcPr>
          <w:p>
            <w:pPr>
              <w:spacing w:after="0"/>
              <w:rPr>
                <w:sz w:val="14"/>
                <w:szCs w:val="14"/>
                <w:color w:val="auto"/>
              </w:rPr>
            </w:pPr>
          </w:p>
        </w:tc>
        <w:tc>
          <w:tcPr>
            <w:tcW w:w="16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214"/>
        </w:trPr>
        <w:tc>
          <w:tcPr>
            <w:tcW w:w="26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100" w:type="dxa"/>
            <w:vAlign w:val="bottom"/>
          </w:tcPr>
          <w:p>
            <w:pPr>
              <w:spacing w:after="0"/>
              <w:rPr>
                <w:sz w:val="18"/>
                <w:szCs w:val="18"/>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00" w:type="dxa"/>
            <w:vAlign w:val="bottom"/>
          </w:tcPr>
          <w:p>
            <w:pPr>
              <w:spacing w:after="0"/>
              <w:rPr>
                <w:sz w:val="18"/>
                <w:szCs w:val="18"/>
                <w:color w:val="auto"/>
              </w:rPr>
            </w:pPr>
          </w:p>
        </w:tc>
        <w:tc>
          <w:tcPr>
            <w:tcW w:w="19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2022</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5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0"/>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Offsetting of Derivative Liabilities</w:t>
            </w:r>
          </w:p>
        </w:tc>
        <w:tc>
          <w:tcPr>
            <w:tcW w:w="520" w:type="dxa"/>
            <w:vAlign w:val="bottom"/>
          </w:tcPr>
          <w:p>
            <w:pPr>
              <w:spacing w:after="0"/>
              <w:rPr>
                <w:sz w:val="24"/>
                <w:szCs w:val="24"/>
                <w:color w:val="auto"/>
              </w:rPr>
            </w:pPr>
          </w:p>
        </w:tc>
        <w:tc>
          <w:tcPr>
            <w:tcW w:w="1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Amounts of</w:t>
            </w:r>
          </w:p>
        </w:tc>
        <w:tc>
          <w:tcPr>
            <w:tcW w:w="100" w:type="dxa"/>
            <w:vAlign w:val="bottom"/>
          </w:tcPr>
          <w:p>
            <w:pPr>
              <w:spacing w:after="0"/>
              <w:rPr>
                <w:sz w:val="24"/>
                <w:szCs w:val="24"/>
                <w:color w:val="auto"/>
              </w:rPr>
            </w:pPr>
          </w:p>
        </w:tc>
        <w:tc>
          <w:tcPr>
            <w:tcW w:w="40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Gross Amounts Not Offset in the Consolidated Balance</w:t>
            </w: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2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gridSpan w:val="2"/>
            <w:vMerge w:val="restart"/>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Liabilities</w:t>
            </w:r>
          </w:p>
        </w:tc>
        <w:tc>
          <w:tcPr>
            <w:tcW w:w="100" w:type="dxa"/>
            <w:vAlign w:val="bottom"/>
          </w:tcPr>
          <w:p>
            <w:pPr>
              <w:spacing w:after="0"/>
              <w:rPr>
                <w:sz w:val="10"/>
                <w:szCs w:val="10"/>
                <w:color w:val="auto"/>
              </w:rPr>
            </w:pPr>
          </w:p>
        </w:tc>
        <w:tc>
          <w:tcPr>
            <w:tcW w:w="4020" w:type="dxa"/>
            <w:vAlign w:val="bottom"/>
            <w:gridSpan w:val="5"/>
            <w:vMerge w:val="continue"/>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gridSpan w:val="2"/>
            <w:vMerge w:val="continue"/>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Presented in the</w:t>
            </w:r>
          </w:p>
        </w:tc>
        <w:tc>
          <w:tcPr>
            <w:tcW w:w="100" w:type="dxa"/>
            <w:vAlign w:val="bottom"/>
          </w:tcPr>
          <w:p>
            <w:pPr>
              <w:spacing w:after="0"/>
              <w:rPr>
                <w:sz w:val="14"/>
                <w:szCs w:val="14"/>
                <w:color w:val="auto"/>
              </w:rPr>
            </w:pPr>
          </w:p>
        </w:tc>
        <w:tc>
          <w:tcPr>
            <w:tcW w:w="1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Derivative Financial</w:t>
            </w: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Pr>
          <w:p>
            <w:pPr>
              <w:spacing w:after="0"/>
              <w:rPr>
                <w:sz w:val="14"/>
                <w:szCs w:val="14"/>
                <w:color w:val="auto"/>
              </w:rPr>
            </w:pPr>
          </w:p>
        </w:tc>
        <w:tc>
          <w:tcPr>
            <w:tcW w:w="19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 Balance</w:t>
            </w: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Cash Collateral Pledged</w:t>
            </w:r>
          </w:p>
        </w:tc>
        <w:tc>
          <w:tcPr>
            <w:tcW w:w="320" w:type="dxa"/>
            <w:vAlign w:val="bottom"/>
          </w:tcPr>
          <w:p>
            <w:pPr>
              <w:spacing w:after="0"/>
              <w:rPr>
                <w:sz w:val="14"/>
                <w:szCs w:val="14"/>
                <w:color w:val="auto"/>
              </w:rPr>
            </w:pPr>
          </w:p>
        </w:tc>
        <w:tc>
          <w:tcPr>
            <w:tcW w:w="16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214"/>
        </w:trPr>
        <w:tc>
          <w:tcPr>
            <w:tcW w:w="26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100" w:type="dxa"/>
            <w:vAlign w:val="bottom"/>
          </w:tcPr>
          <w:p>
            <w:pPr>
              <w:spacing w:after="0"/>
              <w:rPr>
                <w:sz w:val="18"/>
                <w:szCs w:val="18"/>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00" w:type="dxa"/>
            <w:vAlign w:val="bottom"/>
          </w:tcPr>
          <w:p>
            <w:pPr>
              <w:spacing w:after="0"/>
              <w:rPr>
                <w:sz w:val="18"/>
                <w:szCs w:val="18"/>
                <w:color w:val="auto"/>
              </w:rPr>
            </w:pPr>
          </w:p>
        </w:tc>
        <w:tc>
          <w:tcPr>
            <w:tcW w:w="19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2022</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5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derivative assets and liabilities subject to netting arrangements include foreign exchange forward and interest rate contracts with three counterparties at September 30, 2022 and three counterparties at December 31, 2021. No derivative asset or liability balance with any of our counterparties was individually significant at September 30, 2022 or December 31, 2021. Our derivative contracts with each of these counterparties exist under agreements that provide for the net settlement of all contracts through a single payment in a single currency in the event of default. We have no pledges of cash collateral against our obligations, and we have not received pledges of cash collateral from our counterparties under the associated derivative contracts.</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our forecasted inventory purchases in a non-functional currency, we are exposed to foreign exchange risk. We hedge portions of these purchases. During February 2021, we entered into foreign exchange option contracts for a total notional amount of $76.5 million at a cost of $1.1 million. The contracts matured ratably through the year with final maturity occurring in October 2021. Changes in the fair values of the option contracts are recognized as a component of other comprehensive income (OCI) and are recognized in product cost of revenues when the hedged item affects earnings. We have not entered into any similar arrangements in 2022.</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before-tax effects of our accounting for derivative instruments designated as hedges on AOCI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vMerge w:val="restart"/>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Derivatives in ASC 815-20</w:t>
            </w:r>
          </w:p>
        </w:tc>
        <w:tc>
          <w:tcPr>
            <w:tcW w:w="2700" w:type="dxa"/>
            <w:vAlign w:val="bottom"/>
            <w:gridSpan w:val="4"/>
            <w:vMerge w:val="restart"/>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Amount of Gain (Loss)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gridSpan w:val="5"/>
          </w:tcPr>
          <w:p>
            <w:pPr>
              <w:ind w:left="1540"/>
              <w:spacing w:after="0"/>
              <w:rPr>
                <w:sz w:val="20"/>
                <w:szCs w:val="20"/>
                <w:color w:val="auto"/>
              </w:rPr>
            </w:pPr>
            <w:r>
              <w:rPr>
                <w:rFonts w:ascii="Times New Roman" w:cs="Times New Roman" w:eastAsia="Times New Roman" w:hAnsi="Times New Roman"/>
                <w:sz w:val="16"/>
                <w:szCs w:val="16"/>
                <w:b w:val="1"/>
                <w:bCs w:val="1"/>
                <w:color w:val="auto"/>
              </w:rPr>
              <w:t>Gain (Loss) Reclassified from</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840" w:type="dxa"/>
            <w:vAlign w:val="bottom"/>
            <w:vMerge w:val="continue"/>
          </w:tcPr>
          <w:p>
            <w:pPr>
              <w:spacing w:after="0"/>
              <w:rPr>
                <w:sz w:val="8"/>
                <w:szCs w:val="8"/>
                <w:color w:val="auto"/>
              </w:rPr>
            </w:pPr>
          </w:p>
        </w:tc>
        <w:tc>
          <w:tcPr>
            <w:tcW w:w="2700" w:type="dxa"/>
            <w:vAlign w:val="bottom"/>
            <w:gridSpan w:val="4"/>
            <w:vMerge w:val="continue"/>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360" w:type="dxa"/>
            <w:vAlign w:val="bottom"/>
            <w:gridSpan w:val="3"/>
            <w:vMerge w:val="restart"/>
          </w:tcPr>
          <w:p>
            <w:pPr>
              <w:ind w:left="1940"/>
              <w:spacing w:after="0"/>
              <w:rPr>
                <w:sz w:val="20"/>
                <w:szCs w:val="20"/>
                <w:color w:val="auto"/>
              </w:rPr>
            </w:pPr>
            <w:r>
              <w:rPr>
                <w:rFonts w:ascii="Times New Roman" w:cs="Times New Roman" w:eastAsia="Times New Roman" w:hAnsi="Times New Roman"/>
                <w:sz w:val="16"/>
                <w:szCs w:val="16"/>
                <w:b w:val="1"/>
                <w:bCs w:val="1"/>
                <w:color w:val="auto"/>
              </w:rPr>
              <w:t>AOCI into Income</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840" w:type="dxa"/>
            <w:vAlign w:val="bottom"/>
            <w:vMerge w:val="restart"/>
          </w:tcPr>
          <w:p>
            <w:pPr>
              <w:jc w:val="center"/>
              <w:ind w:left="199"/>
              <w:spacing w:after="0" w:line="162" w:lineRule="exact"/>
              <w:rPr>
                <w:sz w:val="20"/>
                <w:szCs w:val="20"/>
                <w:color w:val="auto"/>
              </w:rPr>
            </w:pPr>
            <w:r>
              <w:rPr>
                <w:rFonts w:ascii="Times New Roman" w:cs="Times New Roman" w:eastAsia="Times New Roman" w:hAnsi="Times New Roman"/>
                <w:sz w:val="16"/>
                <w:szCs w:val="16"/>
                <w:b w:val="1"/>
                <w:bCs w:val="1"/>
                <w:color w:val="auto"/>
                <w:w w:val="99"/>
              </w:rPr>
              <w:t>Cash Flow</w:t>
            </w:r>
          </w:p>
        </w:tc>
        <w:tc>
          <w:tcPr>
            <w:tcW w:w="2700" w:type="dxa"/>
            <w:vAlign w:val="bottom"/>
            <w:gridSpan w:val="4"/>
            <w:vMerge w:val="restart"/>
          </w:tcPr>
          <w:p>
            <w:pPr>
              <w:jc w:val="center"/>
              <w:ind w:left="599"/>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 OCI on</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60" w:type="dxa"/>
            <w:vAlign w:val="bottom"/>
            <w:tcBorders>
              <w:bottom w:val="single" w:sz="8" w:color="auto"/>
            </w:tcBorders>
            <w:gridSpan w:val="3"/>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840" w:type="dxa"/>
            <w:vAlign w:val="bottom"/>
            <w:vMerge w:val="continue"/>
          </w:tcPr>
          <w:p>
            <w:pPr>
              <w:spacing w:after="0" w:line="20" w:lineRule="exact"/>
              <w:rPr>
                <w:sz w:val="1"/>
                <w:szCs w:val="1"/>
                <w:color w:val="auto"/>
              </w:rPr>
            </w:pPr>
          </w:p>
        </w:tc>
        <w:tc>
          <w:tcPr>
            <w:tcW w:w="2700" w:type="dxa"/>
            <w:vAlign w:val="bottom"/>
            <w:gridSpan w:val="4"/>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980" w:type="dxa"/>
            <w:vAlign w:val="bottom"/>
          </w:tcPr>
          <w:p>
            <w:pPr>
              <w:spacing w:after="0" w:line="20" w:lineRule="exact"/>
              <w:rPr>
                <w:sz w:val="1"/>
                <w:szCs w:val="1"/>
                <w:color w:val="auto"/>
              </w:rPr>
            </w:pPr>
          </w:p>
        </w:tc>
        <w:tc>
          <w:tcPr>
            <w:tcW w:w="8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84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Hedging Relationships</w:t>
            </w:r>
          </w:p>
        </w:tc>
        <w:tc>
          <w:tcPr>
            <w:tcW w:w="1220" w:type="dxa"/>
            <w:vAlign w:val="bottom"/>
          </w:tcPr>
          <w:p>
            <w:pPr>
              <w:spacing w:after="0"/>
              <w:rPr>
                <w:sz w:val="18"/>
                <w:szCs w:val="18"/>
                <w:color w:val="auto"/>
              </w:rPr>
            </w:pPr>
          </w:p>
        </w:tc>
        <w:tc>
          <w:tcPr>
            <w:tcW w:w="1480" w:type="dxa"/>
            <w:vAlign w:val="bottom"/>
            <w:gridSpan w:val="3"/>
          </w:tcPr>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exchange options</w:t>
            </w:r>
          </w:p>
        </w:tc>
        <w:tc>
          <w:tcPr>
            <w:tcW w:w="122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cost of revenues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47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rate swap contract</w:t>
            </w:r>
          </w:p>
        </w:tc>
        <w:tc>
          <w:tcPr>
            <w:tcW w:w="122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13"/>
        </w:trPr>
        <w:tc>
          <w:tcPr>
            <w:tcW w:w="2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rate swap contract</w:t>
            </w:r>
          </w:p>
        </w:tc>
        <w:tc>
          <w:tcPr>
            <w:tcW w:w="12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8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exchange options</w:t>
            </w:r>
          </w:p>
        </w:tc>
        <w:tc>
          <w:tcPr>
            <w:tcW w:w="12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cost of revenues</w:t>
            </w:r>
          </w:p>
        </w:tc>
        <w:tc>
          <w:tcPr>
            <w:tcW w:w="9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3"/>
        </w:trPr>
        <w:tc>
          <w:tcPr>
            <w:tcW w:w="2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Cross currency swap contract</w:t>
            </w:r>
          </w:p>
        </w:tc>
        <w:tc>
          <w:tcPr>
            <w:tcW w:w="12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tcPr>
          <w:p>
            <w:pPr>
              <w:spacing w:after="0"/>
              <w:rPr>
                <w:sz w:val="18"/>
                <w:szCs w:val="18"/>
                <w:color w:val="auto"/>
              </w:rPr>
            </w:pPr>
          </w:p>
        </w:tc>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98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32"/>
        </w:trPr>
        <w:tc>
          <w:tcPr>
            <w:tcW w:w="2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Cross currency swap contract</w:t>
            </w:r>
          </w:p>
        </w:tc>
        <w:tc>
          <w:tcPr>
            <w:tcW w:w="12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Relationships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September 30, 2022, a total of 32 contracts were offsetting our exposures from the euro, pound sterling, Indonesian rupiah, Canadian dollar, Australian dollar and various other currencies, with notional amounts ranging from $135,000 to $57.8 million.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our derivative instruments not designated as hedges on the Consolidated Statements of Operations was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 under</w:t>
            </w:r>
          </w:p>
        </w:tc>
        <w:tc>
          <w:tcPr>
            <w:tcW w:w="2620" w:type="dxa"/>
            <w:vAlign w:val="bottom"/>
            <w:gridSpan w:val="2"/>
            <w:vMerge w:val="restart"/>
          </w:tcPr>
          <w:p>
            <w:pPr>
              <w:ind w:left="9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00" w:type="dxa"/>
            <w:vAlign w:val="bottom"/>
          </w:tcPr>
          <w:p>
            <w:pPr>
              <w:spacing w:after="0"/>
              <w:rPr>
                <w:sz w:val="16"/>
                <w:szCs w:val="16"/>
                <w:color w:val="auto"/>
              </w:rPr>
            </w:pPr>
          </w:p>
        </w:tc>
        <w:tc>
          <w:tcPr>
            <w:tcW w:w="426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Gain (Loss) Recognized on Derivatives in Other Income</w:t>
            </w:r>
          </w:p>
        </w:tc>
        <w:tc>
          <w:tcPr>
            <w:tcW w:w="0" w:type="dxa"/>
            <w:vAlign w:val="bottom"/>
          </w:tcPr>
          <w:p>
            <w:pPr>
              <w:spacing w:after="0"/>
              <w:rPr>
                <w:sz w:val="1"/>
                <w:szCs w:val="1"/>
                <w:color w:val="auto"/>
              </w:rPr>
            </w:pPr>
          </w:p>
        </w:tc>
      </w:tr>
      <w:tr>
        <w:trPr>
          <w:trHeight w:val="214"/>
        </w:trPr>
        <w:tc>
          <w:tcPr>
            <w:tcW w:w="4160" w:type="dxa"/>
            <w:vAlign w:val="bottom"/>
          </w:tcPr>
          <w:p>
            <w:pPr>
              <w:ind w:left="1700"/>
              <w:spacing w:after="0"/>
              <w:rPr>
                <w:sz w:val="20"/>
                <w:szCs w:val="20"/>
                <w:color w:val="auto"/>
              </w:rPr>
            </w:pPr>
            <w:r>
              <w:rPr>
                <w:rFonts w:ascii="Times New Roman" w:cs="Times New Roman" w:eastAsia="Times New Roman" w:hAnsi="Times New Roman"/>
                <w:sz w:val="16"/>
                <w:szCs w:val="16"/>
                <w:b w:val="1"/>
                <w:bCs w:val="1"/>
                <w:color w:val="auto"/>
              </w:rPr>
              <w:t>ASC 815-20</w:t>
            </w:r>
          </w:p>
        </w:tc>
        <w:tc>
          <w:tcPr>
            <w:tcW w:w="26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5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2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6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0" w:type="dxa"/>
            <w:vAlign w:val="bottom"/>
          </w:tcPr>
          <w:p>
            <w:pPr>
              <w:spacing w:after="0"/>
              <w:rPr>
                <w:sz w:val="1"/>
                <w:szCs w:val="1"/>
                <w:color w:val="auto"/>
              </w:rPr>
            </w:pPr>
          </w:p>
        </w:tc>
      </w:tr>
      <w:tr>
        <w:trPr>
          <w:trHeight w:val="429"/>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2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6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continue to monitor and assess our interest rate and foreign exchange risk and may institute additional derivative instruments to manage such risk in the future.</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Convertible Note Hedge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paid an aggregate amount of $84.1 million for the Convertible Note Hedge Transactions.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The Convertible Note Hedge Transactions are expected generally to reduce the potential dilutive effect of the conversion of the Convertible Notes and/or offset any cash payments we are required to make in excess of the principal amount of the converted notes, as the case may be, in the event that the market price per share of our common stock, as measured under the terms of the Convertible Note Hedge Transactions, is greater than the strike price of those Convertible Note Hedge Transactions. The Convertible Note Hedge Transactions meet the criteria in Accounting Standards Codification (ASC) 815-40 to be classified within Stockholders' Equity, and therefore the transactions are not revalued after their issuance.</w:t>
      </w: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made a tax election to integrate the Convertible Notes and the call options. We are retaining the identification statements in our books and records, together with a schedule providing the accruals on the synthetic debt instruments. The accounting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impact of this tax election makes the call options deductible as original issue discount for tax purposes over the term of the Convertible Note, and results in a $20.6 million deferred tax asset recognized through equity.</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Warrant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concurrently with entering into the Convertible Note Hedge Transactions, we separately entered into privately-negotiated Warrant Transactions (the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Warrants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therefore the warrants are not revalued after issuance.</w:t>
      </w:r>
    </w:p>
    <w:p>
      <w:pPr>
        <w:spacing w:after="0" w:line="21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Defined Benefit Pension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offering death and disability, retirement, and special termination benefits for certain of our international employees, primarily in Germany, France, Indonesia, India, and Italy. The defined benefit obligation is calculated annually by using the projected unit credit method. The measurement date for the pension plans is 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on the Consolidated Balance Sheets consist of:</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2"/>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r>
      <w:tr>
        <w:trPr>
          <w:trHeight w:val="213"/>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pension benefit obligation in wages and benefits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w:t>
            </w:r>
          </w:p>
        </w:tc>
      </w:tr>
      <w:tr>
        <w:trPr>
          <w:trHeight w:val="21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Pension benefit obligation held for sale within other current liabilities</w:t>
            </w:r>
          </w:p>
        </w:tc>
        <w:tc>
          <w:tcPr>
            <w:tcW w:w="26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11,513</w:t>
            </w:r>
          </w:p>
        </w:tc>
      </w:tr>
      <w:tr>
        <w:trPr>
          <w:trHeight w:val="213"/>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Long-term portion of pension benefit obligation</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71,111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87,863</w:t>
            </w:r>
          </w:p>
        </w:tc>
      </w:tr>
      <w:tr>
        <w:trPr>
          <w:trHeight w:val="234"/>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benefit obligation,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102,464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 2021, Itron entered into an agreement to sell certain of its Gas device businesses and operations to Dresser Utility Solutions (Dresser). The related disposal group was classified as held for sale during the fourth quarter of 2021. The disposal group was removed from our balance sheet when the transaction closed on February 28, 2022. Refer to Note 17: Sale of Business for additional information on the transaction.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asset investment strategy focuses on maintaining a portfolio using primarily insurance funds, which are accounted for as investments and measured at fair value, in order to achieve our long-term investment objectives on a risk-adjusted basis. Our general funding policy for these qualified pension plans is to contribute amounts sufficient to satisfy regulatory funding standards of the respective countries for each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benefit cost for our plans includes the following components: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60" w:type="dxa"/>
            <w:vAlign w:val="bottom"/>
            <w:tcBorders>
              <w:bottom w:val="single" w:sz="8" w:color="auto"/>
            </w:tcBorders>
          </w:tcPr>
          <w:p>
            <w:pPr>
              <w:spacing w:after="0"/>
              <w:rPr>
                <w:sz w:val="18"/>
                <w:szCs w:val="18"/>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1,125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actuarial net loss</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w:t>
            </w:r>
          </w:p>
        </w:tc>
      </w:tr>
      <w:tr>
        <w:trPr>
          <w:trHeight w:val="210"/>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2,081</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6,279</w:t>
            </w:r>
          </w:p>
        </w:tc>
      </w:tr>
      <w:tr>
        <w:trPr>
          <w:trHeight w:val="20"/>
        </w:trPr>
        <w:tc>
          <w:tcPr>
            <w:tcW w:w="4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total other income (expense)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grant stock-based compensation awards, including restricted stock units, phantom stock, and unrestricted stock units, under the Second Amended and Restated 2010 Stock Incentive Plan (Stock Incentive Plan). Prior to December 31, 2020, stock options were also granted as part of the stock-based compensation awards. In the Stock Incentive Plan, we have 12,623,538 shares of common stock reserved and authorized for issuance subject to stock splits, dividends, and other similar events. At September 30, 2022, 4,626,437 shares were available for grant. We issue new shares of common stock upon the exercise of stock options or when vesting conditions on restricted stock units are fully satisfied. These shares are subject to a fungible share provision such that the authorized share available for grant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award phantom stock units, which are settled in cash upon vesting and accounted for as liability-based awards, with no impact to the shares available for grant.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maintain the Employee Stock Purchase Plan (ESPP), for which 91,074 shares of common stock were available for future issuance at September 30, 2022.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ESPP activity and stock-based grants other than stock options and restricted stock units were not significant for the three and nine months ended September 30, 2022 and 2021.</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and the related tax benefit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Borders>
              <w:bottom w:val="single" w:sz="8" w:color="auto"/>
            </w:tcBorders>
            <w:gridSpan w:val="5"/>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5,104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16,546</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Unrestricted stock awards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21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Phantom stock units</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2,861</w:t>
            </w:r>
          </w:p>
        </w:tc>
      </w:tr>
      <w:tr>
        <w:trPr>
          <w:trHeight w:val="237"/>
        </w:trPr>
        <w:tc>
          <w:tcPr>
            <w:tcW w:w="4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4,708</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6,184</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21,112</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1"/>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tax benefit</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1,159</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stock option activity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00" w:type="dxa"/>
            <w:vAlign w:val="bottom"/>
          </w:tcPr>
          <w:p>
            <w:pPr>
              <w:spacing w:after="0"/>
              <w:rPr>
                <w:sz w:val="16"/>
                <w:szCs w:val="16"/>
                <w:color w:val="auto"/>
              </w:rPr>
            </w:pPr>
          </w:p>
        </w:tc>
        <w:tc>
          <w:tcPr>
            <w:tcW w:w="168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4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4"/>
                <w:szCs w:val="14"/>
                <w:color w:val="auto"/>
              </w:rPr>
            </w:pPr>
          </w:p>
        </w:tc>
        <w:tc>
          <w:tcPr>
            <w:tcW w:w="15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136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0" w:type="dxa"/>
            <w:vAlign w:val="bottom"/>
          </w:tcPr>
          <w:p>
            <w:pPr>
              <w:spacing w:after="0"/>
              <w:rPr>
                <w:sz w:val="1"/>
                <w:szCs w:val="1"/>
                <w:color w:val="auto"/>
              </w:rPr>
            </w:pPr>
          </w:p>
        </w:tc>
      </w:tr>
      <w:tr>
        <w:trPr>
          <w:trHeight w:val="214"/>
        </w:trPr>
        <w:tc>
          <w:tcPr>
            <w:tcW w:w="30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200" w:type="dxa"/>
            <w:vAlign w:val="bottom"/>
          </w:tcPr>
          <w:p>
            <w:pPr>
              <w:spacing w:after="0"/>
              <w:rPr>
                <w:sz w:val="18"/>
                <w:szCs w:val="18"/>
                <w:color w:val="auto"/>
              </w:rPr>
            </w:pPr>
          </w:p>
        </w:tc>
        <w:tc>
          <w:tcPr>
            <w:tcW w:w="168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13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13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(Years)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61.95</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83.33</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September 30,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61.18</w:t>
            </w: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61.18</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87.27</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Canceled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September 30, 2022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60.69</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September 30, 2022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59.26</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September 30, 2022, total unrecognized stock-based compensation expense related to nonvested stock options was $0.2 million, which is expected to be recognized over a weighted average period of approximately 0.7 years.</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220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340" w:type="dxa"/>
            <w:vAlign w:val="bottom"/>
          </w:tcPr>
          <w:p>
            <w:pPr>
              <w:spacing w:after="0"/>
              <w:rPr>
                <w:sz w:val="16"/>
                <w:szCs w:val="16"/>
                <w:color w:val="auto"/>
              </w:rPr>
            </w:pPr>
          </w:p>
        </w:tc>
        <w:tc>
          <w:tcPr>
            <w:tcW w:w="1840" w:type="dxa"/>
            <w:vAlign w:val="bottom"/>
            <w:vMerge w:val="restart"/>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fair value</w:t>
            </w:r>
          </w:p>
        </w:tc>
        <w:tc>
          <w:tcPr>
            <w:tcW w:w="2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34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00" w:type="dxa"/>
            <w:vAlign w:val="bottom"/>
            <w:vMerge w:val="continue"/>
          </w:tcPr>
          <w:p>
            <w:pPr>
              <w:spacing w:after="0"/>
              <w:rPr>
                <w:sz w:val="18"/>
                <w:szCs w:val="18"/>
                <w:color w:val="auto"/>
              </w:rPr>
            </w:pPr>
          </w:p>
        </w:tc>
        <w:tc>
          <w:tcPr>
            <w:tcW w:w="22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340" w:type="dxa"/>
            <w:vAlign w:val="bottom"/>
          </w:tcPr>
          <w:p>
            <w:pPr>
              <w:spacing w:after="0"/>
              <w:rPr>
                <w:sz w:val="18"/>
                <w:szCs w:val="18"/>
                <w:color w:val="auto"/>
              </w:rPr>
            </w:pPr>
          </w:p>
        </w:tc>
        <w:tc>
          <w:tcPr>
            <w:tcW w:w="18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11"/>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2021</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28,494</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September 30, 2021</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2022</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11,441</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71.77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September 30, 2022</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but not released, September 30, 2022</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Shares released is presented as gross shares and does not reflect shares withheld by us for employee payroll tax obligations.</w:t>
      </w:r>
    </w:p>
    <w:p>
      <w:pPr>
        <w:spacing w:after="0" w:line="23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2022, total unrecognized compensation expense on restricted stock units was $26.4 million, which is expected to be recognized over a weighted average period of approximately 1.7 years.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weighted average assumptions used to estimate the fair value of performance-based restricted stock units granted with a service and market condition and the resulting weighted average fair value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Pr>
          <w:p>
            <w:pPr>
              <w:spacing w:after="0"/>
              <w:rPr>
                <w:sz w:val="18"/>
                <w:szCs w:val="18"/>
                <w:color w:val="auto"/>
              </w:rPr>
            </w:pPr>
          </w:p>
        </w:tc>
        <w:tc>
          <w:tcPr>
            <w:tcW w:w="3620" w:type="dxa"/>
            <w:vAlign w:val="bottom"/>
            <w:tcBorders>
              <w:bottom w:val="single" w:sz="8" w:color="auto"/>
            </w:tcBorders>
            <w:gridSpan w:val="5"/>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76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50.5 %</w:t>
            </w:r>
          </w:p>
        </w:tc>
      </w:tr>
      <w:tr>
        <w:trPr>
          <w:trHeight w:val="21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7"/>
        </w:trPr>
        <w:tc>
          <w:tcPr>
            <w:tcW w:w="7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fair value</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57.88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113.75</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as well as significant unusual or infrequently occurring items that are separately reported, are excluded from the annual effective tax rate.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tax rate for the three and nine months ended September 30, 2022 of 10% and (19)%, respectively, differed from the federal statutory rate of 21% due to the impact of valuation allowances on deferred tax assets, the forecasted mix of earnings in domestic and international jurisdictions, U.S. taxation of foreign earnings including GILTI (Global Intangible Low Taxed Income), Subpart F and ECI (Effectively Connected Income), discrete tax expense related to the Dresser divestiture, a discrete tax benefit due to goodwill impairment, an expense related to stock-based compensation, tax credits, and uncertain tax positions.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tax rate for the three and nine months ended September 30, 2021 of 902% and (39)%, respectively, differed from the federal statutory rate of 21% primarily due to reserves recognized on deferred sales price receivables in the second quarter related to the 2020 divestiture of the majority of our Latin American business activities. This item was recognized for tax as a discrete and resulted in no tax benefit. Other rate drivers include losses in jurisdictions for which no benefit is recognized because of valuation allowances on deferred tax assets, the forecasted mix of earnings in domestic and international jurisdictions, a benefit related to stock-based compensation, and uncertain tax positions.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Beginning January 1, 2022, the Tax Cuts and Jobs Act of 2017 eliminates the option to deduct research and development expenditures currently and requires taxpayers to capitalize and amortize them over five or fifteen years, dependent upon the geography in which the expenditures are incurred. Although Congress is considering legislation that would defer the capitalization and amortization requirement, there is no assurance that the provision will be repealed or otherwise modified. As a result of research and development conducted outside of the U.S., the amount of expected inclusion of foreign earnings in our U.S. taxable income is largely driven by research and development cost capitalization, and may decrease significantly should these rules be deferred or revoked effective for 2022. The income tax provision has been prepared according to currently enacted tax legislation, but a change in tax law with regards to capitalization of research and development expenditures would have a material beneficial impact on our annual effective tax rate.</w:t>
      </w:r>
    </w:p>
    <w:p>
      <w:pPr>
        <w:spacing w:after="0" w:line="2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classify interest expense and penalties related to unrecognized tax liabilities and interest income on tax overpayments as components of income tax expense. The net interest and penalties expense amounts recognized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00" w:type="dxa"/>
            <w:vAlign w:val="bottom"/>
            <w:tcBorders>
              <w:bottom w:val="single" w:sz="8" w:color="auto"/>
            </w:tcBorders>
          </w:tcPr>
          <w:p>
            <w:pPr>
              <w:spacing w:after="0"/>
              <w:rPr>
                <w:sz w:val="18"/>
                <w:szCs w:val="18"/>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and penalties expense</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and penalties recognized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4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30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w:t>
            </w:r>
          </w:p>
        </w:tc>
      </w:tr>
      <w:tr>
        <w:trPr>
          <w:trHeight w:val="210"/>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penalties</w:t>
            </w:r>
          </w:p>
        </w:tc>
        <w:tc>
          <w:tcPr>
            <w:tcW w:w="30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Unrecognized tax benefits related to uncertain tax positions and the amount of unrecognized tax benefits that, if recognized, would affect our effective tax rate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4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benefits related to uncertain tax positions</w:t>
            </w:r>
          </w:p>
        </w:tc>
        <w:tc>
          <w:tcPr>
            <w:tcW w:w="5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136,559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139,529</w:t>
            </w:r>
          </w:p>
        </w:tc>
      </w:tr>
      <w:tr>
        <w:trPr>
          <w:trHeight w:val="210"/>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amount of unrecognized tax benefits that, if recognized, would affect our effective tax rate</w:t>
            </w:r>
          </w:p>
        </w:tc>
        <w:tc>
          <w:tcPr>
            <w:tcW w:w="5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139,503</w:t>
            </w:r>
          </w:p>
        </w:tc>
      </w:tr>
    </w:tbl>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2022,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12 months. However, at this time, an estimate of the range of reasonably possible adjustments to the balance of unrecognized tax benefits cannot be made.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 income tax returns in various jurisdictions. The material jurisdictions where we are subject to examination include, among others, the United States, France, Germany, Italy, Indonesia, and the United Kingdom.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27, 2020, the U.S. Federal government passed the Coronavirus Aid, Relief, and Economic Security (CARES) Act to provide economic relief from COVID-19. The CARES Act also provides employer payroll tax credits for wages paid to employees who are unable to work during the COVID-19 outbreak and options to defer payroll tax payments. The Company has elected to defer remittances of payroll and other taxes into the future as provided for under the Act.</w:t>
      </w: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11:</w:t>
        <w:tab/>
        <w:t>Commitments and Contingencies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available lines of credit, outstanding standby LOCs, and bonds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0"/>
        </w:trPr>
        <w:tc>
          <w:tcPr>
            <w:tcW w:w="6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(55,937)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(64,374)</w:t>
            </w:r>
          </w:p>
        </w:tc>
      </w:tr>
      <w:tr>
        <w:trPr>
          <w:trHeight w:val="235"/>
        </w:trPr>
        <w:tc>
          <w:tcPr>
            <w:tcW w:w="67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under the multicurrency revolving line of credit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444,063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435,626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available for additional standby LOCs under sub-facility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244,063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235,626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multicurrency revolving lines of credit with various financial institutions</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lines of credit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71,594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94,845</w:t>
            </w: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(19,957)</w:t>
            </w: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Short-term borrowings</w:t>
            </w:r>
          </w:p>
        </w:tc>
        <w:tc>
          <w:tcPr>
            <w:tcW w:w="26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676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and LOCs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74,888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surety bonds in force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281,343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281,270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any such standby LOC or bond is called, we would be obligated to reimburse the issuer of the standby LOC or bond; however, as of November 3, 2022, we do not believe any outstanding standby LOCs or bonds will be called.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warranty accrual account activity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41,390</w:t>
            </w: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New product warranties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3,611</w:t>
            </w: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adjustments and expirations,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Claims activity</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(10,040)</w:t>
            </w: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w:t>
            </w:r>
          </w:p>
        </w:tc>
      </w:tr>
      <w:tr>
        <w:trPr>
          <w:trHeight w:val="207"/>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34,687</w:t>
            </w: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warranty</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18,089</w:t>
            </w:r>
          </w:p>
        </w:tc>
      </w:tr>
      <w:tr>
        <w:trPr>
          <w:trHeight w:val="212"/>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warranty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16,598</w:t>
            </w:r>
          </w:p>
        </w:tc>
      </w:tr>
      <w:tr>
        <w:trPr>
          <w:trHeight w:val="21"/>
        </w:trPr>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Total warranty expense is classified within cost of revenues and consists of new product warranties issued, costs related to insurance and supplier recoveries, other changes and adjustments to warranties, and customer claims. Warranty expense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warranty expense</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w:t>
            </w:r>
          </w:p>
        </w:tc>
      </w:tr>
    </w:tbl>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12:</w:t>
        <w:tab/>
        <w:t>Restructuring</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2021 Projects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29, 2021, our Board of Directors approved a restructuring plan (the 2021 Projects) which, in conjunction with the announcement of the sale of certain of our Gas device manufacturing operations (refer to Note 17: Sale of Business), includes activities to drive reductions in certain locations and functional support areas. These projects are to be substantially complete by the end of 2024. 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2021 Projects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Total Expected Costs at</w:t>
            </w:r>
          </w:p>
        </w:tc>
        <w:tc>
          <w:tcPr>
            <w:tcW w:w="120" w:type="dxa"/>
            <w:vAlign w:val="bottom"/>
          </w:tcPr>
          <w:p>
            <w:pPr>
              <w:spacing w:after="0"/>
              <w:rPr>
                <w:sz w:val="16"/>
                <w:szCs w:val="16"/>
                <w:color w:val="auto"/>
              </w:rPr>
            </w:pPr>
          </w:p>
        </w:tc>
        <w:tc>
          <w:tcPr>
            <w:tcW w:w="2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100" w:type="dxa"/>
            <w:vAlign w:val="bottom"/>
          </w:tcPr>
          <w:p>
            <w:pPr>
              <w:spacing w:after="0"/>
              <w:rPr>
                <w:sz w:val="16"/>
                <w:szCs w:val="16"/>
                <w:color w:val="auto"/>
              </w:rPr>
            </w:pP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 Recognized</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Remaining Costs to</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During the Nine Months</w:t>
            </w:r>
          </w:p>
        </w:tc>
        <w:tc>
          <w:tcPr>
            <w:tcW w:w="20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be Recognized at September</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100" w:type="dxa"/>
            <w:vAlign w:val="bottom"/>
          </w:tcPr>
          <w:p>
            <w:pPr>
              <w:spacing w:after="0"/>
              <w:rPr>
                <w:sz w:val="18"/>
                <w:szCs w:val="18"/>
                <w:color w:val="auto"/>
              </w:rPr>
            </w:pP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Ended September 30, 2022</w:t>
            </w:r>
          </w:p>
        </w:tc>
        <w:tc>
          <w:tcPr>
            <w:tcW w:w="420" w:type="dxa"/>
            <w:vAlign w:val="bottom"/>
          </w:tcPr>
          <w:p>
            <w:pPr>
              <w:spacing w:after="0"/>
              <w:rPr>
                <w:sz w:val="18"/>
                <w:szCs w:val="18"/>
                <w:color w:val="auto"/>
              </w:rPr>
            </w:pPr>
          </w:p>
        </w:tc>
        <w:tc>
          <w:tcPr>
            <w:tcW w:w="166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30, 2022</w:t>
            </w:r>
          </w:p>
        </w:tc>
        <w:tc>
          <w:tcPr>
            <w:tcW w:w="0" w:type="dxa"/>
            <w:vAlign w:val="bottom"/>
          </w:tcPr>
          <w:p>
            <w:pPr>
              <w:spacing w:after="0"/>
              <w:rPr>
                <w:sz w:val="1"/>
                <w:szCs w:val="1"/>
                <w:color w:val="auto"/>
              </w:rPr>
            </w:pPr>
          </w:p>
        </w:tc>
      </w:tr>
      <w:tr>
        <w:trPr>
          <w:trHeight w:val="211"/>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severance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49,013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(8,304)</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 impairments &amp; net loss (gain) on</w:t>
            </w:r>
          </w:p>
        </w:tc>
        <w:tc>
          <w:tcPr>
            <w:tcW w:w="16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9,246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 or disposal</w:t>
            </w:r>
          </w:p>
        </w:tc>
        <w:tc>
          <w:tcPr>
            <w:tcW w:w="16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1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12"/>
        </w:trPr>
        <w:tc>
          <w:tcPr>
            <w:tcW w:w="26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54,548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60,711</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(8,663)</w:t>
            </w:r>
          </w:p>
        </w:tc>
        <w:tc>
          <w:tcPr>
            <w:tcW w:w="10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2020 Projects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2020, our Board of Directors approved a restructuring plan (the 2020 Projects), which includes activities that continue our efforts to optimize our global supply chain and manufacturing operations, sales and marketing organizations, and other overhead. These projects are scheduled to be substantially complete by the end of 2022. 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2020 Projects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Total Expected Costs at</w:t>
            </w:r>
          </w:p>
        </w:tc>
        <w:tc>
          <w:tcPr>
            <w:tcW w:w="120" w:type="dxa"/>
            <w:vAlign w:val="bottom"/>
          </w:tcPr>
          <w:p>
            <w:pPr>
              <w:spacing w:after="0"/>
              <w:rPr>
                <w:sz w:val="16"/>
                <w:szCs w:val="16"/>
                <w:color w:val="auto"/>
              </w:rPr>
            </w:pPr>
          </w:p>
        </w:tc>
        <w:tc>
          <w:tcPr>
            <w:tcW w:w="2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100" w:type="dxa"/>
            <w:vAlign w:val="bottom"/>
          </w:tcPr>
          <w:p>
            <w:pPr>
              <w:spacing w:after="0"/>
              <w:rPr>
                <w:sz w:val="16"/>
                <w:szCs w:val="16"/>
                <w:color w:val="auto"/>
              </w:rPr>
            </w:pP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 Recognized</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Remaining Costs to</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During the Nine Months</w:t>
            </w:r>
          </w:p>
        </w:tc>
        <w:tc>
          <w:tcPr>
            <w:tcW w:w="20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be Recognized at September</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100" w:type="dxa"/>
            <w:vAlign w:val="bottom"/>
          </w:tcPr>
          <w:p>
            <w:pPr>
              <w:spacing w:after="0"/>
              <w:rPr>
                <w:sz w:val="18"/>
                <w:szCs w:val="18"/>
                <w:color w:val="auto"/>
              </w:rPr>
            </w:pP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Ended September 30, 2022</w:t>
            </w:r>
          </w:p>
        </w:tc>
        <w:tc>
          <w:tcPr>
            <w:tcW w:w="420" w:type="dxa"/>
            <w:vAlign w:val="bottom"/>
          </w:tcPr>
          <w:p>
            <w:pPr>
              <w:spacing w:after="0"/>
              <w:rPr>
                <w:sz w:val="18"/>
                <w:szCs w:val="18"/>
                <w:color w:val="auto"/>
              </w:rPr>
            </w:pPr>
          </w:p>
        </w:tc>
        <w:tc>
          <w:tcPr>
            <w:tcW w:w="166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30, 2022</w:t>
            </w:r>
          </w:p>
        </w:tc>
        <w:tc>
          <w:tcPr>
            <w:tcW w:w="0" w:type="dxa"/>
            <w:vAlign w:val="bottom"/>
          </w:tcPr>
          <w:p>
            <w:pPr>
              <w:spacing w:after="0"/>
              <w:rPr>
                <w:sz w:val="1"/>
                <w:szCs w:val="1"/>
                <w:color w:val="auto"/>
              </w:rPr>
            </w:pPr>
          </w:p>
        </w:tc>
      </w:tr>
      <w:tr>
        <w:trPr>
          <w:trHeight w:val="211"/>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severance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 impairments &amp; net loss (gain) on</w:t>
            </w:r>
          </w:p>
        </w:tc>
        <w:tc>
          <w:tcPr>
            <w:tcW w:w="16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6,442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 or disposal</w:t>
            </w:r>
          </w:p>
        </w:tc>
        <w:tc>
          <w:tcPr>
            <w:tcW w:w="16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1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0" w:type="dxa"/>
            <w:vAlign w:val="bottom"/>
          </w:tcPr>
          <w:p>
            <w:pPr>
              <w:spacing w:after="0"/>
              <w:rPr>
                <w:sz w:val="1"/>
                <w:szCs w:val="1"/>
                <w:color w:val="auto"/>
              </w:rPr>
            </w:pPr>
          </w:p>
        </w:tc>
      </w:tr>
      <w:tr>
        <w:trPr>
          <w:trHeight w:val="212"/>
        </w:trPr>
        <w:tc>
          <w:tcPr>
            <w:tcW w:w="26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35,452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37,144</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10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activity within the restructuring-related balance sheet accounts for the 2021 Projects and 2020 Projects during the nine months ended September 30, 2022:</w:t>
      </w:r>
    </w:p>
    <w:tbl>
      <w:tblPr>
        <w:tblLayout w:type="fixed"/>
        <w:tblInd w:w="0" w:type="dxa"/>
        <w:tblCellMar>
          <w:top w:w="0" w:type="dxa"/>
          <w:left w:w="0" w:type="dxa"/>
          <w:bottom w:w="0" w:type="dxa"/>
          <w:right w:w="0" w:type="dxa"/>
        </w:tblCellMar>
      </w:tblPr>
      <w:tr>
        <w:trPr>
          <w:trHeight w:val="165"/>
        </w:trPr>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Accrued Employee</w:t>
            </w:r>
          </w:p>
        </w:tc>
        <w:tc>
          <w:tcPr>
            <w:tcW w:w="140" w:type="dxa"/>
            <w:vAlign w:val="bottom"/>
          </w:tcPr>
          <w:p>
            <w:pPr>
              <w:spacing w:after="0"/>
              <w:rPr>
                <w:sz w:val="14"/>
                <w:szCs w:val="14"/>
                <w:color w:val="auto"/>
              </w:rPr>
            </w:pPr>
          </w:p>
        </w:tc>
        <w:tc>
          <w:tcPr>
            <w:tcW w:w="206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rPr>
              <w:t>Asset Impairments &amp; Net</w:t>
            </w:r>
          </w:p>
        </w:tc>
        <w:tc>
          <w:tcPr>
            <w:tcW w:w="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Loss (Gain) on Sale or</w:t>
            </w:r>
          </w:p>
        </w:tc>
        <w:tc>
          <w:tcPr>
            <w:tcW w:w="200" w:type="dxa"/>
            <w:vAlign w:val="bottom"/>
          </w:tcPr>
          <w:p>
            <w:pPr>
              <w:spacing w:after="0"/>
              <w:rPr>
                <w:sz w:val="14"/>
                <w:szCs w:val="14"/>
                <w:color w:val="auto"/>
              </w:rPr>
            </w:pPr>
          </w:p>
        </w:tc>
        <w:tc>
          <w:tcPr>
            <w:tcW w:w="188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Other Accrued Costs</w:t>
            </w:r>
          </w:p>
        </w:tc>
        <w:tc>
          <w:tcPr>
            <w:tcW w:w="100" w:type="dxa"/>
            <w:vAlign w:val="bottom"/>
            <w:vMerge w:val="restart"/>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vMerge w:val="restart"/>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Disposal</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Beginning balance,</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79,876</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5,130</w:t>
            </w:r>
          </w:p>
        </w:tc>
        <w:tc>
          <w:tcPr>
            <w:tcW w:w="1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85,006</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2022</w:t>
            </w:r>
          </w:p>
        </w:tc>
        <w:tc>
          <w:tcPr>
            <w:tcW w:w="240" w:type="dxa"/>
            <w:vAlign w:val="bottom"/>
            <w:vMerge w:val="continue"/>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06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charged to expense</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(11,097)</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(17,652)</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receipts</w:t>
            </w:r>
          </w:p>
        </w:tc>
        <w:tc>
          <w:tcPr>
            <w:tcW w:w="24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assets disposed and impaired</w:t>
            </w:r>
          </w:p>
        </w:tc>
        <w:tc>
          <w:tcPr>
            <w:tcW w:w="2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(8,717)</w:t>
            </w:r>
          </w:p>
        </w:tc>
        <w:tc>
          <w:tcPr>
            <w:tcW w:w="0" w:type="dxa"/>
            <w:vAlign w:val="bottom"/>
          </w:tcPr>
          <w:p>
            <w:pPr>
              <w:spacing w:after="0"/>
              <w:rPr>
                <w:sz w:val="1"/>
                <w:szCs w:val="1"/>
                <w:color w:val="auto"/>
              </w:rPr>
            </w:pPr>
          </w:p>
        </w:tc>
      </w:tr>
      <w:tr>
        <w:trPr>
          <w:trHeight w:val="237"/>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September 30, 2022</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48,535</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$11.3 million in accrued employee severance has been released due to employee attrition and other employee agreements.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restructuring costs include expenses for employee relocation, professional fees associated with employee severance, costs to exit the facilities once the operations in those facilities have ceased, and other costs associated with the liquidation of any affected legal entities. Costs associated with restructuring activities are generally presented in the Consolidated Statements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Operations as restructuring, except for certain costs associated with inventory write-downs, which are classified within cost of revenues, and accelerated depreciation expense, which is recognized according to the use of the asset. Restructuring expense is part of the Corporate unallocated segment and does not impact the results of our operating segments.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portions of restructuring liabilities were $15.3 million and $29.7 million as of September 30, 2022 and December 31, 2021 and are classified within other current liabilities on the Consolidated Balance Sheets. The long-term portions of restructuring liabilities were $33.2 million and $55.3 million as of September 30, 2022 and December 31, 2021. The long-term portions of restructuring liabilities are classified within other long-term obligations on the Consolidated Balance Sheets and include severance accruals and facility exit costs.</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September 30, 2022 or December 31, 2021.</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Repurchase Authorization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Effective November 1, 2021, Itron's Board of Directors authorized a share repurchase up to $100 million of our common stock over an 18-month period (the 2021 Stock Repurchase Program). Repurchases are made in the open market or in privately negotiated transactions, and in accordance with applicable securities laws. During the first quarter of 2022, we repurchased 279,968 shares of our common stock under the 2021 Stock Repurchase Program. The average price paid per share was $60.60 (excluding commissions) for total of $17.0 million. No shares were repurchased during the second and third quarters of 2022. Following the announcement of the program and through September 30, 2022, we repurchased 405,282 shares at an average share price of $61.67 (excluding commissions) for a total of $25.0 million.</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Convertible Note Hedge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paid an aggregate amount of $84.1 million for the Convertible Note Hedge Transactions.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The Convertible Note Hedge Transactions are expected generally to reduce the potential dilutive effect of the conversion of our Convertible Notes and/or offset any cash payments we are required to make in excess of the principal amount of the converted notes, as the case may be, in the event the price per share of our common stock, as measured under the terms of the Convertible Note Hedge Transactions, is greater than the strike price of the Convertible Note Hedge Transactions. The Convertible Note Hedge Transactions meet the criteria in ASC 815-40 to be classified within Stockholders' Equity, therefore the Convertible Note Hedge Transactions are not revalued after their issuance.</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a tax election to integrate the Convertible Notes and the call options.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Convertible Note, and results in a $20.6 million deferred tax asset recognized through equity.</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Warrant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concurrently with entering into the Convertible Note Hedge Transactions, we separately entered into privately-negotiated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and therefore the warrants are not revalued after issuance.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components of AOCI, net of tax,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5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40" w:type="dxa"/>
            <w:vAlign w:val="bottom"/>
          </w:tcPr>
          <w:p>
            <w:pPr>
              <w:spacing w:after="0"/>
              <w:rPr>
                <w:sz w:val="16"/>
                <w:szCs w:val="16"/>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Gain (Loss) on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Gain (Loss) on</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4"/>
                <w:szCs w:val="14"/>
                <w:color w:val="auto"/>
              </w:rPr>
            </w:pPr>
          </w:p>
        </w:tc>
        <w:tc>
          <w:tcPr>
            <w:tcW w:w="14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Nonderivative</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Obligation</w:t>
            </w:r>
          </w:p>
        </w:tc>
        <w:tc>
          <w:tcPr>
            <w:tcW w:w="140" w:type="dxa"/>
            <w:vAlign w:val="bottom"/>
          </w:tcPr>
          <w:p>
            <w:pPr>
              <w:spacing w:after="0"/>
              <w:rPr>
                <w:sz w:val="14"/>
                <w:szCs w:val="14"/>
                <w:color w:val="auto"/>
              </w:rPr>
            </w:pPr>
          </w:p>
        </w:tc>
        <w:tc>
          <w:tcPr>
            <w:tcW w:w="130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3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0" w:type="dxa"/>
            <w:vAlign w:val="bottom"/>
          </w:tcPr>
          <w:p>
            <w:pPr>
              <w:spacing w:after="0"/>
              <w:rPr>
                <w:sz w:val="1"/>
                <w:szCs w:val="1"/>
                <w:color w:val="auto"/>
              </w:rPr>
            </w:pPr>
          </w:p>
        </w:tc>
      </w:tr>
      <w:tr>
        <w:trPr>
          <w:trHeight w:val="211"/>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(84,843)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(138,526)</w:t>
            </w:r>
          </w:p>
        </w:tc>
        <w:tc>
          <w:tcPr>
            <w:tcW w:w="0" w:type="dxa"/>
            <w:vAlign w:val="bottom"/>
          </w:tcPr>
          <w:p>
            <w:pPr>
              <w:spacing w:after="0"/>
              <w:rPr>
                <w:sz w:val="1"/>
                <w:szCs w:val="1"/>
                <w:color w:val="auto"/>
              </w:rPr>
            </w:pPr>
          </w:p>
        </w:tc>
      </w:tr>
      <w:tr>
        <w:trPr>
          <w:trHeight w:val="207"/>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(16,033)</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(17,118)</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(13,213)</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September 30,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(101,961)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(151,739)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(111,766)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(148,098)</w:t>
            </w:r>
          </w:p>
        </w:tc>
        <w:tc>
          <w:tcPr>
            <w:tcW w:w="0" w:type="dxa"/>
            <w:vAlign w:val="bottom"/>
          </w:tcPr>
          <w:p>
            <w:pPr>
              <w:spacing w:after="0"/>
              <w:rPr>
                <w:sz w:val="1"/>
                <w:szCs w:val="1"/>
                <w:color w:val="auto"/>
              </w:rPr>
            </w:pPr>
          </w:p>
        </w:tc>
      </w:tr>
      <w:tr>
        <w:trPr>
          <w:trHeight w:val="207"/>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(51,533)</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57,810</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4,672</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6,277</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September 30,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(110,161)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(141,821)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before-tax, income tax (provision) benefit, and net-of-tax amounts related to each component of OCI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Before-tax amount</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(16,941)</w:t>
            </w:r>
          </w:p>
        </w:tc>
        <w:tc>
          <w:tcPr>
            <w:tcW w:w="0" w:type="dxa"/>
            <w:vAlign w:val="bottom"/>
          </w:tcPr>
          <w:p>
            <w:pPr>
              <w:spacing w:after="0"/>
              <w:rPr>
                <w:sz w:val="1"/>
                <w:szCs w:val="1"/>
                <w:color w:val="auto"/>
              </w:rPr>
            </w:pPr>
          </w:p>
        </w:tc>
      </w:tr>
      <w:tr>
        <w:trPr>
          <w:trHeight w:val="162"/>
        </w:trPr>
        <w:tc>
          <w:tcPr>
            <w:tcW w:w="43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Foreign currency translation adjustment reclassified to net</w:t>
            </w:r>
          </w:p>
        </w:tc>
        <w:tc>
          <w:tcPr>
            <w:tcW w:w="2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57,321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(loss) for sale or disposal of business</w:t>
            </w:r>
          </w:p>
        </w:tc>
        <w:tc>
          <w:tcPr>
            <w:tcW w:w="2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3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Net unrealized gain (loss) on derivative instruments, designated</w:t>
            </w:r>
          </w:p>
        </w:tc>
        <w:tc>
          <w:tcPr>
            <w:tcW w:w="26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as cash flow hedges</w:t>
            </w:r>
          </w:p>
        </w:tc>
        <w:tc>
          <w:tcPr>
            <w:tcW w:w="26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hedging (gain) loss reclassified to net income (loss)</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43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2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(loss)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before tax</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Tax (provision) benefit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165"/>
        </w:trPr>
        <w:tc>
          <w:tcPr>
            <w:tcW w:w="43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Foreign currency translation adjustment reclassified to net</w:t>
            </w:r>
          </w:p>
        </w:tc>
        <w:tc>
          <w:tcPr>
            <w:tcW w:w="26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(loss) for sale or disposal of business</w:t>
            </w:r>
          </w:p>
        </w:tc>
        <w:tc>
          <w:tcPr>
            <w:tcW w:w="26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3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Net unrealized gain (loss) on derivative instruments, designated</w:t>
            </w:r>
          </w:p>
        </w:tc>
        <w:tc>
          <w:tcPr>
            <w:tcW w:w="260" w:type="dxa"/>
            <w:vAlign w:val="bottom"/>
          </w:tcPr>
          <w:p>
            <w:pPr>
              <w:spacing w:after="0"/>
              <w:rPr>
                <w:sz w:val="14"/>
                <w:szCs w:val="14"/>
                <w:color w:val="auto"/>
              </w:rPr>
            </w:pPr>
          </w:p>
        </w:tc>
        <w:tc>
          <w:tcPr>
            <w:tcW w:w="1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as cash flow hedges</w:t>
            </w:r>
          </w:p>
        </w:tc>
        <w:tc>
          <w:tcPr>
            <w:tcW w:w="2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hedging (gain) loss reclassified to net income (loss)</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43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2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3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Total other comprehensive income (loss) tax (provision)</w:t>
            </w: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2"/>
                <w:szCs w:val="12"/>
                <w:color w:val="auto"/>
              </w:rPr>
            </w:pP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2"/>
                <w:szCs w:val="12"/>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2"/>
                <w:szCs w:val="12"/>
                <w:color w:val="auto"/>
              </w:rPr>
            </w:pP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0" w:type="dxa"/>
            <w:vAlign w:val="bottom"/>
          </w:tcPr>
          <w:p>
            <w:pPr>
              <w:spacing w:after="0"/>
              <w:rPr>
                <w:sz w:val="1"/>
                <w:szCs w:val="1"/>
                <w:color w:val="auto"/>
              </w:rPr>
            </w:pPr>
          </w:p>
        </w:tc>
      </w:tr>
      <w:tr>
        <w:trPr>
          <w:trHeight w:val="19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26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Net-of-tax amount</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(17,118)</w:t>
            </w:r>
          </w:p>
        </w:tc>
        <w:tc>
          <w:tcPr>
            <w:tcW w:w="0" w:type="dxa"/>
            <w:vAlign w:val="bottom"/>
          </w:tcPr>
          <w:p>
            <w:pPr>
              <w:spacing w:after="0"/>
              <w:rPr>
                <w:sz w:val="1"/>
                <w:szCs w:val="1"/>
                <w:color w:val="auto"/>
              </w:rPr>
            </w:pPr>
          </w:p>
        </w:tc>
      </w:tr>
      <w:tr>
        <w:trPr>
          <w:trHeight w:val="162"/>
        </w:trPr>
        <w:tc>
          <w:tcPr>
            <w:tcW w:w="43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Foreign currency translation adjustment reclassified to net</w:t>
            </w:r>
          </w:p>
        </w:tc>
        <w:tc>
          <w:tcPr>
            <w:tcW w:w="2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57,321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(loss) for sale or disposal of business</w:t>
            </w:r>
          </w:p>
        </w:tc>
        <w:tc>
          <w:tcPr>
            <w:tcW w:w="2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3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Net unrealized gain (loss) on derivative instruments, designated</w:t>
            </w:r>
          </w:p>
        </w:tc>
        <w:tc>
          <w:tcPr>
            <w:tcW w:w="26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as cash flow hedges</w:t>
            </w:r>
          </w:p>
        </w:tc>
        <w:tc>
          <w:tcPr>
            <w:tcW w:w="26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hedging (gain) loss reclassified to net income (loss)</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43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2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(loss)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net of tax</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(13,213)</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5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fair values at September 30, 2022 and December 31, 2021 do not reflect subsequent changes in the economy, interest rates, tax rates, and other variables that may affect the determination of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2060" w:type="dxa"/>
            <w:vAlign w:val="bottom"/>
          </w:tcPr>
          <w:p>
            <w:pPr>
              <w:jc w:val="center"/>
              <w:ind w:right="939"/>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20" w:type="dxa"/>
            <w:vAlign w:val="bottom"/>
          </w:tcPr>
          <w:p>
            <w:pPr>
              <w:jc w:val="center"/>
              <w:ind w:right="539"/>
              <w:spacing w:after="0" w:line="158"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tcPr>
          <w:p>
            <w:pPr>
              <w:jc w:val="center"/>
              <w:ind w:right="939"/>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20" w:type="dxa"/>
            <w:vAlign w:val="bottom"/>
          </w:tcPr>
          <w:p>
            <w:pPr>
              <w:jc w:val="right"/>
              <w:ind w:right="57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jc w:val="center"/>
              <w:ind w:right="9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20" w:type="dxa"/>
            <w:vAlign w:val="bottom"/>
            <w:gridSpan w:val="3"/>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60" w:type="dxa"/>
            <w:vAlign w:val="bottom"/>
          </w:tcPr>
          <w:p>
            <w:pPr>
              <w:jc w:val="center"/>
              <w:ind w:right="9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8"/>
        </w:trPr>
        <w:tc>
          <w:tcPr>
            <w:tcW w:w="4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30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   $</w:t>
            </w:r>
          </w:p>
        </w:tc>
        <w:tc>
          <w:tcPr>
            <w:tcW w:w="142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   $</w:t>
            </w:r>
          </w:p>
        </w:tc>
        <w:tc>
          <w:tcPr>
            <w:tcW w:w="20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300" w:type="dxa"/>
            <w:vAlign w:val="bottom"/>
          </w:tcPr>
          <w:p>
            <w:pPr>
              <w:spacing w:after="0"/>
              <w:rPr>
                <w:sz w:val="18"/>
                <w:szCs w:val="18"/>
                <w:color w:val="auto"/>
              </w:rPr>
            </w:pPr>
          </w:p>
        </w:tc>
        <w:tc>
          <w:tcPr>
            <w:tcW w:w="20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451,947</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363,363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450,228</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422,749</w:t>
            </w: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fair values: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Due to the liquid nature of these instruments, the carrying amount approximates fair value (Level 1).</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Credit Facility - multicurrency revolving line of credit: </w:t>
      </w:r>
      <w:r>
        <w:rPr>
          <w:rFonts w:ascii="Times New Roman" w:cs="Times New Roman" w:eastAsia="Times New Roman" w:hAnsi="Times New Roman"/>
          <w:sz w:val="18"/>
          <w:szCs w:val="18"/>
          <w:color w:val="auto"/>
        </w:rPr>
        <w:t>The revolver is not traded publicly. The fair values, which are determined based upon a hypothetical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participant, are calculated using a discounted cash flow model with Level 2 inputs, including estimates of incremental borrowing rates for debt with similar terms, maturities, and credit profiles. Refer to Note 6: Debt for a further discussion of our debt.</w:t>
      </w:r>
    </w:p>
    <w:p>
      <w:pPr>
        <w:spacing w:after="0" w:line="20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The Convertible Notes are not listed on any securities exchange but may be actively traded. The fair value is estimated using 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as it is based on quoted prices for these instruments in active markets.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Refer to Note 7: Derivative Financial Instruments for a description of our methods and assumptions in determining the fair value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derivatives, which were determined using Level 2 inputs. Each derivative asset and liability has a carrying value equal to fair value.</w:t>
      </w:r>
    </w:p>
    <w:p>
      <w:pPr>
        <w:spacing w:after="0" w:line="1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 Outcomes.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Goodwill impairment charges are recognized in Corporate unallocated. Refer to Note 5: Goodwill for discussion of goodwill impairment recognized during the second quarter of 2022. In addition, we allocate only certain production assets and intangible assets to our operating segments. We do not manage the performance of the segments on a balance sheet basis.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Products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Device Solutions </w:t>
      </w:r>
      <w:r>
        <w:rPr>
          <w:rFonts w:ascii="Times New Roman" w:cs="Times New Roman" w:eastAsia="Times New Roman" w:hAnsi="Times New Roman"/>
          <w:sz w:val="18"/>
          <w:szCs w:val="18"/>
          <w:color w:val="auto"/>
        </w:rPr>
        <w:t>– This segment primarily includes hardware products used for measurement, control, or sensing that do not have 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Networked Solutions </w:t>
      </w:r>
      <w:r>
        <w:rPr>
          <w:rFonts w:ascii="Times New Roman" w:cs="Times New Roman" w:eastAsia="Times New Roman" w:hAnsi="Times New Roman"/>
          <w:sz w:val="18"/>
          <w:szCs w:val="18"/>
          <w:color w:val="auto"/>
        </w:rPr>
        <w:t>– This segment primarily includes a combination of communicating devices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Examples from the Networked Solutions portfolio include: communicating measurement, control, or sensing endpoints, such as our Itron OpenWay® Centron and Riva meters, Itron traditional ERT® technology, Intelis smart gas meters, 500G gas communication modules, 500W water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communication modules, GenX networking infrastructure products and network interface cards (NICs), Smart City control and management software, Distribution Automation bridge devices, and specific network control and management software applications. The Industrial Internet of Things (IIoT) solutions supported by this segment include automated meter reading (AMR), advanced metering infrastructure (AMI),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these industry and smart city applications to be run and managed on a single, multi-purpose network.</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Outcomes </w:t>
      </w:r>
      <w:r>
        <w:rPr>
          <w:rFonts w:ascii="Times New Roman" w:cs="Times New Roman" w:eastAsia="Times New Roman" w:hAnsi="Times New Roman"/>
          <w:sz w:val="18"/>
          <w:szCs w:val="18"/>
          <w:color w:val="auto"/>
        </w:rPr>
        <w:t>– This segment primarily includes our value-added, enhanced software and services in which we manage, organize, analyze, and interpret raw,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anonymized and aggregated data to improve decision making, maximize operational profitability, drive resource efficiency, improve grid analytics,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Network-as-a-Service (NaaS) and Platform-as-a-Service (PaaS); forecasting software and services; our Distributed Energy Management suite of products and services; our Distributed Intelligence suite of applications and services; and any consulting-based engagement. Within the Outcomes segment, we also identify new business models, including performance-based contracting, to drive broader portfolio offerings across utilities and cities.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gross profit, and operating income associated with our operating segments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10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9"/>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Product revenues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334,212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480,808</w:t>
            </w: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731,358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736,397</w:t>
            </w: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41,929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48,265</w:t>
            </w:r>
          </w:p>
        </w:tc>
      </w:tr>
      <w:tr>
        <w:trPr>
          <w:trHeight w:val="207"/>
        </w:trPr>
        <w:tc>
          <w:tcPr>
            <w:tcW w:w="43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347,791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410,947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1,107,499</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1,265,470</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Service revenues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7,174</w:t>
            </w: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86,796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91,473</w:t>
            </w: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129,612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131,818</w:t>
            </w:r>
          </w:p>
        </w:tc>
      </w:tr>
      <w:tr>
        <w:trPr>
          <w:trHeight w:val="207"/>
        </w:trPr>
        <w:tc>
          <w:tcPr>
            <w:tcW w:w="43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73,069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76,002</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220,574</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230,465</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338,378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487,982</w:t>
            </w: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818,154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827,870</w:t>
            </w: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171,541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180,083</w:t>
            </w:r>
          </w:p>
        </w:tc>
      </w:tr>
      <w:tr>
        <w:trPr>
          <w:trHeight w:val="207"/>
        </w:trPr>
        <w:tc>
          <w:tcPr>
            <w:tcW w:w="43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420,860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486,949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1,328,073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1,495,935</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85,228</w:t>
            </w: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263,155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298,627</w:t>
            </w: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67,747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68,027</w:t>
            </w:r>
          </w:p>
        </w:tc>
      </w:tr>
      <w:tr>
        <w:trPr>
          <w:trHeight w:val="207"/>
        </w:trPr>
        <w:tc>
          <w:tcPr>
            <w:tcW w:w="43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120,062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134,963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381,391</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451,882</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53,784</w:t>
            </w: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177,929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205,071</w:t>
            </w: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34,647</w:t>
            </w:r>
          </w:p>
        </w:tc>
      </w:tr>
      <w:tr>
        <w:trPr>
          <w:trHeight w:val="213"/>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Corporate unallocated</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(66,157)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(80,856)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(250,641)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(265,331)</w:t>
            </w:r>
          </w:p>
        </w:tc>
      </w:tr>
      <w:tr>
        <w:trPr>
          <w:trHeight w:val="212"/>
        </w:trPr>
        <w:tc>
          <w:tcPr>
            <w:tcW w:w="4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28,171</w:t>
            </w:r>
          </w:p>
        </w:tc>
      </w:tr>
      <w:tr>
        <w:trPr>
          <w:trHeight w:val="213"/>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(42,465)</w:t>
            </w:r>
          </w:p>
        </w:tc>
      </w:tr>
      <w:tr>
        <w:trPr>
          <w:trHeight w:val="235"/>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(14,294)</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2022 and 2021, no customer represented more than 10% of total company revenue.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region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10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and Canada</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947,684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957,993</w:t>
            </w: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306,962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437,768</w:t>
            </w: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73,427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100,174</w:t>
            </w:r>
          </w:p>
        </w:tc>
      </w:tr>
      <w:tr>
        <w:trPr>
          <w:trHeight w:val="207"/>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420,860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486,949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1,328,073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1,495,935</w:t>
            </w:r>
          </w:p>
        </w:tc>
      </w:tr>
      <w:tr>
        <w:trPr>
          <w:trHeight w:val="23"/>
        </w:trPr>
        <w:tc>
          <w:tcPr>
            <w:tcW w:w="4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is allocated to the operating segments based upon each segment's use of the assets. All amortization expense is recognized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unallocated. Depreciation and amortization of intangible assets expense associated with our operating segments was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Device Solutions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17,708</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Networked Solutions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12,801</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Outcomes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w:t>
            </w:r>
          </w:p>
        </w:tc>
      </w:tr>
      <w:tr>
        <w:trPr>
          <w:trHeight w:val="21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unallocated</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22,253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30,312</w:t>
            </w:r>
          </w:p>
        </w:tc>
      </w:tr>
      <w:tr>
        <w:trPr>
          <w:trHeight w:val="234"/>
        </w:trPr>
        <w:tc>
          <w:tcPr>
            <w:tcW w:w="4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50,612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64,252</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significant net changes in the contract assets and the contract liabilities balances during the period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6"/>
                <w:szCs w:val="16"/>
                <w:color w:val="auto"/>
              </w:rPr>
            </w:pPr>
          </w:p>
        </w:tc>
        <w:tc>
          <w:tcPr>
            <w:tcW w:w="20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Contract Liabilities, Less</w:t>
            </w:r>
          </w:p>
        </w:tc>
        <w:tc>
          <w:tcPr>
            <w:tcW w:w="0" w:type="dxa"/>
            <w:vAlign w:val="bottom"/>
          </w:tcPr>
          <w:p>
            <w:pPr>
              <w:spacing w:after="0"/>
              <w:rPr>
                <w:sz w:val="1"/>
                <w:szCs w:val="1"/>
                <w:color w:val="auto"/>
              </w:rPr>
            </w:pPr>
          </w:p>
        </w:tc>
      </w:tr>
      <w:tr>
        <w:trPr>
          <w:trHeight w:val="214"/>
        </w:trPr>
        <w:tc>
          <w:tcPr>
            <w:tcW w:w="90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Contract Assets</w:t>
            </w:r>
          </w:p>
        </w:tc>
        <w:tc>
          <w:tcPr>
            <w:tcW w:w="0" w:type="dxa"/>
            <w:vAlign w:val="bottom"/>
          </w:tcPr>
          <w:p>
            <w:pPr>
              <w:spacing w:after="0"/>
              <w:rPr>
                <w:sz w:val="1"/>
                <w:szCs w:val="1"/>
                <w:color w:val="auto"/>
              </w:rPr>
            </w:pPr>
          </w:p>
        </w:tc>
      </w:tr>
      <w:tr>
        <w:trPr>
          <w:trHeight w:val="211"/>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January 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83,180</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recognized from beginning contract liability</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(47,909)</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Cumulative catch-up adjustments</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Increases due to amounts collected or due</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246,723</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recognized from current period increases</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(192,423)</w:t>
            </w:r>
          </w:p>
        </w:tc>
        <w:tc>
          <w:tcPr>
            <w:tcW w:w="0" w:type="dxa"/>
            <w:vAlign w:val="bottom"/>
          </w:tcPr>
          <w:p>
            <w:pPr>
              <w:spacing w:after="0"/>
              <w:rPr>
                <w:sz w:val="1"/>
                <w:szCs w:val="1"/>
                <w:color w:val="auto"/>
              </w:rPr>
            </w:pP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0" w:type="dxa"/>
            <w:vAlign w:val="bottom"/>
          </w:tcPr>
          <w:p>
            <w:pPr>
              <w:spacing w:after="0"/>
              <w:rPr>
                <w:sz w:val="1"/>
                <w:szCs w:val="1"/>
                <w:color w:val="auto"/>
              </w:rPr>
            </w:pPr>
          </w:p>
        </w:tc>
      </w:tr>
      <w:tr>
        <w:trPr>
          <w:trHeight w:val="237"/>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September 30,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87,814</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 2022, total contract assets were $33.7 million and total contract liabilities were $116.9 million. On September 30, 2022, total contract assets were $58.3 million and total contract liabilities were $146.1 million. The contract assets primarily relate to contracts that include a retention clause and allocations related to contracts with multiple performance obligations. The contract liabilities primarily relate to deferred revenue, such as extended warranty and maintenance cost. The cumulative catch-up adjustments relate to contract modifications, measure-of-progress changes, and changes in the estimate of the transaction price.</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Transaction price allocated to the remaining performance obligations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related to contracts is approximately $1.4 billion for the next 12 months and approximately $1.6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recognized over the warranty period, and hardware, which is recognized as units are delivered. The estimate of when remaining performance obligations will be recognized requires significant judgment.</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to obtain a contract and cost to fulfill a contract with a customer</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Refer to Note 15: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Sale of Business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Sale to Dresser</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2, 2021, Itron entered into a definitive securities and asset purchase agreement to sell certain of its Gas device manufacturing and business operations in Europe and North America to Dresser. The sale included one German subsidiary – Itron GmbH along with its business operations, personnel, and the owned manufacturing facility in Karlsruhe; the business operations, personnel, and assets associated with the leased manufacturing facility in Argenteuil, France; and the business and manufacturing assets maintained at one of our contract manufacturers in North America. The base sale price of this divestiture was $75.0 million, with adjustments for (1) pension liabilities assumed by Dresser for related active employees and (2) the final working capital balance. Cash proceeds from the sale were $55.9 million.</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transaction closed on February 28, 2022. The final sales price and loss on sale will be determined and recognized after the finalization of the working capital adjustment, expected in the fourth quarter of 2022. As of December 31, 2021, we recognized a pre-tax impairment loss of $34.4 million as well as $3.1 million for professional services in conjunction with the planned sale to Dresser (classified within loss on sale of business within the Consolidated Statements of Operations). In determining the amount of the impairment loss for the assets of this transaction during the fourth quarter of 2021, we included $59.7 million of accumulated foreign currency translation losses and $0.9 million in unrealized loss on defined benefit pension plans, both classified within AOCI. Upon closing of the sale transaction in the first quarter of 2022, the then outstanding amounts in AOCI were reclassified to net income through loss on sale of business for a total of $55.4 million, with a corresponding reversal of the impairment loss originally booked in the fourth quarter of 2021. The difference between the amounts included for the impairment loss in the fourth quarter of 2021 and the first quarter of 2022 was driven by the change in the euro to U.S. dollar exchange rate, and operating results for the period owned in 2022.</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2022, we recognized additional loss of $2.2 million related to changes in the working capital balances and additional professional services. In the second quarter of 2022, the loss increased by $0.2 million for professional services related to the divestiture. In the third quarter of 2022, we recognized additional loss of $0.8 million related primarily to a true-up in the working capital balances.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unaudited consolidated financial statements and notes included in this report and with the consolidated financial statements and the notes thereto for the fiscal year ended December 31, 2021 filed with the Securities and Exchange Commission (SEC) in our Annual Report on Form 10-K on February 28, 2022 (2021 Annual Report).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 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the analysis will enhance a reader’s understanding of our financial condition, cash flows, and other changes in financial condition and results of operations.</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Documents we provide to the SEC are available free of charge under the Investors section of our website at </w:t>
      </w:r>
      <w:r>
        <w:rPr>
          <w:rFonts w:ascii="Times New Roman" w:cs="Times New Roman" w:eastAsia="Times New Roman" w:hAnsi="Times New Roman"/>
          <w:sz w:val="18"/>
          <w:szCs w:val="18"/>
          <w:i w:val="1"/>
          <w:iCs w:val="1"/>
          <w:color w:val="auto"/>
        </w:rPr>
        <w:t>www.itron.com</w:t>
      </w:r>
      <w:r>
        <w:rPr>
          <w:rFonts w:ascii="Times New Roman" w:cs="Times New Roman" w:eastAsia="Times New Roman" w:hAnsi="Times New Roman"/>
          <w:sz w:val="18"/>
          <w:szCs w:val="18"/>
          <w:color w:val="auto"/>
        </w:rPr>
        <w:t xml:space="preserve"> as soon as practicable after they are filed with or furnished to the SEC. In addition, these documents are available at the SEC's website (http://</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Forward-Looking Statements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222222"/>
        </w:rPr>
        <w:t>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Quarterly Report on Form 10-Q.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such as the COVID-19 pandemic and other factors that are more fully described in Part I, Item 1A: Risk Factors included in our 2021 Annual Report and other reports on file with the SEC. We undertake no obligation to update or revise any forward-looking statement, whether written or oral.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technology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The product and operating definitions of the three segments are as follows:</w:t>
      </w:r>
    </w:p>
    <w:p>
      <w:pPr>
        <w:spacing w:after="0" w:line="2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Device Solutions </w:t>
      </w:r>
      <w:r>
        <w:rPr>
          <w:rFonts w:ascii="Times New Roman" w:cs="Times New Roman" w:eastAsia="Times New Roman" w:hAnsi="Times New Roman"/>
          <w:sz w:val="18"/>
          <w:szCs w:val="18"/>
          <w:color w:val="auto"/>
        </w:rPr>
        <w:t>– This segment primarily includes hardware products used for measurement, control, or sensing that do not have 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Networked Solutions </w:t>
      </w:r>
      <w:r>
        <w:rPr>
          <w:rFonts w:ascii="Times New Roman" w:cs="Times New Roman" w:eastAsia="Times New Roman" w:hAnsi="Times New Roman"/>
          <w:sz w:val="18"/>
          <w:szCs w:val="18"/>
          <w:color w:val="auto"/>
        </w:rPr>
        <w:t>– This segment primarily includes a combination of communicating devices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Examples from the Networked Solutions portfolio include: communicating measurement, control, or sensing endpoints, such as our Itron OpenWay® Centron and Riva meters, Itron traditional ERT® technology, Intelis smart gas meters, 500G gas communication modules, 500W water communication modules, GenX networking infrastructure products and network interface cards (NICs), Smart City control and management software, Distribution Automation bridge devices, and specific network control and management software applications. The Industrial Internet of Things (IIoT) solutions supported by this segment include automated meter reading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(AMR), advanced metering infrastructure (AMI),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these industry and smart city applications to be run and managed on a single, multi-purpose network.</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Outcomes </w:t>
      </w:r>
      <w:r>
        <w:rPr>
          <w:rFonts w:ascii="Times New Roman" w:cs="Times New Roman" w:eastAsia="Times New Roman" w:hAnsi="Times New Roman"/>
          <w:sz w:val="18"/>
          <w:szCs w:val="18"/>
          <w:color w:val="auto"/>
        </w:rPr>
        <w:t>– This segment primarily includes our value-added, enhanced software and services in which we manage, organize, analyze, and interpret raw,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anonymized and aggregated data to improve decision making, maximize operational profitability, drive resource efficiency, improve grid analytics,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Network-as-a-Service (NaaS) and Platform-as-a-Service (PaaS); forecasting software and services; our Distributed Energy Management suite of products and services; our Distributed Intelligence suite of applications and services; and any consulting-based engagement. Within the Outcomes segment, we also identify new business models, including performance-based contracting, to drive broader portfolio offerings across utilities and cities.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Non-GAAP Measures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constant currency</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Refer to the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section below on pages 46-49 for information about these non-GAAP measures and the detailed reconciliation of items that impacted free cash flow, non-GAAP operating expense, non-GAAP operating income, non-GAAP net income, adjusted EBITDA, and non-GAAP diluted EPS in the presented periods.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Highlights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 xml:space="preserve">Highlights and significant developments for the </w:t>
      </w:r>
      <w:r>
        <w:rPr>
          <w:rFonts w:ascii="Times New Roman" w:cs="Times New Roman" w:eastAsia="Times New Roman" w:hAnsi="Times New Roman"/>
          <w:sz w:val="18"/>
          <w:szCs w:val="18"/>
          <w:i w:val="1"/>
          <w:iCs w:val="1"/>
          <w:color w:val="000000"/>
        </w:rPr>
        <w:t>three months ended September 30, 2022 compared with the three months ended September 30, 2021</w:t>
      </w:r>
    </w:p>
    <w:p>
      <w:pPr>
        <w:spacing w:after="0" w:line="65" w:lineRule="exact"/>
        <w:rPr>
          <w:sz w:val="20"/>
          <w:szCs w:val="20"/>
          <w:color w:val="auto"/>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Revenues were $420.9 million compared with $486.9 million in 2021, a decrease of 14%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Gross margin was </w:t>
      </w:r>
      <w:r>
        <w:rPr>
          <w:rFonts w:ascii="Times New Roman" w:cs="Times New Roman" w:eastAsia="Times New Roman" w:hAnsi="Times New Roman"/>
          <w:sz w:val="18"/>
          <w:szCs w:val="18"/>
          <w:color w:val="000000"/>
        </w:rPr>
        <w:t>28.5%</w:t>
      </w:r>
      <w:r>
        <w:rPr>
          <w:rFonts w:ascii="Times New Roman" w:cs="Times New Roman" w:eastAsia="Times New Roman" w:hAnsi="Times New Roman"/>
          <w:sz w:val="18"/>
          <w:szCs w:val="18"/>
          <w:color w:val="222222"/>
        </w:rPr>
        <w:t>, compared with 27.7% in 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Operating expenses decreased $17.6 million, or 13%, compared with 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Net income attributable to Itron, Inc. was $4.1 million compared with net loss of $1.9 million in 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GAAP diluted EPS increased by </w:t>
      </w:r>
      <w:r>
        <w:rPr>
          <w:rFonts w:ascii="Times New Roman" w:cs="Times New Roman" w:eastAsia="Times New Roman" w:hAnsi="Times New Roman"/>
          <w:sz w:val="18"/>
          <w:szCs w:val="18"/>
          <w:color w:val="000000"/>
        </w:rPr>
        <w:t>$0.13</w:t>
      </w:r>
      <w:r>
        <w:rPr>
          <w:rFonts w:ascii="Times New Roman" w:cs="Times New Roman" w:eastAsia="Times New Roman" w:hAnsi="Times New Roman"/>
          <w:sz w:val="18"/>
          <w:szCs w:val="18"/>
          <w:color w:val="222222"/>
        </w:rPr>
        <w:t xml:space="preserve"> to a diluted income per share of $0.09 in 2022</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net income attributable to Itron, Inc. was $10.5 million compared with $9.5 million in 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diluted EPS was $0.23, an increase of $0.02 compared with 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Adjusted EBITDA was $24.3 million compared with $26.1 million in 2021</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 xml:space="preserve">Highlights and significant developments for the </w:t>
      </w:r>
      <w:r>
        <w:rPr>
          <w:rFonts w:ascii="Times New Roman" w:cs="Times New Roman" w:eastAsia="Times New Roman" w:hAnsi="Times New Roman"/>
          <w:sz w:val="18"/>
          <w:szCs w:val="18"/>
          <w:i w:val="1"/>
          <w:iCs w:val="1"/>
          <w:color w:val="000000"/>
        </w:rPr>
        <w:t>nine</w:t>
      </w:r>
      <w:r>
        <w:rPr>
          <w:rFonts w:ascii="Times New Roman" w:cs="Times New Roman" w:eastAsia="Times New Roman" w:hAnsi="Times New Roman"/>
          <w:sz w:val="18"/>
          <w:szCs w:val="18"/>
          <w:i w:val="1"/>
          <w:iCs w:val="1"/>
          <w:color w:val="222222"/>
        </w:rPr>
        <w:t xml:space="preserve"> months ended </w:t>
      </w:r>
      <w:r>
        <w:rPr>
          <w:rFonts w:ascii="Times New Roman" w:cs="Times New Roman" w:eastAsia="Times New Roman" w:hAnsi="Times New Roman"/>
          <w:sz w:val="18"/>
          <w:szCs w:val="18"/>
          <w:i w:val="1"/>
          <w:iCs w:val="1"/>
          <w:color w:val="000000"/>
        </w:rPr>
        <w:t>September 30, 2022 compared with the nine months ended September 30, 2021</w:t>
      </w:r>
    </w:p>
    <w:p>
      <w:pPr>
        <w:spacing w:after="0" w:line="65" w:lineRule="exact"/>
        <w:rPr>
          <w:sz w:val="20"/>
          <w:szCs w:val="20"/>
          <w:color w:val="auto"/>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Revenues were $1.3 billion compared with $1.5 billion in 2021, a decrease of $167.9 million, or 11%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Gross margin was 28.7% compared with 30.2% in 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Operating expenses decreased $22.5 million, or 5%, compared with 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 xml:space="preserve">Net loss attributable to Itron, Inc. was $31.9 million compared with net loss of $22.4 million in </w:t>
      </w:r>
      <w:r>
        <w:rPr>
          <w:rFonts w:ascii="Times New Roman" w:cs="Times New Roman" w:eastAsia="Times New Roman" w:hAnsi="Times New Roman"/>
          <w:sz w:val="18"/>
          <w:szCs w:val="18"/>
          <w:color w:val="222222"/>
        </w:rPr>
        <w:t>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GAAP loss per share increased by $0.20 to a loss per share of </w:t>
      </w:r>
      <w:r>
        <w:rPr>
          <w:rFonts w:ascii="Times New Roman" w:cs="Times New Roman" w:eastAsia="Times New Roman" w:hAnsi="Times New Roman"/>
          <w:sz w:val="18"/>
          <w:szCs w:val="18"/>
          <w:color w:val="000000"/>
        </w:rPr>
        <w:t>$0.71 in</w:t>
      </w:r>
      <w:r>
        <w:rPr>
          <w:rFonts w:ascii="Times New Roman" w:cs="Times New Roman" w:eastAsia="Times New Roman" w:hAnsi="Times New Roman"/>
          <w:sz w:val="18"/>
          <w:szCs w:val="18"/>
          <w:color w:val="222222"/>
        </w:rPr>
        <w:t xml:space="preserve"> 2022</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Non-GAAP net income attributable to Itron, Inc. was </w:t>
      </w:r>
      <w:r>
        <w:rPr>
          <w:rFonts w:ascii="Times New Roman" w:cs="Times New Roman" w:eastAsia="Times New Roman" w:hAnsi="Times New Roman"/>
          <w:sz w:val="18"/>
          <w:szCs w:val="18"/>
          <w:color w:val="000000"/>
        </w:rPr>
        <w:t>$18.8 million</w:t>
      </w:r>
      <w:r>
        <w:rPr>
          <w:rFonts w:ascii="Times New Roman" w:cs="Times New Roman" w:eastAsia="Times New Roman" w:hAnsi="Times New Roman"/>
          <w:sz w:val="18"/>
          <w:szCs w:val="18"/>
          <w:color w:val="222222"/>
        </w:rPr>
        <w:t xml:space="preserve"> compared with </w:t>
      </w:r>
      <w:r>
        <w:rPr>
          <w:rFonts w:ascii="Times New Roman" w:cs="Times New Roman" w:eastAsia="Times New Roman" w:hAnsi="Times New Roman"/>
          <w:sz w:val="18"/>
          <w:szCs w:val="18"/>
          <w:color w:val="000000"/>
        </w:rPr>
        <w:t>$44.0 million</w:t>
      </w:r>
      <w:r>
        <w:rPr>
          <w:rFonts w:ascii="Times New Roman" w:cs="Times New Roman" w:eastAsia="Times New Roman" w:hAnsi="Times New Roman"/>
          <w:sz w:val="18"/>
          <w:szCs w:val="18"/>
          <w:color w:val="222222"/>
        </w:rPr>
        <w:t xml:space="preserve"> in 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diluted EPS was $0.42, a decrease of $0.57 compared with 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 xml:space="preserve">Adjusted EBITDA was $60.7 million compared with $112.0 million in </w:t>
      </w:r>
      <w:r>
        <w:rPr>
          <w:rFonts w:ascii="Times New Roman" w:cs="Times New Roman" w:eastAsia="Times New Roman" w:hAnsi="Times New Roman"/>
          <w:sz w:val="18"/>
          <w:szCs w:val="18"/>
          <w:color w:val="222222"/>
        </w:rPr>
        <w:t>2021</w:t>
      </w:r>
    </w:p>
    <w:p>
      <w:pPr>
        <w:spacing w:after="0" w:line="3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Bookings and Backlog</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Bookings during the quarter were $578 million resulting in a book to bill ratio of 1.4:1. </w:t>
      </w:r>
      <w:r>
        <w:rPr>
          <w:rFonts w:ascii="Times New Roman" w:cs="Times New Roman" w:eastAsia="Times New Roman" w:hAnsi="Times New Roman"/>
          <w:sz w:val="18"/>
          <w:szCs w:val="18"/>
          <w:color w:val="222222"/>
        </w:rPr>
        <w:t>Total backlog was $4.2 billion, and twelve-month backlog was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billion at </w:t>
      </w:r>
      <w:r>
        <w:rPr>
          <w:rFonts w:ascii="Times New Roman" w:cs="Times New Roman" w:eastAsia="Times New Roman" w:hAnsi="Times New Roman"/>
          <w:sz w:val="18"/>
          <w:szCs w:val="18"/>
          <w:color w:val="000000"/>
        </w:rPr>
        <w:t>September 30, 2022, compared with $3.4 billion and $1.4 billion at September 30, 2021.</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the result of increases in raw material, component, labor and other costs, coupled with a decrease in forecasted revenue within the Device Solutions operating segment and reporting unit, which we determined during the second quarter of 2022, we performed an interim goodwill impairment test. At the conclusion of the test, a goodwill impairment of $38.5 million was recognized in our Corporate unallocated segment as of June 30, 2022. No interim impairment test was determined to be necessary for the Networked Solutions or Outcomes reporting units. Refer to Note 1: Summary of Significant Accounting Policies in Part II, Item 8: Financial Statements and Supplementary Data of our Annual Report on Form 10-K for the fiscal year ended December 31, 2021 for a description of our reporting units and our method used to determine the fair values of our reporting units and to determine the amount of any goodwill impairment.</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Sale of Business</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November 2, 2021, Itron entered into a definitive securities and asset purchase agreement to sell certain of its Gas device manufacturing and business operations in Europe and North America to Dresser Utility Solutions (Dresser). The sale included one German subsidiary – Itron GmbH along with its business operations, personnel, and the owned manufacturing facility in Karlsruhe; the business operations, personnel, and assets associated with the leased manufacturing facility in Argenteuil, France; and the business and manufacturing assets maintained at one of our contract manufacturers in North America. The base sale price of this divestiture was $75.0 million, with adjustments for (1) pension liabilities assumed by Dresser for related active employees and</w:t>
      </w:r>
    </w:p>
    <w:p>
      <w:pPr>
        <w:spacing w:after="0" w:line="2" w:lineRule="exact"/>
        <w:rPr>
          <w:sz w:val="20"/>
          <w:szCs w:val="20"/>
          <w:color w:val="auto"/>
        </w:rPr>
      </w:pPr>
    </w:p>
    <w:p>
      <w:pPr>
        <w:ind w:left="5540" w:right="5040" w:hanging="5532"/>
        <w:spacing w:after="0" w:line="604" w:lineRule="auto"/>
        <w:tabs>
          <w:tab w:leader="none" w:pos="26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final working capital balance. Cash proceeds from the sale were $55.9 million.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transaction closed on February 28, 2022. The final sales price and loss on sale will be determined and recognized after the finalization of the working capital adjustment, expected in the fourth quarter of 2022. As of December 31, 2021, we recognized a pre-tax impairment loss of $34.4 million as well as $3.1 million for professional services in conjunction with the planned sale to Dresser (classified within loss on sale of business within the Consolidated Statements of Operations). In determining the amount of the impairment loss for the assets of this transaction during the fourth quarter of 2021, we included $59.7 million of accumulated foreign currency translation losses and $0.9 million in unrealized loss on defined benefit pension plans, both classified within accumulated other comprehensive income (AOCI). Upon closing of the sale transaction in the first quarter of 2022, the then outstanding amounts in AOCI were reclassified to net income through loss on sale of business for a total of $55.4 million, with a corresponding reversal of the impairment loss originally booked in the fourth quarter of 2021. The difference between the amounts included for the impairment loss in the fourth quarter of 2021 and the first quarter of 2022 was driven by the change in the euro to U.S. dollar exchange rate, and operating results for the period owned in 2022.</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2022, we recognized additional loss of $2.2 million related to changes in the working capital balances and additional professional services. In the second quarter of 2022, the loss increased by $0.2 million for professional services related to the divestiture. In the third quarter of 2022, we recognized additional loss of $0.8 million related primarily to a true-up in the working capital balances.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Impact of COVID-19, Supply Chain Challenges, and the Conflict in Ukraine</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COVID-19 pandemic has had global economic impacts including disrupting customer demand and global supply chains, resulting in market volatility. The extent of the recent pandemic and its ongoing impact on our operations is volatile, but is being monitored closely by our management. New variants of the virus may cause previously lifted restrictions to be reinstated, which could result in more disruptions. As economies have reopened, global supply chains have struggled to keep pace with rapidly changing demand. The resulting supply constraints have manifested across a variety of areas including mechanical, electrical, and logistics portions of the supply chain, which has impacted our ability to ship products in a timely manner. In particular, our ability to obtain adequate supply of semiconductor components has impacted our ability to service recovering customer demand. While we believe the current imbalance in supply and demand is temporal, the timeline to recovery is uncertain. Efforts are ongoing with suppliers to increase supply, including the approval of alternate sources. Recently, inflation in our raw materials and component costs, freight charges, and labor costs have increased above historical levels, due to, among other things, the continuing impacts of the pandemic and uncertain economic environment. We may or may not be able to fully recover these increased costs through pricing actions with our customers. At this time, we have not identified any significant decrease in long-term customer demand for our products and services. However, certain of our customer projects have experienced delay in deliveries, with revenue originally forecasted in prior periods shifting to future periods. For more information on risks associated with the COVID-19 pandemic, please see our risk in Part I, Item 1A, Risk Factors in our 2021 Annual Report.</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COVID-19 pandemic remains a rapidly evolving situation with varying impacts on the locations in which we do business. Changes in the mix of earnings or losses from our different geographical operations, as well as any future enactment of tax legislation and other factors, may result in more volatile quarterly and annual effective tax rates. The detrimental impacts to financial results may be partially offset by financial assistance from the U.S. or the municipalities in which we operate, including employer payroll tax credits for wages paid to employees who are unable to work during the COVID-19 pandemic. Other benefits, including options to defer payroll tax payments and additional deductions, resulted in reduced cash payments in 2020, but increased cash outlays during 2021 and into 2022.</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have limited direct business exposure in Russia, Belarus and Ukraine, the Russian military actions and the resulting sanctions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the military action, sanctions, and resulting market and/or supply disruptions are impossible to predict, but could be substantial. During the third quarter of 2022, we substantially liquidated our legal entity in Russia, recognizing a loss of $1.9 million for the reclassification of the currency translation adjustment from accumulated other comprehensive income. The loss was classified within sales, general and administrative expense within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GAAP and Non-GAAP Highlights and Unit Shipments: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gridSpan w:val="7"/>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350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2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i w:val="1"/>
                <w:iCs w:val="1"/>
                <w:color w:val="auto"/>
              </w:rPr>
              <w:t>In thousands, except margin and per share data</w:t>
            </w: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171"/>
        </w:trPr>
        <w:tc>
          <w:tcPr>
            <w:tcW w:w="20" w:type="dxa"/>
            <w:vAlign w:val="bottom"/>
          </w:tcPr>
          <w:p>
            <w:pPr>
              <w:spacing w:after="0"/>
              <w:rPr>
                <w:sz w:val="14"/>
                <w:szCs w:val="14"/>
                <w:color w:val="auto"/>
              </w:rPr>
            </w:pPr>
          </w:p>
        </w:tc>
        <w:tc>
          <w:tcPr>
            <w:tcW w:w="3720" w:type="dxa"/>
            <w:vAlign w:val="bottom"/>
            <w:gridSpan w:val="5"/>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GAAP</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Product 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347,791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410,947</w:t>
            </w:r>
          </w:p>
        </w:tc>
        <w:tc>
          <w:tcPr>
            <w:tcW w:w="11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1,107,499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1,265,470</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(12)%</w:t>
            </w:r>
          </w:p>
        </w:tc>
      </w:tr>
      <w:tr>
        <w:trPr>
          <w:trHeight w:val="213"/>
        </w:trPr>
        <w:tc>
          <w:tcPr>
            <w:tcW w:w="20" w:type="dxa"/>
            <w:vAlign w:val="bottom"/>
            <w:tcBorders>
              <w:bottom w:val="single" w:sz="8" w:color="CCEEFF"/>
            </w:tcBorders>
          </w:tcPr>
          <w:p>
            <w:pPr>
              <w:spacing w:after="0"/>
              <w:rPr>
                <w:sz w:val="18"/>
                <w:szCs w:val="18"/>
                <w:color w:val="auto"/>
              </w:rPr>
            </w:pPr>
          </w:p>
        </w:tc>
        <w:tc>
          <w:tcPr>
            <w:tcW w:w="3720" w:type="dxa"/>
            <w:vAlign w:val="bottom"/>
            <w:tcBorders>
              <w:bottom w:val="single" w:sz="8" w:color="CCEEFF"/>
            </w:tcBorders>
            <w:gridSpan w:val="5"/>
          </w:tcPr>
          <w:p>
            <w:pPr>
              <w:ind w:left="200"/>
              <w:spacing w:after="0"/>
              <w:rPr>
                <w:sz w:val="20"/>
                <w:szCs w:val="20"/>
                <w:color w:val="auto"/>
              </w:rPr>
            </w:pPr>
            <w:r>
              <w:rPr>
                <w:rFonts w:ascii="Times New Roman" w:cs="Times New Roman" w:eastAsia="Times New Roman" w:hAnsi="Times New Roman"/>
                <w:sz w:val="16"/>
                <w:szCs w:val="16"/>
                <w:color w:val="auto"/>
              </w:rPr>
              <w:t>Service revenues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73,069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76,002</w:t>
            </w:r>
          </w:p>
        </w:tc>
        <w:tc>
          <w:tcPr>
            <w:tcW w:w="116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220,574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230,465</w:t>
            </w:r>
          </w:p>
        </w:tc>
        <w:tc>
          <w:tcPr>
            <w:tcW w:w="118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(4)%</w:t>
            </w:r>
          </w:p>
        </w:tc>
      </w:tr>
      <w:tr>
        <w:trPr>
          <w:trHeight w:val="212"/>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420,860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486,949</w:t>
            </w:r>
          </w:p>
        </w:tc>
        <w:tc>
          <w:tcPr>
            <w:tcW w:w="11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1,328,073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1,495,935</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(11)%</w:t>
            </w:r>
          </w:p>
        </w:tc>
      </w:tr>
      <w:tr>
        <w:trPr>
          <w:trHeight w:val="257"/>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120,062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134,963</w:t>
            </w:r>
          </w:p>
        </w:tc>
        <w:tc>
          <w:tcPr>
            <w:tcW w:w="11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381,391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451,882</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(16)%</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113,174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130,800</w:t>
            </w:r>
          </w:p>
        </w:tc>
        <w:tc>
          <w:tcPr>
            <w:tcW w:w="11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401,211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423,711</w:t>
            </w:r>
          </w:p>
        </w:tc>
        <w:tc>
          <w:tcPr>
            <w:tcW w:w="1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(5)%</w:t>
            </w: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4,163</w:t>
            </w:r>
          </w:p>
        </w:tc>
        <w:tc>
          <w:tcPr>
            <w:tcW w:w="11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(19,820)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28,171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(4,037)</w:t>
            </w:r>
          </w:p>
        </w:tc>
        <w:tc>
          <w:tcPr>
            <w:tcW w:w="11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(6,704)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(42,465)</w:t>
            </w:r>
          </w:p>
        </w:tc>
        <w:tc>
          <w:tcPr>
            <w:tcW w:w="1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(84)%</w:t>
            </w: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(1,136)</w:t>
            </w:r>
          </w:p>
        </w:tc>
        <w:tc>
          <w:tcPr>
            <w:tcW w:w="11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(4,973)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(5,581)</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(11)%</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 (loss) attributable to Itron, Inc.</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(1,869)</w:t>
            </w: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(31,944)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(22,389)</w:t>
            </w:r>
          </w:p>
        </w:tc>
        <w:tc>
          <w:tcPr>
            <w:tcW w:w="1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5"/>
              </w:rPr>
              <w:t>43%</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372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Non-GAAP</w:t>
            </w:r>
            <w:r>
              <w:rPr>
                <w:rFonts w:ascii="Times New Roman" w:cs="Times New Roman" w:eastAsia="Times New Roman" w:hAnsi="Times New Roman"/>
                <w:sz w:val="20"/>
                <w:szCs w:val="20"/>
                <w:b w:val="1"/>
                <w:bCs w:val="1"/>
                <w:color w:val="auto"/>
                <w:vertAlign w:val="superscript"/>
              </w:rPr>
              <w:t>(1)</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105,262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118,609</w:t>
            </w:r>
          </w:p>
        </w:tc>
        <w:tc>
          <w:tcPr>
            <w:tcW w:w="11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348,265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369,721</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(6)%</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Non-GAAP operating income</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14,800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16,354</w:t>
            </w:r>
          </w:p>
        </w:tc>
        <w:tc>
          <w:tcPr>
            <w:tcW w:w="11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33,126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82,161</w:t>
            </w:r>
          </w:p>
        </w:tc>
        <w:tc>
          <w:tcPr>
            <w:tcW w:w="1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(60)%</w:t>
            </w: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10,513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9,452</w:t>
            </w:r>
          </w:p>
        </w:tc>
        <w:tc>
          <w:tcPr>
            <w:tcW w:w="11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18,817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44,043</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(57)%</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24,328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26,123</w:t>
            </w:r>
          </w:p>
        </w:tc>
        <w:tc>
          <w:tcPr>
            <w:tcW w:w="11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60,700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111,982</w:t>
            </w:r>
          </w:p>
        </w:tc>
        <w:tc>
          <w:tcPr>
            <w:tcW w:w="1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(46)%</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37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GAAP Margins and Earnings Per Share</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2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Product gross margin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25.5 %</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 gross margin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72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Total gross margin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27.7 %</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(0.51)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(0.71)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(0.51)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3"/>
        </w:trPr>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175"/>
        </w:trPr>
        <w:tc>
          <w:tcPr>
            <w:tcW w:w="20" w:type="dxa"/>
            <w:vAlign w:val="bottom"/>
          </w:tcPr>
          <w:p>
            <w:pPr>
              <w:spacing w:after="0"/>
              <w:rPr>
                <w:sz w:val="15"/>
                <w:szCs w:val="15"/>
                <w:color w:val="auto"/>
              </w:rPr>
            </w:pPr>
          </w:p>
        </w:tc>
        <w:tc>
          <w:tcPr>
            <w:tcW w:w="372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Non-GAAP Earnings Per Share</w:t>
            </w:r>
            <w:r>
              <w:rPr>
                <w:rFonts w:ascii="Times New Roman" w:cs="Times New Roman" w:eastAsia="Times New Roman" w:hAnsi="Times New Roman"/>
                <w:sz w:val="20"/>
                <w:szCs w:val="20"/>
                <w:b w:val="1"/>
                <w:bCs w:val="1"/>
                <w:color w:val="auto"/>
                <w:vertAlign w:val="superscript"/>
              </w:rPr>
              <w:t>(1)</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EPS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0.99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bl>
    <w:p>
      <w:pPr>
        <w:spacing w:after="0" w:line="81" w:lineRule="exact"/>
        <w:rPr>
          <w:sz w:val="20"/>
          <w:szCs w:val="20"/>
          <w:color w:val="auto"/>
        </w:rPr>
      </w:pPr>
    </w:p>
    <w:p>
      <w:pPr>
        <w:ind w:left="340" w:right="20" w:hanging="332"/>
        <w:spacing w:after="0" w:line="225"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measures exclude certain expenses that we do not believe are indicative of our core operating results. See pages 46-49 for information about these non-GAAP measures and reconciliations to the most comparable GAAP measures.</w:t>
      </w: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Definition of an Endpoint Under Management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 "endpoint under management" is a unique endpoint, or data from that endpoint, which Itron manages via our networked platform or a third party's platform that is connected to one or multiple types of endpoints. Itron’s management of an endpoint occurs when on behalf of our client, we manage one or more of the physical endpoints, operating system, data, application, data analytics, and/or outcome deriving from this unique endpoint. Itron has the ability to monitor and/or manage endpoints or the data from the endpoints via NaaS, Software-as-a-Service (SaaS), and/or a licensed offering at a remote location designated by our client. Our offerings typically, but not exclusively, provide an Itron product or Itron certified partner product to our clients that has the capability of one-way communication or two-way communication of data that may include remote product configuration and upgradability. Examples of these offerings include our Temetra, OpenWay®, OpenWay® Riva and Gen X.</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metric primarily includes Itron or third-party endpoints deployed within the electricity, water, and gas utility industries, as well as within cities and municipalities around the globe. Endpoints under management also include smart communication modules and network interface cards (NICs) within Itron’s platforms. At times, these NICs are communicating modules that were sold separately from an Itron product directly to our customers or to third party manufacturers for use in endpoints such as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electric, water, and gas meters; streetlights and other types of IIoT sensors and actuators; sensors and other capabilities that the end customer would like Itron to connect and manage on their behalf.</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"endpoint under management" metric only accounts for the specific, unique endpoint itself, though that endpoint may have multiple applications, services, outcomes, and higher margin recurring offerings associated with it. This metric does not reflect the multi-application value that can be derived from the individual endpoint itself. Additionally, this metric excludes those endpoints that are non-communicating, non-Itron system hardware component sales or licensed applications that Itron does not manage the unit or the data from that unit directly.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one-time sale of the platform and endpoints are primarily delivered via our Networked Solutions segment, our enhanced solutions, on-going monitoring, maintenance, software, analytics, and distributed intelligent applications are predominantly recognized in our Outcomes segment. We would anticipate the opportunity to increase our penetration of Outcomes applications, software, and managed applications will increase as our endpoints under management increases. Management believes using the endpoints under management metric enhances insight to the strategic and operational direction of our Networked Solutions and Outcomes segments to serve clients for years after their one-time installation of an endpoint.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endpoints under management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3080" w:type="dxa"/>
            <w:vAlign w:val="bottom"/>
            <w:tcBorders>
              <w:bottom w:val="single" w:sz="8" w:color="auto"/>
            </w:tcBorders>
            <w:gridSpan w:val="3"/>
          </w:tcPr>
          <w:p>
            <w:pPr>
              <w:ind w:left="154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400" w:type="dxa"/>
            <w:vAlign w:val="bottom"/>
            <w:tcBorders>
              <w:bottom w:val="single" w:sz="8" w:color="auto"/>
            </w:tcBorders>
          </w:tcPr>
          <w:p>
            <w:pPr>
              <w:spacing w:after="0"/>
              <w:rPr>
                <w:sz w:val="18"/>
                <w:szCs w:val="18"/>
                <w:color w:val="auto"/>
              </w:rPr>
            </w:pP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Units in thousands</w:t>
            </w:r>
          </w:p>
        </w:tc>
        <w:tc>
          <w:tcPr>
            <w:tcW w:w="218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Endpoints under management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91,541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78,487</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revenues and gross profit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420,860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486,949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(66,089)</w:t>
            </w:r>
          </w:p>
        </w:tc>
        <w:tc>
          <w:tcPr>
            <w:tcW w:w="0" w:type="dxa"/>
            <w:vAlign w:val="bottom"/>
          </w:tcPr>
          <w:p>
            <w:pPr>
              <w:spacing w:after="0"/>
              <w:rPr>
                <w:sz w:val="1"/>
                <w:szCs w:val="1"/>
                <w:color w:val="auto"/>
              </w:rPr>
            </w:pPr>
          </w:p>
        </w:tc>
      </w:tr>
      <w:tr>
        <w:trPr>
          <w:trHeight w:val="210"/>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(14,901)</w:t>
            </w:r>
          </w:p>
        </w:tc>
        <w:tc>
          <w:tcPr>
            <w:tcW w:w="0" w:type="dxa"/>
            <w:vAlign w:val="bottom"/>
          </w:tcPr>
          <w:p>
            <w:pPr>
              <w:spacing w:after="0"/>
              <w:rPr>
                <w:sz w:val="1"/>
                <w:szCs w:val="1"/>
                <w:color w:val="auto"/>
              </w:rPr>
            </w:pPr>
          </w:p>
        </w:tc>
      </w:tr>
      <w:tr>
        <w:trPr>
          <w:trHeight w:val="789"/>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1,328,073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1,495,935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(167,862)</w:t>
            </w:r>
          </w:p>
        </w:tc>
        <w:tc>
          <w:tcPr>
            <w:tcW w:w="0" w:type="dxa"/>
            <w:vAlign w:val="bottom"/>
          </w:tcPr>
          <w:p>
            <w:pPr>
              <w:spacing w:after="0"/>
              <w:rPr>
                <w:sz w:val="1"/>
                <w:szCs w:val="1"/>
                <w:color w:val="auto"/>
              </w:rPr>
            </w:pPr>
          </w:p>
        </w:tc>
      </w:tr>
      <w:tr>
        <w:trPr>
          <w:trHeight w:val="210"/>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381,391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451,882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(70,491)</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2022 vs. Three months ended September 30, 2021</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Total revenues decreased $66.1 million, or 14%, compared with the same period in 2021. We have been unfavorably impacted by global component constraints, which limited our ability to fulfill customer demand. Product revenues decreased by $63.2 million and service revenues decreased $2.9 million. Device Solutions decreased by $58.2 million; Networked Solutions decreased by $4.6 million; and Outcomes decreased by $3.2 million when compared with the same period last year. Revenue decreased for Device Solutions partially due to the sale of certain Gas device manufacturing and business operations in Europe and North America to Dresser. Changes in exchange rates unfavorably impacted total revenues by $21.3 million, of which $16.7 million unfavorably impacted Device Solutions.</w:t>
      </w: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2022 vs. Nine Months Ended September 30, 2021</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22222"/>
        </w:rPr>
        <w:t xml:space="preserve">Total revenues decreased $167.9 million, or 11%, compared with the same period in </w:t>
      </w:r>
      <w:r>
        <w:rPr>
          <w:rFonts w:ascii="Times New Roman" w:cs="Times New Roman" w:eastAsia="Times New Roman" w:hAnsi="Times New Roman"/>
          <w:sz w:val="18"/>
          <w:szCs w:val="18"/>
          <w:color w:val="000000"/>
        </w:rPr>
        <w:t>2021. We have been unfavorably impacted by global component</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constraints, which limited our ability to fulfill customer demand. Product revenues decreased by $158.0 million and service revenues decreased by $9.9 million. </w:t>
      </w:r>
      <w:r>
        <w:rPr>
          <w:rFonts w:ascii="Times New Roman" w:cs="Times New Roman" w:eastAsia="Times New Roman" w:hAnsi="Times New Roman"/>
          <w:sz w:val="18"/>
          <w:szCs w:val="18"/>
          <w:color w:val="222222"/>
        </w:rPr>
        <w:t>Device Solutions decreased by $149.6 million; Networked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22222"/>
        </w:rPr>
        <w:t xml:space="preserve">Solutions decreased by </w:t>
      </w:r>
      <w:r>
        <w:rPr>
          <w:rFonts w:ascii="Times New Roman" w:cs="Times New Roman" w:eastAsia="Times New Roman" w:hAnsi="Times New Roman"/>
          <w:sz w:val="18"/>
          <w:szCs w:val="18"/>
          <w:color w:val="000000"/>
        </w:rPr>
        <w:t>$9.7 million</w:t>
      </w:r>
      <w:r>
        <w:rPr>
          <w:rFonts w:ascii="Times New Roman" w:cs="Times New Roman" w:eastAsia="Times New Roman" w:hAnsi="Times New Roman"/>
          <w:sz w:val="18"/>
          <w:szCs w:val="18"/>
          <w:color w:val="222222"/>
        </w:rPr>
        <w:t xml:space="preserve">; and Outcomes decreased by $8.5 million when compared with the same period last year. </w:t>
      </w:r>
      <w:r>
        <w:rPr>
          <w:rFonts w:ascii="Times New Roman" w:cs="Times New Roman" w:eastAsia="Times New Roman" w:hAnsi="Times New Roman"/>
          <w:sz w:val="18"/>
          <w:szCs w:val="18"/>
          <w:color w:val="000000"/>
        </w:rPr>
        <w:t>Revenue decreased for</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Device Solutions partially due to the sale of certain Gas device manufacturing and business operations in Europe and North America to Dresser. </w:t>
      </w:r>
      <w:r>
        <w:rPr>
          <w:rFonts w:ascii="Times New Roman" w:cs="Times New Roman" w:eastAsia="Times New Roman" w:hAnsi="Times New Roman"/>
          <w:sz w:val="18"/>
          <w:szCs w:val="18"/>
          <w:color w:val="222222"/>
        </w:rPr>
        <w:t>C</w:t>
      </w:r>
      <w:r>
        <w:rPr>
          <w:rFonts w:ascii="Times New Roman" w:cs="Times New Roman" w:eastAsia="Times New Roman" w:hAnsi="Times New Roman"/>
          <w:sz w:val="18"/>
          <w:szCs w:val="18"/>
          <w:color w:val="000000"/>
        </w:rPr>
        <w:t xml:space="preserve">hanges in exchange rates unfavorably impacted total revenues by </w:t>
      </w:r>
      <w:r>
        <w:rPr>
          <w:rFonts w:ascii="Times New Roman" w:cs="Times New Roman" w:eastAsia="Times New Roman" w:hAnsi="Times New Roman"/>
          <w:sz w:val="18"/>
          <w:szCs w:val="18"/>
          <w:color w:val="222222"/>
        </w:rPr>
        <w:t>$52.0 million</w:t>
      </w:r>
      <w:r>
        <w:rPr>
          <w:rFonts w:ascii="Times New Roman" w:cs="Times New Roman" w:eastAsia="Times New Roman" w:hAnsi="Times New Roman"/>
          <w:sz w:val="18"/>
          <w:szCs w:val="18"/>
          <w:color w:val="000000"/>
        </w:rPr>
        <w:t xml:space="preserve">, of which </w:t>
      </w:r>
      <w:r>
        <w:rPr>
          <w:rFonts w:ascii="Times New Roman" w:cs="Times New Roman" w:eastAsia="Times New Roman" w:hAnsi="Times New Roman"/>
          <w:sz w:val="18"/>
          <w:szCs w:val="18"/>
          <w:color w:val="222222"/>
        </w:rPr>
        <w:t>$41.1 million</w:t>
      </w:r>
      <w:r>
        <w:rPr>
          <w:rFonts w:ascii="Times New Roman" w:cs="Times New Roman" w:eastAsia="Times New Roman" w:hAnsi="Times New Roman"/>
          <w:sz w:val="18"/>
          <w:szCs w:val="18"/>
          <w:color w:val="000000"/>
        </w:rPr>
        <w:t xml:space="preserve"> unfavorably impacted Device Solutions.</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 - Three months ended September 30, 2022 vs. Three months ended September 30, 2021</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22222"/>
        </w:rPr>
        <w:t xml:space="preserve">Gross margin was 28.5%, compared with 27.7% in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We were favorably impacted due to mix, partially offset by inefficiencies related to component</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shortages in 2022 compared with 2021. </w:t>
      </w:r>
      <w:r>
        <w:rPr>
          <w:rFonts w:ascii="Times New Roman" w:cs="Times New Roman" w:eastAsia="Times New Roman" w:hAnsi="Times New Roman"/>
          <w:sz w:val="18"/>
          <w:szCs w:val="18"/>
          <w:color w:val="222222"/>
        </w:rPr>
        <w:t>Product sales gross margin increased to 25.7%, compared with 25.5% in</w:t>
      </w:r>
      <w:r>
        <w:rPr>
          <w:rFonts w:ascii="Times New Roman" w:cs="Times New Roman" w:eastAsia="Times New Roman" w:hAnsi="Times New Roman"/>
          <w:sz w:val="18"/>
          <w:szCs w:val="18"/>
          <w:color w:val="000000"/>
        </w:rPr>
        <w:t xml:space="preserve"> 2021</w:t>
      </w:r>
      <w:r>
        <w:rPr>
          <w:rFonts w:ascii="Times New Roman" w:cs="Times New Roman" w:eastAsia="Times New Roman" w:hAnsi="Times New Roman"/>
          <w:sz w:val="18"/>
          <w:szCs w:val="18"/>
          <w:color w:val="222222"/>
        </w:rPr>
        <w:t>. Gross margin on service revenues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 xml:space="preserve">increased to 42.2%, compared with 39.7% in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22222"/>
        </w:rPr>
        <w:t>.</w:t>
      </w:r>
    </w:p>
    <w:p>
      <w:pPr>
        <w:spacing w:after="0" w:line="2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 - Nine months ended September 30, 2022 vs. Nine Months Ended September 30, 2021</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22222"/>
        </w:rPr>
        <w:t xml:space="preserve">Gross margin was 28.7%, compared with 30.2% in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22222"/>
        </w:rPr>
        <w:t xml:space="preserve">. We were unfavorably impacted by higher input costs and manufacturing inefficiencies in 2022 compared with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22222"/>
        </w:rPr>
        <w:t xml:space="preserve"> Product sales gross margin decreased to 26.1%, compared with 28.2% in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22222"/>
        </w:rPr>
        <w:t xml:space="preserve"> and gross margin on service revenues increased to 42.0%, compared with 41.4% in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22222"/>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Operating Segment Results section below for further detail on total company revenues and gross margin.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operating expenses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gridSpan w:val="5"/>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(8,392)</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Goodwill impairment</w:t>
            </w: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30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(17,626)</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3"/>
        </w:trPr>
        <w:tc>
          <w:tcPr>
            <w:tcW w:w="3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5"/>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(9,250)</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(8,908)</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(7,463)</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(10,267)</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(25,092)</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Goodwill impairment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0" w:type="dxa"/>
            <w:vAlign w:val="bottom"/>
          </w:tcPr>
          <w:p>
            <w:pPr>
              <w:spacing w:after="0"/>
              <w:rPr>
                <w:sz w:val="1"/>
                <w:szCs w:val="1"/>
                <w:color w:val="auto"/>
              </w:rPr>
            </w:pPr>
          </w:p>
        </w:tc>
      </w:tr>
      <w:tr>
        <w:trPr>
          <w:trHeight w:val="235"/>
        </w:trPr>
        <w:tc>
          <w:tcPr>
            <w:tcW w:w="30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423,711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(22,500)</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decreased $17.6 million for the third quarter of 2022 as compared with the same period in 2021. This was primarily the result of a reduction of $8.4 million in sales, general and administrative, $3.1 million in research and development expenses, $2.5 million in amortization of intangible assets, and $2.2 million in restructuring. The reduction in sales, general and administrative and research and development expenses were primarily driven by management's cost saving actions, as well as reductions in labor costs and variable compensation.</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decreased $22.5 million for the nine months ended September 30, 2022 as compared with the same period in 2021. This was primarily the result of a reduction of $9.3 million in sales, general and administrative, $8.9 million 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research and development expenses, $7.5 million in amortization of intangible assets, $10.3 million in restructuring, and $25.1 million for the loss on sale of business primarily related to the Latin America divestiture, which occurred in 2020, partially offset by $38.5 million in goodwill impairment in 2022. The reduction in sales, general and administrative and research and development expenses were primarily driven by management's cost saving actions, as well as reductions in labor costs and variable compensation.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income (expense):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80" w:type="dxa"/>
            <w:vAlign w:val="bottom"/>
          </w:tcPr>
          <w:p>
            <w:pPr>
              <w:spacing w:after="0"/>
              <w:rPr>
                <w:sz w:val="18"/>
                <w:szCs w:val="18"/>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2"/>
        </w:trPr>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9"/>
              </w:rPr>
              <w:t>1,367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3%</w:t>
            </w:r>
          </w:p>
        </w:tc>
      </w:tr>
      <w:tr>
        <w:trPr>
          <w:trHeight w:val="207"/>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prepaid debt fees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9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(54)%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w w:val="98"/>
              </w:rPr>
              <w:t>(2,610)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(17,383)</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(85)%</w:t>
            </w:r>
          </w:p>
        </w:tc>
      </w:tr>
      <w:tr>
        <w:trPr>
          <w:trHeight w:val="21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8"/>
              </w:rPr>
              <w:t>(2,321)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r>
      <w:tr>
        <w:trPr>
          <w:trHeight w:val="20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9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w w:val="98"/>
              </w:rPr>
              <w:t>(4,931)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(27,107)</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(82)%</w:t>
            </w: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9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8"/>
              </w:rPr>
              <w:t>(3,140)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(16,684)</w:t>
            </w: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(81)%</w:t>
            </w:r>
          </w:p>
        </w:tc>
      </w:tr>
      <w:tr>
        <w:trPr>
          <w:trHeight w:val="209"/>
        </w:trPr>
        <w:tc>
          <w:tcPr>
            <w:tcW w:w="2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(4,037)</w:t>
            </w:r>
          </w:p>
        </w:tc>
        <w:tc>
          <w:tcPr>
            <w:tcW w:w="9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(52)%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center"/>
              <w:ind w:left="599"/>
              <w:spacing w:after="0"/>
              <w:rPr>
                <w:sz w:val="20"/>
                <w:szCs w:val="20"/>
                <w:color w:val="auto"/>
              </w:rPr>
            </w:pPr>
            <w:r>
              <w:rPr>
                <w:rFonts w:ascii="Times New Roman" w:cs="Times New Roman" w:eastAsia="Times New Roman" w:hAnsi="Times New Roman"/>
                <w:sz w:val="16"/>
                <w:szCs w:val="16"/>
                <w:color w:val="auto"/>
                <w:w w:val="98"/>
              </w:rPr>
              <w:t>(6,704)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(42,465)</w:t>
            </w:r>
          </w:p>
        </w:tc>
        <w:tc>
          <w:tcPr>
            <w:tcW w:w="100" w:type="dxa"/>
            <w:vAlign w:val="bottom"/>
            <w:tcBorders>
              <w:bottom w:val="single" w:sz="8" w:color="auto"/>
            </w:tcBorders>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(84)%</w:t>
            </w:r>
          </w:p>
        </w:tc>
      </w:tr>
      <w:tr>
        <w:trPr>
          <w:trHeight w:val="21"/>
        </w:trPr>
        <w:tc>
          <w:tcPr>
            <w:tcW w:w="2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other income (expense) for the three and nine months ended September 30, 2022 was a net expense of $1.9 million and $6.7 million, compared with net expense of $4.0 million and $42.5 million in the same period in 2021.</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lower total expense for the three months ended September 30, 2022, as compared with the same period in 2021, was primarily driven by $1.1 million lower debt fee amortization.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lower total expense for the nine months ended September 30, 2022, as compared with the same period in 2021, was primarily driven by 2021 activity: $12.2 million write-off of prepaid debt fees associated with the repayment of senior subordinated notes, $2.6 million in lower debt fee amortization, $11.7 million related to the extinguishment of debt in other income (expense), net, as well as lower interest costs of $5.4 million for bonds and $2.2 million for the term loan.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and nine months ended September 30, 2022, our income tax expense was $0.5 million and $5.0 million, respectively, compared with income tax expense of $1.1 million and $5.6 million for the same period in 2021. Our tax rate for the three and nine months ended September 30, 2022 of 10% and (19)%, differed from the federal statutory rate of 21% due to the impact of valuation allowances on deferred tax assets, the forecasted mix of earnings in domestic and international jurisdictions, U.S. taxation of foreign earnings including GILTI (Global Intangible Low Taxed Income), Subpart F, and ECI (Effectively Connected Income), discrete tax expense related to the Dresser divestiture, a discrete tax benefit due to goodwill impairment, an expense related to stock-based compensation, tax credits, and uncertain tax positions. Our tax rate for the three and nine months ended September 30, 2021 of 902% and (39)% differed from the federal statutory rate of 21% primarily due to reserves on deferred sales price receivables recognized in the second quarter related to the 2020 divestiture of the majority of our Latin American business activities. This item was recognized for tax as a discrete and resulted in no tax benefit. Other rate drivers include losses in jurisdictions for which no benefit is recognized because of valuation allowances on deferred tax assets, the forecasted mix of earnings in domestic and international jurisdictions, a benefit related to stock-based compensation, and uncertain tax positions.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Beginning January 1, 2022, the Tax Cuts and Jobs Act of 2017 eliminates the option to deduct research and development expenditures currently and requires taxpayers to capitalize and amortize them over five or fifteen years, dependent upon the geography in which the expenditures are incurred. Although Congress is considering legislation that would defer the capitalization and amortization requirement, there is no assurance that the provision will be repealed or otherwise modified. As a result of research and development conducted outside of the U.S., the amount of expected inclusion of foreign earnings in our U.S. taxable income is largely driven by research and development cost capitalization, and may decrease significantly should these rules be deferred or revoked effective 2022. The income tax provision has been prepared according to currently enacted tax legislation, but a change in tax law with regards to capitalization of research and development expenditures would have a material beneficial impact on our annual effective tax rate.</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discussion related to income taxes, see Item 1: Financial Statements (Unaudited), Note 10: Income Taxes included in this Quarterly Report on Form 10-Q.</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 Results</w:t>
      </w:r>
    </w:p>
    <w:p>
      <w:pPr>
        <w:spacing w:after="0" w:line="25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For a description of our operating segments, refer to Item 1: Financial Statements (Unaudited), Note 15: Segment Information included in this Quarterly Report on Form 10-Q. The following tables and discussion highlight significant changes in trends or components of each operating segment:</w:t>
      </w:r>
    </w:p>
    <w:tbl>
      <w:tblPr>
        <w:tblLayout w:type="fixed"/>
        <w:tblInd w:w="0" w:type="dxa"/>
        <w:tblCellMar>
          <w:top w:w="0" w:type="dxa"/>
          <w:left w:w="0" w:type="dxa"/>
          <w:bottom w:w="0" w:type="dxa"/>
          <w:right w:w="0" w:type="dxa"/>
        </w:tblCellMar>
      </w:tblPr>
      <w:tr>
        <w:trPr>
          <w:trHeight w:val="165"/>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center"/>
              <w:ind w:right="220"/>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center"/>
              <w:ind w:right="260"/>
              <w:spacing w:after="0" w:line="165"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revenues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94,003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338,378</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818,154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827,870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171,541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420,860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486,949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1,328,073</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1,495,935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6"/>
        </w:trPr>
        <w:tc>
          <w:tcPr>
            <w:tcW w:w="2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9"/>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Gross</w:t>
            </w:r>
          </w:p>
        </w:tc>
        <w:tc>
          <w:tcPr>
            <w:tcW w:w="84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center"/>
              <w:ind w:right="11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84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0" w:type="dxa"/>
            <w:vAlign w:val="bottom"/>
          </w:tcPr>
          <w:p>
            <w:pPr>
              <w:spacing w:after="0"/>
              <w:rPr>
                <w:sz w:val="1"/>
                <w:szCs w:val="1"/>
                <w:color w:val="auto"/>
              </w:rPr>
            </w:pPr>
          </w:p>
        </w:tc>
      </w:tr>
      <w:tr>
        <w:trPr>
          <w:trHeight w:val="215"/>
        </w:trPr>
        <w:tc>
          <w:tcPr>
            <w:tcW w:w="2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i w:val="1"/>
                <w:iCs w:val="1"/>
                <w:color w:val="auto"/>
              </w:rPr>
              <w:t>Profit</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210"/>
        </w:trPr>
        <w:tc>
          <w:tcPr>
            <w:tcW w:w="2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gross profit and margin</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263,155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67,747</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12"/>
        </w:trPr>
        <w:tc>
          <w:tcPr>
            <w:tcW w:w="2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gross profit and margin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381,391</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451,882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operating expenses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26,386</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5"/>
              </w:rPr>
              <w:t>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unallocated</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66,157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80,856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center"/>
              <w:ind w:right="39"/>
              <w:spacing w:after="0"/>
              <w:rPr>
                <w:sz w:val="20"/>
                <w:szCs w:val="20"/>
                <w:color w:val="auto"/>
              </w:rPr>
            </w:pPr>
            <w:r>
              <w:rPr>
                <w:rFonts w:ascii="Times New Roman" w:cs="Times New Roman" w:eastAsia="Times New Roman" w:hAnsi="Times New Roman"/>
                <w:sz w:val="16"/>
                <w:szCs w:val="16"/>
                <w:color w:val="auto"/>
                <w:w w:val="99"/>
              </w:rPr>
              <w:t>(18)%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250,641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265,331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ind w:right="19"/>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401,211</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423,711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340" w:type="dxa"/>
            <w:vAlign w:val="bottom"/>
            <w:tcBorders>
              <w:top w:val="single" w:sz="8" w:color="CCEEFF"/>
            </w:tcBorders>
            <w:gridSpan w:val="5"/>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120" w:type="dxa"/>
            <w:vAlign w:val="bottom"/>
            <w:tcBorders>
              <w:top w:val="single" w:sz="8" w:color="CCEEFF"/>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2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9"/>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8"/>
              </w:rPr>
              <w:t>Operating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w w:val="98"/>
              </w:rPr>
              <w:t>Operating</w:t>
            </w:r>
          </w:p>
        </w:tc>
        <w:tc>
          <w:tcPr>
            <w:tcW w:w="120" w:type="dxa"/>
            <w:vAlign w:val="bottom"/>
          </w:tcPr>
          <w:p>
            <w:pPr>
              <w:spacing w:after="0"/>
              <w:rPr>
                <w:sz w:val="13"/>
                <w:szCs w:val="13"/>
                <w:color w:val="auto"/>
              </w:rPr>
            </w:pPr>
          </w:p>
        </w:tc>
        <w:tc>
          <w:tcPr>
            <w:tcW w:w="11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2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8"/>
              </w:rPr>
              <w:t>Operating</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20" w:type="dxa"/>
            <w:vAlign w:val="bottom"/>
          </w:tcPr>
          <w:p>
            <w:pPr>
              <w:spacing w:after="0"/>
              <w:rPr>
                <w:sz w:val="13"/>
                <w:szCs w:val="13"/>
                <w:color w:val="auto"/>
              </w:rPr>
            </w:pPr>
          </w:p>
        </w:tc>
        <w:tc>
          <w:tcPr>
            <w:tcW w:w="11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84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w w:val="98"/>
              </w:rPr>
              <w:t>Operating</w:t>
            </w:r>
          </w:p>
        </w:tc>
        <w:tc>
          <w:tcPr>
            <w:tcW w:w="0" w:type="dxa"/>
            <w:vAlign w:val="bottom"/>
          </w:tcPr>
          <w:p>
            <w:pPr>
              <w:spacing w:after="0"/>
              <w:rPr>
                <w:sz w:val="1"/>
                <w:szCs w:val="1"/>
                <w:color w:val="auto"/>
              </w:rPr>
            </w:pPr>
          </w:p>
        </w:tc>
      </w:tr>
      <w:tr>
        <w:trPr>
          <w:trHeight w:val="162"/>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4"/>
                <w:szCs w:val="14"/>
                <w:color w:val="auto"/>
              </w:rPr>
            </w:pPr>
          </w:p>
        </w:tc>
        <w:tc>
          <w:tcPr>
            <w:tcW w:w="86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(Loss)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Income (Loss)</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(Loss)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Income (Loss)</w:t>
            </w: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156"/>
        </w:trPr>
        <w:tc>
          <w:tcPr>
            <w:tcW w:w="254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6"/>
                <w:szCs w:val="16"/>
                <w:b w:val="1"/>
                <w:bCs w:val="1"/>
                <w:i w:val="1"/>
                <w:iCs w:val="1"/>
                <w:color w:val="auto"/>
              </w:rPr>
              <w:t>Segment operating income (loss) and</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operating margin</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177,929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unallocated</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(66,157)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(80,856)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color w:val="auto"/>
              </w:rPr>
              <w:t>(250,641)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(265,331)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center"/>
              <w:ind w:right="1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45"/>
        </w:trPr>
        <w:tc>
          <w:tcPr>
            <w:tcW w:w="25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6"/>
                <w:szCs w:val="16"/>
                <w:color w:val="auto"/>
              </w:rPr>
              <w:t>Total operating income (loss)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9"/>
        </w:trPr>
        <w:tc>
          <w:tcPr>
            <w:tcW w:w="25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margin</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Device Solutions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Device Solutions segment financial results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94,003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152,234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(58,231)</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(7,675)</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0" w:type="dxa"/>
            <w:vAlign w:val="bottom"/>
          </w:tcPr>
          <w:p>
            <w:pPr>
              <w:spacing w:after="0"/>
              <w:rPr>
                <w:sz w:val="1"/>
                <w:szCs w:val="1"/>
                <w:color w:val="auto"/>
              </w:rPr>
            </w:pPr>
          </w:p>
        </w:tc>
      </w:tr>
      <w:tr>
        <w:trPr>
          <w:trHeight w:val="783"/>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338,378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487,982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(149,604)</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(34,739)</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(5,058)</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2022 vs. Three months ended September 30, 2021</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decreased $58.2 million, or 38%. Changes in foreign currency exchange rates unfavorably impacted revenues by $16.7 million. Revenue decreased over the prior year due to the discontinuation of some legacy products and the sale of certain Gas product lines to Dresser during 2022, as well as the impact of component shortages, which limited our ability to fulfill customer demand.</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2022 vs. Nine months ended September 30, 2021</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decreased $149.6 million, or 31%. Changes in foreign currency exchange rates unfavorably impacted revenues by $41.1 million. Revenue decreased over the prior year due to the discontinuation of some legacy products and the sale of certain Gas product lines to Dresser during the first quarter of 2022, as well as the impact of component shortages, which limited our ability to fulfill customer demand.</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September 30, 2022 vs. Three months ended September 30, 2021</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2022, gross margin was 15.7%, compared with 14.8% for the same period in 2021. The 90 basis point increase over the prior year was primarily due to improved product mix partially offset by continued higher input costs and manufacturing inefficiencies related to component shortages.</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Nine months ended September 30, 2022 vs. Nine months ended September 30, 2021</w:t>
      </w:r>
    </w:p>
    <w:p>
      <w:pPr>
        <w:spacing w:after="0" w:line="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the nine months ended September 30, 2022, gross margin was 14.9%, compared with 17.5% for the same period in 2021. The 260 basis point reduction over the prior year was primarily due to higher input costs and manufacturing inefficiencies related to component shortages.</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September 30, 2022 vs. Three months ended September 30, 2021</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Operating expenses in 2022 compared with the same period in 2021 decreased $2.6 million, or 25%, due to management's cost savings actions resulting in a $1.3 million decrease in sales and marketing expenses and a $1.3 million decrease in research and development expenses.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Nine months ended September 30, 2022 vs. Nine months ended September 30, 2021</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expenses decreased $5.1 million, or 16%, for the first nine months of 2022, compared with the same period in 2021. The decrease was primarily due to management's cost savings actions resulting in a $3.0 million decrease in sales and marketing expenses and a $2.1 million decrease in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Networked Solutions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Networked Solutions segment financial results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269,872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274,498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(4,626)</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(8,020)</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0" w:type="dxa"/>
            <w:vAlign w:val="bottom"/>
          </w:tcPr>
          <w:p>
            <w:pPr>
              <w:spacing w:after="0"/>
              <w:rPr>
                <w:sz w:val="1"/>
                <w:szCs w:val="1"/>
                <w:color w:val="auto"/>
              </w:rPr>
            </w:pPr>
          </w:p>
        </w:tc>
      </w:tr>
      <w:tr>
        <w:trPr>
          <w:trHeight w:val="823"/>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818,154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827,870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(9,716)</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(35,472)</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(8,330)</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2022 vs. Three months ended September 30, 2021</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decreased $4.6 million, or 2%, compared with 2021. The change was primarily due to component shortages, which limited our ability to fulfill customer demand, partially offset by the ramp of new deployments. Product revenue was lower by $2.0 million and maintenance service revenue lower by $2.6 million.</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2022 vs. Nine months ended September 30, 2021</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decreased $9.7 million, or 1%, for the first nine months of 2022 compared with the same period in 2021. The change was primarily due to component shortages that limited our ability to fulfill customer demand, partially offset by the ramp of new deployments. Product revenue was lower by $5.0 million and maintenance service revenue lower by $4.7 million.</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September 30, 2022 vs. Three months ended September 30, 2021</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decreased to 30.3% for the period ending September 30, 2022, compared with 32.8% in 2021. The 250 basis point decrease was primarily driven by unfavorable product mix, higher input costs, and manufacturing inefficiencies related to component shortages.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Nine months ended September 30, 2022 vs. Nine months ended September 30, 2021</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was 32.2% for the 2022 period, compared with 36.1% in 2021. The 390 basis point decrease was primarily related to higher input costs, unfavorable product mix, and manufacturing inefficiencies related to component shortages.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September 30, 2022 vs. Three months ended September 30, 2021</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decreased $1.5 million, or 5%, in 2022 compared with the same period in 2021. The decrease was primarily related to reduced research and development expenses.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Nine months ended September 30, 2022 vs. Nine months ended September 30, 2021</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Operating expenses decreased $8.3 million, or 9%, for the first nine months of 2022, compared with the same period in 2021. The decrease was primarily related to reduced research and development expenses.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Outcomes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Outcomes segment financial results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56,985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0" w:type="dxa"/>
            <w:vAlign w:val="bottom"/>
          </w:tcPr>
          <w:p>
            <w:pPr>
              <w:spacing w:after="0"/>
              <w:rPr>
                <w:sz w:val="1"/>
                <w:szCs w:val="1"/>
                <w:color w:val="auto"/>
              </w:rPr>
            </w:pPr>
          </w:p>
        </w:tc>
      </w:tr>
      <w:tr>
        <w:trPr>
          <w:trHeight w:val="823"/>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171,541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180,083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5,578</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2022 vs. Three months ended September 30, 2021</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decreased $3.2 million, or 5%, compared with the same period in 2021. This decrease was driven by a decrease in Europe, Middle East, and Africa (EMEA) prepay sales.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2022 vs. Nine months ended September 30, 2021</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decreased $8.5 million, or 5%, for the first nine months of 2022, compared with 2021. This decline was driven by a decrease in EMEA prepay sales.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September 30, 2022 vs. Three months ended September 30, 2021</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increased to 41.0% for the third quarter of 2022, compared with 37.5% for the same period last year. The 350 basis point increase was driven by more favorable managed services mix and other cost efficiencies.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Nine months ended September 30, 2022 vs. Nine months ended September 30, 2021</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increased to 39.5% for the period ending in 2022, compared with 37.8% for last year. The 170 basis point increase was driven by favorable managed services mix and other cost efficiencies.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September 30, 2022 vs. Three months ended September 30, 2021</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for the 2022 period increased $1.2 million, compared with the same period last year. The increase was primarily related to increased research and development investment of $1.6 million offset by a decrease in marketing expenses of $0.4 million.</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Nine months ended September 30, 2022 vs. Nine months ended September 30, 2021</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for the first nine months of 2022 increased $5.6 million, or 17%, compared with the same period last year. This was primarily related to increased research and development expenses of $5.5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Unallocated</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Corporate Unallocated Expenses - Three months ended September 30, 2022 vs. Three months ended September 30, 2021</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expenses not directly associated with an operating segment are classified as Corporate unallocated. These expenses decreased $14.7 million, or 18%, for the three months ended September 30, 2022 compared with the same period in 2021. This was primarily the result of a reduction of $7.6 million in labor costs and variable compensation, $2.5 million in amortization of intangible assets, and $2.2 million in restructuring.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Corporate Unallocated Expenses - Nine months ended September 30, 2022 vs. Nine months ended September 30, 2021</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first nine months of 2022, Corporate unallocated expenses decreased $14.7 million, or 5.5%, compared with the 2021 period. This was primarily the result of a reduction of $25.1 million in loss on sale of business primarily related to the Latin America divestiture, which occurred in 2020, $18.0 million in labor costs and variable compensation, $10.3 million in restructuring, and $7.5 million in amortization of intangible assets, offset by $38.5 million in goodwill impairment and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 million increase in professional services.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Bookings and Backlog of Orders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 Total bookings and backlog include certain contracts with termination for convenience clause, which will not agree to the total transaction price allocated to the remaining performance obligations disclosed in Item 1: Financial Statements (Unaudited), Note 16: Revenues included in this Quarterly Report on Form 10-Q.</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3160" w:type="dxa"/>
            <w:vAlign w:val="bottom"/>
            <w:vMerge w:val="restart"/>
          </w:tcPr>
          <w:p>
            <w:pPr>
              <w:jc w:val="center"/>
              <w:ind w:left="2079"/>
              <w:spacing w:after="0"/>
              <w:rPr>
                <w:sz w:val="20"/>
                <w:szCs w:val="20"/>
                <w:color w:val="auto"/>
              </w:rPr>
            </w:pPr>
            <w:r>
              <w:rPr>
                <w:rFonts w:ascii="Times New Roman" w:cs="Times New Roman" w:eastAsia="Times New Roman" w:hAnsi="Times New Roman"/>
                <w:sz w:val="16"/>
                <w:szCs w:val="16"/>
                <w:b w:val="1"/>
                <w:bCs w:val="1"/>
                <w:color w:val="auto"/>
                <w:w w:val="99"/>
              </w:rPr>
              <w:t>Quarterly</w:t>
            </w: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500" w:type="dxa"/>
            <w:vAlign w:val="bottom"/>
          </w:tcPr>
          <w:p>
            <w:pPr>
              <w:spacing w:after="0"/>
              <w:rPr>
                <w:sz w:val="16"/>
                <w:szCs w:val="16"/>
                <w:color w:val="auto"/>
              </w:rPr>
            </w:pPr>
          </w:p>
        </w:tc>
        <w:tc>
          <w:tcPr>
            <w:tcW w:w="1760" w:type="dxa"/>
            <w:vAlign w:val="bottom"/>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0" w:type="dxa"/>
            <w:vAlign w:val="bottom"/>
          </w:tcPr>
          <w:p>
            <w:pPr>
              <w:spacing w:after="0"/>
              <w:rPr>
                <w:sz w:val="1"/>
                <w:szCs w:val="1"/>
                <w:color w:val="auto"/>
              </w:rPr>
            </w:pPr>
          </w:p>
        </w:tc>
      </w:tr>
      <w:tr>
        <w:trPr>
          <w:trHeight w:val="162"/>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31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tcPr>
          <w:p>
            <w:pPr>
              <w:jc w:val="center"/>
              <w:ind w:right="399"/>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500" w:type="dxa"/>
            <w:vAlign w:val="bottom"/>
          </w:tcPr>
          <w:p>
            <w:pPr>
              <w:spacing w:after="0"/>
              <w:rPr>
                <w:sz w:val="14"/>
                <w:szCs w:val="14"/>
                <w:color w:val="auto"/>
              </w:rPr>
            </w:pPr>
          </w:p>
        </w:tc>
        <w:tc>
          <w:tcPr>
            <w:tcW w:w="1760" w:type="dxa"/>
            <w:vAlign w:val="bottom"/>
          </w:tcPr>
          <w:p>
            <w:pPr>
              <w:jc w:val="center"/>
              <w:ind w:right="359"/>
              <w:spacing w:after="0" w:line="162" w:lineRule="exact"/>
              <w:rPr>
                <w:sz w:val="20"/>
                <w:szCs w:val="20"/>
                <w:color w:val="auto"/>
              </w:rPr>
            </w:pPr>
            <w:r>
              <w:rPr>
                <w:rFonts w:ascii="Times New Roman" w:cs="Times New Roman" w:eastAsia="Times New Roman" w:hAnsi="Times New Roman"/>
                <w:sz w:val="16"/>
                <w:szCs w:val="16"/>
                <w:b w:val="1"/>
                <w:bCs w:val="1"/>
                <w:color w:val="auto"/>
              </w:rPr>
              <w:t>12-Month</w:t>
            </w:r>
          </w:p>
        </w:tc>
        <w:tc>
          <w:tcPr>
            <w:tcW w:w="0" w:type="dxa"/>
            <w:vAlign w:val="bottom"/>
          </w:tcPr>
          <w:p>
            <w:pPr>
              <w:spacing w:after="0"/>
              <w:rPr>
                <w:sz w:val="1"/>
                <w:szCs w:val="1"/>
                <w:color w:val="auto"/>
              </w:rPr>
            </w:pPr>
          </w:p>
        </w:tc>
      </w:tr>
      <w:tr>
        <w:trPr>
          <w:trHeight w:val="214"/>
        </w:trPr>
        <w:tc>
          <w:tcPr>
            <w:tcW w:w="2920" w:type="dxa"/>
            <w:vAlign w:val="bottom"/>
            <w:tcBorders>
              <w:bottom w:val="single" w:sz="8" w:color="auto"/>
            </w:tcBorders>
            <w:vMerge w:val="continue"/>
          </w:tcPr>
          <w:p>
            <w:pPr>
              <w:spacing w:after="0"/>
              <w:rPr>
                <w:sz w:val="18"/>
                <w:szCs w:val="18"/>
                <w:color w:val="auto"/>
              </w:rPr>
            </w:pPr>
          </w:p>
        </w:tc>
        <w:tc>
          <w:tcPr>
            <w:tcW w:w="3160" w:type="dxa"/>
            <w:vAlign w:val="bottom"/>
            <w:tcBorders>
              <w:bottom w:val="single" w:sz="8" w:color="auto"/>
            </w:tcBorders>
          </w:tcPr>
          <w:p>
            <w:pPr>
              <w:jc w:val="center"/>
              <w:ind w:left="2079"/>
              <w:spacing w:after="0"/>
              <w:rPr>
                <w:sz w:val="20"/>
                <w:szCs w:val="20"/>
                <w:color w:val="auto"/>
              </w:rPr>
            </w:pPr>
            <w:r>
              <w:rPr>
                <w:rFonts w:ascii="Times New Roman" w:cs="Times New Roman" w:eastAsia="Times New Roman" w:hAnsi="Times New Roman"/>
                <w:sz w:val="16"/>
                <w:szCs w:val="16"/>
                <w:b w:val="1"/>
                <w:bCs w:val="1"/>
                <w:color w:val="auto"/>
              </w:rPr>
              <w:t>Bookings</w:t>
            </w: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5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2022</w:t>
            </w:r>
          </w:p>
        </w:tc>
        <w:tc>
          <w:tcPr>
            <w:tcW w:w="3160" w:type="dxa"/>
            <w:vAlign w:val="bottom"/>
            <w:shd w:val="clear" w:color="auto" w:fill="CCEEFF"/>
          </w:tcPr>
          <w:p>
            <w:pPr>
              <w:jc w:val="right"/>
              <w:ind w:right="14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578</w:t>
            </w:r>
          </w:p>
        </w:tc>
        <w:tc>
          <w:tcPr>
            <w:tcW w:w="5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4,201</w:t>
            </w:r>
          </w:p>
        </w:tc>
        <w:tc>
          <w:tcPr>
            <w:tcW w:w="5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30, 2022</w:t>
            </w:r>
          </w:p>
        </w:tc>
        <w:tc>
          <w:tcPr>
            <w:tcW w:w="316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612</w:t>
            </w:r>
          </w:p>
        </w:tc>
        <w:tc>
          <w:tcPr>
            <w:tcW w:w="52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4,063</w:t>
            </w:r>
          </w:p>
        </w:tc>
        <w:tc>
          <w:tcPr>
            <w:tcW w:w="5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2022</w:t>
            </w:r>
          </w:p>
        </w:tc>
        <w:tc>
          <w:tcPr>
            <w:tcW w:w="3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417</w:t>
            </w: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3,897</w:t>
            </w: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316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1,076</w:t>
            </w:r>
          </w:p>
        </w:tc>
        <w:tc>
          <w:tcPr>
            <w:tcW w:w="52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4,017</w:t>
            </w:r>
          </w:p>
        </w:tc>
        <w:tc>
          <w:tcPr>
            <w:tcW w:w="5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2021</w:t>
            </w:r>
          </w:p>
        </w:tc>
        <w:tc>
          <w:tcPr>
            <w:tcW w:w="3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395</w:t>
            </w: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3,433</w:t>
            </w: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2022, we reduced our total backlog by $55.7 million in order to reflect the sale of certain Gas product lines to Dresser, effective February 28,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Information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37,530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141,147</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43,494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(21,819)</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(136,808)</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w:t>
            </w:r>
          </w:p>
        </w:tc>
      </w:tr>
      <w:tr>
        <w:trPr>
          <w:trHeight w:val="235"/>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Increase in cash and cash equivalents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52,834</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were $215.4 million at September 30, 2022, compared with $162.6 million at December 31, 2021. The $52.8 million increase in cash and cash equivalents in the 2022 period was primarily the result of proceeds from the sale of our Gas device businesses and operations to Dresser and cash flow from operating activities, offset by cash paid for shares repurchased and acquisition of property, plant, and equipment.</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provided by operating activities during the nine months in 2022 was $37.5 million compared with $141.1 million during the same period in 2021. The decrease was primarily due to lower earnings and higher variable compensation payouts in 2022.</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provided by investing activities during the nine months in 2022 was $65.3 million higher than in 2021. This increase of cash was primarily related to proceeds received from the sale of our Gas device businesses and operations to Dresser for $55.9 million, offset by $12.9 million less in purchases of property, plant, and equipment in 2022 compared with the same period in 2021.</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in 2022 was $19.4 million, compared with net cash used of $136.8 million for the same period in 2021. In March 2021, we received $389.4 million from issuance of common stock related to the equity offering, after deducting underwriters' discounts of the offering, purchased $84.1 million of the convertible note hedge contracts, and proceeds of $45.3 million from the sale of warrants. Also in March 2021, we entered into the convertible senior notes with gross proceeds of $460 million, which was used to pay off the outstanding term loan balance. In April 2021, we repaid the senior subordinated notes totaling $410 million (including $10 million early repayment premium) with proceeds from the equity offering and cash on hand. For the nine months ended September 30, 2022, we repurchased shares totaling $17.0 million.</w:t>
      </w: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Effect of exchange rates on cash and cash equivalents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 of exchange rates on the cash balances of currencies held in foreign denominations at September 30, 2022 was a decrease of $8.8 million, compared with a decrease of $0.8 million for the same period in 2021. Our foreign currency exposure relates to non-U.S. dollar denominated balances in our international subsidiary operations.</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Free cash flow (Non-GAAP)</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(loss) as an indicator of our performance, or as an alternative to cash flows from operating activities as a measure of liquidity. We calculate free cash flows, using amounts from our Consolidated Statements of Cash Flows,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9"/>
              </w:rPr>
              <w:t>37,530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141,147</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left="979"/>
              <w:spacing w:after="0"/>
              <w:rPr>
                <w:sz w:val="20"/>
                <w:szCs w:val="20"/>
                <w:color w:val="auto"/>
              </w:rPr>
            </w:pPr>
            <w:r>
              <w:rPr>
                <w:rFonts w:ascii="Times New Roman" w:cs="Times New Roman" w:eastAsia="Times New Roman" w:hAnsi="Times New Roman"/>
                <w:sz w:val="16"/>
                <w:szCs w:val="16"/>
                <w:color w:val="auto"/>
              </w:rPr>
              <w:t>(14,886)</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(27,781)</w:t>
            </w:r>
          </w:p>
        </w:tc>
      </w:tr>
      <w:tr>
        <w:trPr>
          <w:trHeight w:val="237"/>
        </w:trPr>
        <w:tc>
          <w:tcPr>
            <w:tcW w:w="6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Free cash flow</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9"/>
              </w:rPr>
              <w:t>22,644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113,366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Free cash flow fluctuated primarily as a result of changes in cash provided by operating activities. See the cash flow discussion of operating activities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financing agreements or guarantees as defined by Item 303 of Regulation S-K at September 30, 2022 and December 31, 2021 that we believe could reasonably likely have a current or future effect on our financial condition,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 We expect existing cash, cash flows from operations, and access to capital markets to continue to be sufficient to fund our operating activities and cash commitments, such as material capital expenditures and debt obligations, for at least the next 12 months and into the foreseeable future.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18, 2019 we amended our credit facility that was initially entered on January 5, 2018 (together with the amendment, the "2018 credit facility"). The 2018 credit facility provides a multicurrency revolving line of credit (the revolver) with a principal amount of up to $500 million. The revolver also contains a $300 million standby letter of credit sub-facility and a $50 million swingline sub-facility. The October 18, 2019, amendment extended the maturity date to October 18, 2024. At September 30, 2022, no amount was outstanding under the 2018 credit facility, and $55.9 million was utilized by outstanding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standby letters of credit, resulting in $444.1 million available for borrowing or standby letters of credit under the revolver. At September 30, 2022, $244.1 million was available for additional standby letters of credit under the letter of credit sub-facility, and no amounts were outstanding under the swingline sub-facility. Amounts borrowed under the revolver may be repaid and reborrowed until the revolver's maturity on October 18, 2024, at which time all outstanding loans together with all accrued and unpaid interest must be repaid.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12, 2021, we closed the sale of $460 million in Convertible Notes in a private placement to qualified institutional buyers. The Convertible Notes do not bear regular interest, and the principal amount does not accrete. The Convertible Notes will mature on March 15, 2026, unless earlier repurchased, redeemed, or converted in accordance with their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description of our borrowings, refer to Item 1: Financial Statements (Unaudited), Note 6: Debt included in this Quarterly Report on Form 10-Q.</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(Unaudited), Note 11: Commitments and Contingencies included in this Quarterly Report on Form 10-Q.</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On September 17, 2020, our Board of Directors approved a restructuring plan (the 2020 Projects). The 2020 Projects include activities that continue our efforts to optimize its global supply chain and manufacturing operations, sales and marketing organizations, and other overhead. These projects are scheduled to be substantially complete by the end of 2022, with an estimated $11 million in cash payments remaining as of September 30, 2022.</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29, 2021, our Board of Directors approved a restructuring plan (the 2021 Projects), which in conjunction with the announcement of the sale of certain of our Gas device manufacturing operations, (refer to Item 1: Financial Statements (Unaudited), Note 17: Sale of Business), includes activities to drive reductions in certain locations and functional support areas. These projects are expected to be substantially complete by the end of 2024, with an estimated $34 million in cash payments remaining as of September 30, 2022.</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we paid out a net $17.7 million related to all our restructuring projects. As of September 30, 2022, $48.5 million was accrued for these restructuring projects, of which $15.3 million is expected to be paid within the next 12 months.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details regarding our restructuring activities, refer to Item 1: Financial Statements (Unaudited), Note 12: Restructuring included in this Quarterly Report on Form 10-Q.</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Authorization</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Effective November 1, 2021, Itron's Board of Directors authorized a share repurchase program of up to $100 million of our common stock over an 18-month period (the 2021 Stock Repurchase Program). Repurchases are made in the open market or in privately negotiated transactions, and in accordance with applicable securities laws. Following the announcement of the program and through September 30, 2022, we have repurchased 405,282 shares at an average share price of $61.67 (excluding commissions) for a total of $25 million. As of September 30, 2022, we are authorized to repurchase up to an additional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million of our common stock before May 1, 2023.</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Liquidity Considerations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$1 million in U.S federal taxes, $4 million in state taxes, and $6 million in local and foreign taxes during 2022. For a discussion of our tax provision and unrecognized tax benefits, see Item 1: Financial Statements (Unaudited), Note 10: Income Taxes included in this Quarterly Report on Form 10-Q.</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2022, there was $44.2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many factors that we consider in the management of global cash. Accordingly, the amount of taxes that we would need to accrue and pay to repatriate foreign cash could vary significantly.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September 30, 2022, $9.5 million of our consolidated cash balance was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 Liquidity Overview</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Notwithstanding the expected short to mid-term impacts of the COVID-19 related supply shortages, 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w:t>
      </w:r>
      <w:r>
        <w:rPr>
          <w:rFonts w:ascii="Times New Roman" w:cs="Times New Roman" w:eastAsia="Times New Roman" w:hAnsi="Times New Roman"/>
          <w:sz w:val="18"/>
          <w:szCs w:val="18"/>
          <w:color w:val="222222"/>
        </w:rPr>
        <w:t>our dependence on certain key vendors and components,</w:t>
      </w:r>
      <w:r>
        <w:rPr>
          <w:rFonts w:ascii="Times New Roman" w:cs="Times New Roman" w:eastAsia="Times New Roman" w:hAnsi="Times New Roman"/>
          <w:sz w:val="18"/>
          <w:szCs w:val="18"/>
          <w:color w:val="auto"/>
        </w:rPr>
        <w:t xml:space="preserve"> changes in estimated liabilities for product warranties and/or litigation, duration of the COVID-19 pandemic and resulting supply constraints, future business combinations, capital market fluctuations, international risks, and other factors described under Risk Factors within Item 1A of Part I of our 2021 Annual Report, as well as Quantitative and Qualitative Disclosures About Market Risk within Item 3 of Part I included in this Quarterly Report on Form 10-Q.</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 included in this Quarterly Report on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that require the use of estimates and assumptions were discussed in detail in the 2021 Annual Report and have not changed materially.</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loss on sale of business, strategic initiative expenses, Russian currency translation write-off, goodwill impairment, or restructuring charges. We believe that both management and investors benefit from referring to these non-GAAP financial measures in assessing our performance and when planning, forecasting and analyzing future periods. We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Non-GAAP operating expenses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operating income </w:t>
      </w:r>
      <w:r>
        <w:rPr>
          <w:rFonts w:ascii="Times New Roman" w:cs="Times New Roman" w:eastAsia="Times New Roman" w:hAnsi="Times New Roman"/>
          <w:sz w:val="18"/>
          <w:szCs w:val="18"/>
          <w:color w:val="auto"/>
        </w:rPr>
        <w:t>– We define non-GAAP operating expenses as operating expenses excluding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amortization of intangible assets, restructuring, loss on sale of business, strategic initiative, Russian currency translation write-off, goodwill impairment, and acquisition and integration. We define non-GAAP operating income as operating income excluding the expenses related to the amortization of intangible assets, restructuring, loss on sale of business, strategic initiative, Russian currency translation write-off, goodwill impairment, and acquisition and integration.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Non-GAAP net income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diluted EPS </w:t>
      </w:r>
      <w:r>
        <w:rPr>
          <w:rFonts w:ascii="Times New Roman" w:cs="Times New Roman" w:eastAsia="Times New Roman" w:hAnsi="Times New Roman"/>
          <w:sz w:val="18"/>
          <w:szCs w:val="18"/>
          <w:color w:val="auto"/>
        </w:rPr>
        <w:t>– We define non-GAAP net income as net income (loss) attributable to Itron, Inc. excluding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associated with amortization of intangible assets, amortization of debt placement fees, debt extinguishment, restructuring, loss on sale of business, strategic initiative, Russian currency translation write-off, acquisition and integration, goodwill impairment, and the tax effect of excluding these expenses. We define non-GAAP diluted EPS as non-GAAP net income divided by diluted weighted-average shares outstanding during the period calculated on a GAAP basis and then reduced to reflect the anti-dilutive impact of the convertible note hedge transaction entered into in connection with the 0% Convertible Notes due 2026 issued in March 2021.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 throughout the year and use the most recent AETR anytime it increases or decreases by 200 basis points or more from the prior interim period.</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 We define adjusted EBITDA as net income (loss) (a) minus interest income, (b) plus interest expense,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extinguishment, restructuring, loss on sale of business, strategic initiative, Russian currency translation write-off, goodwill impairment, acquisition and integration,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21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 We define free cash flow as net cash provided by operating activities less cash used for acquisitions of property, plant and equipment.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Constant currency </w:t>
      </w:r>
      <w:r>
        <w:rPr>
          <w:rFonts w:ascii="Times New Roman" w:cs="Times New Roman" w:eastAsia="Times New Roman" w:hAnsi="Times New Roman"/>
          <w:sz w:val="18"/>
          <w:szCs w:val="18"/>
          <w:color w:val="auto"/>
        </w:rPr>
        <w:t>– We refer to the impact of foreign currency exchange rate fluctuations in our discussions of financial results, which references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 to the Most Directly Comparable GAAP Financial Measures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COMPANY RECONCILIATIONS</w:t>
            </w:r>
          </w:p>
        </w:tc>
        <w:tc>
          <w:tcPr>
            <w:tcW w:w="220" w:type="dxa"/>
            <w:vAlign w:val="bottom"/>
          </w:tcPr>
          <w:p>
            <w:pPr>
              <w:spacing w:after="0"/>
              <w:rPr>
                <w:sz w:val="18"/>
                <w:szCs w:val="18"/>
                <w:color w:val="auto"/>
              </w:rPr>
            </w:pPr>
          </w:p>
        </w:tc>
        <w:tc>
          <w:tcPr>
            <w:tcW w:w="31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EXPENSES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CCEEFF"/>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operating expenses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401,211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423,711</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(26,914)</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(28,274)</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Russian currency translation write-off</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Goodwill impairment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00" w:type="dxa"/>
            <w:vAlign w:val="bottom"/>
            <w:tcBorders>
              <w:bottom w:val="single" w:sz="8" w:color="CCEEFF"/>
            </w:tcBorders>
          </w:tcPr>
          <w:p>
            <w:pPr>
              <w:spacing w:after="0"/>
              <w:rPr>
                <w:sz w:val="18"/>
                <w:szCs w:val="18"/>
                <w:color w:val="auto"/>
              </w:rPr>
            </w:pPr>
          </w:p>
        </w:tc>
        <w:tc>
          <w:tcPr>
            <w:tcW w:w="4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348,265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369,721</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GAAP operating income (loss)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28,171</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26,914</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28,274</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Russian currency translation write-off</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Goodwill impairment</w:t>
            </w: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operating income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14,800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16,354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33,126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82,161</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0" w:type="dxa"/>
            <w:vAlign w:val="bottom"/>
            <w:shd w:val="clear" w:color="auto" w:fill="CCEEFF"/>
          </w:tcPr>
          <w:p>
            <w:pPr>
              <w:spacing w:after="0"/>
              <w:rPr>
                <w:sz w:val="14"/>
                <w:szCs w:val="14"/>
                <w:color w:val="auto"/>
              </w:rPr>
            </w:pPr>
          </w:p>
        </w:tc>
        <w:tc>
          <w:tcPr>
            <w:tcW w:w="4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 &amp; DILUTED EPS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CCEEFF"/>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net income (loss) attributable to Itron, Inc.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(22,389)</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26,914</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placement fees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17,252</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Debt extinguishment</w:t>
            </w: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11,681</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28,274</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Russian currency translation write-off</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Goodwill impairment</w:t>
            </w: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100" w:type="dxa"/>
            <w:vAlign w:val="bottom"/>
            <w:shd w:val="clear" w:color="auto" w:fill="CCEEFF"/>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(16,491)</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18,817</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44,043</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shd w:val="clear" w:color="auto" w:fill="CCEEFF"/>
          </w:tcPr>
          <w:p>
            <w:pPr>
              <w:spacing w:after="0"/>
              <w:rPr>
                <w:sz w:val="14"/>
                <w:szCs w:val="14"/>
                <w:color w:val="auto"/>
              </w:rPr>
            </w:pPr>
          </w:p>
        </w:tc>
        <w:tc>
          <w:tcPr>
            <w:tcW w:w="4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diluted EPS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0" w:type="dxa"/>
            <w:vAlign w:val="bottom"/>
            <w:shd w:val="clear" w:color="auto" w:fill="CCEEFF"/>
          </w:tcPr>
          <w:p>
            <w:pPr>
              <w:spacing w:after="0"/>
              <w:rPr>
                <w:sz w:val="14"/>
                <w:szCs w:val="14"/>
                <w:color w:val="auto"/>
              </w:rPr>
            </w:pPr>
          </w:p>
        </w:tc>
        <w:tc>
          <w:tcPr>
            <w:tcW w:w="4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458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Non-GAAP weighted average common shares outstanding -</w:t>
            </w:r>
          </w:p>
        </w:tc>
        <w:tc>
          <w:tcPr>
            <w:tcW w:w="2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45,330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45,506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45,267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44,330</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4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COMPANY RECONCILIATIONS</w:t>
            </w:r>
          </w:p>
        </w:tc>
        <w:tc>
          <w:tcPr>
            <w:tcW w:w="220" w:type="dxa"/>
            <w:vAlign w:val="bottom"/>
          </w:tcPr>
          <w:p>
            <w:pPr>
              <w:spacing w:after="0"/>
              <w:rPr>
                <w:sz w:val="18"/>
                <w:szCs w:val="18"/>
                <w:color w:val="auto"/>
              </w:rPr>
            </w:pPr>
          </w:p>
        </w:tc>
        <w:tc>
          <w:tcPr>
            <w:tcW w:w="31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9"/>
        </w:trPr>
        <w:tc>
          <w:tcPr>
            <w:tcW w:w="46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8"/>
        </w:trPr>
        <w:tc>
          <w:tcPr>
            <w:tcW w:w="4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GAAP net income (loss) attributable to Itron, Inc.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(22,389)</w:t>
            </w:r>
          </w:p>
        </w:tc>
      </w:tr>
      <w:tr>
        <w:trPr>
          <w:trHeight w:val="213"/>
        </w:trPr>
        <w:tc>
          <w:tcPr>
            <w:tcW w:w="4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w:t>
            </w:r>
          </w:p>
        </w:tc>
      </w:tr>
      <w:tr>
        <w:trPr>
          <w:trHeight w:val="219"/>
        </w:trPr>
        <w:tc>
          <w:tcPr>
            <w:tcW w:w="4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27,107</w:t>
            </w:r>
          </w:p>
        </w:tc>
      </w:tr>
      <w:tr>
        <w:trPr>
          <w:trHeight w:val="213"/>
        </w:trPr>
        <w:tc>
          <w:tcPr>
            <w:tcW w:w="4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 provision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5,581</w:t>
            </w:r>
          </w:p>
        </w:tc>
      </w:tr>
      <w:tr>
        <w:trPr>
          <w:trHeight w:val="219"/>
        </w:trPr>
        <w:tc>
          <w:tcPr>
            <w:tcW w:w="4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Debt extinguishment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11,681</w:t>
            </w:r>
          </w:p>
        </w:tc>
      </w:tr>
      <w:tr>
        <w:trPr>
          <w:trHeight w:val="213"/>
        </w:trPr>
        <w:tc>
          <w:tcPr>
            <w:tcW w:w="4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64,252</w:t>
            </w:r>
          </w:p>
        </w:tc>
      </w:tr>
      <w:tr>
        <w:trPr>
          <w:trHeight w:val="219"/>
        </w:trPr>
        <w:tc>
          <w:tcPr>
            <w:tcW w:w="4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Restructuring</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r>
      <w:tr>
        <w:trPr>
          <w:trHeight w:val="213"/>
        </w:trPr>
        <w:tc>
          <w:tcPr>
            <w:tcW w:w="4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28,274</w:t>
            </w:r>
          </w:p>
        </w:tc>
      </w:tr>
      <w:tr>
        <w:trPr>
          <w:trHeight w:val="219"/>
        </w:trPr>
        <w:tc>
          <w:tcPr>
            <w:tcW w:w="4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Strategic initiative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Russian currency translation write-off</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Goodwill impairment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6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37"/>
        </w:trPr>
        <w:tc>
          <w:tcPr>
            <w:tcW w:w="46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60,700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111,982</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4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6"/>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4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141,147</w:t>
            </w:r>
          </w:p>
        </w:tc>
      </w:tr>
      <w:tr>
        <w:trPr>
          <w:trHeight w:val="216"/>
        </w:trPr>
        <w:tc>
          <w:tcPr>
            <w:tcW w:w="4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(27,781)</w:t>
            </w:r>
          </w:p>
        </w:tc>
      </w:tr>
      <w:tr>
        <w:trPr>
          <w:trHeight w:val="212"/>
        </w:trPr>
        <w:tc>
          <w:tcPr>
            <w:tcW w:w="4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Free Cash Flow</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22,644</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113,366</w:t>
            </w:r>
          </w:p>
        </w:tc>
      </w:tr>
      <w:tr>
        <w:trPr>
          <w:trHeight w:val="21"/>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may be exposed to interest rate risk through our variable rate debt instruments, namely the multicurrency revolving line of credit. At September 30, 2022, we had no outstanding variable rate debt.</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continually monitor and assess our interest rate risk and may institute additional interest rate swaps or other derivative instruments to manage such risk in the future if we were to have variable rate debt outstanding.</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a number of countries. Revenues denominated in functional currencies other than the U.S. dollar were 28% and 31% of total revenues for the three and nine months ended September 30, 2022 compared with 36% and 38% for the same respective periods in 2021.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exposed to foreign exchange risk when we enter into non-functional currency transactions, both intercompany and third-party.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September 30, 2022, a total of 32 contracts were offsetting our exposures from the euro, pound sterling, Indonesian rupiah, Canadian dollar, Australian dollar and various other currencies, with notional amounts ranging from $135,000 to $57.8 million. Based on a sensitivity analysis as of September 30, 2022, we estimate that, if foreign currency exchange rates average 10 percentage points higher in 2022 for these financial instruments, our financial results in 2022 would not be materially impacted.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future periods, we may use additional derivative contracts to protect against foreign currency exchange rate risks.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September 30, 2022,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September 30, 2022 that materially affected, or are reasonably likely to materially affect, internal control over financial reporting.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 included in this Quarterly Report on Form 10-Q.</w:t>
      </w:r>
    </w:p>
    <w:p>
      <w:pPr>
        <w:spacing w:after="0" w:line="2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complete list of Risk Factors, refer to Part I, Item 1A: Risk Factors of our Annual Report on Form 10-K for the fiscal year ended December 31, 2021, which was filed with the Securities and Exchange Commission on February 28, 2022.</w:t>
      </w:r>
    </w:p>
    <w:p>
      <w:pPr>
        <w:spacing w:after="0" w:line="200" w:lineRule="exact"/>
        <w:rPr>
          <w:sz w:val="20"/>
          <w:szCs w:val="20"/>
          <w:color w:val="auto"/>
        </w:rPr>
      </w:pPr>
    </w:p>
    <w:p>
      <w:pPr>
        <w:spacing w:after="0" w:line="22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Repurchase of Equity Securities.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Maximum Dollar</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8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8"/>
              </w:rPr>
              <w:t>May Yet Be</w:t>
            </w:r>
          </w:p>
        </w:tc>
        <w:tc>
          <w:tcPr>
            <w:tcW w:w="0" w:type="dxa"/>
            <w:vAlign w:val="bottom"/>
          </w:tcPr>
          <w:p>
            <w:pPr>
              <w:spacing w:after="0"/>
              <w:rPr>
                <w:sz w:val="1"/>
                <w:szCs w:val="1"/>
                <w:color w:val="auto"/>
              </w:rPr>
            </w:pPr>
          </w:p>
        </w:tc>
      </w:tr>
      <w:tr>
        <w:trPr>
          <w:trHeight w:val="162"/>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2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4"/>
                <w:szCs w:val="14"/>
                <w:color w:val="auto"/>
              </w:rPr>
            </w:pPr>
          </w:p>
        </w:tc>
        <w:tc>
          <w:tcPr>
            <w:tcW w:w="16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4540" w:type="dxa"/>
            <w:vAlign w:val="bottom"/>
            <w:vMerge w:val="continue"/>
          </w:tcPr>
          <w:p>
            <w:pPr>
              <w:spacing w:after="0"/>
              <w:rPr>
                <w:sz w:val="18"/>
                <w:szCs w:val="18"/>
                <w:color w:val="auto"/>
              </w:rPr>
            </w:pPr>
          </w:p>
        </w:tc>
        <w:tc>
          <w:tcPr>
            <w:tcW w:w="182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21"/>
                <w:szCs w:val="21"/>
                <w:b w:val="1"/>
                <w:bCs w:val="1"/>
                <w:color w:val="auto"/>
                <w:vertAlign w:val="superscript"/>
              </w:rPr>
              <w:t>(1)</w:t>
            </w:r>
          </w:p>
        </w:tc>
        <w:tc>
          <w:tcPr>
            <w:tcW w:w="158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per Share </w:t>
            </w:r>
            <w:r>
              <w:rPr>
                <w:rFonts w:ascii="Times New Roman" w:cs="Times New Roman" w:eastAsia="Times New Roman" w:hAnsi="Times New Roman"/>
                <w:sz w:val="21"/>
                <w:szCs w:val="21"/>
                <w:b w:val="1"/>
                <w:bCs w:val="1"/>
                <w:color w:val="auto"/>
                <w:w w:val="96"/>
                <w:vertAlign w:val="superscript"/>
              </w:rPr>
              <w:t>(2)</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Plans or Programs</w:t>
            </w:r>
          </w:p>
        </w:tc>
        <w:tc>
          <w:tcPr>
            <w:tcW w:w="0" w:type="dxa"/>
            <w:vAlign w:val="bottom"/>
          </w:tcPr>
          <w:p>
            <w:pPr>
              <w:spacing w:after="0"/>
              <w:rPr>
                <w:sz w:val="1"/>
                <w:szCs w:val="1"/>
                <w:color w:val="auto"/>
              </w:rPr>
            </w:pPr>
          </w:p>
        </w:tc>
      </w:tr>
      <w:tr>
        <w:trPr>
          <w:trHeight w:val="208"/>
        </w:trPr>
        <w:tc>
          <w:tcPr>
            <w:tcW w:w="45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2022 through July 31, 2022</w:t>
            </w:r>
          </w:p>
        </w:tc>
        <w:tc>
          <w:tcPr>
            <w:tcW w:w="182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 2022 through August 31, 2022</w:t>
            </w:r>
          </w:p>
        </w:tc>
        <w:tc>
          <w:tcPr>
            <w:tcW w:w="1820" w:type="dxa"/>
            <w:vAlign w:val="bottom"/>
            <w:gridSpan w:val="3"/>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2022 through September 30, 2022</w:t>
            </w:r>
          </w:p>
        </w:tc>
        <w:tc>
          <w:tcPr>
            <w:tcW w:w="182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0" w:type="dxa"/>
            <w:vAlign w:val="bottom"/>
          </w:tcPr>
          <w:p>
            <w:pPr>
              <w:spacing w:after="0"/>
              <w:rPr>
                <w:sz w:val="1"/>
                <w:szCs w:val="1"/>
                <w:color w:val="auto"/>
              </w:rPr>
            </w:pPr>
          </w:p>
        </w:tc>
      </w:tr>
      <w:tr>
        <w:trPr>
          <w:trHeight w:val="209"/>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0" w:type="dxa"/>
            <w:vAlign w:val="bottom"/>
            <w:tcBorders>
              <w:top w:val="single" w:sz="8" w:color="auto"/>
              <w:bottom w:val="single" w:sz="8" w:color="auto"/>
            </w:tcBorders>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bottom w:val="single" w:sz="8" w:color="auto"/>
            </w:tcBorders>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40" w:hanging="332"/>
        <w:spacing w:after="0" w:line="225" w:lineRule="auto"/>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November 1, 2021, Itron's Board of Directors authorized a share repurchase program of up to $100 million of Itron's common stock over an 18-month period. Repurchases are made in the open market or in privately negotiated transactions and in accordance with applicable securities laws.</w:t>
      </w:r>
    </w:p>
    <w:p>
      <w:pPr>
        <w:spacing w:after="0" w:line="1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commissions.</w:t>
      </w:r>
    </w:p>
    <w:p>
      <w:pPr>
        <w:spacing w:after="0" w:line="21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was required to be disclosed in a report on Form 8-K during the third quarter of 2022 that was not reported.</w:t>
      </w:r>
    </w:p>
    <w:p>
      <w:pPr>
        <w:spacing w:after="0" w:line="25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4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52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52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5"/>
                <w:szCs w:val="15"/>
                <w:color w:val="auto"/>
              </w:rPr>
            </w:pPr>
          </w:p>
        </w:tc>
        <w:tc>
          <w:tcPr>
            <w:tcW w:w="5240" w:type="dxa"/>
            <w:vAlign w:val="bottom"/>
            <w:tcBorders>
              <w:top w:val="single" w:sz="8" w:color="auto"/>
              <w:bottom w:val="single" w:sz="8" w:color="0000FF"/>
            </w:tcBorders>
          </w:tcPr>
          <w:p>
            <w:pPr>
              <w:ind w:left="20"/>
              <w:spacing w:after="0" w:line="182" w:lineRule="exact"/>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w:t>
            </w:r>
          </w:p>
        </w:tc>
        <w:tc>
          <w:tcPr>
            <w:tcW w:w="4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5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5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1440" w:right="20" w:hanging="939"/>
        <w:spacing w:after="0" w:line="224" w:lineRule="auto"/>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Itron, Inc.'s Quarterly Report on Form 10-Q for the quarter ended September 30, 2022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p>
      <w:pPr>
        <w:spacing w:after="0" w:line="267" w:lineRule="exact"/>
        <w:rPr>
          <w:sz w:val="20"/>
          <w:szCs w:val="20"/>
          <w:color w:val="auto"/>
        </w:rPr>
      </w:pPr>
    </w:p>
    <w:p>
      <w:pPr>
        <w:ind w:left="1440" w:hanging="939"/>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ITRON, INC.</w:t>
            </w:r>
          </w:p>
        </w:tc>
      </w:tr>
      <w:tr>
        <w:trPr>
          <w:trHeight w:val="486"/>
        </w:trPr>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3, 2022</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6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JOAN S. HOOPER</w:t>
            </w:r>
          </w:p>
        </w:tc>
      </w:tr>
      <w:tr>
        <w:trPr>
          <w:trHeight w:val="214"/>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80" w:type="dxa"/>
            <w:vAlign w:val="bottom"/>
          </w:tcPr>
          <w:p>
            <w:pPr>
              <w:spacing w:after="0"/>
              <w:rPr>
                <w:sz w:val="18"/>
                <w:szCs w:val="18"/>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Joan S. Hooper</w:t>
            </w:r>
          </w:p>
        </w:tc>
      </w:tr>
      <w:tr>
        <w:trPr>
          <w:trHeight w:val="238"/>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L. Deitrich, certify that:</w:t>
      </w:r>
    </w:p>
    <w:p>
      <w:pPr>
        <w:spacing w:after="0" w:line="25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7600"/>
        <w:spacing w:after="0"/>
        <w:tabs>
          <w:tab w:leader="none" w:pos="8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17145</wp:posOffset>
            </wp:positionV>
            <wp:extent cx="20574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Thomas L. Deitrich</w:t>
      </w: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2022</w:t>
      </w:r>
    </w:p>
    <w:p>
      <w:pPr>
        <w:sectPr>
          <w:pgSz w:w="11900" w:h="16838" w:orient="portrait"/>
          <w:cols w:equalWidth="0" w:num="1">
            <w:col w:w="11240"/>
          </w:cols>
          <w:pgMar w:left="320" w:top="11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Joan S. Hooper, certify that:</w:t>
      </w:r>
    </w:p>
    <w:p>
      <w:pPr>
        <w:spacing w:after="0" w:line="25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540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2022</w:t>
      </w:r>
    </w:p>
    <w:p>
      <w:pPr>
        <w:sectPr>
          <w:pgSz w:w="11900" w:h="16838" w:orient="portrait"/>
          <w:cols w:equalWidth="0" w:num="1">
            <w:col w:w="11240"/>
          </w:cols>
          <w:pgMar w:left="320" w:top="11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of Itron, Inc. (the Company) on Form 10-Q for the quarterly period ended September 30, 2022 (the Report) for the purpose of complying with Rule 13a-14(b) or Rule 15d-14(b) of the Securities Exchange Act of 1934 and Section 1350 of Chapter 63 of Title 18 of the United States Code.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Thomas L. Deitrich, the Chief Executive Officer and Joan S. Hooper, the Chief Financial Officer of the Company, each certifies that to the best of his or her knowledge:</w:t>
      </w:r>
    </w:p>
    <w:p>
      <w:pPr>
        <w:spacing w:after="0" w:line="162" w:lineRule="exact"/>
        <w:rPr>
          <w:sz w:val="20"/>
          <w:szCs w:val="20"/>
          <w:color w:val="auto"/>
        </w:rPr>
      </w:pPr>
    </w:p>
    <w:p>
      <w:pPr>
        <w:ind w:left="840" w:hanging="387"/>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60" w:right="740" w:hanging="407"/>
        <w:spacing w:after="0" w:line="282" w:lineRule="auto"/>
        <w:tabs>
          <w:tab w:leader="none" w:pos="8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/s/ THOMAS L. DEITRICH</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3, 2022</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Thomas L. Deitrich</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43"/>
        </w:trPr>
        <w:tc>
          <w:tcPr>
            <w:tcW w:w="60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3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/s/ JOAN S. HOOPER</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3, 2022</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Joan S. Hooper</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49"/>
        </w:trPr>
        <w:tc>
          <w:tcPr>
            <w:tcW w:w="60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c>
          <w:tcPr>
            <w:tcW w:w="3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020" w:type="dxa"/>
            <w:vAlign w:val="bottom"/>
            <w:gridSpan w:val="2"/>
            <w:vMerge w:val="continue"/>
          </w:tcPr>
          <w:p>
            <w:pPr>
              <w:spacing w:after="0"/>
              <w:rPr>
                <w:sz w:val="7"/>
                <w:szCs w:val="7"/>
                <w:color w:val="auto"/>
              </w:rPr>
            </w:pP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2"/>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decimal"/>
      <w:start w:val="101"/>
    </w:lvl>
  </w:abstractNum>
  <w:abstractNum w:abstractNumId="12">
    <w:nsid w:val="7FDCC233"/>
    <w:multiLevelType w:val="hybridMultilevel"/>
    <w:lvl w:ilvl="0">
      <w:lvlJc w:val="left"/>
      <w:lvlText w:val="%1"/>
      <w:numFmt w:val="decimal"/>
      <w:start w:val="104"/>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2022-11-03T11:37:12Z</dcterms:created>
  <dcterms:modified xsi:type="dcterms:W3CDTF">2022-11-03T11:37:12Z</dcterms:modified>
</cp:coreProperties>
</file>