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60693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6933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160655</wp:posOffset>
            </wp:positionV>
            <wp:extent cx="60693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378" w:lineRule="exact"/>
        <w:rPr>
          <w:sz w:val="24"/>
          <w:szCs w:val="24"/>
          <w:color w:val="auto"/>
        </w:rPr>
      </w:pPr>
    </w:p>
    <w:p>
      <w:pPr>
        <w:jc w:val="center"/>
        <w:ind w:right="-279"/>
        <w:spacing w:after="0"/>
        <w:rPr>
          <w:sz w:val="20"/>
          <w:szCs w:val="20"/>
          <w:color w:val="auto"/>
        </w:rPr>
      </w:pPr>
      <w:r>
        <w:rPr>
          <w:rFonts w:ascii="Arial" w:cs="Arial" w:eastAsia="Arial" w:hAnsi="Arial"/>
          <w:sz w:val="25"/>
          <w:szCs w:val="25"/>
          <w:b w:val="1"/>
          <w:bCs w:val="1"/>
          <w:color w:val="auto"/>
        </w:rPr>
        <w:t>UNITED STATES</w:t>
      </w:r>
    </w:p>
    <w:p>
      <w:pPr>
        <w:jc w:val="center"/>
        <w:ind w:right="-279"/>
        <w:spacing w:after="0" w:line="230" w:lineRule="auto"/>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2523490</wp:posOffset>
            </wp:positionH>
            <wp:positionV relativeFrom="paragraph">
              <wp:posOffset>135255</wp:posOffset>
            </wp:positionV>
            <wp:extent cx="1028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60" w:lineRule="exact"/>
        <w:rPr>
          <w:sz w:val="24"/>
          <w:szCs w:val="24"/>
          <w:color w:val="auto"/>
        </w:rPr>
      </w:pPr>
    </w:p>
    <w:p>
      <w:pPr>
        <w:jc w:val="center"/>
        <w:ind w:right="-279"/>
        <w:spacing w:after="0"/>
        <w:rPr>
          <w:sz w:val="20"/>
          <w:szCs w:val="20"/>
          <w:color w:val="auto"/>
        </w:rPr>
      </w:pPr>
      <w:r>
        <w:rPr>
          <w:rFonts w:ascii="Arial" w:cs="Arial" w:eastAsia="Arial" w:hAnsi="Arial"/>
          <w:sz w:val="29"/>
          <w:szCs w:val="29"/>
          <w:b w:val="1"/>
          <w:bCs w:val="1"/>
          <w:color w:val="auto"/>
        </w:rPr>
        <w:t>SCHEDULE 14A INFORMATION</w:t>
      </w:r>
    </w:p>
    <w:p>
      <w:pPr>
        <w:spacing w:after="0" w:line="19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31"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259"/>
        <w:spacing w:after="0"/>
        <w:tabs>
          <w:tab w:leader="none" w:pos="320" w:val="left"/>
        </w:tabs>
        <w:rPr>
          <w:sz w:val="20"/>
          <w:szCs w:val="20"/>
          <w:color w:val="auto"/>
        </w:rPr>
      </w:pPr>
      <w:r>
        <w:rPr>
          <w:rFonts w:ascii="Arial" w:cs="Arial" w:eastAsia="Arial" w:hAnsi="Arial"/>
          <w:sz w:val="18"/>
          <w:szCs w:val="18"/>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2523490</wp:posOffset>
            </wp:positionH>
            <wp:positionV relativeFrom="paragraph">
              <wp:posOffset>151765</wp:posOffset>
            </wp:positionV>
            <wp:extent cx="1028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61" w:lineRule="exact"/>
        <w:rPr>
          <w:sz w:val="24"/>
          <w:szCs w:val="24"/>
          <w:color w:val="auto"/>
        </w:rPr>
      </w:pPr>
    </w:p>
    <w:p>
      <w:pPr>
        <w:ind w:left="80"/>
        <w:spacing w:after="0" w:line="184" w:lineRule="exact"/>
        <w:tabs>
          <w:tab w:leader="none" w:pos="230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Filed by a Party other than the Registrant o</w:t>
      </w:r>
    </w:p>
    <w:p>
      <w:pPr>
        <w:spacing w:after="0" w:line="141" w:lineRule="exact"/>
        <w:rPr>
          <w:sz w:val="24"/>
          <w:szCs w:val="24"/>
          <w:color w:val="auto"/>
        </w:rPr>
      </w:pPr>
    </w:p>
    <w:p>
      <w:pPr>
        <w:ind w:left="80"/>
        <w:spacing w:after="0"/>
        <w:rPr>
          <w:sz w:val="20"/>
          <w:szCs w:val="20"/>
          <w:color w:val="auto"/>
        </w:rPr>
      </w:pPr>
      <w:r>
        <w:rPr>
          <w:rFonts w:ascii="Arial" w:cs="Arial" w:eastAsia="Arial" w:hAnsi="Arial"/>
          <w:sz w:val="16"/>
          <w:szCs w:val="16"/>
          <w:color w:val="auto"/>
        </w:rPr>
        <w:t>Check the appropriate box:</w:t>
      </w:r>
    </w:p>
    <w:p>
      <w:pPr>
        <w:spacing w:after="0" w:line="262" w:lineRule="exact"/>
        <w:rPr>
          <w:sz w:val="24"/>
          <w:szCs w:val="24"/>
          <w:color w:val="auto"/>
        </w:rPr>
      </w:pPr>
    </w:p>
    <w:p>
      <w:pPr>
        <w:ind w:left="460" w:hanging="380"/>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241" w:lineRule="exact"/>
        <w:rPr>
          <w:rFonts w:ascii="Arial" w:cs="Arial" w:eastAsia="Arial" w:hAnsi="Arial"/>
          <w:sz w:val="16"/>
          <w:szCs w:val="16"/>
          <w:color w:val="auto"/>
        </w:rPr>
      </w:pPr>
    </w:p>
    <w:p>
      <w:pPr>
        <w:ind w:left="460" w:hanging="380"/>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268" w:lineRule="exact"/>
        <w:rPr>
          <w:sz w:val="24"/>
          <w:szCs w:val="24"/>
          <w:color w:val="auto"/>
        </w:rPr>
      </w:pPr>
    </w:p>
    <w:p>
      <w:pPr>
        <w:ind w:left="460" w:hanging="383"/>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236" w:lineRule="exact"/>
        <w:rPr>
          <w:sz w:val="24"/>
          <w:szCs w:val="24"/>
          <w:color w:val="auto"/>
        </w:rPr>
      </w:pPr>
    </w:p>
    <w:p>
      <w:pPr>
        <w:ind w:left="80"/>
        <w:spacing w:after="0"/>
        <w:tabs>
          <w:tab w:leader="none" w:pos="440" w:val="left"/>
        </w:tabs>
        <w:rPr>
          <w:sz w:val="20"/>
          <w:szCs w:val="20"/>
          <w:color w:val="auto"/>
        </w:rPr>
      </w:pP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Definitive Additional Materials</w:t>
      </w:r>
    </w:p>
    <w:p>
      <w:pPr>
        <w:spacing w:after="0" w:line="209" w:lineRule="exact"/>
        <w:rPr>
          <w:sz w:val="24"/>
          <w:szCs w:val="24"/>
          <w:color w:val="auto"/>
        </w:rPr>
      </w:pPr>
    </w:p>
    <w:p>
      <w:pPr>
        <w:ind w:left="80"/>
        <w:spacing w:after="0"/>
        <w:tabs>
          <w:tab w:leader="none" w:pos="440" w:val="left"/>
        </w:tabs>
        <w:rPr>
          <w:sz w:val="20"/>
          <w:szCs w:val="20"/>
          <w:color w:val="auto"/>
        </w:rPr>
      </w:pP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Soliciting Material under § 240.14a-12</w:t>
      </w:r>
    </w:p>
    <w:p>
      <w:pPr>
        <w:jc w:val="center"/>
        <w:ind w:right="-279"/>
        <w:spacing w:after="0" w:line="212" w:lineRule="auto"/>
        <w:rPr>
          <w:sz w:val="20"/>
          <w:szCs w:val="20"/>
          <w:color w:val="auto"/>
        </w:rPr>
      </w:pPr>
      <w:r>
        <w:rPr>
          <w:rFonts w:ascii="Arial" w:cs="Arial" w:eastAsia="Arial" w:hAnsi="Arial"/>
          <w:sz w:val="36"/>
          <w:szCs w:val="36"/>
          <w:b w:val="1"/>
          <w:bCs w:val="1"/>
          <w:color w:val="auto"/>
        </w:rPr>
        <w:t>ITRON, INC.</w:t>
      </w:r>
    </w:p>
    <w:p>
      <w:pPr>
        <w:spacing w:after="0" w:line="1" w:lineRule="exact"/>
        <w:rPr>
          <w:sz w:val="24"/>
          <w:szCs w:val="24"/>
          <w:color w:val="auto"/>
        </w:rPr>
      </w:pPr>
    </w:p>
    <w:p>
      <w:pPr>
        <w:jc w:val="center"/>
        <w:ind w:right="-27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01"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93" w:lineRule="exact"/>
        <w:rPr>
          <w:sz w:val="24"/>
          <w:szCs w:val="24"/>
          <w:color w:val="auto"/>
        </w:rPr>
      </w:pPr>
    </w:p>
    <w:p>
      <w:pPr>
        <w:ind w:left="80"/>
        <w:spacing w:after="0"/>
        <w:rPr>
          <w:sz w:val="20"/>
          <w:szCs w:val="20"/>
          <w:color w:val="auto"/>
        </w:rPr>
      </w:pPr>
      <w:r>
        <w:rPr>
          <w:rFonts w:ascii="Arial" w:cs="Arial" w:eastAsia="Arial" w:hAnsi="Arial"/>
          <w:sz w:val="16"/>
          <w:szCs w:val="16"/>
          <w:color w:val="auto"/>
        </w:rPr>
        <w:t>Payment of Filing Fee (Check the appropriate box):</w:t>
      </w:r>
    </w:p>
    <w:p>
      <w:pPr>
        <w:spacing w:after="0" w:line="248" w:lineRule="exact"/>
        <w:rPr>
          <w:sz w:val="24"/>
          <w:szCs w:val="24"/>
          <w:color w:val="auto"/>
        </w:rPr>
      </w:pPr>
    </w:p>
    <w:p>
      <w:pPr>
        <w:ind w:left="460" w:hanging="383"/>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62" w:lineRule="exact"/>
        <w:rPr>
          <w:sz w:val="24"/>
          <w:szCs w:val="24"/>
          <w:color w:val="auto"/>
        </w:rPr>
      </w:pPr>
    </w:p>
    <w:p>
      <w:pPr>
        <w:ind w:left="460" w:hanging="380"/>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248" w:lineRule="exact"/>
        <w:rPr>
          <w:rFonts w:ascii="Arial" w:cs="Arial" w:eastAsia="Arial" w:hAnsi="Arial"/>
          <w:sz w:val="16"/>
          <w:szCs w:val="16"/>
          <w:color w:val="auto"/>
        </w:rPr>
      </w:pPr>
    </w:p>
    <w:p>
      <w:pPr>
        <w:ind w:left="860" w:hanging="410"/>
        <w:spacing w:after="0"/>
        <w:tabs>
          <w:tab w:leader="none" w:pos="860" w:val="left"/>
        </w:tabs>
        <w:numPr>
          <w:ilvl w:val="1"/>
          <w:numId w:val="4"/>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61" w:lineRule="exact"/>
        <w:rPr>
          <w:rFonts w:ascii="Arial" w:cs="Arial" w:eastAsia="Arial" w:hAnsi="Arial"/>
          <w:sz w:val="16"/>
          <w:szCs w:val="16"/>
          <w:color w:val="auto"/>
        </w:rPr>
      </w:pPr>
    </w:p>
    <w:p>
      <w:pPr>
        <w:ind w:left="860" w:hanging="410"/>
        <w:spacing w:after="0"/>
        <w:tabs>
          <w:tab w:leader="none" w:pos="860" w:val="left"/>
        </w:tabs>
        <w:numPr>
          <w:ilvl w:val="1"/>
          <w:numId w:val="4"/>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61" w:lineRule="exact"/>
        <w:rPr>
          <w:rFonts w:ascii="Arial" w:cs="Arial" w:eastAsia="Arial" w:hAnsi="Arial"/>
          <w:sz w:val="16"/>
          <w:szCs w:val="16"/>
          <w:color w:val="auto"/>
        </w:rPr>
      </w:pPr>
    </w:p>
    <w:p>
      <w:pPr>
        <w:ind w:left="860" w:right="280" w:hanging="410"/>
        <w:spacing w:after="0" w:line="260" w:lineRule="auto"/>
        <w:tabs>
          <w:tab w:leader="none" w:pos="860" w:val="left"/>
        </w:tabs>
        <w:numPr>
          <w:ilvl w:val="1"/>
          <w:numId w:val="4"/>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35" w:lineRule="exact"/>
        <w:rPr>
          <w:rFonts w:ascii="Arial" w:cs="Arial" w:eastAsia="Arial" w:hAnsi="Arial"/>
          <w:sz w:val="16"/>
          <w:szCs w:val="16"/>
          <w:color w:val="auto"/>
        </w:rPr>
      </w:pPr>
    </w:p>
    <w:p>
      <w:pPr>
        <w:ind w:left="860" w:hanging="410"/>
        <w:spacing w:after="0"/>
        <w:tabs>
          <w:tab w:leader="none" w:pos="860" w:val="left"/>
        </w:tabs>
        <w:numPr>
          <w:ilvl w:val="1"/>
          <w:numId w:val="4"/>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61" w:lineRule="exact"/>
        <w:rPr>
          <w:rFonts w:ascii="Arial" w:cs="Arial" w:eastAsia="Arial" w:hAnsi="Arial"/>
          <w:sz w:val="16"/>
          <w:szCs w:val="16"/>
          <w:color w:val="auto"/>
        </w:rPr>
      </w:pPr>
    </w:p>
    <w:p>
      <w:pPr>
        <w:ind w:left="860" w:hanging="410"/>
        <w:spacing w:after="0"/>
        <w:tabs>
          <w:tab w:leader="none" w:pos="860" w:val="left"/>
        </w:tabs>
        <w:numPr>
          <w:ilvl w:val="1"/>
          <w:numId w:val="4"/>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460" w:hanging="380"/>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261" w:lineRule="exact"/>
        <w:rPr>
          <w:rFonts w:ascii="Arial" w:cs="Arial" w:eastAsia="Arial" w:hAnsi="Arial"/>
          <w:sz w:val="16"/>
          <w:szCs w:val="16"/>
          <w:color w:val="auto"/>
        </w:rPr>
      </w:pPr>
    </w:p>
    <w:p>
      <w:pPr>
        <w:ind w:left="460" w:hanging="380"/>
        <w:spacing w:after="0" w:line="253"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8" w:lineRule="exact"/>
        <w:rPr>
          <w:rFonts w:ascii="Arial" w:cs="Arial" w:eastAsia="Arial" w:hAnsi="Arial"/>
          <w:sz w:val="16"/>
          <w:szCs w:val="16"/>
          <w:color w:val="auto"/>
        </w:rPr>
      </w:pPr>
    </w:p>
    <w:p>
      <w:pPr>
        <w:ind w:left="860" w:hanging="410"/>
        <w:spacing w:after="0"/>
        <w:tabs>
          <w:tab w:leader="none" w:pos="860" w:val="left"/>
        </w:tabs>
        <w:numPr>
          <w:ilvl w:val="1"/>
          <w:numId w:val="4"/>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61" w:lineRule="exact"/>
        <w:rPr>
          <w:rFonts w:ascii="Arial" w:cs="Arial" w:eastAsia="Arial" w:hAnsi="Arial"/>
          <w:sz w:val="16"/>
          <w:szCs w:val="16"/>
          <w:color w:val="auto"/>
        </w:rPr>
      </w:pPr>
    </w:p>
    <w:p>
      <w:pPr>
        <w:ind w:left="860" w:hanging="410"/>
        <w:spacing w:after="0"/>
        <w:tabs>
          <w:tab w:leader="none" w:pos="860" w:val="left"/>
        </w:tabs>
        <w:numPr>
          <w:ilvl w:val="1"/>
          <w:numId w:val="4"/>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61" w:lineRule="exact"/>
        <w:rPr>
          <w:rFonts w:ascii="Arial" w:cs="Arial" w:eastAsia="Arial" w:hAnsi="Arial"/>
          <w:sz w:val="16"/>
          <w:szCs w:val="16"/>
          <w:color w:val="auto"/>
        </w:rPr>
      </w:pPr>
    </w:p>
    <w:p>
      <w:pPr>
        <w:ind w:left="860" w:hanging="410"/>
        <w:spacing w:after="0"/>
        <w:tabs>
          <w:tab w:leader="none" w:pos="860" w:val="left"/>
        </w:tabs>
        <w:numPr>
          <w:ilvl w:val="1"/>
          <w:numId w:val="4"/>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61" w:lineRule="exact"/>
        <w:rPr>
          <w:rFonts w:ascii="Arial" w:cs="Arial" w:eastAsia="Arial" w:hAnsi="Arial"/>
          <w:sz w:val="16"/>
          <w:szCs w:val="16"/>
          <w:color w:val="auto"/>
        </w:rPr>
      </w:pPr>
    </w:p>
    <w:p>
      <w:pPr>
        <w:ind w:left="860" w:hanging="410"/>
        <w:spacing w:after="0"/>
        <w:tabs>
          <w:tab w:leader="none" w:pos="860" w:val="left"/>
        </w:tabs>
        <w:numPr>
          <w:ilvl w:val="1"/>
          <w:numId w:val="4"/>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517525</wp:posOffset>
            </wp:positionH>
            <wp:positionV relativeFrom="paragraph">
              <wp:posOffset>-3177540</wp:posOffset>
            </wp:positionV>
            <wp:extent cx="55289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28945" cy="8255"/>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-2894965</wp:posOffset>
            </wp:positionV>
            <wp:extent cx="5528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28945" cy="8255"/>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-2491740</wp:posOffset>
            </wp:positionV>
            <wp:extent cx="55289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28945"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-2209165</wp:posOffset>
            </wp:positionV>
            <wp:extent cx="5528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28945" cy="8255"/>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-1925955</wp:posOffset>
            </wp:positionV>
            <wp:extent cx="55289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28945" cy="8255"/>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-708660</wp:posOffset>
            </wp:positionV>
            <wp:extent cx="55289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28945"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-426085</wp:posOffset>
            </wp:positionV>
            <wp:extent cx="55289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28945" cy="8255"/>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-142875</wp:posOffset>
            </wp:positionV>
            <wp:extent cx="55289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28945"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139065</wp:posOffset>
            </wp:positionV>
            <wp:extent cx="55289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289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430530</wp:posOffset>
            </wp:positionV>
            <wp:extent cx="60693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6933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473710</wp:posOffset>
            </wp:positionV>
            <wp:extent cx="606933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6933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782320</wp:posOffset>
            </wp:positionV>
            <wp:extent cx="606933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300"/>
          </w:cols>
          <w:pgMar w:left="1160" w:top="238" w:right="143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ITRON, INC.</w:t>
      </w:r>
    </w:p>
    <w:p>
      <w:pPr>
        <w:jc w:val="center"/>
        <w:ind w:right="-19"/>
        <w:spacing w:after="0" w:line="223" w:lineRule="auto"/>
        <w:rPr>
          <w:sz w:val="20"/>
          <w:szCs w:val="20"/>
          <w:color w:val="auto"/>
        </w:rPr>
      </w:pPr>
      <w:r>
        <w:rPr>
          <w:rFonts w:ascii="Arial" w:cs="Arial" w:eastAsia="Arial" w:hAnsi="Arial"/>
          <w:sz w:val="18"/>
          <w:szCs w:val="18"/>
          <w:b w:val="1"/>
          <w:bCs w:val="1"/>
          <w:color w:val="auto"/>
        </w:rPr>
        <w:t>2111 N. Molter Road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Liberty Lake, Washington 99019</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2020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6069330" cy="7543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69330" cy="7543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When</w:t>
      </w:r>
      <w:r>
        <w:rPr>
          <w:rFonts w:ascii="Arial" w:cs="Arial" w:eastAsia="Arial" w:hAnsi="Arial"/>
          <w:sz w:val="18"/>
          <w:szCs w:val="18"/>
          <w:color w:val="auto"/>
        </w:rPr>
        <w:t>:</w:t>
      </w:r>
    </w:p>
    <w:p>
      <w:pPr>
        <w:spacing w:after="0" w:line="18" w:lineRule="exact"/>
        <w:rPr>
          <w:sz w:val="20"/>
          <w:szCs w:val="20"/>
          <w:color w:val="auto"/>
        </w:rPr>
      </w:pPr>
    </w:p>
    <w:p>
      <w:pPr>
        <w:ind w:left="80"/>
        <w:spacing w:after="0" w:line="246" w:lineRule="auto"/>
        <w:rPr>
          <w:sz w:val="20"/>
          <w:szCs w:val="20"/>
          <w:color w:val="auto"/>
        </w:rPr>
      </w:pPr>
      <w:r>
        <w:rPr>
          <w:rFonts w:ascii="Arial" w:cs="Arial" w:eastAsia="Arial" w:hAnsi="Arial"/>
          <w:sz w:val="18"/>
          <w:szCs w:val="18"/>
          <w:color w:val="auto"/>
        </w:rPr>
        <w:t>May 7, 2020 at 2:00 p.m., Central 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w:t>
      </w:r>
      <w:r>
        <w:rPr>
          <w:rFonts w:ascii="Arial" w:cs="Arial" w:eastAsia="Arial" w:hAnsi="Arial"/>
          <w:sz w:val="18"/>
          <w:szCs w:val="18"/>
          <w:color w:val="auto"/>
        </w:rPr>
        <w:t>:</w:t>
      </w:r>
    </w:p>
    <w:p>
      <w:pPr>
        <w:spacing w:after="0" w:line="1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Virtual Meeting – see details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66" w:lineRule="auto"/>
        <w:rPr>
          <w:sz w:val="20"/>
          <w:szCs w:val="20"/>
          <w:color w:val="auto"/>
        </w:rPr>
      </w:pPr>
      <w:r>
        <w:rPr>
          <w:rFonts w:ascii="Arial" w:cs="Arial" w:eastAsia="Arial" w:hAnsi="Arial"/>
          <w:sz w:val="17"/>
          <w:szCs w:val="17"/>
          <w:b w:val="1"/>
          <w:bCs w:val="1"/>
          <w:color w:val="auto"/>
        </w:rPr>
        <w:t>Who Can Vote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Shareholders of Itron’s common stock as of the record date, March 2,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80"/>
        <w:spacing w:after="0"/>
        <w:rPr>
          <w:sz w:val="20"/>
          <w:szCs w:val="20"/>
          <w:color w:val="auto"/>
        </w:rPr>
      </w:pPr>
      <w:r>
        <w:rPr>
          <w:rFonts w:ascii="Arial" w:cs="Arial" w:eastAsia="Arial" w:hAnsi="Arial"/>
          <w:sz w:val="18"/>
          <w:szCs w:val="18"/>
          <w:b w:val="1"/>
          <w:bCs w:val="1"/>
          <w:color w:val="auto"/>
        </w:rPr>
        <w:t>Attending the Meeting</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who wish to attend the meeting in person should review the instructions set forth below under “</w:t>
      </w:r>
      <w:r>
        <w:rPr>
          <w:rFonts w:ascii="Arial" w:cs="Arial" w:eastAsia="Arial" w:hAnsi="Arial"/>
          <w:sz w:val="18"/>
          <w:szCs w:val="18"/>
          <w:b w:val="1"/>
          <w:bCs w:val="1"/>
          <w:color w:val="auto"/>
        </w:rPr>
        <w:t>Attending the</w:t>
      </w:r>
      <w:r>
        <w:rPr>
          <w:rFonts w:ascii="Arial" w:cs="Arial" w:eastAsia="Arial" w:hAnsi="Arial"/>
          <w:sz w:val="18"/>
          <w:szCs w:val="18"/>
          <w:color w:val="auto"/>
        </w:rPr>
        <w:t xml:space="preserve"> </w:t>
      </w:r>
      <w:r>
        <w:rPr>
          <w:rFonts w:ascii="Arial" w:cs="Arial" w:eastAsia="Arial" w:hAnsi="Arial"/>
          <w:sz w:val="18"/>
          <w:szCs w:val="18"/>
          <w:b w:val="1"/>
          <w:bCs w:val="1"/>
          <w:color w:val="auto"/>
        </w:rPr>
        <w:t>Annual Meeting</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4">
            <w:col w:w="2120" w:space="320"/>
            <w:col w:w="2260" w:space="140"/>
            <w:col w:w="2160" w:space="220"/>
            <w:col w:w="2320"/>
          </w:cols>
          <w:pgMar w:left="1160" w:top="279" w:right="1199" w:bottom="1440" w:gutter="0" w:footer="0" w:header="0"/>
          <w:type w:val="continuous"/>
        </w:sectPr>
      </w:pPr>
    </w:p>
    <w:p>
      <w:pPr>
        <w:spacing w:after="0" w:line="3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In response to uncertainties regarding the coronavirus (COVID-19) situation and our responsibility to the public health and travel concerns of our shareholders, as well as the protocols that federal, state, and local governments may impose, we are holding our annual meeting via a “virtual” format. Therefore, we cordially invite you to electronically attend the Annual Meeting of Shareholders of Itron, Inc., which will be held on </w:t>
      </w:r>
      <w:r>
        <w:rPr>
          <w:rFonts w:ascii="Arial" w:cs="Arial" w:eastAsia="Arial" w:hAnsi="Arial"/>
          <w:sz w:val="18"/>
          <w:szCs w:val="18"/>
          <w:b w:val="1"/>
          <w:bCs w:val="1"/>
          <w:color w:val="auto"/>
        </w:rPr>
        <w:t>May 7, 2020</w:t>
      </w:r>
      <w:r>
        <w:rPr>
          <w:rFonts w:ascii="Arial" w:cs="Arial" w:eastAsia="Arial" w:hAnsi="Arial"/>
          <w:sz w:val="18"/>
          <w:szCs w:val="18"/>
          <w:color w:val="auto"/>
        </w:rPr>
        <w:t xml:space="preserve">, at </w:t>
      </w:r>
      <w:r>
        <w:rPr>
          <w:rFonts w:ascii="Arial" w:cs="Arial" w:eastAsia="Arial" w:hAnsi="Arial"/>
          <w:sz w:val="18"/>
          <w:szCs w:val="18"/>
          <w:b w:val="1"/>
          <w:bCs w:val="1"/>
          <w:color w:val="auto"/>
        </w:rPr>
        <w:t>2:00 p.m., Central Time</w:t>
      </w:r>
      <w:r>
        <w:rPr>
          <w:rFonts w:ascii="Arial" w:cs="Arial" w:eastAsia="Arial" w:hAnsi="Arial"/>
          <w:sz w:val="18"/>
          <w:szCs w:val="18"/>
          <w:color w:val="auto"/>
        </w:rPr>
        <w:t xml:space="preserve">. We are pleased to announce that this year’s annual meeting will be a virtual meeting via live webcast on the Internet. You will be able to attend the annual meeting, vote and submit your questions during the meeting by visiting </w:t>
      </w:r>
      <w:r>
        <w:rPr>
          <w:rFonts w:ascii="Arial" w:cs="Arial" w:eastAsia="Arial" w:hAnsi="Arial"/>
          <w:sz w:val="18"/>
          <w:szCs w:val="18"/>
          <w:b w:val="1"/>
          <w:bCs w:val="1"/>
          <w:color w:val="auto"/>
        </w:rPr>
        <w:t>www.virtualshareholdermeeting.com/ITRI2020</w:t>
      </w:r>
      <w:r>
        <w:rPr>
          <w:rFonts w:ascii="Arial" w:cs="Arial" w:eastAsia="Arial" w:hAnsi="Arial"/>
          <w:sz w:val="18"/>
          <w:szCs w:val="18"/>
          <w:color w:val="auto"/>
        </w:rPr>
        <w:t>. You will need to have your 16-Digit Control Number included on your</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or your proxy card (if you received a printed copy of the proxy materials) to join the annual meeting. As always, we encourage you to vote your shares prior to the annual meeting. The annual meeting will be held for the following purposes: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of Business:</w:t>
      </w:r>
    </w:p>
    <w:p>
      <w:pPr>
        <w:spacing w:after="0" w:line="126" w:lineRule="exact"/>
        <w:rPr>
          <w:sz w:val="20"/>
          <w:szCs w:val="20"/>
          <w:color w:val="auto"/>
        </w:rPr>
      </w:pPr>
    </w:p>
    <w:p>
      <w:pPr>
        <w:ind w:left="700" w:hanging="344"/>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three directors to the Company’s Board of Directors.</w:t>
      </w:r>
    </w:p>
    <w:p>
      <w:pPr>
        <w:spacing w:after="0" w:line="103" w:lineRule="exact"/>
        <w:rPr>
          <w:rFonts w:ascii="Arial" w:cs="Arial" w:eastAsia="Arial" w:hAnsi="Arial"/>
          <w:sz w:val="18"/>
          <w:szCs w:val="18"/>
          <w:color w:val="auto"/>
        </w:rPr>
      </w:pPr>
    </w:p>
    <w:p>
      <w:pPr>
        <w:ind w:left="700" w:right="220" w:hanging="344"/>
        <w:spacing w:after="0" w:line="246"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of our named executive officers for the fiscal year ended December 31, 2019.</w:t>
      </w:r>
    </w:p>
    <w:p>
      <w:pPr>
        <w:spacing w:after="0" w:line="88" w:lineRule="exact"/>
        <w:rPr>
          <w:rFonts w:ascii="Arial" w:cs="Arial" w:eastAsia="Arial" w:hAnsi="Arial"/>
          <w:sz w:val="18"/>
          <w:szCs w:val="18"/>
          <w:color w:val="auto"/>
        </w:rPr>
      </w:pPr>
    </w:p>
    <w:p>
      <w:pPr>
        <w:ind w:left="700" w:hanging="344"/>
        <w:spacing w:after="0" w:line="246"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the Company’s independent registered public accountant for the 2020 fiscal year.</w:t>
      </w:r>
    </w:p>
    <w:p>
      <w:pPr>
        <w:spacing w:after="0" w:line="88" w:lineRule="exact"/>
        <w:rPr>
          <w:rFonts w:ascii="Arial" w:cs="Arial" w:eastAsia="Arial" w:hAnsi="Arial"/>
          <w:sz w:val="18"/>
          <w:szCs w:val="18"/>
          <w:color w:val="auto"/>
        </w:rPr>
      </w:pPr>
    </w:p>
    <w:p>
      <w:pPr>
        <w:ind w:left="700" w:hanging="344"/>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annual meeting.</w:t>
      </w:r>
    </w:p>
    <w:p>
      <w:pPr>
        <w:spacing w:after="0" w:line="5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Members of the Company’s management will not make any formal presentation as part of the annual meeting, but will be available to address questions from shareholders, as appropriate. In addition, we expect all of our director nominees together with those directors continuing in office will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6069330" cy="548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69330" cy="548640"/>
                    </a:xfrm>
                    <a:prstGeom prst="rect">
                      <a:avLst/>
                    </a:prstGeom>
                    <a:noFill/>
                  </pic:spPr>
                </pic:pic>
              </a:graphicData>
            </a:graphic>
          </wp:anchor>
        </w:drawing>
      </w:r>
    </w:p>
    <w:p>
      <w:pPr>
        <w:spacing w:after="0" w:line="25" w:lineRule="exact"/>
        <w:rPr>
          <w:sz w:val="20"/>
          <w:szCs w:val="20"/>
          <w:color w:val="auto"/>
        </w:rPr>
      </w:pPr>
    </w:p>
    <w:p>
      <w:pPr>
        <w:ind w:left="80" w:right="60"/>
        <w:spacing w:after="0" w:line="247"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 annual meeting to be held on May 7, 2020</w:t>
      </w:r>
      <w:r>
        <w:rPr>
          <w:rFonts w:ascii="Arial" w:cs="Arial" w:eastAsia="Arial" w:hAnsi="Arial"/>
          <w:sz w:val="18"/>
          <w:szCs w:val="18"/>
          <w:color w:val="auto"/>
        </w:rPr>
        <w:t>. Our 2020 proxy statement is attached and, along with the Annual Report, is available for 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shareholders at </w:t>
      </w:r>
      <w:r>
        <w:rPr>
          <w:rFonts w:ascii="Arial" w:cs="Arial" w:eastAsia="Arial" w:hAnsi="Arial"/>
          <w:sz w:val="18"/>
          <w:szCs w:val="18"/>
          <w:b w:val="1"/>
          <w:bCs w:val="1"/>
          <w:color w:val="auto"/>
        </w:rPr>
        <w:t>https://materials.proxyvote.com.</w:t>
      </w:r>
      <w:r>
        <w:rPr>
          <w:rFonts w:ascii="Arial" w:cs="Arial" w:eastAsia="Arial" w:hAnsi="Arial"/>
          <w:sz w:val="18"/>
          <w:szCs w:val="18"/>
          <w:color w:val="auto"/>
        </w:rPr>
        <w:t xml:space="preserve"> Financial and other information concerning Itron is contained in our Annual Report for the 2019 fiscal year.</w:t>
      </w:r>
    </w:p>
    <w:p>
      <w:pPr>
        <w:spacing w:after="0" w:line="174"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u w:val="single" w:color="auto"/>
          <w:color w:val="auto"/>
        </w:rPr>
        <w:t>Your vote is very important</w:t>
      </w:r>
      <w:r>
        <w:rPr>
          <w:rFonts w:ascii="Arial" w:cs="Arial" w:eastAsia="Arial" w:hAnsi="Arial"/>
          <w:sz w:val="18"/>
          <w:szCs w:val="18"/>
          <w:b w:val="1"/>
          <w:bCs w:val="1"/>
          <w:color w:val="auto"/>
        </w:rPr>
        <w:t xml:space="preserve">. </w:t>
      </w:r>
      <w:r>
        <w:rPr>
          <w:rFonts w:ascii="Arial" w:cs="Arial" w:eastAsia="Arial" w:hAnsi="Arial"/>
          <w:sz w:val="18"/>
          <w:szCs w:val="18"/>
          <w:color w:val="auto"/>
        </w:rPr>
        <w:t>To ensure representation at the annual meeting, shareholders are urged to vote as</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as possible. To vote your shares, please refer to the voting instruction form on the website noted above, or review the section titled “Quorum and Voting” in the proxy statement. Any shareholder attending the annual meeting may vote in person (virtually) even if that shareholder has returned a proxy.</w:t>
      </w:r>
    </w:p>
    <w:p>
      <w:pPr>
        <w:spacing w:after="0" w:line="50"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2626360</wp:posOffset>
            </wp:positionH>
            <wp:positionV relativeFrom="paragraph">
              <wp:posOffset>14605</wp:posOffset>
            </wp:positionV>
            <wp:extent cx="1071880" cy="3517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7188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Sarah E. Hlavinka</w:t>
      </w:r>
    </w:p>
    <w:p>
      <w:pPr>
        <w:spacing w:after="0" w:line="10" w:lineRule="exact"/>
        <w:rPr>
          <w:sz w:val="20"/>
          <w:szCs w:val="20"/>
          <w:color w:val="auto"/>
        </w:rPr>
      </w:pPr>
    </w:p>
    <w:p>
      <w:pPr>
        <w:ind w:left="4140"/>
        <w:spacing w:after="0"/>
        <w:rPr>
          <w:sz w:val="20"/>
          <w:szCs w:val="20"/>
          <w:color w:val="auto"/>
        </w:rPr>
      </w:pPr>
      <w:r>
        <w:rPr>
          <w:rFonts w:ascii="Arial" w:cs="Arial" w:eastAsia="Arial" w:hAnsi="Arial"/>
          <w:sz w:val="18"/>
          <w:szCs w:val="18"/>
          <w:i w:val="1"/>
          <w:iCs w:val="1"/>
          <w:color w:val="auto"/>
        </w:rPr>
        <w:t>Corporate Secretary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Washington</w:t>
      </w:r>
    </w:p>
    <w:p>
      <w:pPr>
        <w:spacing w:after="0"/>
        <w:rPr>
          <w:sz w:val="20"/>
          <w:szCs w:val="20"/>
          <w:color w:val="auto"/>
        </w:rPr>
      </w:pPr>
      <w:r>
        <w:rPr>
          <w:rFonts w:ascii="Arial" w:cs="Arial" w:eastAsia="Arial" w:hAnsi="Arial"/>
          <w:sz w:val="18"/>
          <w:szCs w:val="18"/>
          <w:color w:val="auto"/>
        </w:rPr>
        <w:t>March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606933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360" w:type="dxa"/>
            <w:vAlign w:val="bottom"/>
            <w:gridSpan w:val="47"/>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gridSpan w:val="16"/>
          </w:tcPr>
          <w:p>
            <w:pPr>
              <w:ind w:left="120"/>
              <w:spacing w:after="0"/>
              <w:rPr>
                <w:sz w:val="20"/>
                <w:szCs w:val="20"/>
                <w:color w:val="auto"/>
              </w:rPr>
            </w:pPr>
            <w:r>
              <w:rPr>
                <w:rFonts w:ascii="Arial" w:cs="Arial" w:eastAsia="Arial" w:hAnsi="Arial"/>
                <w:sz w:val="18"/>
                <w:szCs w:val="18"/>
                <w:b w:val="1"/>
                <w:bCs w:val="1"/>
                <w:color w:val="auto"/>
              </w:rPr>
              <w:t>TABLE OF CONTENTS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1760" w:type="dxa"/>
            <w:vAlign w:val="bottom"/>
            <w:tcBorders>
              <w:bottom w:val="single" w:sz="8" w:color="0000EE"/>
            </w:tcBorders>
            <w:gridSpan w:val="6"/>
          </w:tcPr>
          <w:p>
            <w:pPr>
              <w:spacing w:after="0"/>
              <w:rPr>
                <w:rFonts w:ascii="Arial" w:cs="Arial" w:eastAsia="Arial" w:hAnsi="Arial"/>
                <w:sz w:val="18"/>
                <w:szCs w:val="18"/>
                <w:b w:val="1"/>
                <w:bCs w:val="1"/>
                <w:color w:val="0000EE"/>
                <w:w w:val="97"/>
              </w:rPr>
            </w:pPr>
            <w:hyperlink w:anchor="page5">
              <w:r>
                <w:rPr>
                  <w:rFonts w:ascii="Arial" w:cs="Arial" w:eastAsia="Arial" w:hAnsi="Arial"/>
                  <w:sz w:val="18"/>
                  <w:szCs w:val="18"/>
                  <w:b w:val="1"/>
                  <w:bCs w:val="1"/>
                  <w:color w:val="0000EE"/>
                  <w:w w:val="97"/>
                </w:rPr>
                <w:t>PROXY STATEMENT</w:t>
              </w:r>
            </w:hyperlink>
          </w:p>
        </w:tc>
        <w:tc>
          <w:tcPr>
            <w:tcW w:w="6600" w:type="dxa"/>
            <w:vAlign w:val="bottom"/>
            <w:gridSpan w:val="41"/>
          </w:tcPr>
          <w:p>
            <w:pPr>
              <w:spacing w:after="0"/>
              <w:rPr>
                <w:sz w:val="19"/>
                <w:szCs w:val="19"/>
                <w:color w:val="auto"/>
              </w:rPr>
            </w:pPr>
          </w:p>
        </w:tc>
        <w:tc>
          <w:tcPr>
            <w:tcW w:w="1100" w:type="dxa"/>
            <w:vAlign w:val="bottom"/>
            <w:gridSpan w:val="2"/>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r>
      <w:tr>
        <w:trPr>
          <w:trHeight w:val="210"/>
        </w:trPr>
        <w:tc>
          <w:tcPr>
            <w:tcW w:w="360" w:type="dxa"/>
            <w:vAlign w:val="bottom"/>
          </w:tcPr>
          <w:p>
            <w:pPr>
              <w:spacing w:after="0"/>
              <w:rPr>
                <w:sz w:val="18"/>
                <w:szCs w:val="18"/>
                <w:color w:val="auto"/>
              </w:rPr>
            </w:pPr>
          </w:p>
        </w:tc>
        <w:tc>
          <w:tcPr>
            <w:tcW w:w="8000" w:type="dxa"/>
            <w:vAlign w:val="bottom"/>
            <w:gridSpan w:val="4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Attending the Annual Meeting</w:t>
              </w:r>
            </w:hyperlink>
          </w:p>
        </w:tc>
        <w:tc>
          <w:tcPr>
            <w:tcW w:w="120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800" w:type="dxa"/>
            <w:vAlign w:val="bottom"/>
            <w:tcBorders>
              <w:bottom w:val="single" w:sz="8" w:color="0000EE"/>
            </w:tcBorders>
            <w:gridSpan w:val="35"/>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Internet Availability of Annual Meeting Materials</w:t>
              </w:r>
            </w:hyperlink>
          </w:p>
        </w:tc>
        <w:tc>
          <w:tcPr>
            <w:tcW w:w="4200" w:type="dxa"/>
            <w:vAlign w:val="bottom"/>
            <w:gridSpan w:val="11"/>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r>
      <w:tr>
        <w:trPr>
          <w:trHeight w:val="209"/>
        </w:trPr>
        <w:tc>
          <w:tcPr>
            <w:tcW w:w="360" w:type="dxa"/>
            <w:vAlign w:val="bottom"/>
          </w:tcPr>
          <w:p>
            <w:pPr>
              <w:spacing w:after="0"/>
              <w:rPr>
                <w:sz w:val="18"/>
                <w:szCs w:val="18"/>
                <w:color w:val="auto"/>
              </w:rPr>
            </w:pPr>
          </w:p>
        </w:tc>
        <w:tc>
          <w:tcPr>
            <w:tcW w:w="3880" w:type="dxa"/>
            <w:vAlign w:val="bottom"/>
            <w:tcBorders>
              <w:bottom w:val="single" w:sz="8" w:color="0000EE"/>
            </w:tcBorders>
            <w:gridSpan w:val="36"/>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Proposals to Be Voted On at the Annual Meeting</w:t>
              </w:r>
            </w:hyperlink>
          </w:p>
        </w:tc>
        <w:tc>
          <w:tcPr>
            <w:tcW w:w="4120" w:type="dxa"/>
            <w:vAlign w:val="bottom"/>
            <w:gridSpan w:val="10"/>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r>
      <w:tr>
        <w:trPr>
          <w:trHeight w:val="210"/>
        </w:trPr>
        <w:tc>
          <w:tcPr>
            <w:tcW w:w="360" w:type="dxa"/>
            <w:vAlign w:val="bottom"/>
          </w:tcPr>
          <w:p>
            <w:pPr>
              <w:spacing w:after="0"/>
              <w:rPr>
                <w:sz w:val="18"/>
                <w:szCs w:val="18"/>
                <w:color w:val="auto"/>
              </w:rPr>
            </w:pPr>
          </w:p>
        </w:tc>
        <w:tc>
          <w:tcPr>
            <w:tcW w:w="8000" w:type="dxa"/>
            <w:vAlign w:val="bottom"/>
            <w:gridSpan w:val="4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Record Date and Outstanding Shares</w:t>
              </w:r>
            </w:hyperlink>
          </w:p>
        </w:tc>
        <w:tc>
          <w:tcPr>
            <w:tcW w:w="120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2</w:t>
              </w:r>
            </w:hyperlink>
          </w:p>
        </w:tc>
      </w:tr>
      <w:tr>
        <w:trPr>
          <w:trHeight w:val="209"/>
        </w:trPr>
        <w:tc>
          <w:tcPr>
            <w:tcW w:w="360" w:type="dxa"/>
            <w:vAlign w:val="bottom"/>
          </w:tcPr>
          <w:p>
            <w:pPr>
              <w:spacing w:after="0"/>
              <w:rPr>
                <w:sz w:val="18"/>
                <w:szCs w:val="18"/>
                <w:color w:val="auto"/>
              </w:rPr>
            </w:pPr>
          </w:p>
        </w:tc>
        <w:tc>
          <w:tcPr>
            <w:tcW w:w="15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8"/>
              </w:rPr>
            </w:pPr>
            <w:hyperlink w:anchor="page6">
              <w:r>
                <w:rPr>
                  <w:rFonts w:ascii="Arial" w:cs="Arial" w:eastAsia="Arial" w:hAnsi="Arial"/>
                  <w:sz w:val="18"/>
                  <w:szCs w:val="18"/>
                  <w:color w:val="0000EE"/>
                  <w:w w:val="98"/>
                </w:rPr>
                <w:t>Quorum and Voting</w:t>
              </w:r>
            </w:hyperlink>
          </w:p>
        </w:tc>
        <w:tc>
          <w:tcPr>
            <w:tcW w:w="1440" w:type="dxa"/>
            <w:vAlign w:val="bottom"/>
            <w:tcBorders>
              <w:top w:val="single" w:sz="8" w:color="0000EE"/>
            </w:tcBorders>
            <w:gridSpan w:val="18"/>
          </w:tcPr>
          <w:p>
            <w:pPr>
              <w:spacing w:after="0"/>
              <w:rPr>
                <w:sz w:val="18"/>
                <w:szCs w:val="18"/>
                <w:color w:val="auto"/>
              </w:rPr>
            </w:pPr>
          </w:p>
        </w:tc>
        <w:tc>
          <w:tcPr>
            <w:tcW w:w="5000" w:type="dxa"/>
            <w:vAlign w:val="bottom"/>
            <w:gridSpan w:val="22"/>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2</w:t>
              </w:r>
            </w:hyperlink>
          </w:p>
        </w:tc>
      </w:tr>
      <w:tr>
        <w:trPr>
          <w:trHeight w:val="209"/>
        </w:trPr>
        <w:tc>
          <w:tcPr>
            <w:tcW w:w="360" w:type="dxa"/>
            <w:vAlign w:val="bottom"/>
          </w:tcPr>
          <w:p>
            <w:pPr>
              <w:spacing w:after="0"/>
              <w:rPr>
                <w:sz w:val="18"/>
                <w:szCs w:val="18"/>
                <w:color w:val="auto"/>
              </w:rPr>
            </w:pPr>
          </w:p>
        </w:tc>
        <w:tc>
          <w:tcPr>
            <w:tcW w:w="8000" w:type="dxa"/>
            <w:vAlign w:val="bottom"/>
            <w:gridSpan w:val="4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Revocability of Proxies</w:t>
              </w:r>
            </w:hyperlink>
          </w:p>
        </w:tc>
        <w:tc>
          <w:tcPr>
            <w:tcW w:w="120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210"/>
        </w:trPr>
        <w:tc>
          <w:tcPr>
            <w:tcW w:w="360" w:type="dxa"/>
            <w:vAlign w:val="bottom"/>
          </w:tcPr>
          <w:p>
            <w:pPr>
              <w:spacing w:after="0"/>
              <w:rPr>
                <w:sz w:val="18"/>
                <w:szCs w:val="18"/>
                <w:color w:val="auto"/>
              </w:rPr>
            </w:pPr>
          </w:p>
        </w:tc>
        <w:tc>
          <w:tcPr>
            <w:tcW w:w="1820" w:type="dxa"/>
            <w:vAlign w:val="bottom"/>
            <w:tcBorders>
              <w:top w:val="single" w:sz="8" w:color="0000EE"/>
            </w:tcBorders>
            <w:gridSpan w:val="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Proxy Solicitation</w:t>
              </w:r>
            </w:hyperlink>
          </w:p>
        </w:tc>
        <w:tc>
          <w:tcPr>
            <w:tcW w:w="6180" w:type="dxa"/>
            <w:vAlign w:val="bottom"/>
            <w:gridSpan w:val="37"/>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3</w:t>
              </w:r>
            </w:hyperlink>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09"/>
        </w:trPr>
        <w:tc>
          <w:tcPr>
            <w:tcW w:w="8360" w:type="dxa"/>
            <w:vAlign w:val="bottom"/>
            <w:gridSpan w:val="47"/>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PROPOSAL 1 – ELECTION OF DIRECTORS</w:t>
              </w:r>
            </w:hyperlink>
          </w:p>
        </w:tc>
        <w:tc>
          <w:tcPr>
            <w:tcW w:w="120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4</w:t>
              </w:r>
            </w:hyperlink>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10"/>
        </w:trPr>
        <w:tc>
          <w:tcPr>
            <w:tcW w:w="4100" w:type="dxa"/>
            <w:vAlign w:val="bottom"/>
            <w:tcBorders>
              <w:bottom w:val="single" w:sz="8" w:color="0000EE"/>
            </w:tcBorders>
            <w:gridSpan w:val="35"/>
          </w:tcPr>
          <w:p>
            <w:pPr>
              <w:spacing w:after="0"/>
              <w:rPr>
                <w:rFonts w:ascii="Arial" w:cs="Arial" w:eastAsia="Arial" w:hAnsi="Arial"/>
                <w:sz w:val="18"/>
                <w:szCs w:val="18"/>
                <w:b w:val="1"/>
                <w:bCs w:val="1"/>
                <w:color w:val="0000EE"/>
                <w:w w:val="99"/>
              </w:rPr>
            </w:pPr>
            <w:hyperlink w:anchor="page8">
              <w:r>
                <w:rPr>
                  <w:rFonts w:ascii="Arial" w:cs="Arial" w:eastAsia="Arial" w:hAnsi="Arial"/>
                  <w:sz w:val="18"/>
                  <w:szCs w:val="18"/>
                  <w:b w:val="1"/>
                  <w:bCs w:val="1"/>
                  <w:color w:val="0000EE"/>
                  <w:w w:val="99"/>
                </w:rPr>
                <w:t>MORE INFORMATION ABOUT OUR DIRECTORS</w:t>
              </w:r>
            </w:hyperlink>
          </w:p>
        </w:tc>
        <w:tc>
          <w:tcPr>
            <w:tcW w:w="4260" w:type="dxa"/>
            <w:vAlign w:val="bottom"/>
            <w:gridSpan w:val="12"/>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4</w:t>
              </w:r>
            </w:hyperlink>
          </w:p>
        </w:tc>
      </w:tr>
      <w:tr>
        <w:trPr>
          <w:trHeight w:val="209"/>
        </w:trPr>
        <w:tc>
          <w:tcPr>
            <w:tcW w:w="360" w:type="dxa"/>
            <w:vAlign w:val="bottom"/>
          </w:tcPr>
          <w:p>
            <w:pPr>
              <w:spacing w:after="0"/>
              <w:rPr>
                <w:sz w:val="18"/>
                <w:szCs w:val="18"/>
                <w:color w:val="auto"/>
              </w:rPr>
            </w:pPr>
          </w:p>
        </w:tc>
        <w:tc>
          <w:tcPr>
            <w:tcW w:w="214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14">
              <w:r>
                <w:rPr>
                  <w:rFonts w:ascii="Arial" w:cs="Arial" w:eastAsia="Arial" w:hAnsi="Arial"/>
                  <w:sz w:val="18"/>
                  <w:szCs w:val="18"/>
                  <w:color w:val="0000EE"/>
                  <w:w w:val="99"/>
                </w:rPr>
                <w:t>Compensation of Directors</w:t>
              </w:r>
            </w:hyperlink>
          </w:p>
        </w:tc>
        <w:tc>
          <w:tcPr>
            <w:tcW w:w="5860" w:type="dxa"/>
            <w:vAlign w:val="bottom"/>
            <w:gridSpan w:val="33"/>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10</w:t>
              </w:r>
            </w:hyperlink>
          </w:p>
        </w:tc>
      </w:tr>
      <w:tr>
        <w:trPr>
          <w:trHeight w:val="209"/>
        </w:trPr>
        <w:tc>
          <w:tcPr>
            <w:tcW w:w="8360" w:type="dxa"/>
            <w:vAlign w:val="bottom"/>
            <w:gridSpan w:val="47"/>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CORPORATE GOVERNANCE</w:t>
              </w:r>
            </w:hyperlink>
          </w:p>
        </w:tc>
        <w:tc>
          <w:tcPr>
            <w:tcW w:w="120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12</w:t>
              </w:r>
            </w:hyperlink>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3680" w:type="dxa"/>
            <w:vAlign w:val="bottom"/>
            <w:tcBorders>
              <w:bottom w:val="single" w:sz="8" w:color="0000EE"/>
            </w:tcBorders>
            <w:gridSpan w:val="33"/>
          </w:tcPr>
          <w:p>
            <w:pPr>
              <w:spacing w:after="0"/>
              <w:rPr>
                <w:rFonts w:ascii="Arial" w:cs="Arial" w:eastAsia="Arial" w:hAnsi="Arial"/>
                <w:sz w:val="18"/>
                <w:szCs w:val="18"/>
                <w:color w:val="0000EE"/>
                <w:w w:val="99"/>
              </w:rPr>
            </w:pPr>
            <w:hyperlink w:anchor="page16">
              <w:r>
                <w:rPr>
                  <w:rFonts w:ascii="Arial" w:cs="Arial" w:eastAsia="Arial" w:hAnsi="Arial"/>
                  <w:sz w:val="18"/>
                  <w:szCs w:val="18"/>
                  <w:color w:val="0000EE"/>
                  <w:w w:val="99"/>
                </w:rPr>
                <w:t>Leadership Structure of the Board of Directors</w:t>
              </w:r>
            </w:hyperlink>
          </w:p>
        </w:tc>
        <w:tc>
          <w:tcPr>
            <w:tcW w:w="4320" w:type="dxa"/>
            <w:vAlign w:val="bottom"/>
            <w:gridSpan w:val="13"/>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12</w:t>
              </w:r>
            </w:hyperlink>
          </w:p>
        </w:tc>
      </w:tr>
      <w:tr>
        <w:trPr>
          <w:trHeight w:val="209"/>
        </w:trPr>
        <w:tc>
          <w:tcPr>
            <w:tcW w:w="360" w:type="dxa"/>
            <w:vAlign w:val="bottom"/>
          </w:tcPr>
          <w:p>
            <w:pPr>
              <w:spacing w:after="0"/>
              <w:rPr>
                <w:sz w:val="18"/>
                <w:szCs w:val="18"/>
                <w:color w:val="auto"/>
              </w:rPr>
            </w:pPr>
          </w:p>
        </w:tc>
        <w:tc>
          <w:tcPr>
            <w:tcW w:w="3340" w:type="dxa"/>
            <w:vAlign w:val="bottom"/>
            <w:tcBorders>
              <w:bottom w:val="single" w:sz="8" w:color="0000EE"/>
            </w:tcBorders>
            <w:gridSpan w:val="30"/>
          </w:tcPr>
          <w:p>
            <w:pPr>
              <w:spacing w:after="0"/>
              <w:rPr>
                <w:rFonts w:ascii="Arial" w:cs="Arial" w:eastAsia="Arial" w:hAnsi="Arial"/>
                <w:sz w:val="18"/>
                <w:szCs w:val="18"/>
                <w:color w:val="0000EE"/>
                <w:w w:val="99"/>
              </w:rPr>
            </w:pPr>
            <w:hyperlink w:anchor="page16">
              <w:r>
                <w:rPr>
                  <w:rFonts w:ascii="Arial" w:cs="Arial" w:eastAsia="Arial" w:hAnsi="Arial"/>
                  <w:sz w:val="18"/>
                  <w:szCs w:val="18"/>
                  <w:color w:val="0000EE"/>
                  <w:w w:val="99"/>
                </w:rPr>
                <w:t>Corporate Governance Guiding Principles</w:t>
              </w:r>
            </w:hyperlink>
          </w:p>
        </w:tc>
        <w:tc>
          <w:tcPr>
            <w:tcW w:w="4660" w:type="dxa"/>
            <w:vAlign w:val="bottom"/>
            <w:gridSpan w:val="16"/>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12</w:t>
              </w:r>
            </w:hyperlink>
          </w:p>
        </w:tc>
      </w:tr>
      <w:tr>
        <w:trPr>
          <w:trHeight w:val="209"/>
        </w:trPr>
        <w:tc>
          <w:tcPr>
            <w:tcW w:w="360" w:type="dxa"/>
            <w:vAlign w:val="bottom"/>
          </w:tcPr>
          <w:p>
            <w:pPr>
              <w:spacing w:after="0"/>
              <w:rPr>
                <w:sz w:val="18"/>
                <w:szCs w:val="18"/>
                <w:color w:val="auto"/>
              </w:rPr>
            </w:pPr>
          </w:p>
        </w:tc>
        <w:tc>
          <w:tcPr>
            <w:tcW w:w="2940" w:type="dxa"/>
            <w:vAlign w:val="bottom"/>
            <w:tcBorders>
              <w:bottom w:val="single" w:sz="8" w:color="0000EE"/>
            </w:tcBorders>
            <w:gridSpan w:val="23"/>
          </w:tcPr>
          <w:p>
            <w:pPr>
              <w:spacing w:after="0"/>
              <w:rPr>
                <w:rFonts w:ascii="Arial" w:cs="Arial" w:eastAsia="Arial" w:hAnsi="Arial"/>
                <w:sz w:val="18"/>
                <w:szCs w:val="18"/>
                <w:color w:val="0000EE"/>
                <w:w w:val="99"/>
              </w:rPr>
            </w:pPr>
            <w:hyperlink w:anchor="page16">
              <w:r>
                <w:rPr>
                  <w:rFonts w:ascii="Arial" w:cs="Arial" w:eastAsia="Arial" w:hAnsi="Arial"/>
                  <w:sz w:val="18"/>
                  <w:szCs w:val="18"/>
                  <w:color w:val="0000EE"/>
                  <w:w w:val="99"/>
                </w:rPr>
                <w:t>Board Matters – Meeting Attendance</w:t>
              </w:r>
            </w:hyperlink>
          </w:p>
        </w:tc>
        <w:tc>
          <w:tcPr>
            <w:tcW w:w="5060" w:type="dxa"/>
            <w:vAlign w:val="bottom"/>
            <w:gridSpan w:val="23"/>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12</w:t>
              </w:r>
            </w:hyperlink>
          </w:p>
        </w:tc>
      </w:tr>
      <w:tr>
        <w:trPr>
          <w:trHeight w:val="210"/>
        </w:trPr>
        <w:tc>
          <w:tcPr>
            <w:tcW w:w="360" w:type="dxa"/>
            <w:vAlign w:val="bottom"/>
          </w:tcPr>
          <w:p>
            <w:pPr>
              <w:spacing w:after="0"/>
              <w:rPr>
                <w:sz w:val="18"/>
                <w:szCs w:val="18"/>
                <w:color w:val="auto"/>
              </w:rPr>
            </w:pPr>
          </w:p>
        </w:tc>
        <w:tc>
          <w:tcPr>
            <w:tcW w:w="8000" w:type="dxa"/>
            <w:vAlign w:val="bottom"/>
            <w:gridSpan w:val="46"/>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Director Independence</w:t>
              </w:r>
            </w:hyperlink>
          </w:p>
        </w:tc>
        <w:tc>
          <w:tcPr>
            <w:tcW w:w="120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12</w:t>
              </w:r>
            </w:hyperlink>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200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17">
              <w:r>
                <w:rPr>
                  <w:rFonts w:ascii="Arial" w:cs="Arial" w:eastAsia="Arial" w:hAnsi="Arial"/>
                  <w:sz w:val="18"/>
                  <w:szCs w:val="18"/>
                  <w:color w:val="0000EE"/>
                  <w:w w:val="99"/>
                </w:rPr>
                <w:t>Committees of the Board</w:t>
              </w:r>
            </w:hyperlink>
          </w:p>
        </w:tc>
        <w:tc>
          <w:tcPr>
            <w:tcW w:w="6000" w:type="dxa"/>
            <w:vAlign w:val="bottom"/>
            <w:gridSpan w:val="35"/>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13</w:t>
              </w:r>
            </w:hyperlink>
          </w:p>
        </w:tc>
      </w:tr>
      <w:tr>
        <w:trPr>
          <w:trHeight w:val="210"/>
        </w:trPr>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40" w:type="dxa"/>
            <w:vAlign w:val="bottom"/>
            <w:gridSpan w:val="45"/>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Nominating and Corporate Governance Committee</w:t>
              </w:r>
            </w:hyperlink>
          </w:p>
        </w:tc>
        <w:tc>
          <w:tcPr>
            <w:tcW w:w="120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13</w:t>
              </w:r>
            </w:hyperlink>
          </w:p>
        </w:tc>
      </w:tr>
      <w:tr>
        <w:trPr>
          <w:trHeight w:val="209"/>
        </w:trPr>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60" w:type="dxa"/>
            <w:vAlign w:val="bottom"/>
            <w:tcBorders>
              <w:top w:val="single" w:sz="8" w:color="0000EE"/>
            </w:tcBorders>
            <w:gridSpan w:val="3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Audit/Finance Committee</w:t>
              </w:r>
            </w:hyperlink>
          </w:p>
        </w:tc>
        <w:tc>
          <w:tcPr>
            <w:tcW w:w="3580" w:type="dxa"/>
            <w:vAlign w:val="bottom"/>
            <w:gridSpan w:val="6"/>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14</w:t>
              </w:r>
            </w:hyperlink>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40" w:type="dxa"/>
            <w:vAlign w:val="bottom"/>
            <w:gridSpan w:val="4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Compensation Committee</w:t>
              </w:r>
            </w:hyperlink>
          </w:p>
        </w:tc>
        <w:tc>
          <w:tcPr>
            <w:tcW w:w="120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14</w:t>
              </w:r>
            </w:hyperlink>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8000" w:type="dxa"/>
            <w:vAlign w:val="bottom"/>
            <w:gridSpan w:val="4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Compensation Committee Interlocks and Insider Participation</w:t>
              </w:r>
            </w:hyperlink>
          </w:p>
        </w:tc>
        <w:tc>
          <w:tcPr>
            <w:tcW w:w="120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14</w:t>
              </w:r>
            </w:hyperlink>
          </w:p>
        </w:tc>
      </w:tr>
      <w:tr>
        <w:trPr>
          <w:trHeight w:val="209"/>
        </w:trPr>
        <w:tc>
          <w:tcPr>
            <w:tcW w:w="360" w:type="dxa"/>
            <w:vAlign w:val="bottom"/>
          </w:tcPr>
          <w:p>
            <w:pPr>
              <w:spacing w:after="0"/>
              <w:rPr>
                <w:sz w:val="18"/>
                <w:szCs w:val="18"/>
                <w:color w:val="auto"/>
              </w:rPr>
            </w:pPr>
          </w:p>
        </w:tc>
        <w:tc>
          <w:tcPr>
            <w:tcW w:w="2780" w:type="dxa"/>
            <w:vAlign w:val="bottom"/>
            <w:tcBorders>
              <w:top w:val="single" w:sz="8" w:color="0000EE"/>
              <w:bottom w:val="single" w:sz="8" w:color="0000EE"/>
            </w:tcBorders>
            <w:gridSpan w:val="21"/>
          </w:tcPr>
          <w:p>
            <w:pPr>
              <w:spacing w:after="0"/>
              <w:rPr>
                <w:rFonts w:ascii="Arial" w:cs="Arial" w:eastAsia="Arial" w:hAnsi="Arial"/>
                <w:sz w:val="18"/>
                <w:szCs w:val="18"/>
                <w:color w:val="0000EE"/>
                <w:w w:val="99"/>
              </w:rPr>
            </w:pPr>
            <w:hyperlink w:anchor="page18">
              <w:r>
                <w:rPr>
                  <w:rFonts w:ascii="Arial" w:cs="Arial" w:eastAsia="Arial" w:hAnsi="Arial"/>
                  <w:sz w:val="18"/>
                  <w:szCs w:val="18"/>
                  <w:color w:val="0000EE"/>
                  <w:w w:val="99"/>
                </w:rPr>
                <w:t>Transactions with Related Persons</w:t>
              </w:r>
            </w:hyperlink>
          </w:p>
        </w:tc>
        <w:tc>
          <w:tcPr>
            <w:tcW w:w="2100" w:type="dxa"/>
            <w:vAlign w:val="bottom"/>
            <w:tcBorders>
              <w:top w:val="single" w:sz="8" w:color="0000EE"/>
            </w:tcBorders>
            <w:gridSpan w:val="21"/>
          </w:tcPr>
          <w:p>
            <w:pPr>
              <w:spacing w:after="0"/>
              <w:rPr>
                <w:sz w:val="18"/>
                <w:szCs w:val="18"/>
                <w:color w:val="auto"/>
              </w:rPr>
            </w:pPr>
          </w:p>
        </w:tc>
        <w:tc>
          <w:tcPr>
            <w:tcW w:w="3120" w:type="dxa"/>
            <w:vAlign w:val="bottom"/>
            <w:gridSpan w:val="4"/>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14</w:t>
              </w:r>
            </w:hyperlink>
          </w:p>
        </w:tc>
      </w:tr>
      <w:tr>
        <w:trPr>
          <w:trHeight w:val="209"/>
        </w:trPr>
        <w:tc>
          <w:tcPr>
            <w:tcW w:w="360" w:type="dxa"/>
            <w:vAlign w:val="bottom"/>
          </w:tcPr>
          <w:p>
            <w:pPr>
              <w:spacing w:after="0"/>
              <w:rPr>
                <w:sz w:val="18"/>
                <w:szCs w:val="18"/>
                <w:color w:val="auto"/>
              </w:rPr>
            </w:pPr>
          </w:p>
        </w:tc>
        <w:tc>
          <w:tcPr>
            <w:tcW w:w="2800" w:type="dxa"/>
            <w:vAlign w:val="bottom"/>
            <w:tcBorders>
              <w:bottom w:val="single" w:sz="8" w:color="0000EE"/>
            </w:tcBorders>
            <w:gridSpan w:val="22"/>
          </w:tcPr>
          <w:p>
            <w:pPr>
              <w:spacing w:after="0"/>
              <w:rPr>
                <w:rFonts w:ascii="Arial" w:cs="Arial" w:eastAsia="Arial" w:hAnsi="Arial"/>
                <w:sz w:val="18"/>
                <w:szCs w:val="18"/>
                <w:color w:val="0000EE"/>
                <w:w w:val="99"/>
              </w:rPr>
            </w:pPr>
            <w:hyperlink w:anchor="page19">
              <w:r>
                <w:rPr>
                  <w:rFonts w:ascii="Arial" w:cs="Arial" w:eastAsia="Arial" w:hAnsi="Arial"/>
                  <w:sz w:val="18"/>
                  <w:szCs w:val="18"/>
                  <w:color w:val="0000EE"/>
                  <w:w w:val="99"/>
                </w:rPr>
                <w:t>Our Board’s Role in Risk Oversight</w:t>
              </w:r>
            </w:hyperlink>
          </w:p>
        </w:tc>
        <w:tc>
          <w:tcPr>
            <w:tcW w:w="5200" w:type="dxa"/>
            <w:vAlign w:val="bottom"/>
            <w:gridSpan w:val="24"/>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15</w:t>
              </w:r>
            </w:hyperlink>
          </w:p>
        </w:tc>
      </w:tr>
      <w:tr>
        <w:trPr>
          <w:trHeight w:val="210"/>
        </w:trPr>
        <w:tc>
          <w:tcPr>
            <w:tcW w:w="360" w:type="dxa"/>
            <w:vAlign w:val="bottom"/>
          </w:tcPr>
          <w:p>
            <w:pPr>
              <w:spacing w:after="0"/>
              <w:rPr>
                <w:sz w:val="18"/>
                <w:szCs w:val="18"/>
                <w:color w:val="auto"/>
              </w:rPr>
            </w:pPr>
          </w:p>
        </w:tc>
        <w:tc>
          <w:tcPr>
            <w:tcW w:w="1360" w:type="dxa"/>
            <w:vAlign w:val="bottom"/>
            <w:tcBorders>
              <w:bottom w:val="single" w:sz="8" w:color="0000EE"/>
            </w:tcBorders>
            <w:gridSpan w:val="4"/>
          </w:tcPr>
          <w:p>
            <w:pPr>
              <w:spacing w:after="0"/>
              <w:rPr>
                <w:rFonts w:ascii="Arial" w:cs="Arial" w:eastAsia="Arial" w:hAnsi="Arial"/>
                <w:sz w:val="18"/>
                <w:szCs w:val="18"/>
                <w:color w:val="0000EE"/>
                <w:w w:val="97"/>
              </w:rPr>
            </w:pPr>
            <w:hyperlink w:anchor="page19">
              <w:r>
                <w:rPr>
                  <w:rFonts w:ascii="Arial" w:cs="Arial" w:eastAsia="Arial" w:hAnsi="Arial"/>
                  <w:sz w:val="18"/>
                  <w:szCs w:val="18"/>
                  <w:color w:val="0000EE"/>
                  <w:w w:val="97"/>
                </w:rPr>
                <w:t>Code of Conduct</w:t>
              </w:r>
            </w:hyperlink>
          </w:p>
        </w:tc>
        <w:tc>
          <w:tcPr>
            <w:tcW w:w="6640" w:type="dxa"/>
            <w:vAlign w:val="bottom"/>
            <w:gridSpan w:val="42"/>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15</w:t>
              </w:r>
            </w:hyperlink>
          </w:p>
        </w:tc>
      </w:tr>
      <w:tr>
        <w:trPr>
          <w:trHeight w:val="209"/>
        </w:trPr>
        <w:tc>
          <w:tcPr>
            <w:tcW w:w="360" w:type="dxa"/>
            <w:vAlign w:val="bottom"/>
          </w:tcPr>
          <w:p>
            <w:pPr>
              <w:spacing w:after="0"/>
              <w:rPr>
                <w:sz w:val="18"/>
                <w:szCs w:val="18"/>
                <w:color w:val="auto"/>
              </w:rPr>
            </w:pPr>
          </w:p>
        </w:tc>
        <w:tc>
          <w:tcPr>
            <w:tcW w:w="158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20">
              <w:r>
                <w:rPr>
                  <w:rFonts w:ascii="Arial" w:cs="Arial" w:eastAsia="Arial" w:hAnsi="Arial"/>
                  <w:sz w:val="18"/>
                  <w:szCs w:val="18"/>
                  <w:color w:val="0000EE"/>
                  <w:w w:val="99"/>
                </w:rPr>
                <w:t>Anti-Hedging Policy</w:t>
              </w:r>
            </w:hyperlink>
          </w:p>
        </w:tc>
        <w:tc>
          <w:tcPr>
            <w:tcW w:w="6420" w:type="dxa"/>
            <w:vAlign w:val="bottom"/>
            <w:gridSpan w:val="39"/>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16</w:t>
              </w:r>
            </w:hyperlink>
          </w:p>
        </w:tc>
      </w:tr>
      <w:tr>
        <w:trPr>
          <w:trHeight w:val="210"/>
        </w:trPr>
        <w:tc>
          <w:tcPr>
            <w:tcW w:w="360" w:type="dxa"/>
            <w:vAlign w:val="bottom"/>
          </w:tcPr>
          <w:p>
            <w:pPr>
              <w:spacing w:after="0"/>
              <w:rPr>
                <w:sz w:val="18"/>
                <w:szCs w:val="18"/>
                <w:color w:val="auto"/>
              </w:rPr>
            </w:pPr>
          </w:p>
        </w:tc>
        <w:tc>
          <w:tcPr>
            <w:tcW w:w="3180" w:type="dxa"/>
            <w:vAlign w:val="bottom"/>
            <w:tcBorders>
              <w:bottom w:val="single" w:sz="8" w:color="0000EE"/>
            </w:tcBorders>
            <w:gridSpan w:val="28"/>
          </w:tcPr>
          <w:p>
            <w:pPr>
              <w:spacing w:after="0"/>
              <w:rPr>
                <w:rFonts w:ascii="Arial" w:cs="Arial" w:eastAsia="Arial" w:hAnsi="Arial"/>
                <w:sz w:val="18"/>
                <w:szCs w:val="18"/>
                <w:color w:val="0000EE"/>
                <w:w w:val="99"/>
              </w:rPr>
            </w:pPr>
            <w:hyperlink w:anchor="page20">
              <w:r>
                <w:rPr>
                  <w:rFonts w:ascii="Arial" w:cs="Arial" w:eastAsia="Arial" w:hAnsi="Arial"/>
                  <w:sz w:val="18"/>
                  <w:szCs w:val="18"/>
                  <w:color w:val="0000EE"/>
                  <w:w w:val="99"/>
                </w:rPr>
                <w:t>Incentive Repayment (Clawback) Policy</w:t>
              </w:r>
            </w:hyperlink>
          </w:p>
        </w:tc>
        <w:tc>
          <w:tcPr>
            <w:tcW w:w="4820" w:type="dxa"/>
            <w:vAlign w:val="bottom"/>
            <w:gridSpan w:val="18"/>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16</w:t>
              </w:r>
            </w:hyperlink>
          </w:p>
        </w:tc>
      </w:tr>
      <w:tr>
        <w:trPr>
          <w:trHeight w:val="210"/>
        </w:trPr>
        <w:tc>
          <w:tcPr>
            <w:tcW w:w="360" w:type="dxa"/>
            <w:vAlign w:val="bottom"/>
          </w:tcPr>
          <w:p>
            <w:pPr>
              <w:spacing w:after="0"/>
              <w:rPr>
                <w:sz w:val="18"/>
                <w:szCs w:val="18"/>
                <w:color w:val="auto"/>
              </w:rPr>
            </w:pPr>
          </w:p>
        </w:tc>
        <w:tc>
          <w:tcPr>
            <w:tcW w:w="8000" w:type="dxa"/>
            <w:vAlign w:val="bottom"/>
            <w:gridSpan w:val="46"/>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Director Nominations by Shareholders</w:t>
              </w:r>
            </w:hyperlink>
          </w:p>
        </w:tc>
        <w:tc>
          <w:tcPr>
            <w:tcW w:w="1200" w:type="dxa"/>
            <w:vAlign w:val="bottom"/>
            <w:gridSpan w:val="3"/>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16</w:t>
              </w:r>
            </w:hyperlink>
          </w:p>
        </w:tc>
      </w:tr>
      <w:tr>
        <w:trPr>
          <w:trHeight w:val="20"/>
        </w:trPr>
        <w:tc>
          <w:tcPr>
            <w:tcW w:w="3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3580" w:type="dxa"/>
            <w:vAlign w:val="bottom"/>
            <w:tcBorders>
              <w:bottom w:val="single" w:sz="8" w:color="0000EE"/>
            </w:tcBorders>
            <w:gridSpan w:val="32"/>
          </w:tcPr>
          <w:p>
            <w:pPr>
              <w:spacing w:after="0"/>
              <w:rPr>
                <w:rFonts w:ascii="Arial" w:cs="Arial" w:eastAsia="Arial" w:hAnsi="Arial"/>
                <w:sz w:val="18"/>
                <w:szCs w:val="18"/>
                <w:color w:val="0000EE"/>
                <w:w w:val="99"/>
              </w:rPr>
            </w:pPr>
            <w:hyperlink w:anchor="page21">
              <w:r>
                <w:rPr>
                  <w:rFonts w:ascii="Arial" w:cs="Arial" w:eastAsia="Arial" w:hAnsi="Arial"/>
                  <w:sz w:val="18"/>
                  <w:szCs w:val="18"/>
                  <w:color w:val="0000EE"/>
                  <w:w w:val="99"/>
                </w:rPr>
                <w:t>Shareholder Communications with the Board</w:t>
              </w:r>
            </w:hyperlink>
          </w:p>
        </w:tc>
        <w:tc>
          <w:tcPr>
            <w:tcW w:w="4420" w:type="dxa"/>
            <w:vAlign w:val="bottom"/>
            <w:gridSpan w:val="14"/>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17</w:t>
              </w:r>
            </w:hyperlink>
          </w:p>
        </w:tc>
      </w:tr>
      <w:tr>
        <w:trPr>
          <w:trHeight w:val="209"/>
        </w:trPr>
        <w:tc>
          <w:tcPr>
            <w:tcW w:w="7360" w:type="dxa"/>
            <w:vAlign w:val="bottom"/>
            <w:tcBorders>
              <w:bottom w:val="single" w:sz="8" w:color="0000EE"/>
            </w:tcBorders>
            <w:gridSpan w:val="46"/>
          </w:tcPr>
          <w:p>
            <w:pPr>
              <w:spacing w:after="0"/>
              <w:rPr>
                <w:rFonts w:ascii="Arial" w:cs="Arial" w:eastAsia="Arial" w:hAnsi="Arial"/>
                <w:sz w:val="18"/>
                <w:szCs w:val="18"/>
                <w:b w:val="1"/>
                <w:bCs w:val="1"/>
                <w:color w:val="0000EE"/>
                <w:w w:val="99"/>
              </w:rPr>
            </w:pPr>
            <w:hyperlink w:anchor="page22">
              <w:r>
                <w:rPr>
                  <w:rFonts w:ascii="Arial" w:cs="Arial" w:eastAsia="Arial" w:hAnsi="Arial"/>
                  <w:sz w:val="18"/>
                  <w:szCs w:val="18"/>
                  <w:b w:val="1"/>
                  <w:bCs w:val="1"/>
                  <w:color w:val="0000EE"/>
                  <w:w w:val="99"/>
                </w:rPr>
                <w:t>PROPOSAL 2 – ADVISORY APPROVAL OF EXECUTIVE COMPENSATION (Say-on-Pay)</w:t>
              </w:r>
            </w:hyperlink>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18</w:t>
              </w:r>
            </w:hyperlink>
          </w:p>
        </w:tc>
      </w:tr>
      <w:tr>
        <w:trPr>
          <w:trHeight w:val="210"/>
        </w:trPr>
        <w:tc>
          <w:tcPr>
            <w:tcW w:w="2540" w:type="dxa"/>
            <w:vAlign w:val="bottom"/>
            <w:tcBorders>
              <w:bottom w:val="single" w:sz="8" w:color="0000EE"/>
            </w:tcBorders>
            <w:gridSpan w:val="15"/>
          </w:tcPr>
          <w:p>
            <w:pPr>
              <w:spacing w:after="0"/>
              <w:rPr>
                <w:rFonts w:ascii="Arial" w:cs="Arial" w:eastAsia="Arial" w:hAnsi="Arial"/>
                <w:sz w:val="18"/>
                <w:szCs w:val="18"/>
                <w:b w:val="1"/>
                <w:bCs w:val="1"/>
                <w:color w:val="0000EE"/>
                <w:w w:val="99"/>
              </w:rPr>
            </w:pPr>
            <w:hyperlink w:anchor="page23">
              <w:r>
                <w:rPr>
                  <w:rFonts w:ascii="Arial" w:cs="Arial" w:eastAsia="Arial" w:hAnsi="Arial"/>
                  <w:sz w:val="18"/>
                  <w:szCs w:val="18"/>
                  <w:b w:val="1"/>
                  <w:bCs w:val="1"/>
                  <w:color w:val="0000EE"/>
                  <w:w w:val="99"/>
                </w:rPr>
                <w:t>EXECUTIVE COMPENSATION</w:t>
              </w:r>
            </w:hyperlink>
          </w:p>
        </w:tc>
        <w:tc>
          <w:tcPr>
            <w:tcW w:w="5820" w:type="dxa"/>
            <w:vAlign w:val="bottom"/>
            <w:gridSpan w:val="32"/>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19</w:t>
              </w:r>
            </w:hyperlink>
          </w:p>
        </w:tc>
      </w:tr>
      <w:tr>
        <w:trPr>
          <w:trHeight w:val="210"/>
        </w:trPr>
        <w:tc>
          <w:tcPr>
            <w:tcW w:w="8360" w:type="dxa"/>
            <w:vAlign w:val="bottom"/>
            <w:gridSpan w:val="47"/>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Compensation Discussion and Analysis</w:t>
              </w:r>
            </w:hyperlink>
          </w:p>
        </w:tc>
        <w:tc>
          <w:tcPr>
            <w:tcW w:w="120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19</w:t>
              </w:r>
            </w:hyperlink>
          </w:p>
        </w:tc>
      </w:tr>
      <w:tr>
        <w:trPr>
          <w:trHeight w:val="210"/>
        </w:trPr>
        <w:tc>
          <w:tcPr>
            <w:tcW w:w="3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700" w:type="dxa"/>
            <w:vAlign w:val="bottom"/>
            <w:tcBorders>
              <w:top w:val="single" w:sz="8" w:color="0000EE"/>
            </w:tcBorders>
            <w:gridSpan w:val="2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Executive Summary</w:t>
              </w:r>
            </w:hyperlink>
          </w:p>
        </w:tc>
        <w:tc>
          <w:tcPr>
            <w:tcW w:w="4940" w:type="dxa"/>
            <w:vAlign w:val="bottom"/>
            <w:gridSpan w:val="20"/>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20</w:t>
              </w:r>
            </w:hyperlink>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Borders>
              <w:bottom w:val="single" w:sz="8" w:color="0000EE"/>
            </w:tcBorders>
            <w:gridSpan w:val="17"/>
          </w:tcPr>
          <w:p>
            <w:pPr>
              <w:spacing w:after="0"/>
              <w:rPr>
                <w:rFonts w:ascii="Arial" w:cs="Arial" w:eastAsia="Arial" w:hAnsi="Arial"/>
                <w:sz w:val="18"/>
                <w:szCs w:val="18"/>
                <w:color w:val="0000EE"/>
                <w:w w:val="99"/>
              </w:rPr>
            </w:pPr>
            <w:hyperlink w:anchor="page24">
              <w:r>
                <w:rPr>
                  <w:rFonts w:ascii="Arial" w:cs="Arial" w:eastAsia="Arial" w:hAnsi="Arial"/>
                  <w:sz w:val="18"/>
                  <w:szCs w:val="18"/>
                  <w:color w:val="0000EE"/>
                  <w:w w:val="99"/>
                </w:rPr>
                <w:t>Business Performance</w:t>
              </w:r>
            </w:hyperlink>
          </w:p>
        </w:tc>
        <w:tc>
          <w:tcPr>
            <w:tcW w:w="5460" w:type="dxa"/>
            <w:vAlign w:val="bottom"/>
            <w:gridSpan w:val="27"/>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20</w:t>
              </w:r>
            </w:hyperlink>
          </w:p>
        </w:tc>
      </w:tr>
      <w:tr>
        <w:trPr>
          <w:trHeight w:val="209"/>
        </w:trPr>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80" w:type="dxa"/>
            <w:vAlign w:val="bottom"/>
            <w:gridSpan w:val="4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Compensation Highlights</w:t>
              </w:r>
            </w:hyperlink>
          </w:p>
        </w:tc>
        <w:tc>
          <w:tcPr>
            <w:tcW w:w="120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20</w:t>
              </w:r>
            </w:hyperlink>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740" w:type="dxa"/>
            <w:vAlign w:val="bottom"/>
            <w:gridSpan w:val="9"/>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80" w:type="dxa"/>
            <w:vAlign w:val="bottom"/>
            <w:gridSpan w:val="4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Linking CEO Pay and Performance</w:t>
              </w:r>
            </w:hyperlink>
          </w:p>
        </w:tc>
        <w:tc>
          <w:tcPr>
            <w:tcW w:w="1200" w:type="dxa"/>
            <w:vAlign w:val="bottom"/>
            <w:gridSpan w:val="3"/>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22</w:t>
              </w:r>
            </w:hyperlink>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740" w:type="dxa"/>
            <w:vAlign w:val="bottom"/>
            <w:gridSpan w:val="9"/>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gridSpan w:val="9"/>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80" w:type="dxa"/>
            <w:vAlign w:val="bottom"/>
            <w:gridSpan w:val="4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Best Compensation Practices &amp; Policies</w:t>
              </w:r>
            </w:hyperlink>
          </w:p>
        </w:tc>
        <w:tc>
          <w:tcPr>
            <w:tcW w:w="1200" w:type="dxa"/>
            <w:vAlign w:val="bottom"/>
            <w:gridSpan w:val="3"/>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24</w:t>
              </w:r>
            </w:hyperlink>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740" w:type="dxa"/>
            <w:vAlign w:val="bottom"/>
            <w:gridSpan w:val="9"/>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gridSpan w:val="9"/>
            <w:shd w:val="clear" w:color="auto" w:fill="0000EE"/>
          </w:tcPr>
          <w:p>
            <w:pPr>
              <w:spacing w:after="0" w:line="20" w:lineRule="exact"/>
              <w:rPr>
                <w:sz w:val="1"/>
                <w:szCs w:val="1"/>
                <w:color w:val="auto"/>
              </w:rPr>
            </w:pPr>
          </w:p>
        </w:tc>
        <w:tc>
          <w:tcPr>
            <w:tcW w:w="820" w:type="dxa"/>
            <w:vAlign w:val="bottom"/>
            <w:gridSpan w:val="10"/>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80" w:type="dxa"/>
            <w:vAlign w:val="bottom"/>
            <w:gridSpan w:val="4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2019 Say-on-Pay &amp; Shareholder Engagement</w:t>
              </w:r>
            </w:hyperlink>
          </w:p>
        </w:tc>
        <w:tc>
          <w:tcPr>
            <w:tcW w:w="1200" w:type="dxa"/>
            <w:vAlign w:val="bottom"/>
            <w:gridSpan w:val="3"/>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24</w:t>
              </w:r>
            </w:hyperlink>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740" w:type="dxa"/>
            <w:vAlign w:val="bottom"/>
            <w:gridSpan w:val="9"/>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gridSpan w:val="9"/>
            <w:shd w:val="clear" w:color="auto" w:fill="0000EE"/>
          </w:tcPr>
          <w:p>
            <w:pPr>
              <w:spacing w:after="0" w:line="20" w:lineRule="exact"/>
              <w:rPr>
                <w:sz w:val="1"/>
                <w:szCs w:val="1"/>
                <w:color w:val="auto"/>
              </w:rPr>
            </w:pPr>
          </w:p>
        </w:tc>
        <w:tc>
          <w:tcPr>
            <w:tcW w:w="1120" w:type="dxa"/>
            <w:vAlign w:val="bottom"/>
            <w:gridSpan w:val="11"/>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tcBorders>
              <w:bottom w:val="single" w:sz="8" w:color="0000EE"/>
            </w:tcBorders>
            <w:gridSpan w:val="17"/>
          </w:tcPr>
          <w:p>
            <w:pPr>
              <w:spacing w:after="0"/>
              <w:rPr>
                <w:rFonts w:ascii="Arial" w:cs="Arial" w:eastAsia="Arial" w:hAnsi="Arial"/>
                <w:sz w:val="18"/>
                <w:szCs w:val="18"/>
                <w:color w:val="0000EE"/>
                <w:w w:val="99"/>
              </w:rPr>
            </w:pPr>
            <w:hyperlink w:anchor="page29">
              <w:r>
                <w:rPr>
                  <w:rFonts w:ascii="Arial" w:cs="Arial" w:eastAsia="Arial" w:hAnsi="Arial"/>
                  <w:sz w:val="18"/>
                  <w:szCs w:val="18"/>
                  <w:color w:val="0000EE"/>
                  <w:w w:val="99"/>
                </w:rPr>
                <w:t>What Guides Our Program</w:t>
              </w:r>
            </w:hyperlink>
          </w:p>
        </w:tc>
        <w:tc>
          <w:tcPr>
            <w:tcW w:w="5500" w:type="dxa"/>
            <w:vAlign w:val="bottom"/>
            <w:gridSpan w:val="28"/>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25</w:t>
              </w:r>
            </w:hyperlink>
          </w:p>
        </w:tc>
      </w:tr>
      <w:tr>
        <w:trPr>
          <w:trHeight w:val="210"/>
        </w:trPr>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80" w:type="dxa"/>
            <w:vAlign w:val="bottom"/>
            <w:gridSpan w:val="4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Our Compensation Philosophy &amp; Objectives</w:t>
              </w:r>
            </w:hyperlink>
          </w:p>
        </w:tc>
        <w:tc>
          <w:tcPr>
            <w:tcW w:w="1200" w:type="dxa"/>
            <w:vAlign w:val="bottom"/>
            <w:gridSpan w:val="3"/>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25</w:t>
              </w:r>
            </w:hyperlink>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740" w:type="dxa"/>
            <w:vAlign w:val="bottom"/>
            <w:gridSpan w:val="9"/>
            <w:shd w:val="clear" w:color="auto" w:fill="0000EE"/>
          </w:tcPr>
          <w:p>
            <w:pPr>
              <w:spacing w:after="0" w:line="20" w:lineRule="exact"/>
              <w:rPr>
                <w:sz w:val="1"/>
                <w:szCs w:val="1"/>
                <w:color w:val="auto"/>
              </w:rPr>
            </w:pPr>
          </w:p>
        </w:tc>
        <w:tc>
          <w:tcPr>
            <w:tcW w:w="660" w:type="dxa"/>
            <w:vAlign w:val="bottom"/>
            <w:gridSpan w:val="10"/>
            <w:shd w:val="clear" w:color="auto" w:fill="0000EE"/>
          </w:tcPr>
          <w:p>
            <w:pPr>
              <w:spacing w:after="0" w:line="20" w:lineRule="exact"/>
              <w:rPr>
                <w:sz w:val="1"/>
                <w:szCs w:val="1"/>
                <w:color w:val="auto"/>
              </w:rPr>
            </w:pPr>
          </w:p>
        </w:tc>
        <w:tc>
          <w:tcPr>
            <w:tcW w:w="1120" w:type="dxa"/>
            <w:vAlign w:val="bottom"/>
            <w:gridSpan w:val="11"/>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80" w:type="dxa"/>
            <w:vAlign w:val="bottom"/>
            <w:gridSpan w:val="4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The Principal Elements of Pay: Total Direct Compensation (TDC)</w:t>
              </w:r>
            </w:hyperlink>
          </w:p>
        </w:tc>
        <w:tc>
          <w:tcPr>
            <w:tcW w:w="1200" w:type="dxa"/>
            <w:vAlign w:val="bottom"/>
            <w:gridSpan w:val="3"/>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26</w:t>
              </w:r>
            </w:hyperlink>
          </w:p>
        </w:tc>
      </w:tr>
      <w:tr>
        <w:trPr>
          <w:trHeight w:val="210"/>
        </w:trPr>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60" w:type="dxa"/>
            <w:vAlign w:val="bottom"/>
            <w:tcBorders>
              <w:top w:val="single" w:sz="8" w:color="0000EE"/>
            </w:tcBorders>
            <w:gridSpan w:val="4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Pay Mix</w:t>
              </w:r>
            </w:hyperlink>
          </w:p>
        </w:tc>
        <w:tc>
          <w:tcPr>
            <w:tcW w:w="2120" w:type="dxa"/>
            <w:vAlign w:val="bottom"/>
            <w:gridSpan w:val="3"/>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27</w:t>
              </w:r>
            </w:hyperlink>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740" w:type="dxa"/>
            <w:vAlign w:val="bottom"/>
            <w:gridSpan w:val="9"/>
          </w:tcPr>
          <w:p>
            <w:pPr>
              <w:spacing w:after="0" w:line="20" w:lineRule="exact"/>
              <w:rPr>
                <w:sz w:val="1"/>
                <w:szCs w:val="1"/>
                <w:color w:val="auto"/>
              </w:rPr>
            </w:pPr>
          </w:p>
        </w:tc>
        <w:tc>
          <w:tcPr>
            <w:tcW w:w="660" w:type="dxa"/>
            <w:vAlign w:val="bottom"/>
            <w:gridSpan w:val="10"/>
          </w:tcPr>
          <w:p>
            <w:pPr>
              <w:spacing w:after="0" w:line="20" w:lineRule="exact"/>
              <w:rPr>
                <w:sz w:val="1"/>
                <w:szCs w:val="1"/>
                <w:color w:val="auto"/>
              </w:rPr>
            </w:pPr>
          </w:p>
        </w:tc>
        <w:tc>
          <w:tcPr>
            <w:tcW w:w="1500" w:type="dxa"/>
            <w:vAlign w:val="bottom"/>
            <w:gridSpan w:val="14"/>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80" w:type="dxa"/>
            <w:vAlign w:val="bottom"/>
            <w:tcBorders>
              <w:bottom w:val="single" w:sz="8" w:color="0000EE"/>
            </w:tcBorders>
            <w:gridSpan w:val="25"/>
          </w:tcPr>
          <w:p>
            <w:pPr>
              <w:spacing w:after="0"/>
              <w:rPr>
                <w:rFonts w:ascii="Arial" w:cs="Arial" w:eastAsia="Arial" w:hAnsi="Arial"/>
                <w:sz w:val="18"/>
                <w:szCs w:val="18"/>
                <w:color w:val="0000EE"/>
                <w:w w:val="99"/>
              </w:rPr>
            </w:pPr>
            <w:hyperlink w:anchor="page31">
              <w:r>
                <w:rPr>
                  <w:rFonts w:ascii="Arial" w:cs="Arial" w:eastAsia="Arial" w:hAnsi="Arial"/>
                  <w:sz w:val="18"/>
                  <w:szCs w:val="18"/>
                  <w:color w:val="0000EE"/>
                  <w:w w:val="99"/>
                </w:rPr>
                <w:t>Our Decision Making Process</w:t>
              </w:r>
            </w:hyperlink>
          </w:p>
        </w:tc>
        <w:tc>
          <w:tcPr>
            <w:tcW w:w="4900" w:type="dxa"/>
            <w:vAlign w:val="bottom"/>
            <w:gridSpan w:val="19"/>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27</w:t>
              </w:r>
            </w:hyperlink>
          </w:p>
        </w:tc>
      </w:tr>
      <w:tr>
        <w:trPr>
          <w:trHeight w:val="210"/>
        </w:trPr>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40" w:type="dxa"/>
            <w:vAlign w:val="bottom"/>
            <w:gridSpan w:val="4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The 2019 Executive Compensation Program in Detail</w:t>
              </w:r>
            </w:hyperlink>
          </w:p>
        </w:tc>
        <w:tc>
          <w:tcPr>
            <w:tcW w:w="1200" w:type="dxa"/>
            <w:vAlign w:val="bottom"/>
            <w:gridSpan w:val="3"/>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29</w:t>
              </w:r>
            </w:hyperlink>
          </w:p>
        </w:tc>
      </w:tr>
      <w:tr>
        <w:trPr>
          <w:trHeight w:val="210"/>
        </w:trPr>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9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8"/>
              </w:rPr>
            </w:pPr>
            <w:hyperlink w:anchor="page33">
              <w:r>
                <w:rPr>
                  <w:rFonts w:ascii="Arial" w:cs="Arial" w:eastAsia="Arial" w:hAnsi="Arial"/>
                  <w:sz w:val="18"/>
                  <w:szCs w:val="18"/>
                  <w:color w:val="0000EE"/>
                  <w:w w:val="98"/>
                </w:rPr>
                <w:t>Base Salary</w:t>
              </w:r>
            </w:hyperlink>
          </w:p>
        </w:tc>
        <w:tc>
          <w:tcPr>
            <w:tcW w:w="2900" w:type="dxa"/>
            <w:vAlign w:val="bottom"/>
            <w:tcBorders>
              <w:top w:val="single" w:sz="8" w:color="0000EE"/>
            </w:tcBorders>
            <w:gridSpan w:val="33"/>
          </w:tcPr>
          <w:p>
            <w:pPr>
              <w:spacing w:after="0"/>
              <w:rPr>
                <w:sz w:val="18"/>
                <w:szCs w:val="18"/>
                <w:color w:val="auto"/>
              </w:rPr>
            </w:pPr>
          </w:p>
        </w:tc>
        <w:tc>
          <w:tcPr>
            <w:tcW w:w="3400" w:type="dxa"/>
            <w:vAlign w:val="bottom"/>
            <w:gridSpan w:val="5"/>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29</w:t>
              </w:r>
            </w:hyperlink>
          </w:p>
        </w:tc>
      </w:tr>
      <w:tr>
        <w:trPr>
          <w:trHeight w:val="210"/>
        </w:trPr>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80" w:type="dxa"/>
            <w:vAlign w:val="bottom"/>
            <w:gridSpan w:val="4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Annual Cash Incentives: The Executive Management Incentive Plan (EMIP)</w:t>
              </w:r>
            </w:hyperlink>
          </w:p>
        </w:tc>
        <w:tc>
          <w:tcPr>
            <w:tcW w:w="1200" w:type="dxa"/>
            <w:vAlign w:val="bottom"/>
            <w:gridSpan w:val="3"/>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29</w:t>
              </w:r>
            </w:hyperlink>
          </w:p>
        </w:tc>
      </w:tr>
      <w:tr>
        <w:trPr>
          <w:trHeight w:val="209"/>
        </w:trPr>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20" w:type="dxa"/>
            <w:vAlign w:val="bottom"/>
            <w:tcBorders>
              <w:top w:val="single" w:sz="8" w:color="0000EE"/>
            </w:tcBorders>
            <w:gridSpan w:val="4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Long-Term Incentives</w:t>
              </w:r>
            </w:hyperlink>
          </w:p>
        </w:tc>
        <w:tc>
          <w:tcPr>
            <w:tcW w:w="126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31</w:t>
              </w:r>
            </w:hyperlink>
          </w:p>
        </w:tc>
      </w:tr>
      <w:tr>
        <w:trPr>
          <w:trHeight w:val="466"/>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68"/>
        </w:trPr>
        <w:tc>
          <w:tcPr>
            <w:tcW w:w="36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40" w:type="dxa"/>
            <w:vAlign w:val="bottom"/>
            <w:tcBorders>
              <w:lef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6" w:right="117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gridSpan w:val="33"/>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18"/>
        </w:trPr>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20" w:type="dxa"/>
            <w:vAlign w:val="bottom"/>
            <w:tcBorders>
              <w:bottom w:val="single" w:sz="8" w:color="0000EE"/>
            </w:tcBorders>
            <w:gridSpan w:val="22"/>
          </w:tcPr>
          <w:p>
            <w:pPr>
              <w:spacing w:after="0"/>
              <w:rPr>
                <w:rFonts w:ascii="Arial" w:cs="Arial" w:eastAsia="Arial" w:hAnsi="Arial"/>
                <w:sz w:val="18"/>
                <w:szCs w:val="18"/>
                <w:color w:val="0000EE"/>
                <w:w w:val="99"/>
              </w:rPr>
            </w:pPr>
            <w:hyperlink w:anchor="page38">
              <w:r>
                <w:rPr>
                  <w:rFonts w:ascii="Arial" w:cs="Arial" w:eastAsia="Arial" w:hAnsi="Arial"/>
                  <w:sz w:val="18"/>
                  <w:szCs w:val="18"/>
                  <w:color w:val="0000EE"/>
                  <w:w w:val="99"/>
                </w:rPr>
                <w:t>Other Practices, Policies and Guidelines</w:t>
              </w:r>
            </w:hyperlink>
          </w:p>
        </w:tc>
        <w:tc>
          <w:tcPr>
            <w:tcW w:w="4220" w:type="dxa"/>
            <w:vAlign w:val="bottom"/>
            <w:gridSpan w:val="9"/>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34</w:t>
              </w:r>
            </w:hyperlink>
          </w:p>
        </w:tc>
      </w:tr>
      <w:tr>
        <w:trPr>
          <w:trHeight w:val="209"/>
        </w:trPr>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80" w:type="dxa"/>
            <w:vAlign w:val="bottom"/>
            <w:gridSpan w:val="3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Stock Ownership Guidelines</w:t>
              </w:r>
            </w:hyperlink>
          </w:p>
        </w:tc>
        <w:tc>
          <w:tcPr>
            <w:tcW w:w="1040" w:type="dxa"/>
            <w:vAlign w:val="bottom"/>
            <w:gridSpan w:val="2"/>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34</w:t>
              </w:r>
            </w:hyperlink>
          </w:p>
        </w:tc>
      </w:tr>
      <w:tr>
        <w:trPr>
          <w:trHeight w:val="209"/>
        </w:trPr>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9"/>
              </w:rPr>
            </w:pPr>
            <w:hyperlink w:anchor="page38">
              <w:r>
                <w:rPr>
                  <w:rFonts w:ascii="Arial" w:cs="Arial" w:eastAsia="Arial" w:hAnsi="Arial"/>
                  <w:sz w:val="18"/>
                  <w:szCs w:val="18"/>
                  <w:color w:val="0000EE"/>
                  <w:w w:val="99"/>
                </w:rPr>
                <w:t>Anti-Hedging Policy</w:t>
              </w:r>
            </w:hyperlink>
          </w:p>
        </w:tc>
        <w:tc>
          <w:tcPr>
            <w:tcW w:w="680" w:type="dxa"/>
            <w:vAlign w:val="bottom"/>
            <w:tcBorders>
              <w:top w:val="single" w:sz="8" w:color="0000EE"/>
            </w:tcBorders>
            <w:gridSpan w:val="7"/>
          </w:tcPr>
          <w:p>
            <w:pPr>
              <w:spacing w:after="0"/>
              <w:rPr>
                <w:sz w:val="18"/>
                <w:szCs w:val="18"/>
                <w:color w:val="auto"/>
              </w:rPr>
            </w:pPr>
          </w:p>
        </w:tc>
        <w:tc>
          <w:tcPr>
            <w:tcW w:w="4820" w:type="dxa"/>
            <w:vAlign w:val="bottom"/>
            <w:gridSpan w:val="18"/>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top w:val="single" w:sz="8" w:color="0000EE"/>
              <w:bottom w:val="single" w:sz="8" w:color="0000EE"/>
            </w:tcBorders>
          </w:tcPr>
          <w:p>
            <w:pPr>
              <w:jc w:val="right"/>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34</w:t>
              </w:r>
            </w:hyperlink>
          </w:p>
        </w:tc>
      </w:tr>
      <w:tr>
        <w:trPr>
          <w:trHeight w:val="210"/>
        </w:trPr>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0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38">
              <w:r>
                <w:rPr>
                  <w:rFonts w:ascii="Arial" w:cs="Arial" w:eastAsia="Arial" w:hAnsi="Arial"/>
                  <w:sz w:val="18"/>
                  <w:szCs w:val="18"/>
                  <w:color w:val="0000EE"/>
                  <w:w w:val="99"/>
                </w:rPr>
                <w:t>Change-in-Control Agreements</w:t>
              </w:r>
            </w:hyperlink>
          </w:p>
        </w:tc>
        <w:tc>
          <w:tcPr>
            <w:tcW w:w="4580" w:type="dxa"/>
            <w:vAlign w:val="bottom"/>
            <w:gridSpan w:val="15"/>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34</w:t>
              </w:r>
            </w:hyperlink>
          </w:p>
        </w:tc>
      </w:tr>
      <w:tr>
        <w:trPr>
          <w:trHeight w:val="209"/>
        </w:trPr>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20" w:type="dxa"/>
            <w:vAlign w:val="bottom"/>
            <w:tcBorders>
              <w:bottom w:val="single" w:sz="8" w:color="0000EE"/>
            </w:tcBorders>
            <w:gridSpan w:val="23"/>
          </w:tcPr>
          <w:p>
            <w:pPr>
              <w:spacing w:after="0"/>
              <w:rPr>
                <w:rFonts w:ascii="Arial" w:cs="Arial" w:eastAsia="Arial" w:hAnsi="Arial"/>
                <w:sz w:val="18"/>
                <w:szCs w:val="18"/>
                <w:color w:val="0000EE"/>
                <w:w w:val="99"/>
              </w:rPr>
            </w:pPr>
            <w:hyperlink w:anchor="page38">
              <w:r>
                <w:rPr>
                  <w:rFonts w:ascii="Arial" w:cs="Arial" w:eastAsia="Arial" w:hAnsi="Arial"/>
                  <w:sz w:val="18"/>
                  <w:szCs w:val="18"/>
                  <w:color w:val="0000EE"/>
                  <w:w w:val="99"/>
                </w:rPr>
                <w:t>Employment Agreements; Severance Policy</w:t>
              </w:r>
            </w:hyperlink>
          </w:p>
        </w:tc>
        <w:tc>
          <w:tcPr>
            <w:tcW w:w="3560" w:type="dxa"/>
            <w:vAlign w:val="bottom"/>
            <w:gridSpan w:val="7"/>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34</w:t>
              </w:r>
            </w:hyperlink>
          </w:p>
        </w:tc>
      </w:tr>
      <w:tr>
        <w:trPr>
          <w:trHeight w:val="210"/>
        </w:trPr>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80" w:type="dxa"/>
            <w:vAlign w:val="bottom"/>
            <w:tcBorders>
              <w:bottom w:val="single" w:sz="8" w:color="0000EE"/>
            </w:tcBorders>
            <w:gridSpan w:val="22"/>
          </w:tcPr>
          <w:p>
            <w:pPr>
              <w:spacing w:after="0"/>
              <w:rPr>
                <w:rFonts w:ascii="Arial" w:cs="Arial" w:eastAsia="Arial" w:hAnsi="Arial"/>
                <w:sz w:val="18"/>
                <w:szCs w:val="18"/>
                <w:color w:val="0000EE"/>
                <w:w w:val="99"/>
              </w:rPr>
            </w:pPr>
            <w:hyperlink w:anchor="page39">
              <w:r>
                <w:rPr>
                  <w:rFonts w:ascii="Arial" w:cs="Arial" w:eastAsia="Arial" w:hAnsi="Arial"/>
                  <w:sz w:val="18"/>
                  <w:szCs w:val="18"/>
                  <w:color w:val="0000EE"/>
                  <w:w w:val="99"/>
                </w:rPr>
                <w:t>Incentive Repayment (Clawback) Policy</w:t>
              </w:r>
            </w:hyperlink>
          </w:p>
        </w:tc>
        <w:tc>
          <w:tcPr>
            <w:tcW w:w="3900" w:type="dxa"/>
            <w:vAlign w:val="bottom"/>
            <w:gridSpan w:val="8"/>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35</w:t>
              </w:r>
            </w:hyperlink>
          </w:p>
        </w:tc>
      </w:tr>
      <w:tr>
        <w:trPr>
          <w:trHeight w:val="209"/>
        </w:trPr>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80" w:type="dxa"/>
            <w:vAlign w:val="bottom"/>
            <w:gridSpan w:val="3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Executive Deferred Compensation</w:t>
              </w:r>
            </w:hyperlink>
          </w:p>
        </w:tc>
        <w:tc>
          <w:tcPr>
            <w:tcW w:w="1040" w:type="dxa"/>
            <w:vAlign w:val="bottom"/>
            <w:gridSpan w:val="2"/>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35</w:t>
              </w:r>
            </w:hyperlink>
          </w:p>
        </w:tc>
      </w:tr>
      <w:tr>
        <w:trPr>
          <w:trHeight w:val="209"/>
        </w:trPr>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4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9"/>
              </w:rPr>
            </w:pPr>
            <w:hyperlink w:anchor="page39">
              <w:r>
                <w:rPr>
                  <w:rFonts w:ascii="Arial" w:cs="Arial" w:eastAsia="Arial" w:hAnsi="Arial"/>
                  <w:sz w:val="18"/>
                  <w:szCs w:val="18"/>
                  <w:color w:val="0000EE"/>
                  <w:w w:val="99"/>
                </w:rPr>
                <w:t>General Benefits and Perquisites</w:t>
              </w:r>
            </w:hyperlink>
          </w:p>
        </w:tc>
        <w:tc>
          <w:tcPr>
            <w:tcW w:w="100" w:type="dxa"/>
            <w:vAlign w:val="bottom"/>
            <w:tcBorders>
              <w:top w:val="single" w:sz="8" w:color="0000EE"/>
            </w:tcBorders>
            <w:gridSpan w:val="2"/>
          </w:tcPr>
          <w:p>
            <w:pPr>
              <w:spacing w:after="0"/>
              <w:rPr>
                <w:sz w:val="18"/>
                <w:szCs w:val="18"/>
                <w:color w:val="auto"/>
              </w:rPr>
            </w:pPr>
          </w:p>
        </w:tc>
        <w:tc>
          <w:tcPr>
            <w:tcW w:w="4340" w:type="dxa"/>
            <w:vAlign w:val="bottom"/>
            <w:gridSpan w:val="11"/>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top w:val="single" w:sz="8" w:color="0000EE"/>
              <w:bottom w:val="single" w:sz="8" w:color="0000EE"/>
            </w:tcBorders>
          </w:tcPr>
          <w:p>
            <w:pPr>
              <w:jc w:val="right"/>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35</w:t>
              </w:r>
            </w:hyperlink>
          </w:p>
        </w:tc>
      </w:tr>
      <w:tr>
        <w:trPr>
          <w:trHeight w:val="210"/>
        </w:trPr>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80" w:type="dxa"/>
            <w:vAlign w:val="bottom"/>
            <w:gridSpan w:val="3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401(k) Plan and Employee Stock Purchase Plan</w:t>
              </w:r>
            </w:hyperlink>
          </w:p>
        </w:tc>
        <w:tc>
          <w:tcPr>
            <w:tcW w:w="1040" w:type="dxa"/>
            <w:vAlign w:val="bottom"/>
            <w:gridSpan w:val="2"/>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35</w:t>
              </w:r>
            </w:hyperlink>
          </w:p>
        </w:tc>
      </w:tr>
      <w:tr>
        <w:trPr>
          <w:trHeight w:val="209"/>
        </w:trPr>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9"/>
              </w:rPr>
            </w:pPr>
            <w:hyperlink w:anchor="page40">
              <w:r>
                <w:rPr>
                  <w:rFonts w:ascii="Arial" w:cs="Arial" w:eastAsia="Arial" w:hAnsi="Arial"/>
                  <w:sz w:val="18"/>
                  <w:szCs w:val="18"/>
                  <w:color w:val="0000EE"/>
                  <w:w w:val="99"/>
                </w:rPr>
                <w:t>2019 Risk Assessment</w:t>
              </w:r>
            </w:hyperlink>
          </w:p>
        </w:tc>
        <w:tc>
          <w:tcPr>
            <w:tcW w:w="2000" w:type="dxa"/>
            <w:vAlign w:val="bottom"/>
            <w:tcBorders>
              <w:top w:val="single" w:sz="8" w:color="0000EE"/>
            </w:tcBorders>
            <w:gridSpan w:val="17"/>
          </w:tcPr>
          <w:p>
            <w:pPr>
              <w:spacing w:after="0"/>
              <w:rPr>
                <w:sz w:val="18"/>
                <w:szCs w:val="18"/>
                <w:color w:val="auto"/>
              </w:rPr>
            </w:pPr>
          </w:p>
        </w:tc>
        <w:tc>
          <w:tcPr>
            <w:tcW w:w="324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top w:val="single" w:sz="8" w:color="0000EE"/>
              <w:bottom w:val="single" w:sz="8" w:color="0000EE"/>
            </w:tcBorders>
          </w:tcPr>
          <w:p>
            <w:pPr>
              <w:jc w:val="right"/>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36</w:t>
              </w:r>
            </w:hyperlink>
          </w:p>
        </w:tc>
      </w:tr>
      <w:tr>
        <w:trPr>
          <w:trHeight w:val="210"/>
        </w:trPr>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80" w:type="dxa"/>
            <w:vAlign w:val="bottom"/>
            <w:gridSpan w:val="3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CEO Pay Ratio</w:t>
              </w:r>
            </w:hyperlink>
          </w:p>
        </w:tc>
        <w:tc>
          <w:tcPr>
            <w:tcW w:w="1040" w:type="dxa"/>
            <w:vAlign w:val="bottom"/>
            <w:gridSpan w:val="2"/>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36</w:t>
              </w:r>
            </w:hyperlink>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80" w:type="dxa"/>
            <w:vAlign w:val="bottom"/>
            <w:gridSpan w:val="3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Impact of Tax and Accounting</w:t>
              </w:r>
            </w:hyperlink>
          </w:p>
        </w:tc>
        <w:tc>
          <w:tcPr>
            <w:tcW w:w="1040" w:type="dxa"/>
            <w:vAlign w:val="bottom"/>
            <w:gridSpan w:val="2"/>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37</w:t>
              </w:r>
            </w:hyperlink>
          </w:p>
        </w:tc>
      </w:tr>
      <w:tr>
        <w:trPr>
          <w:trHeight w:val="20"/>
        </w:trPr>
        <w:tc>
          <w:tcPr>
            <w:tcW w:w="3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268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41">
              <w:r>
                <w:rPr>
                  <w:rFonts w:ascii="Arial" w:cs="Arial" w:eastAsia="Arial" w:hAnsi="Arial"/>
                  <w:sz w:val="18"/>
                  <w:szCs w:val="18"/>
                  <w:color w:val="0000EE"/>
                  <w:w w:val="99"/>
                </w:rPr>
                <w:t>Compensation Committee Report</w:t>
              </w:r>
            </w:hyperlink>
          </w:p>
        </w:tc>
        <w:tc>
          <w:tcPr>
            <w:tcW w:w="5480" w:type="dxa"/>
            <w:vAlign w:val="bottom"/>
            <w:gridSpan w:val="24"/>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37</w:t>
              </w:r>
            </w:hyperlink>
          </w:p>
        </w:tc>
      </w:tr>
      <w:tr>
        <w:trPr>
          <w:trHeight w:val="210"/>
        </w:trPr>
        <w:tc>
          <w:tcPr>
            <w:tcW w:w="8520" w:type="dxa"/>
            <w:vAlign w:val="bottom"/>
            <w:gridSpan w:val="33"/>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EXECUTIVE COMPENSATION TABLES</w:t>
              </w:r>
            </w:hyperlink>
          </w:p>
        </w:tc>
        <w:tc>
          <w:tcPr>
            <w:tcW w:w="1040" w:type="dxa"/>
            <w:vAlign w:val="bottom"/>
            <w:gridSpan w:val="2"/>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38</w:t>
              </w:r>
            </w:hyperlink>
          </w:p>
        </w:tc>
      </w:tr>
      <w:tr>
        <w:trPr>
          <w:trHeight w:val="209"/>
        </w:trPr>
        <w:tc>
          <w:tcPr>
            <w:tcW w:w="360" w:type="dxa"/>
            <w:vAlign w:val="bottom"/>
            <w:tcBorders>
              <w:top w:val="single" w:sz="8" w:color="0000EE"/>
            </w:tcBorders>
          </w:tcPr>
          <w:p>
            <w:pPr>
              <w:spacing w:after="0"/>
              <w:rPr>
                <w:sz w:val="18"/>
                <w:szCs w:val="18"/>
                <w:color w:val="auto"/>
              </w:rPr>
            </w:pPr>
          </w:p>
        </w:tc>
        <w:tc>
          <w:tcPr>
            <w:tcW w:w="2920" w:type="dxa"/>
            <w:vAlign w:val="bottom"/>
            <w:tcBorders>
              <w:top w:val="single" w:sz="8" w:color="0000EE"/>
            </w:tcBorders>
            <w:gridSpan w:val="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Summary Compensation Table</w:t>
              </w:r>
            </w:hyperlink>
          </w:p>
        </w:tc>
        <w:tc>
          <w:tcPr>
            <w:tcW w:w="5240" w:type="dxa"/>
            <w:vAlign w:val="bottom"/>
            <w:gridSpan w:val="23"/>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top w:val="single" w:sz="8" w:color="0000EE"/>
            </w:tcBorders>
          </w:tcPr>
          <w:p>
            <w:pPr>
              <w:jc w:val="right"/>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38</w:t>
              </w:r>
            </w:hyperlink>
          </w:p>
        </w:tc>
      </w:tr>
      <w:tr>
        <w:trPr>
          <w:trHeight w:val="20"/>
        </w:trPr>
        <w:tc>
          <w:tcPr>
            <w:tcW w:w="360" w:type="dxa"/>
            <w:vAlign w:val="bottom"/>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8160" w:type="dxa"/>
            <w:vAlign w:val="bottom"/>
            <w:gridSpan w:val="3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2019 Grants of Plan-Based Awards Table</w:t>
              </w:r>
            </w:hyperlink>
          </w:p>
        </w:tc>
        <w:tc>
          <w:tcPr>
            <w:tcW w:w="1040" w:type="dxa"/>
            <w:vAlign w:val="bottom"/>
            <w:gridSpan w:val="2"/>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39</w:t>
              </w:r>
            </w:hyperlink>
          </w:p>
        </w:tc>
      </w:tr>
      <w:tr>
        <w:trPr>
          <w:trHeight w:val="20"/>
        </w:trPr>
        <w:tc>
          <w:tcPr>
            <w:tcW w:w="360" w:type="dxa"/>
            <w:vAlign w:val="bottom"/>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8160" w:type="dxa"/>
            <w:vAlign w:val="bottom"/>
            <w:gridSpan w:val="3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2019 Outstanding Equity Awards at Fiscal Year End Table</w:t>
              </w:r>
            </w:hyperlink>
          </w:p>
        </w:tc>
        <w:tc>
          <w:tcPr>
            <w:tcW w:w="1040" w:type="dxa"/>
            <w:vAlign w:val="bottom"/>
            <w:gridSpan w:val="2"/>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40</w:t>
              </w:r>
            </w:hyperlink>
          </w:p>
        </w:tc>
      </w:tr>
      <w:tr>
        <w:trPr>
          <w:trHeight w:val="209"/>
        </w:trPr>
        <w:tc>
          <w:tcPr>
            <w:tcW w:w="360" w:type="dxa"/>
            <w:vAlign w:val="bottom"/>
          </w:tcPr>
          <w:p>
            <w:pPr>
              <w:spacing w:after="0"/>
              <w:rPr>
                <w:sz w:val="18"/>
                <w:szCs w:val="18"/>
                <w:color w:val="auto"/>
              </w:rPr>
            </w:pPr>
          </w:p>
        </w:tc>
        <w:tc>
          <w:tcPr>
            <w:tcW w:w="4600" w:type="dxa"/>
            <w:vAlign w:val="bottom"/>
            <w:tcBorders>
              <w:top w:val="single" w:sz="8" w:color="0000EE"/>
            </w:tcBorders>
            <w:gridSpan w:val="2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2019 Option Exercises and Stock Vested Table</w:t>
              </w:r>
            </w:hyperlink>
          </w:p>
        </w:tc>
        <w:tc>
          <w:tcPr>
            <w:tcW w:w="3560" w:type="dxa"/>
            <w:vAlign w:val="bottom"/>
            <w:gridSpan w:val="7"/>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top w:val="single" w:sz="8" w:color="0000EE"/>
            </w:tcBorders>
          </w:tcPr>
          <w:p>
            <w:pPr>
              <w:jc w:val="right"/>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42</w:t>
              </w:r>
            </w:hyperlink>
          </w:p>
        </w:tc>
      </w:tr>
      <w:tr>
        <w:trPr>
          <w:trHeight w:val="20"/>
        </w:trPr>
        <w:tc>
          <w:tcPr>
            <w:tcW w:w="360" w:type="dxa"/>
            <w:vAlign w:val="bottom"/>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3900" w:type="dxa"/>
            <w:vAlign w:val="bottom"/>
            <w:tcBorders>
              <w:bottom w:val="single" w:sz="8" w:color="0000EE"/>
            </w:tcBorders>
            <w:gridSpan w:val="22"/>
          </w:tcPr>
          <w:p>
            <w:pPr>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2019 Nonqualified Deferred Compensation Table</w:t>
              </w:r>
            </w:hyperlink>
          </w:p>
        </w:tc>
        <w:tc>
          <w:tcPr>
            <w:tcW w:w="4260" w:type="dxa"/>
            <w:vAlign w:val="bottom"/>
            <w:gridSpan w:val="10"/>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42</w:t>
              </w:r>
            </w:hyperlink>
          </w:p>
        </w:tc>
      </w:tr>
      <w:tr>
        <w:trPr>
          <w:trHeight w:val="209"/>
        </w:trPr>
        <w:tc>
          <w:tcPr>
            <w:tcW w:w="360" w:type="dxa"/>
            <w:vAlign w:val="bottom"/>
          </w:tcPr>
          <w:p>
            <w:pPr>
              <w:spacing w:after="0"/>
              <w:rPr>
                <w:sz w:val="18"/>
                <w:szCs w:val="18"/>
                <w:color w:val="auto"/>
              </w:rPr>
            </w:pPr>
          </w:p>
        </w:tc>
        <w:tc>
          <w:tcPr>
            <w:tcW w:w="3160" w:type="dxa"/>
            <w:vAlign w:val="bottom"/>
            <w:tcBorders>
              <w:bottom w:val="single" w:sz="8" w:color="0000EE"/>
            </w:tcBorders>
            <w:gridSpan w:val="12"/>
          </w:tcPr>
          <w:p>
            <w:pPr>
              <w:spacing w:after="0"/>
              <w:rPr>
                <w:rFonts w:ascii="Arial" w:cs="Arial" w:eastAsia="Arial" w:hAnsi="Arial"/>
                <w:sz w:val="18"/>
                <w:szCs w:val="18"/>
                <w:color w:val="0000EE"/>
                <w:w w:val="99"/>
              </w:rPr>
            </w:pPr>
            <w:hyperlink w:anchor="page47">
              <w:r>
                <w:rPr>
                  <w:rFonts w:ascii="Arial" w:cs="Arial" w:eastAsia="Arial" w:hAnsi="Arial"/>
                  <w:sz w:val="18"/>
                  <w:szCs w:val="18"/>
                  <w:color w:val="0000EE"/>
                  <w:w w:val="99"/>
                </w:rPr>
                <w:t>Executive Deferred Compensation Plan</w:t>
              </w:r>
            </w:hyperlink>
          </w:p>
        </w:tc>
        <w:tc>
          <w:tcPr>
            <w:tcW w:w="5000" w:type="dxa"/>
            <w:vAlign w:val="bottom"/>
            <w:gridSpan w:val="20"/>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43</w:t>
              </w:r>
            </w:hyperlink>
          </w:p>
        </w:tc>
      </w:tr>
      <w:tr>
        <w:trPr>
          <w:trHeight w:val="209"/>
        </w:trPr>
        <w:tc>
          <w:tcPr>
            <w:tcW w:w="360" w:type="dxa"/>
            <w:vAlign w:val="bottom"/>
          </w:tcPr>
          <w:p>
            <w:pPr>
              <w:spacing w:after="0"/>
              <w:rPr>
                <w:sz w:val="18"/>
                <w:szCs w:val="18"/>
                <w:color w:val="auto"/>
              </w:rPr>
            </w:pPr>
          </w:p>
        </w:tc>
        <w:tc>
          <w:tcPr>
            <w:tcW w:w="3020" w:type="dxa"/>
            <w:vAlign w:val="bottom"/>
            <w:tcBorders>
              <w:bottom w:val="single" w:sz="8" w:color="0000EE"/>
            </w:tcBorders>
            <w:gridSpan w:val="10"/>
          </w:tcPr>
          <w:p>
            <w:pPr>
              <w:spacing w:after="0"/>
              <w:rPr>
                <w:rFonts w:ascii="Arial" w:cs="Arial" w:eastAsia="Arial" w:hAnsi="Arial"/>
                <w:sz w:val="18"/>
                <w:szCs w:val="18"/>
                <w:color w:val="0000EE"/>
                <w:w w:val="98"/>
              </w:rPr>
            </w:pPr>
            <w:hyperlink w:anchor="page47">
              <w:r>
                <w:rPr>
                  <w:rFonts w:ascii="Arial" w:cs="Arial" w:eastAsia="Arial" w:hAnsi="Arial"/>
                  <w:sz w:val="18"/>
                  <w:szCs w:val="18"/>
                  <w:color w:val="0000EE"/>
                  <w:w w:val="98"/>
                </w:rPr>
                <w:t>Potential Payments Upon Termination</w:t>
              </w:r>
            </w:hyperlink>
          </w:p>
        </w:tc>
        <w:tc>
          <w:tcPr>
            <w:tcW w:w="5140" w:type="dxa"/>
            <w:vAlign w:val="bottom"/>
            <w:gridSpan w:val="22"/>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45</w:t>
              </w:r>
            </w:hyperlink>
          </w:p>
        </w:tc>
      </w:tr>
      <w:tr>
        <w:trPr>
          <w:trHeight w:val="210"/>
        </w:trPr>
        <w:tc>
          <w:tcPr>
            <w:tcW w:w="360" w:type="dxa"/>
            <w:vAlign w:val="bottom"/>
          </w:tcPr>
          <w:p>
            <w:pPr>
              <w:spacing w:after="0"/>
              <w:rPr>
                <w:sz w:val="18"/>
                <w:szCs w:val="18"/>
                <w:color w:val="auto"/>
              </w:rPr>
            </w:pPr>
          </w:p>
        </w:tc>
        <w:tc>
          <w:tcPr>
            <w:tcW w:w="356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47">
              <w:r>
                <w:rPr>
                  <w:rFonts w:ascii="Arial" w:cs="Arial" w:eastAsia="Arial" w:hAnsi="Arial"/>
                  <w:sz w:val="18"/>
                  <w:szCs w:val="18"/>
                  <w:color w:val="0000EE"/>
                  <w:w w:val="99"/>
                </w:rPr>
                <w:t>Potential Payments Upon Change-in-Control</w:t>
              </w:r>
            </w:hyperlink>
          </w:p>
        </w:tc>
        <w:tc>
          <w:tcPr>
            <w:tcW w:w="4600" w:type="dxa"/>
            <w:vAlign w:val="bottom"/>
            <w:gridSpan w:val="16"/>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45</w:t>
              </w:r>
            </w:hyperlink>
          </w:p>
        </w:tc>
      </w:tr>
      <w:tr>
        <w:trPr>
          <w:trHeight w:val="209"/>
        </w:trPr>
        <w:tc>
          <w:tcPr>
            <w:tcW w:w="360" w:type="dxa"/>
            <w:vAlign w:val="bottom"/>
          </w:tcPr>
          <w:p>
            <w:pPr>
              <w:spacing w:after="0"/>
              <w:rPr>
                <w:sz w:val="18"/>
                <w:szCs w:val="18"/>
                <w:color w:val="auto"/>
              </w:rPr>
            </w:pPr>
          </w:p>
        </w:tc>
        <w:tc>
          <w:tcPr>
            <w:tcW w:w="3060" w:type="dxa"/>
            <w:vAlign w:val="bottom"/>
            <w:tcBorders>
              <w:bottom w:val="single" w:sz="8" w:color="0000EE"/>
            </w:tcBorders>
            <w:gridSpan w:val="11"/>
          </w:tcPr>
          <w:p>
            <w:pPr>
              <w:spacing w:after="0"/>
              <w:rPr>
                <w:rFonts w:ascii="Arial" w:cs="Arial" w:eastAsia="Arial" w:hAnsi="Arial"/>
                <w:sz w:val="18"/>
                <w:szCs w:val="18"/>
                <w:color w:val="0000EE"/>
                <w:w w:val="98"/>
              </w:rPr>
            </w:pPr>
            <w:hyperlink w:anchor="page48">
              <w:r>
                <w:rPr>
                  <w:rFonts w:ascii="Arial" w:cs="Arial" w:eastAsia="Arial" w:hAnsi="Arial"/>
                  <w:sz w:val="18"/>
                  <w:szCs w:val="18"/>
                  <w:color w:val="0000EE"/>
                  <w:w w:val="98"/>
                </w:rPr>
                <w:t>Termination Payment Tables for NEOs</w:t>
              </w:r>
            </w:hyperlink>
          </w:p>
        </w:tc>
        <w:tc>
          <w:tcPr>
            <w:tcW w:w="5100" w:type="dxa"/>
            <w:vAlign w:val="bottom"/>
            <w:gridSpan w:val="21"/>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47</w:t>
              </w:r>
            </w:hyperlink>
          </w:p>
        </w:tc>
      </w:tr>
      <w:tr>
        <w:trPr>
          <w:trHeight w:val="209"/>
        </w:trPr>
        <w:tc>
          <w:tcPr>
            <w:tcW w:w="7500" w:type="dxa"/>
            <w:vAlign w:val="bottom"/>
            <w:tcBorders>
              <w:bottom w:val="single" w:sz="8" w:color="0000EE"/>
            </w:tcBorders>
            <w:gridSpan w:val="31"/>
          </w:tcPr>
          <w:p>
            <w:pPr>
              <w:spacing w:after="0"/>
              <w:rPr>
                <w:rFonts w:ascii="Arial" w:cs="Arial" w:eastAsia="Arial" w:hAnsi="Arial"/>
                <w:sz w:val="18"/>
                <w:szCs w:val="18"/>
                <w:b w:val="1"/>
                <w:bCs w:val="1"/>
                <w:color w:val="0000EE"/>
                <w:w w:val="99"/>
              </w:rPr>
            </w:pPr>
            <w:hyperlink w:anchor="page57">
              <w:r>
                <w:rPr>
                  <w:rFonts w:ascii="Arial" w:cs="Arial" w:eastAsia="Arial" w:hAnsi="Arial"/>
                  <w:sz w:val="18"/>
                  <w:szCs w:val="18"/>
                  <w:b w:val="1"/>
                  <w:bCs w:val="1"/>
                  <w:color w:val="0000EE"/>
                  <w:w w:val="99"/>
                </w:rPr>
                <w:t>PROPOSAL 3 – RATIFICATION OF INDEPENDENT REGISTERED PUBLIC ACCOUNTANT</w:t>
              </w:r>
            </w:hyperlink>
          </w:p>
        </w:tc>
        <w:tc>
          <w:tcPr>
            <w:tcW w:w="102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53</w:t>
              </w:r>
            </w:hyperlink>
          </w:p>
        </w:tc>
      </w:tr>
      <w:tr>
        <w:trPr>
          <w:trHeight w:val="210"/>
        </w:trPr>
        <w:tc>
          <w:tcPr>
            <w:tcW w:w="7680" w:type="dxa"/>
            <w:vAlign w:val="bottom"/>
            <w:tcBorders>
              <w:bottom w:val="single" w:sz="8" w:color="0000EE"/>
            </w:tcBorders>
            <w:gridSpan w:val="32"/>
          </w:tcPr>
          <w:p>
            <w:pPr>
              <w:spacing w:after="0"/>
              <w:rPr>
                <w:rFonts w:ascii="Arial" w:cs="Arial" w:eastAsia="Arial" w:hAnsi="Arial"/>
                <w:sz w:val="18"/>
                <w:szCs w:val="18"/>
                <w:b w:val="1"/>
                <w:bCs w:val="1"/>
                <w:color w:val="0000EE"/>
                <w:w w:val="99"/>
              </w:rPr>
            </w:pPr>
            <w:hyperlink w:anchor="page57">
              <w:r>
                <w:rPr>
                  <w:rFonts w:ascii="Arial" w:cs="Arial" w:eastAsia="Arial" w:hAnsi="Arial"/>
                  <w:sz w:val="18"/>
                  <w:szCs w:val="18"/>
                  <w:b w:val="1"/>
                  <w:bCs w:val="1"/>
                  <w:color w:val="0000EE"/>
                  <w:w w:val="99"/>
                </w:rPr>
                <w:t>INDEPENDENT REGISTERED PUBLIC ACCOUNTING FIRM’S AUDIT FEES AND SERVICES</w:t>
              </w:r>
            </w:hyperlink>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53</w:t>
              </w:r>
            </w:hyperlink>
          </w:p>
        </w:tc>
      </w:tr>
      <w:tr>
        <w:trPr>
          <w:trHeight w:val="209"/>
        </w:trPr>
        <w:tc>
          <w:tcPr>
            <w:tcW w:w="8520" w:type="dxa"/>
            <w:vAlign w:val="bottom"/>
            <w:gridSpan w:val="33"/>
          </w:tcPr>
          <w:p>
            <w:pP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2019 AUDIT/FINANCE COMMITTEE REPORT</w:t>
              </w:r>
            </w:hyperlink>
          </w:p>
        </w:tc>
        <w:tc>
          <w:tcPr>
            <w:tcW w:w="1040" w:type="dxa"/>
            <w:vAlign w:val="bottom"/>
            <w:gridSpan w:val="2"/>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54</w:t>
              </w:r>
            </w:hyperlink>
          </w:p>
        </w:tc>
      </w:tr>
      <w:tr>
        <w:trPr>
          <w:trHeight w:val="20"/>
        </w:trPr>
        <w:tc>
          <w:tcPr>
            <w:tcW w:w="1940" w:type="dxa"/>
            <w:vAlign w:val="bottom"/>
            <w:gridSpan w:val="5"/>
            <w:shd w:val="clear" w:color="auto" w:fill="0000EE"/>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10"/>
        </w:trPr>
        <w:tc>
          <w:tcPr>
            <w:tcW w:w="8520" w:type="dxa"/>
            <w:vAlign w:val="bottom"/>
            <w:gridSpan w:val="33"/>
          </w:tcPr>
          <w:p>
            <w:pP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EQUITY COMPENSATION PLAN INFORMATION</w:t>
              </w:r>
            </w:hyperlink>
          </w:p>
        </w:tc>
        <w:tc>
          <w:tcPr>
            <w:tcW w:w="1040" w:type="dxa"/>
            <w:vAlign w:val="bottom"/>
            <w:gridSpan w:val="2"/>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55</w:t>
              </w:r>
            </w:hyperlink>
          </w:p>
        </w:tc>
      </w:tr>
      <w:tr>
        <w:trPr>
          <w:trHeight w:val="20"/>
        </w:trPr>
        <w:tc>
          <w:tcPr>
            <w:tcW w:w="1940" w:type="dxa"/>
            <w:vAlign w:val="bottom"/>
            <w:gridSpan w:val="5"/>
            <w:shd w:val="clear" w:color="auto" w:fill="0000EE"/>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10"/>
        </w:trPr>
        <w:tc>
          <w:tcPr>
            <w:tcW w:w="7000" w:type="dxa"/>
            <w:vAlign w:val="bottom"/>
            <w:tcBorders>
              <w:bottom w:val="single" w:sz="8" w:color="0000EE"/>
            </w:tcBorders>
            <w:gridSpan w:val="30"/>
          </w:tcPr>
          <w:p>
            <w:pPr>
              <w:spacing w:after="0"/>
              <w:rPr>
                <w:rFonts w:ascii="Arial" w:cs="Arial" w:eastAsia="Arial" w:hAnsi="Arial"/>
                <w:sz w:val="18"/>
                <w:szCs w:val="18"/>
                <w:b w:val="1"/>
                <w:bCs w:val="1"/>
                <w:color w:val="0000EE"/>
                <w:w w:val="99"/>
              </w:rPr>
            </w:pPr>
            <w:hyperlink w:anchor="page60">
              <w:r>
                <w:rPr>
                  <w:rFonts w:ascii="Arial" w:cs="Arial" w:eastAsia="Arial" w:hAnsi="Arial"/>
                  <w:sz w:val="18"/>
                  <w:szCs w:val="18"/>
                  <w:b w:val="1"/>
                  <w:bCs w:val="1"/>
                  <w:color w:val="0000EE"/>
                  <w:w w:val="99"/>
                </w:rPr>
                <w:t>SECURITY OWNERSHIP OF CERTAIN BENEFICIAL OWNERS AND MANAGEMENT</w:t>
              </w:r>
            </w:hyperlink>
          </w:p>
        </w:tc>
        <w:tc>
          <w:tcPr>
            <w:tcW w:w="1520" w:type="dxa"/>
            <w:vAlign w:val="bottom"/>
            <w:gridSpan w:val="3"/>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56</w:t>
              </w:r>
            </w:hyperlink>
          </w:p>
        </w:tc>
      </w:tr>
      <w:tr>
        <w:trPr>
          <w:trHeight w:val="210"/>
        </w:trPr>
        <w:tc>
          <w:tcPr>
            <w:tcW w:w="8520" w:type="dxa"/>
            <w:vAlign w:val="bottom"/>
            <w:gridSpan w:val="33"/>
          </w:tcPr>
          <w:p>
            <w:pPr>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SECTION 16(a) BENEFICIAL OWNERSHIP REPORTING COMPLIANCE</w:t>
              </w:r>
            </w:hyperlink>
          </w:p>
        </w:tc>
        <w:tc>
          <w:tcPr>
            <w:tcW w:w="1040" w:type="dxa"/>
            <w:vAlign w:val="bottom"/>
            <w:gridSpan w:val="2"/>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57</w:t>
              </w:r>
            </w:hyperlink>
          </w:p>
        </w:tc>
      </w:tr>
      <w:tr>
        <w:trPr>
          <w:trHeight w:val="209"/>
        </w:trPr>
        <w:tc>
          <w:tcPr>
            <w:tcW w:w="5940" w:type="dxa"/>
            <w:vAlign w:val="bottom"/>
            <w:tcBorders>
              <w:top w:val="single" w:sz="8" w:color="0000EE"/>
            </w:tcBorders>
            <w:gridSpan w:val="29"/>
          </w:tcPr>
          <w:p>
            <w:pPr>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LIST OF SHAREHOLDERS OF RECORD</w:t>
              </w:r>
            </w:hyperlink>
          </w:p>
        </w:tc>
        <w:tc>
          <w:tcPr>
            <w:tcW w:w="2580" w:type="dxa"/>
            <w:vAlign w:val="bottom"/>
            <w:gridSpan w:val="4"/>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top w:val="single" w:sz="8" w:color="0000EE"/>
            </w:tcBorders>
          </w:tcPr>
          <w:p>
            <w:pPr>
              <w:jc w:val="right"/>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58</w:t>
              </w:r>
            </w:hyperlink>
          </w:p>
        </w:tc>
      </w:tr>
      <w:tr>
        <w:trPr>
          <w:trHeight w:val="20"/>
        </w:trPr>
        <w:tc>
          <w:tcPr>
            <w:tcW w:w="1940" w:type="dxa"/>
            <w:vAlign w:val="bottom"/>
            <w:gridSpan w:val="5"/>
            <w:shd w:val="clear" w:color="auto" w:fill="0000EE"/>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880" w:type="dxa"/>
            <w:vAlign w:val="bottom"/>
            <w:gridSpan w:val="12"/>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10"/>
        </w:trPr>
        <w:tc>
          <w:tcPr>
            <w:tcW w:w="8520" w:type="dxa"/>
            <w:vAlign w:val="bottom"/>
            <w:gridSpan w:val="33"/>
          </w:tcPr>
          <w:p>
            <w:pPr>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ANNUAL REPORT AND FINANCIAL STATEMENTS</w:t>
              </w:r>
            </w:hyperlink>
          </w:p>
        </w:tc>
        <w:tc>
          <w:tcPr>
            <w:tcW w:w="1040" w:type="dxa"/>
            <w:vAlign w:val="bottom"/>
            <w:gridSpan w:val="2"/>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58</w:t>
              </w:r>
            </w:hyperlink>
          </w:p>
        </w:tc>
      </w:tr>
      <w:tr>
        <w:trPr>
          <w:trHeight w:val="20"/>
        </w:trPr>
        <w:tc>
          <w:tcPr>
            <w:tcW w:w="1940" w:type="dxa"/>
            <w:vAlign w:val="bottom"/>
            <w:gridSpan w:val="5"/>
            <w:shd w:val="clear" w:color="auto" w:fill="0000EE"/>
          </w:tcPr>
          <w:p>
            <w:pPr>
              <w:spacing w:after="0" w:line="20" w:lineRule="exact"/>
              <w:rPr>
                <w:sz w:val="1"/>
                <w:szCs w:val="1"/>
                <w:color w:val="auto"/>
              </w:rPr>
            </w:pPr>
          </w:p>
        </w:tc>
        <w:tc>
          <w:tcPr>
            <w:tcW w:w="2320" w:type="dxa"/>
            <w:vAlign w:val="bottom"/>
            <w:gridSpan w:val="18"/>
            <w:shd w:val="clear" w:color="auto" w:fill="0000EE"/>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10"/>
        </w:trPr>
        <w:tc>
          <w:tcPr>
            <w:tcW w:w="8520" w:type="dxa"/>
            <w:vAlign w:val="bottom"/>
            <w:gridSpan w:val="33"/>
          </w:tcPr>
          <w:p>
            <w:pPr>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SHAREHOLDER PROPOSALS FOR THE 2021 ANNUAL MEETING</w:t>
              </w:r>
            </w:hyperlink>
          </w:p>
        </w:tc>
        <w:tc>
          <w:tcPr>
            <w:tcW w:w="1040" w:type="dxa"/>
            <w:vAlign w:val="bottom"/>
            <w:gridSpan w:val="2"/>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58</w:t>
              </w:r>
            </w:hyperlink>
          </w:p>
        </w:tc>
      </w:tr>
      <w:tr>
        <w:trPr>
          <w:trHeight w:val="210"/>
        </w:trPr>
        <w:tc>
          <w:tcPr>
            <w:tcW w:w="5540" w:type="dxa"/>
            <w:vAlign w:val="bottom"/>
            <w:tcBorders>
              <w:top w:val="single" w:sz="8" w:color="0000EE"/>
            </w:tcBorders>
            <w:gridSpan w:val="28"/>
          </w:tcPr>
          <w:p>
            <w:pPr>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OTHER INFORMATION</w:t>
              </w:r>
            </w:hyperlink>
          </w:p>
        </w:tc>
        <w:tc>
          <w:tcPr>
            <w:tcW w:w="2980" w:type="dxa"/>
            <w:vAlign w:val="bottom"/>
            <w:gridSpan w:val="5"/>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top w:val="single" w:sz="8" w:color="0000EE"/>
            </w:tcBorders>
          </w:tcPr>
          <w:p>
            <w:pPr>
              <w:jc w:val="right"/>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58</w:t>
              </w:r>
            </w:hyperlink>
          </w:p>
        </w:tc>
      </w:tr>
      <w:tr>
        <w:trPr>
          <w:trHeight w:val="479"/>
        </w:trPr>
        <w:tc>
          <w:tcPr>
            <w:tcW w:w="36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r>
      <w:tr>
        <w:trPr>
          <w:trHeight w:val="68"/>
        </w:trPr>
        <w:tc>
          <w:tcPr>
            <w:tcW w:w="36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40" w:type="dxa"/>
            <w:vAlign w:val="bottom"/>
            <w:tcBorders>
              <w:left w:val="single" w:sz="8" w:color="auto"/>
            </w:tcBorders>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6" w:right="117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2352040</wp:posOffset>
            </wp:positionH>
            <wp:positionV relativeFrom="paragraph">
              <wp:posOffset>118110</wp:posOffset>
            </wp:positionV>
            <wp:extent cx="1345565" cy="548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4556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This proxy statement is being furnished to shareholders of Itron, Inc. (the Company or Itron) in connection with the solicitation by our Board of Directors of proxies for use at the 2020 Annual Meeting of Shareholders. The meeting is scheduled to be held on May 7, 2020, at 2:00 p.m., Central Time, via live webcast through the link, for the purposes listed in the accompanying Notice of Annual Meeting of Shareholders. You will need the 16-digit control number provided on the Notice of Internet Availability of Proxy Materials or your proxy card (if applicable). We have made these materials available to you over the Internet, or have delivered printed versions of these materials to you by mail, in connection with the Board’s solicitation of proxies for use at the 2020 Annual Meeting. This solicitation is for proxies for use at the annual meeting or at any reconvened meeting after an adjournment or postponement of the annual meeting. The Company’s principal executive office is at 2111 North Molter Road, Liberty Lake, Washington 99019.</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the Annual Meeting</w:t>
      </w:r>
    </w:p>
    <w:p>
      <w:pPr>
        <w:spacing w:after="0" w:line="16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 xml:space="preserve">You are entitled to attend the virtual annual meeting only if you were a shareholder of record as of the Record Date for the annual meeting, or you hold a valid proxy for the annual meeting. You may attend the annual meeting, vote, and submit a question during the annual meeting by visiting </w:t>
      </w:r>
      <w:r>
        <w:rPr>
          <w:rFonts w:ascii="Arial" w:cs="Arial" w:eastAsia="Arial" w:hAnsi="Arial"/>
          <w:sz w:val="18"/>
          <w:szCs w:val="18"/>
          <w:b w:val="1"/>
          <w:bCs w:val="1"/>
          <w:color w:val="auto"/>
        </w:rPr>
        <w:t>www.virtualshareholdermeeting.com/ITRI2020</w:t>
      </w:r>
      <w:r>
        <w:rPr>
          <w:rFonts w:ascii="Arial" w:cs="Arial" w:eastAsia="Arial" w:hAnsi="Arial"/>
          <w:sz w:val="18"/>
          <w:szCs w:val="18"/>
          <w:color w:val="auto"/>
        </w:rPr>
        <w:t xml:space="preserve"> and using your 16-digit control number to enter the meeting. If you are not a shareholder of record but hold shares as a beneficial owner in street name, you may be required to provide proof of beneficial ownership, such as your most recent account statement as of the Record Date, a copy of the voting instruction form provided by your broker, bank, trustee, or nominee, or other similar evidence of ownership. If you do not comply with the procedures outlined above, you will not be admitted to the virtual annual meeting.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Availability of Annual Meeting Materials</w:t>
      </w:r>
    </w:p>
    <w:p>
      <w:pPr>
        <w:spacing w:after="0" w:line="16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proxy materials will be available for you to access over the Internet. On or about March 27, 2020, we will mail to our shareholders a Notice of Internet Availability of Proxy Materials (Notice) directing shareholders to the website provided on the Notice where they can access our proxy materials and view instructions on how to vote via the Internet or by phone. The Notice will also provide instructions for obtaining paper copies of the proxy materials and a proxy card, if requested by a shareholder.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proxy materials will be available for you to review online:</w:t>
      </w:r>
    </w:p>
    <w:p>
      <w:pPr>
        <w:spacing w:after="0" w:line="104" w:lineRule="exact"/>
        <w:rPr>
          <w:sz w:val="20"/>
          <w:szCs w:val="20"/>
          <w:color w:val="auto"/>
        </w:rPr>
      </w:pPr>
    </w:p>
    <w:p>
      <w:pPr>
        <w:ind w:left="700" w:hanging="344"/>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Notice of Annual Meeting of Shareholders;</w:t>
      </w:r>
    </w:p>
    <w:p>
      <w:pPr>
        <w:spacing w:after="0" w:line="103" w:lineRule="exact"/>
        <w:rPr>
          <w:rFonts w:ascii="Arial" w:cs="Arial" w:eastAsia="Arial" w:hAnsi="Arial"/>
          <w:sz w:val="18"/>
          <w:szCs w:val="18"/>
          <w:color w:val="auto"/>
        </w:rPr>
      </w:pPr>
    </w:p>
    <w:p>
      <w:pPr>
        <w:ind w:left="700" w:hanging="344"/>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2020 Proxy Statement;</w:t>
      </w:r>
    </w:p>
    <w:p>
      <w:pPr>
        <w:spacing w:after="0" w:line="103" w:lineRule="exact"/>
        <w:rPr>
          <w:rFonts w:ascii="Arial" w:cs="Arial" w:eastAsia="Arial" w:hAnsi="Arial"/>
          <w:sz w:val="18"/>
          <w:szCs w:val="18"/>
          <w:color w:val="auto"/>
        </w:rPr>
      </w:pPr>
    </w:p>
    <w:p>
      <w:pPr>
        <w:ind w:left="700" w:right="160" w:hanging="344"/>
        <w:spacing w:after="0" w:line="246"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Annual Report to Shareholders for the year ended December 31, 2019 (which is not deemed to be part of the official proxy soliciting materials); and</w:t>
      </w:r>
    </w:p>
    <w:p>
      <w:pPr>
        <w:spacing w:after="0" w:line="88" w:lineRule="exact"/>
        <w:rPr>
          <w:rFonts w:ascii="Arial" w:cs="Arial" w:eastAsia="Arial" w:hAnsi="Arial"/>
          <w:sz w:val="18"/>
          <w:szCs w:val="18"/>
          <w:color w:val="auto"/>
        </w:rPr>
      </w:pPr>
    </w:p>
    <w:p>
      <w:pPr>
        <w:ind w:left="700" w:right="280" w:hanging="344"/>
        <w:spacing w:after="0" w:line="246"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amendments to the foregoing materials that may be required to be furnished to the shareholders by the Securities and Exchange Commission (SEC).</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to Be Voted On at the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we will consider and vote on the following proposals:</w:t>
      </w:r>
    </w:p>
    <w:p>
      <w:pPr>
        <w:spacing w:after="0" w:line="104" w:lineRule="exact"/>
        <w:rPr>
          <w:sz w:val="20"/>
          <w:szCs w:val="20"/>
          <w:color w:val="auto"/>
        </w:rPr>
      </w:pPr>
    </w:p>
    <w:p>
      <w:pPr>
        <w:ind w:left="700" w:hanging="344"/>
        <w:spacing w:after="0" w:line="246"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three directors to the Itron, Inc. Board of Directors, each for a term of three years ending upon our 2023 annual meeting of shareholders;</w:t>
      </w:r>
    </w:p>
    <w:p>
      <w:pPr>
        <w:spacing w:after="0" w:line="88" w:lineRule="exact"/>
        <w:rPr>
          <w:rFonts w:ascii="Arial" w:cs="Arial" w:eastAsia="Arial" w:hAnsi="Arial"/>
          <w:sz w:val="18"/>
          <w:szCs w:val="18"/>
          <w:color w:val="auto"/>
        </w:rPr>
      </w:pPr>
    </w:p>
    <w:p>
      <w:pPr>
        <w:ind w:left="700" w:right="260" w:hanging="344"/>
        <w:spacing w:after="0" w:line="246"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of our named executive officers for the fiscal year ended December 31, 2019 (Say-on-Pay vote);</w:t>
      </w:r>
    </w:p>
    <w:p>
      <w:pPr>
        <w:spacing w:after="0" w:line="88" w:lineRule="exact"/>
        <w:rPr>
          <w:rFonts w:ascii="Arial" w:cs="Arial" w:eastAsia="Arial" w:hAnsi="Arial"/>
          <w:sz w:val="18"/>
          <w:szCs w:val="18"/>
          <w:color w:val="auto"/>
        </w:rPr>
      </w:pPr>
    </w:p>
    <w:p>
      <w:pPr>
        <w:ind w:left="700" w:right="40" w:hanging="344"/>
        <w:spacing w:after="0" w:line="246"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the Company’s independent registered public accountant for the 2020 fiscal year; and</w:t>
      </w:r>
    </w:p>
    <w:p>
      <w:pPr>
        <w:spacing w:after="0" w:line="88" w:lineRule="exact"/>
        <w:rPr>
          <w:rFonts w:ascii="Arial" w:cs="Arial" w:eastAsia="Arial" w:hAnsi="Arial"/>
          <w:sz w:val="18"/>
          <w:szCs w:val="18"/>
          <w:color w:val="auto"/>
        </w:rPr>
      </w:pPr>
    </w:p>
    <w:p>
      <w:pPr>
        <w:ind w:left="700" w:hanging="344"/>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annual meeting.</w:t>
      </w:r>
    </w:p>
    <w:p>
      <w:pPr>
        <w:spacing w:after="0" w:line="22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Outstanding Shares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Holders of record of our common stock at the close of business on March 2, 2020, are entitled to notice of, and to vote at, the annual meeting. On the record date, there were 40,160,958 shares of our common stock outstanding. Each outstanding share of our common stock will entitle its holder to one vote on each of the three directors to be elected and one vote on each other matter to be voted on at the annual meeting. Each of our directors and executive officers intends to vote or direct the vote of all shares of common stock over which he or she has voting control in favor of: (1) the election of the nominees for director; (2) the advisory approval of the compensation we paid our named executive officers in 2019; and (3) the ratification of Deloitte &amp; Touche LLP as our independent registered public accountant for the 2020 fiscal year.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Each shareholder is entitled to one vote per share of common stock held on each matter to be voted on. Our annual meeting will be through a virtual-only format solely through means of remote communication, and participation by such means shall constitute presence in person at the meeting. The presence at the annual meeting, in person or by proxy, of holders of a majority of the outstanding shares of common stock on the record date will constitute a quorum. Attendance by abstentions and “broker non-votes” (shares held by a broker or nominee who does not have the authority, express or discretionary, to vote on a particular matter) on any of the proposals to be voted on will be counted only for purposes of determining the presence of a quorum.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 your shares in person and participate at the Annual Meeting</w:t>
      </w:r>
    </w:p>
    <w:p>
      <w:pPr>
        <w:spacing w:after="0" w:line="20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This year’s annual meeting will be held entirely online. Shareholders may participate in the annual meeting by visiting the following website: </w:t>
      </w:r>
      <w:r>
        <w:rPr>
          <w:rFonts w:ascii="Arial" w:cs="Arial" w:eastAsia="Arial" w:hAnsi="Arial"/>
          <w:sz w:val="18"/>
          <w:szCs w:val="18"/>
          <w:b w:val="1"/>
          <w:bCs w:val="1"/>
          <w:color w:val="auto"/>
        </w:rPr>
        <w:t>www.virtualshareholdermeeting.com/ITRI2020</w:t>
      </w:r>
      <w:r>
        <w:rPr>
          <w:rFonts w:ascii="Arial" w:cs="Arial" w:eastAsia="Arial" w:hAnsi="Arial"/>
          <w:sz w:val="18"/>
          <w:szCs w:val="18"/>
          <w:color w:val="auto"/>
        </w:rPr>
        <w:t>. To participate in the meeting, you will need the 16-digit control number included on your Notice, on your proxy card or on the instructions that accompanied your proxy materials. Shares held in your name as the shareholder of record may be voted electronically during the annual meeting. Shares for which you are the beneficial owner but not the shareholder of record also may be voted electronically during the annual meeting. However, even if you plan to attend the annual meeting, the Company recommends that you vote your shares in advance, so that your vote will be counted if you later decide not to attend the annual meeting.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 your shares without attending the Annual Meeting</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To vote your shares without attending the meeting, please follow the instructions for Internet or telephone voting on the Notice. If you request printed copies of the proxy materials by mail, you may also vote by signing and submitting your proxy card and returning it by mail, if you are the shareholder of record, or by signing the voter instruction form provided by your bank or broker and returning it by mail, if you are the beneficial owner but not the shareholder of record. This way your shares will be represented whether or not you are able to attend the meeting.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You may vote your shares in one of several ways, depending on how you own your shares.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Registered Shareholders (Shares held in your name)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Registered shareholders can vote in person, by Internet, by telephone, or by mail, by casting their vote as follows:</w:t>
      </w:r>
    </w:p>
    <w:p>
      <w:pPr>
        <w:spacing w:after="0" w:line="104" w:lineRule="exact"/>
        <w:rPr>
          <w:sz w:val="20"/>
          <w:szCs w:val="20"/>
          <w:color w:val="auto"/>
        </w:rPr>
      </w:pPr>
    </w:p>
    <w:p>
      <w:pPr>
        <w:ind w:left="700" w:right="180" w:hanging="344"/>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Accessing the Internet website specified in the Notice of Internet Availability and following the instructions provided on the website (or if printed copies of the proxy materials were requested, as specified in the printed proxy card); or</w:t>
      </w:r>
    </w:p>
    <w:p>
      <w:pPr>
        <w:spacing w:after="0" w:line="94" w:lineRule="exact"/>
        <w:rPr>
          <w:rFonts w:ascii="Arial" w:cs="Arial" w:eastAsia="Arial" w:hAnsi="Arial"/>
          <w:sz w:val="18"/>
          <w:szCs w:val="18"/>
          <w:color w:val="auto"/>
        </w:rPr>
      </w:pPr>
    </w:p>
    <w:p>
      <w:pPr>
        <w:ind w:left="700" w:right="220" w:hanging="344"/>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Requesting a printed proxy card and either calling the telephone number specified on the proxy card and following the instructions provided on the phone line, or completing, signing, dating, and promptly mailing the proxy card in the envelope provided; or</w:t>
      </w:r>
    </w:p>
    <w:p>
      <w:pPr>
        <w:spacing w:after="0" w:line="94" w:lineRule="exact"/>
        <w:rPr>
          <w:rFonts w:ascii="Arial" w:cs="Arial" w:eastAsia="Arial" w:hAnsi="Arial"/>
          <w:sz w:val="18"/>
          <w:szCs w:val="18"/>
          <w:color w:val="auto"/>
        </w:rPr>
      </w:pPr>
    </w:p>
    <w:p>
      <w:pPr>
        <w:ind w:left="700" w:hanging="344"/>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Attending and voting in person at the annual meeting.</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69330" cy="42545"/>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Beneficial Shareholders (Shares held in the name of a broker, bank or other holder of record on your behalf)</w:t>
      </w:r>
    </w:p>
    <w:p>
      <w:pPr>
        <w:spacing w:after="0" w:line="19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If your shares are held in the name of a broker, bank, or other nominee or holder of record, follow the voting instructions on the voting instruction form provided to you by the holder of record to vote your shares.</w:t>
      </w:r>
    </w:p>
    <w:p>
      <w:pPr>
        <w:spacing w:after="0" w:line="15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u w:val="single" w:color="auto"/>
          <w:color w:val="auto"/>
        </w:rPr>
        <w:t>Proposal One – Election of Directors</w:t>
      </w:r>
      <w:r>
        <w:rPr>
          <w:rFonts w:ascii="Arial" w:cs="Arial" w:eastAsia="Arial" w:hAnsi="Arial"/>
          <w:sz w:val="18"/>
          <w:szCs w:val="18"/>
          <w:color w:val="auto"/>
        </w:rPr>
        <w:t>: Each nominee for director is elected by the vote of the majority of the votes cast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with respect to that director’s election (meaning the number of votes cast “for” a nominee must exceed the number of votes cast “against” such nominee). Holders of common stock are not entitled to cumulative votes in the election of directors. Abstentions from voting on this matter will not be counted. Brokers and other holders of record do not have discretionary voting authority to vote your shares in the election of directors, absent voting instructions from you. Therefore, if you are a beneficial shareholder and do not provide voting instructions on proposal number one to the holder of record for your shares, they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be voted in the election of directors.</w:t>
      </w:r>
    </w:p>
    <w:p>
      <w:pPr>
        <w:spacing w:after="0" w:line="14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u w:val="single" w:color="auto"/>
          <w:color w:val="auto"/>
        </w:rPr>
        <w:t>Proposal Two – Say-on-Pay Vote (non-binding)</w:t>
      </w:r>
      <w:r>
        <w:rPr>
          <w:rFonts w:ascii="Arial" w:cs="Arial" w:eastAsia="Arial" w:hAnsi="Arial"/>
          <w:sz w:val="18"/>
          <w:szCs w:val="18"/>
          <w:color w:val="auto"/>
        </w:rPr>
        <w:t>: The non-binding advisory vote on this proposal will be approved if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majority of votes cast are in favor of the proposal (meaning the number of votes cast “for” the proposal must exceed the number of votes cast “against” the proposal). Abstentions from voting on this matter will not be counted. Brokers and other holders of record do not have discretionary voting authority to vote your shares for this proposal, absent voting instructions from you. Therefore, if you are a beneficial shareholder and do not provide voting instructions on proposal number two to the holder of record for your shares, they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be voted on this proposal.</w:t>
      </w:r>
    </w:p>
    <w:p>
      <w:pPr>
        <w:spacing w:after="0" w:line="147"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u w:val="single" w:color="auto"/>
          <w:color w:val="auto"/>
        </w:rPr>
        <w:t>Proposal Three – Ratification of Appointment of Independent Auditor</w:t>
      </w:r>
      <w:r>
        <w:rPr>
          <w:rFonts w:ascii="Arial" w:cs="Arial" w:eastAsia="Arial" w:hAnsi="Arial"/>
          <w:sz w:val="18"/>
          <w:szCs w:val="18"/>
          <w:color w:val="auto"/>
        </w:rPr>
        <w:t>: The appointment of Deloitte &amp; Touche LLP as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Company’s independent registered public accountant for 2020 will be ratified if the majority of the votes cast are in favor of the proposal (meaning the number of votes cast “for” the proposal must exceed the number of votes cast “against” the proposal). Abstentions from voting on this matter will not be counted. Brokers and other holders of record </w:t>
      </w:r>
      <w:r>
        <w:rPr>
          <w:rFonts w:ascii="Arial" w:cs="Arial" w:eastAsia="Arial" w:hAnsi="Arial"/>
          <w:sz w:val="18"/>
          <w:szCs w:val="18"/>
          <w:i w:val="1"/>
          <w:iCs w:val="1"/>
          <w:color w:val="auto"/>
        </w:rPr>
        <w:t>do</w:t>
      </w:r>
      <w:r>
        <w:rPr>
          <w:rFonts w:ascii="Arial" w:cs="Arial" w:eastAsia="Arial" w:hAnsi="Arial"/>
          <w:sz w:val="18"/>
          <w:szCs w:val="18"/>
          <w:color w:val="auto"/>
        </w:rPr>
        <w:t xml:space="preserve"> have discretionary authority to vote shares on this matter. Therefore, there will be no broker non-votes on the ratification of the Company’s independent registered public accountant.</w:t>
      </w:r>
    </w:p>
    <w:p>
      <w:pPr>
        <w:spacing w:after="0" w:line="17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Unless contrary instructions are specified, if the proxy is completed and submitted (and not revoked) prior to the annual meeting, the shares represented by the proxy will be voted as follows: (i) FOR proposals one, two, and three; and (ii) in accordance with the best judgment of the named proxies on any other matters properly brought before the annual meeting.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Shares represented at the annual meeting by properly signed proxies will be voted at the annual meeting in accordance with the instructions given in the proxy. A shareholder may revoke a proxy at any time before the vote. Mere attendance at the annual meeting will not revoke a proxy. A proxy may be revoked only by:</w:t>
      </w:r>
    </w:p>
    <w:p>
      <w:pPr>
        <w:spacing w:after="0" w:line="94" w:lineRule="exact"/>
        <w:rPr>
          <w:sz w:val="20"/>
          <w:szCs w:val="20"/>
          <w:color w:val="auto"/>
        </w:rPr>
      </w:pPr>
    </w:p>
    <w:p>
      <w:pPr>
        <w:ind w:left="700" w:right="160" w:hanging="344"/>
        <w:spacing w:after="0" w:line="246"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submitting a later-dated proxy by mail, by Internet or by telephone for the same shares at any time before the proxy is voted;</w:t>
      </w:r>
    </w:p>
    <w:p>
      <w:pPr>
        <w:spacing w:after="0" w:line="88" w:lineRule="exact"/>
        <w:rPr>
          <w:rFonts w:ascii="Arial" w:cs="Arial" w:eastAsia="Arial" w:hAnsi="Arial"/>
          <w:sz w:val="18"/>
          <w:szCs w:val="18"/>
          <w:color w:val="auto"/>
        </w:rPr>
      </w:pPr>
    </w:p>
    <w:p>
      <w:pPr>
        <w:ind w:left="700" w:right="140" w:hanging="344"/>
        <w:spacing w:after="0" w:line="246"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delivering written notice of revocation to the Corporate Secretary of the Company at any time before the vote; or</w:t>
      </w:r>
    </w:p>
    <w:p>
      <w:pPr>
        <w:spacing w:after="0" w:line="70" w:lineRule="exact"/>
        <w:rPr>
          <w:rFonts w:ascii="Arial" w:cs="Arial" w:eastAsia="Arial" w:hAnsi="Arial"/>
          <w:sz w:val="18"/>
          <w:szCs w:val="18"/>
          <w:color w:val="auto"/>
        </w:rPr>
      </w:pPr>
    </w:p>
    <w:p>
      <w:pPr>
        <w:ind w:left="700" w:hanging="344"/>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attending the annual meeting </w:t>
      </w:r>
      <w:r>
        <w:rPr>
          <w:rFonts w:ascii="Arial" w:cs="Arial" w:eastAsia="Arial" w:hAnsi="Arial"/>
          <w:sz w:val="18"/>
          <w:szCs w:val="18"/>
          <w:i w:val="1"/>
          <w:iCs w:val="1"/>
          <w:color w:val="auto"/>
        </w:rPr>
        <w:t>and</w:t>
      </w:r>
      <w:r>
        <w:rPr>
          <w:rFonts w:ascii="Arial" w:cs="Arial" w:eastAsia="Arial" w:hAnsi="Arial"/>
          <w:sz w:val="18"/>
          <w:szCs w:val="18"/>
          <w:color w:val="auto"/>
        </w:rPr>
        <w:t xml:space="preserve"> voting in person.</w:t>
      </w:r>
    </w:p>
    <w:p>
      <w:pPr>
        <w:spacing w:after="0" w:line="20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If the annual meeting is postponed or adjourned for any reason, at any subsequent reconvening of the annual meeting, all proxies will be voted in the same manner as the proxies would have been voted at the original convening of the annual meeting (except for any proxies that have at that time effectively been revoked or withdrawn).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w:t>
      </w:r>
    </w:p>
    <w:p>
      <w:pPr>
        <w:spacing w:after="0" w:line="19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For the 2020 annual meeting, we have retained Broadridge Financial Solutions, Inc. to aid in the solicitation of proxies. We will bear the cost of such solicitation of proxies, which we estimate will be approximately $10,000, plus expenses. Proxies may be solicited by personal contact, mail, email, telephone, or facsimile. In addition, we may reimburse brokerage firms and other persons representing beneficial owners of our common stock for their reasonable expenses in forwarding solicitation materials to the beneficial owners. Our directors, officers, and employees may also solicit proxies personally or by telephone, without additional compensation.</w:t>
      </w:r>
    </w:p>
    <w:p>
      <w:pPr>
        <w:spacing w:after="0" w:line="22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20"/>
          </w:cols>
          <w:pgMar w:left="1160" w:top="279" w:right="121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 ELECTION OF DIRECTORS</w:t>
      </w:r>
    </w:p>
    <w:p>
      <w:pPr>
        <w:spacing w:after="0" w:line="19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Board of Directors (Board) is divided into three classes, with each director holding office for a three-year term or until his or her successor has been duly elected and qualified, or until his or her death, resignation or removal from office. At the 2020 Annual Meeting of Shareholders (Annual Meeting), shareholders are being asked to re-elect three Class 1 directors for terms of three years or until their death, resignation, or removal from office or their successors are duly elected and qualified. Unless authority is withheld, the persons named as proxies will vote for the election of the nominees listed below. If any of the nominees become unavailable to serve, the persons named as proxies will have discretionary authority to vote for a substitute nominee.</w:t>
      </w:r>
    </w:p>
    <w:p>
      <w:pPr>
        <w:spacing w:after="0" w:line="18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Our Board has nominated the following persons for election to the Board. Each nominee is currently a director and has indicated that he or she is willing and able to continue to serve as a director.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Class 1 (to serve until the 2023 annual meeting)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Jerome J. Lande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Frank M. Jaehnert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Gary E. Pruitt</w:t>
      </w:r>
    </w:p>
    <w:p>
      <w:pPr>
        <w:spacing w:after="0" w:line="18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have concluded that each of the nominees for re-election, as well as the other directors who will continue in office, have the skills, experience, knowledge, and personal attributes that are necessary to effectively serve on our Board. As described below in their biographies and the section “</w:t>
      </w:r>
      <w:r>
        <w:rPr>
          <w:rFonts w:ascii="Arial" w:cs="Arial" w:eastAsia="Arial" w:hAnsi="Arial"/>
          <w:sz w:val="18"/>
          <w:szCs w:val="18"/>
          <w:i w:val="1"/>
          <w:iCs w:val="1"/>
          <w:color w:val="auto"/>
        </w:rPr>
        <w:t>Director and Director Nominee Qualifications</w:t>
      </w:r>
      <w:r>
        <w:rPr>
          <w:rFonts w:ascii="Arial" w:cs="Arial" w:eastAsia="Arial" w:hAnsi="Arial"/>
          <w:sz w:val="18"/>
          <w:szCs w:val="18"/>
          <w:color w:val="auto"/>
        </w:rPr>
        <w:t>” that follows, the qualifications of our directors and director nominees support our conclusion that each of the individuals should serve as a director in light of our current business operations and structure.</w:t>
      </w:r>
    </w:p>
    <w:p>
      <w:pPr>
        <w:spacing w:after="0" w:line="3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The Board recommends that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1546225</wp:posOffset>
            </wp:positionH>
            <wp:positionV relativeFrom="paragraph">
              <wp:posOffset>-125095</wp:posOffset>
            </wp:positionV>
            <wp:extent cx="240030" cy="4032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0030" cy="403225"/>
                    </a:xfrm>
                    <a:prstGeom prst="rect">
                      <a:avLst/>
                    </a:prstGeom>
                    <a:noFill/>
                  </pic:spPr>
                </pic:pic>
              </a:graphicData>
            </a:graphic>
          </wp:anchor>
        </w:drawing>
      </w:r>
    </w:p>
    <w:p>
      <w:pPr>
        <w:ind w:left="2920"/>
        <w:spacing w:after="0"/>
        <w:rPr>
          <w:sz w:val="20"/>
          <w:szCs w:val="20"/>
          <w:color w:val="auto"/>
        </w:rPr>
      </w:pPr>
      <w:r>
        <w:rPr>
          <w:rFonts w:ascii="Arial" w:cs="Arial" w:eastAsia="Arial" w:hAnsi="Arial"/>
          <w:sz w:val="18"/>
          <w:szCs w:val="18"/>
          <w:b w:val="1"/>
          <w:bCs w:val="1"/>
          <w:color w:val="auto"/>
        </w:rPr>
        <w:t>vote “FOR” the election of each of the Class 1</w:t>
      </w:r>
    </w:p>
    <w:p>
      <w:pPr>
        <w:ind w:left="2920"/>
        <w:spacing w:after="0"/>
        <w:rPr>
          <w:sz w:val="20"/>
          <w:szCs w:val="20"/>
          <w:color w:val="auto"/>
        </w:rPr>
      </w:pPr>
      <w:r>
        <w:rPr>
          <w:rFonts w:ascii="Arial" w:cs="Arial" w:eastAsia="Arial" w:hAnsi="Arial"/>
          <w:sz w:val="18"/>
          <w:szCs w:val="18"/>
          <w:b w:val="1"/>
          <w:bCs w:val="1"/>
          <w:color w:val="auto"/>
        </w:rPr>
        <w:t>director nominees.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INFORMATION ABOUT OUR DIRECTORS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1 Director Nominees – Three Year Terms That Will Expire in 2023</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shd w:val="clear" w:color="auto" w:fill="000000"/>
          </w:tcPr>
          <w:p>
            <w:pPr>
              <w:spacing w:after="0"/>
              <w:rPr>
                <w:sz w:val="18"/>
                <w:szCs w:val="18"/>
                <w:color w:val="auto"/>
              </w:rPr>
            </w:pPr>
          </w:p>
        </w:tc>
        <w:tc>
          <w:tcPr>
            <w:tcW w:w="2580" w:type="dxa"/>
            <w:vAlign w:val="bottom"/>
            <w:shd w:val="clear" w:color="auto" w:fill="000000"/>
          </w:tcPr>
          <w:p>
            <w:pPr>
              <w:spacing w:after="0"/>
              <w:rPr>
                <w:sz w:val="18"/>
                <w:szCs w:val="18"/>
                <w:color w:val="auto"/>
              </w:rPr>
            </w:pPr>
          </w:p>
        </w:tc>
        <w:tc>
          <w:tcPr>
            <w:tcW w:w="5020" w:type="dxa"/>
            <w:vAlign w:val="bottom"/>
            <w:shd w:val="clear" w:color="auto" w:fill="000000"/>
          </w:tcPr>
          <w:p>
            <w:pPr>
              <w:spacing w:after="0"/>
              <w:rPr>
                <w:sz w:val="18"/>
                <w:szCs w:val="18"/>
                <w:color w:val="auto"/>
              </w:rPr>
            </w:pPr>
          </w:p>
        </w:tc>
      </w:tr>
      <w:tr>
        <w:trPr>
          <w:trHeight w:val="215"/>
        </w:trPr>
        <w:tc>
          <w:tcPr>
            <w:tcW w:w="1960" w:type="dxa"/>
            <w:vAlign w:val="bottom"/>
          </w:tcPr>
          <w:p>
            <w:pPr>
              <w:ind w:left="80"/>
              <w:spacing w:after="0"/>
              <w:rPr>
                <w:sz w:val="20"/>
                <w:szCs w:val="20"/>
                <w:color w:val="auto"/>
              </w:rPr>
            </w:pPr>
            <w:r>
              <w:rPr>
                <w:rFonts w:ascii="Arial" w:cs="Arial" w:eastAsia="Arial" w:hAnsi="Arial"/>
                <w:sz w:val="18"/>
                <w:szCs w:val="18"/>
                <w:b w:val="1"/>
                <w:bCs w:val="1"/>
                <w:color w:val="auto"/>
              </w:rPr>
              <w:t>Jerome J. Lande</w:t>
            </w:r>
          </w:p>
        </w:tc>
        <w:tc>
          <w:tcPr>
            <w:tcW w:w="2580" w:type="dxa"/>
            <w:vAlign w:val="bottom"/>
          </w:tcPr>
          <w:p>
            <w:pPr>
              <w:ind w:left="46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2015</w:t>
            </w:r>
          </w:p>
        </w:tc>
        <w:tc>
          <w:tcPr>
            <w:tcW w:w="5020" w:type="dxa"/>
            <w:vAlign w:val="bottom"/>
          </w:tcPr>
          <w:p>
            <w:pPr>
              <w:ind w:left="400"/>
              <w:spacing w:after="0"/>
              <w:rPr>
                <w:sz w:val="20"/>
                <w:szCs w:val="20"/>
                <w:color w:val="auto"/>
              </w:rPr>
            </w:pPr>
            <w:r>
              <w:rPr>
                <w:rFonts w:ascii="Arial" w:cs="Arial" w:eastAsia="Arial" w:hAnsi="Arial"/>
                <w:sz w:val="18"/>
                <w:szCs w:val="18"/>
                <w:b w:val="1"/>
                <w:bCs w:val="1"/>
                <w:color w:val="auto"/>
              </w:rPr>
              <w:t xml:space="preserve">Other Current Public Directorships: </w:t>
            </w:r>
            <w:r>
              <w:rPr>
                <w:rFonts w:ascii="Arial" w:cs="Arial" w:eastAsia="Arial" w:hAnsi="Arial"/>
                <w:sz w:val="18"/>
                <w:szCs w:val="18"/>
                <w:color w:val="auto"/>
              </w:rPr>
              <w:t>CONMED</w:t>
            </w:r>
          </w:p>
        </w:tc>
      </w:tr>
      <w:tr>
        <w:trPr>
          <w:trHeight w:val="244"/>
        </w:trPr>
        <w:tc>
          <w:tcPr>
            <w:tcW w:w="1960" w:type="dxa"/>
            <w:vAlign w:val="bottom"/>
          </w:tcPr>
          <w:p>
            <w:pPr>
              <w:ind w:left="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44</w:t>
            </w:r>
          </w:p>
        </w:tc>
        <w:tc>
          <w:tcPr>
            <w:tcW w:w="2580" w:type="dxa"/>
            <w:vAlign w:val="bottom"/>
          </w:tcPr>
          <w:p>
            <w:pPr>
              <w:ind w:left="460"/>
              <w:spacing w:after="0"/>
              <w:rPr>
                <w:sz w:val="20"/>
                <w:szCs w:val="20"/>
                <w:color w:val="auto"/>
              </w:rPr>
            </w:pPr>
            <w:r>
              <w:rPr>
                <w:rFonts w:ascii="Arial" w:cs="Arial" w:eastAsia="Arial" w:hAnsi="Arial"/>
                <w:sz w:val="18"/>
                <w:szCs w:val="18"/>
                <w:b w:val="1"/>
                <w:bCs w:val="1"/>
                <w:color w:val="auto"/>
              </w:rPr>
              <w:t>Independent</w:t>
            </w:r>
          </w:p>
        </w:tc>
        <w:tc>
          <w:tcPr>
            <w:tcW w:w="5020" w:type="dxa"/>
            <w:vAlign w:val="bottom"/>
          </w:tcPr>
          <w:p>
            <w:pPr>
              <w:ind w:left="400"/>
              <w:spacing w:after="0"/>
              <w:rPr>
                <w:sz w:val="20"/>
                <w:szCs w:val="20"/>
                <w:color w:val="auto"/>
              </w:rPr>
            </w:pPr>
            <w:r>
              <w:rPr>
                <w:rFonts w:ascii="Arial" w:cs="Arial" w:eastAsia="Arial" w:hAnsi="Arial"/>
                <w:sz w:val="18"/>
                <w:szCs w:val="18"/>
                <w:color w:val="auto"/>
              </w:rPr>
              <w:t>Corporation</w:t>
            </w:r>
          </w:p>
        </w:tc>
      </w:tr>
    </w:tbl>
    <w:p>
      <w:pPr>
        <w:spacing w:after="0" w:line="242" w:lineRule="exact"/>
        <w:rPr>
          <w:sz w:val="20"/>
          <w:szCs w:val="20"/>
          <w:color w:val="auto"/>
        </w:rPr>
      </w:pPr>
    </w:p>
    <w:p>
      <w:pPr>
        <w:ind w:left="80" w:right="120"/>
        <w:spacing w:after="0" w:line="236" w:lineRule="auto"/>
        <w:rPr>
          <w:sz w:val="20"/>
          <w:szCs w:val="20"/>
          <w:color w:val="auto"/>
        </w:rPr>
      </w:pPr>
      <w:r>
        <w:rPr>
          <w:rFonts w:ascii="Arial" w:cs="Arial" w:eastAsia="Arial" w:hAnsi="Arial"/>
          <w:sz w:val="18"/>
          <w:szCs w:val="18"/>
          <w:color w:val="auto"/>
        </w:rPr>
        <w:t>Jerome Lande joined Scopia Capital Management LP (Scopia), an asset management firm and one of Itron’s principal minority shareholders, in April 2016 and is currently a Partner and Head of Special-Situation Investments. He was previously the Managing Partner of Coppersmith Capital Management LLC (Coppersmith), an asset management firm focused on equity investing in small to mid-cap markets and in long-term value creation, which he co-founded in April 2012. Prior to co-founding Coppersmith, Mr. Lande was a partner of MCM Capital Management, LLC, the general partner of MMI Investments, LP, a small-cap investment fund founded in 1996 to employ private equity investing methodologies in public equities, and where Mr. Lande oversaw research, trading and activism from 1998 to 2011. Prior to that time, he was associated with other equity investment firms where he was directly involved with corporate development as well as equity growth. Until the completion of a merger on December 7, 2018, Mr. Lande served as a member of the board of directors and the nomination and governance committee of Forest City Realty Trust, Inc. (NYSE: “FCEA”), a national real estate company. Mr. Lande is a member of the board of directors of CONMED Corporation (NASDAQ: “CNMD”), a public global medical technology company, where he also serves on the compensation and strategy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6069330" cy="5657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69330" cy="565785"/>
                    </a:xfrm>
                    <a:prstGeom prst="rect">
                      <a:avLst/>
                    </a:prstGeom>
                    <a:noFill/>
                  </pic:spPr>
                </pic:pic>
              </a:graphicData>
            </a:graphic>
          </wp:anchor>
        </w:drawing>
      </w:r>
    </w:p>
    <w:p>
      <w:pPr>
        <w:spacing w:after="0" w:line="201" w:lineRule="exact"/>
        <w:rPr>
          <w:sz w:val="20"/>
          <w:szCs w:val="20"/>
          <w:color w:val="auto"/>
        </w:rPr>
      </w:pPr>
    </w:p>
    <w:p>
      <w:pPr>
        <w:ind w:left="80" w:right="600"/>
        <w:spacing w:after="0" w:line="253" w:lineRule="auto"/>
        <w:rPr>
          <w:sz w:val="20"/>
          <w:szCs w:val="20"/>
          <w:color w:val="auto"/>
        </w:rPr>
      </w:pPr>
      <w:r>
        <w:rPr>
          <w:rFonts w:ascii="Arial" w:cs="Arial" w:eastAsia="Arial" w:hAnsi="Arial"/>
          <w:sz w:val="18"/>
          <w:szCs w:val="18"/>
          <w:b w:val="1"/>
          <w:bCs w:val="1"/>
          <w:color w:val="auto"/>
        </w:rPr>
        <w:t xml:space="preserve">Qualifications: </w:t>
      </w:r>
      <w:r>
        <w:rPr>
          <w:rFonts w:ascii="Arial" w:cs="Arial" w:eastAsia="Arial" w:hAnsi="Arial"/>
          <w:sz w:val="18"/>
          <w:szCs w:val="18"/>
          <w:color w:val="auto"/>
        </w:rPr>
        <w:t>Mr. Lande brings to the Board financial and investing acumen gained through his many years of</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at several equity investment firms, including his current employer Scopia (and affiliates), which is a principal minority shareholder of the Company.</w:t>
      </w:r>
    </w:p>
    <w:p>
      <w:pPr>
        <w:spacing w:after="0" w:line="24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020" w:type="dxa"/>
            <w:vAlign w:val="bottom"/>
            <w:gridSpan w:val="2"/>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252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128"/>
        </w:trPr>
        <w:tc>
          <w:tcPr>
            <w:tcW w:w="1540" w:type="dxa"/>
            <w:vAlign w:val="bottom"/>
            <w:tcBorders>
              <w:top w:val="single" w:sz="8" w:color="0000EE"/>
            </w:tcBorders>
          </w:tcPr>
          <w:p>
            <w:pPr>
              <w:spacing w:after="0"/>
              <w:rPr>
                <w:sz w:val="11"/>
                <w:szCs w:val="11"/>
                <w:color w:val="auto"/>
              </w:rPr>
            </w:pPr>
          </w:p>
        </w:tc>
        <w:tc>
          <w:tcPr>
            <w:tcW w:w="4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5020" w:type="dxa"/>
            <w:vAlign w:val="bottom"/>
          </w:tcPr>
          <w:p>
            <w:pPr>
              <w:spacing w:after="0"/>
              <w:rPr>
                <w:sz w:val="11"/>
                <w:szCs w:val="11"/>
                <w:color w:val="auto"/>
              </w:rPr>
            </w:pPr>
          </w:p>
        </w:tc>
      </w:tr>
      <w:tr>
        <w:trPr>
          <w:trHeight w:val="216"/>
        </w:trPr>
        <w:tc>
          <w:tcPr>
            <w:tcW w:w="1540" w:type="dxa"/>
            <w:vAlign w:val="bottom"/>
            <w:shd w:val="clear" w:color="auto" w:fill="000000"/>
          </w:tcPr>
          <w:p>
            <w:pPr>
              <w:spacing w:after="0"/>
              <w:rPr>
                <w:sz w:val="18"/>
                <w:szCs w:val="18"/>
                <w:color w:val="auto"/>
              </w:rPr>
            </w:pPr>
          </w:p>
        </w:tc>
        <w:tc>
          <w:tcPr>
            <w:tcW w:w="480" w:type="dxa"/>
            <w:vAlign w:val="bottom"/>
            <w:shd w:val="clear" w:color="auto" w:fill="000000"/>
          </w:tcPr>
          <w:p>
            <w:pPr>
              <w:spacing w:after="0"/>
              <w:rPr>
                <w:sz w:val="18"/>
                <w:szCs w:val="18"/>
                <w:color w:val="auto"/>
              </w:rPr>
            </w:pPr>
          </w:p>
        </w:tc>
        <w:tc>
          <w:tcPr>
            <w:tcW w:w="2520" w:type="dxa"/>
            <w:vAlign w:val="bottom"/>
            <w:shd w:val="clear" w:color="auto" w:fill="000000"/>
          </w:tcPr>
          <w:p>
            <w:pPr>
              <w:spacing w:after="0"/>
              <w:rPr>
                <w:sz w:val="18"/>
                <w:szCs w:val="18"/>
                <w:color w:val="auto"/>
              </w:rPr>
            </w:pPr>
          </w:p>
        </w:tc>
        <w:tc>
          <w:tcPr>
            <w:tcW w:w="5020" w:type="dxa"/>
            <w:vAlign w:val="bottom"/>
            <w:shd w:val="clear" w:color="auto" w:fill="000000"/>
          </w:tcPr>
          <w:p>
            <w:pPr>
              <w:spacing w:after="0"/>
              <w:rPr>
                <w:sz w:val="18"/>
                <w:szCs w:val="18"/>
                <w:color w:val="auto"/>
              </w:rPr>
            </w:pPr>
          </w:p>
        </w:tc>
      </w:tr>
      <w:tr>
        <w:trPr>
          <w:trHeight w:val="215"/>
        </w:trPr>
        <w:tc>
          <w:tcPr>
            <w:tcW w:w="2020" w:type="dxa"/>
            <w:vAlign w:val="bottom"/>
            <w:gridSpan w:val="2"/>
          </w:tcPr>
          <w:p>
            <w:pPr>
              <w:ind w:left="80"/>
              <w:spacing w:after="0"/>
              <w:rPr>
                <w:sz w:val="20"/>
                <w:szCs w:val="20"/>
                <w:color w:val="auto"/>
              </w:rPr>
            </w:pPr>
            <w:r>
              <w:rPr>
                <w:rFonts w:ascii="Arial" w:cs="Arial" w:eastAsia="Arial" w:hAnsi="Arial"/>
                <w:sz w:val="18"/>
                <w:szCs w:val="18"/>
                <w:b w:val="1"/>
                <w:bCs w:val="1"/>
                <w:color w:val="auto"/>
              </w:rPr>
              <w:t>Frank M. Jaehnert</w:t>
            </w:r>
          </w:p>
        </w:tc>
        <w:tc>
          <w:tcPr>
            <w:tcW w:w="2520" w:type="dxa"/>
            <w:vAlign w:val="bottom"/>
          </w:tcPr>
          <w:p>
            <w:pPr>
              <w:ind w:left="40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2015</w:t>
            </w:r>
          </w:p>
        </w:tc>
        <w:tc>
          <w:tcPr>
            <w:tcW w:w="5020" w:type="dxa"/>
            <w:vAlign w:val="bottom"/>
          </w:tcPr>
          <w:p>
            <w:pPr>
              <w:ind w:left="400"/>
              <w:spacing w:after="0"/>
              <w:rPr>
                <w:sz w:val="20"/>
                <w:szCs w:val="20"/>
                <w:color w:val="auto"/>
              </w:rPr>
            </w:pPr>
            <w:r>
              <w:rPr>
                <w:rFonts w:ascii="Arial" w:cs="Arial" w:eastAsia="Arial" w:hAnsi="Arial"/>
                <w:sz w:val="18"/>
                <w:szCs w:val="18"/>
                <w:b w:val="1"/>
                <w:bCs w:val="1"/>
                <w:color w:val="auto"/>
              </w:rPr>
              <w:t xml:space="preserve">Other Current Public Directorships: </w:t>
            </w:r>
            <w:r>
              <w:rPr>
                <w:rFonts w:ascii="Arial" w:cs="Arial" w:eastAsia="Arial" w:hAnsi="Arial"/>
                <w:sz w:val="18"/>
                <w:szCs w:val="18"/>
                <w:color w:val="auto"/>
              </w:rPr>
              <w:t>Nordson</w:t>
            </w:r>
          </w:p>
        </w:tc>
      </w:tr>
      <w:tr>
        <w:trPr>
          <w:trHeight w:val="244"/>
        </w:trPr>
        <w:tc>
          <w:tcPr>
            <w:tcW w:w="2020" w:type="dxa"/>
            <w:vAlign w:val="bottom"/>
            <w:gridSpan w:val="2"/>
          </w:tcPr>
          <w:p>
            <w:pPr>
              <w:ind w:left="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62</w:t>
            </w:r>
          </w:p>
        </w:tc>
        <w:tc>
          <w:tcPr>
            <w:tcW w:w="2520" w:type="dxa"/>
            <w:vAlign w:val="bottom"/>
          </w:tcPr>
          <w:p>
            <w:pPr>
              <w:ind w:left="400"/>
              <w:spacing w:after="0"/>
              <w:rPr>
                <w:sz w:val="20"/>
                <w:szCs w:val="20"/>
                <w:color w:val="auto"/>
              </w:rPr>
            </w:pPr>
            <w:r>
              <w:rPr>
                <w:rFonts w:ascii="Arial" w:cs="Arial" w:eastAsia="Arial" w:hAnsi="Arial"/>
                <w:sz w:val="18"/>
                <w:szCs w:val="18"/>
                <w:b w:val="1"/>
                <w:bCs w:val="1"/>
                <w:color w:val="auto"/>
              </w:rPr>
              <w:t>Independent</w:t>
            </w:r>
          </w:p>
        </w:tc>
        <w:tc>
          <w:tcPr>
            <w:tcW w:w="5020" w:type="dxa"/>
            <w:vAlign w:val="bottom"/>
          </w:tcPr>
          <w:p>
            <w:pPr>
              <w:ind w:left="400"/>
              <w:spacing w:after="0"/>
              <w:rPr>
                <w:sz w:val="20"/>
                <w:szCs w:val="20"/>
                <w:color w:val="auto"/>
              </w:rPr>
            </w:pPr>
            <w:r>
              <w:rPr>
                <w:rFonts w:ascii="Arial" w:cs="Arial" w:eastAsia="Arial" w:hAnsi="Arial"/>
                <w:sz w:val="18"/>
                <w:szCs w:val="18"/>
                <w:color w:val="auto"/>
              </w:rPr>
              <w:t>Corporation; Briggs &amp; Stratton Corporation</w:t>
            </w:r>
          </w:p>
        </w:tc>
      </w:tr>
    </w:tbl>
    <w:p>
      <w:pPr>
        <w:spacing w:after="0" w:line="242" w:lineRule="exact"/>
        <w:rPr>
          <w:sz w:val="20"/>
          <w:szCs w:val="20"/>
          <w:color w:val="auto"/>
        </w:rPr>
      </w:pPr>
    </w:p>
    <w:p>
      <w:pPr>
        <w:ind w:left="80" w:right="100"/>
        <w:spacing w:after="0" w:line="236" w:lineRule="auto"/>
        <w:rPr>
          <w:sz w:val="20"/>
          <w:szCs w:val="20"/>
          <w:color w:val="auto"/>
        </w:rPr>
      </w:pPr>
      <w:r>
        <w:rPr>
          <w:rFonts w:ascii="Arial" w:cs="Arial" w:eastAsia="Arial" w:hAnsi="Arial"/>
          <w:sz w:val="18"/>
          <w:szCs w:val="18"/>
          <w:color w:val="auto"/>
        </w:rPr>
        <w:t>From 1995 until his retirement in 2013, Frank Jaehnert held several roles with Brady Corporation (NYSE: “BRC”), a publicly traded manufacturer and marketer of complete solutions that identify and protect premises, products and people. These roles included President and Chief Executive Officer from 2003 to 2013, Senior Vice President and President of a business line from 2002 to 2003, and Vice President and Chief Financial Officer from 1996 to 2001. Prior to joining Brady Corporation, Mr. Jaehnert held various financial and management positions for Robert Bosch GmbH, a German multinational engineering and electronics company. Mr. Jaehnert serves on the board of directors of Nordson Corporation (NASDAQ: “NDSN”), which he joined in 2012, and Briggs &amp; Stratton Corporation (NYSE: “BGG”), which he joined in 2014. NDSN and BGG are both publicly traded large manufacturing companies. Mr. Jaehnert also serves on the NDSN executive committee and as the chair of the NDSN audit committee and on the BGG audit and nominating and governance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6069330" cy="9512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69330" cy="951230"/>
                    </a:xfrm>
                    <a:prstGeom prst="rect">
                      <a:avLst/>
                    </a:prstGeom>
                    <a:noFill/>
                  </pic:spPr>
                </pic:pic>
              </a:graphicData>
            </a:graphic>
          </wp:anchor>
        </w:drawing>
      </w:r>
    </w:p>
    <w:p>
      <w:pPr>
        <w:spacing w:after="0" w:line="204" w:lineRule="exact"/>
        <w:rPr>
          <w:sz w:val="20"/>
          <w:szCs w:val="20"/>
          <w:color w:val="auto"/>
        </w:rPr>
      </w:pPr>
    </w:p>
    <w:p>
      <w:pPr>
        <w:ind w:left="80" w:right="200"/>
        <w:spacing w:after="0" w:line="242" w:lineRule="auto"/>
        <w:rPr>
          <w:sz w:val="20"/>
          <w:szCs w:val="20"/>
          <w:color w:val="auto"/>
        </w:rPr>
      </w:pPr>
      <w:r>
        <w:rPr>
          <w:rFonts w:ascii="Arial" w:cs="Arial" w:eastAsia="Arial" w:hAnsi="Arial"/>
          <w:sz w:val="18"/>
          <w:szCs w:val="18"/>
          <w:b w:val="1"/>
          <w:bCs w:val="1"/>
          <w:color w:val="auto"/>
        </w:rPr>
        <w:t xml:space="preserve">Qualifications: </w:t>
      </w:r>
      <w:r>
        <w:rPr>
          <w:rFonts w:ascii="Arial" w:cs="Arial" w:eastAsia="Arial" w:hAnsi="Arial"/>
          <w:sz w:val="18"/>
          <w:szCs w:val="18"/>
          <w:color w:val="auto"/>
        </w:rPr>
        <w:t>Mr. Jaehnert has extensive, broad-based international business and executive management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leadership experience. Mr. Jaehnert is National Association of Corporate Directors (NACD) Directorship Certified™, which is a recognition earned by NACD members and reflects their commitment to continuing education on emerging board issues and to helping to elevate the profession of directorship. Mr. Jaehnert’s diverse background, his experience with geographic expansion and acquisitions, as well as his experience serving on other public company boards bring valuable perspectives to the Board.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shd w:val="clear" w:color="auto" w:fill="000000"/>
          </w:tcPr>
          <w:p>
            <w:pPr>
              <w:spacing w:after="0"/>
              <w:rPr>
                <w:sz w:val="18"/>
                <w:szCs w:val="18"/>
                <w:color w:val="auto"/>
              </w:rPr>
            </w:pPr>
          </w:p>
        </w:tc>
        <w:tc>
          <w:tcPr>
            <w:tcW w:w="2720" w:type="dxa"/>
            <w:vAlign w:val="bottom"/>
            <w:shd w:val="clear" w:color="auto" w:fill="000000"/>
          </w:tcPr>
          <w:p>
            <w:pPr>
              <w:spacing w:after="0"/>
              <w:rPr>
                <w:sz w:val="18"/>
                <w:szCs w:val="18"/>
                <w:color w:val="auto"/>
              </w:rPr>
            </w:pPr>
          </w:p>
        </w:tc>
        <w:tc>
          <w:tcPr>
            <w:tcW w:w="5020" w:type="dxa"/>
            <w:vAlign w:val="bottom"/>
            <w:shd w:val="clear" w:color="auto" w:fill="000000"/>
          </w:tcPr>
          <w:p>
            <w:pPr>
              <w:spacing w:after="0"/>
              <w:rPr>
                <w:sz w:val="18"/>
                <w:szCs w:val="18"/>
                <w:color w:val="auto"/>
              </w:rPr>
            </w:pPr>
          </w:p>
        </w:tc>
      </w:tr>
      <w:tr>
        <w:trPr>
          <w:trHeight w:val="215"/>
        </w:trPr>
        <w:tc>
          <w:tcPr>
            <w:tcW w:w="1820" w:type="dxa"/>
            <w:vAlign w:val="bottom"/>
          </w:tcPr>
          <w:p>
            <w:pPr>
              <w:ind w:left="80"/>
              <w:spacing w:after="0"/>
              <w:rPr>
                <w:sz w:val="20"/>
                <w:szCs w:val="20"/>
                <w:color w:val="auto"/>
              </w:rPr>
            </w:pPr>
            <w:r>
              <w:rPr>
                <w:rFonts w:ascii="Arial" w:cs="Arial" w:eastAsia="Arial" w:hAnsi="Arial"/>
                <w:sz w:val="18"/>
                <w:szCs w:val="18"/>
                <w:b w:val="1"/>
                <w:bCs w:val="1"/>
                <w:color w:val="auto"/>
              </w:rPr>
              <w:t>Gary E. Pruitt</w:t>
            </w:r>
          </w:p>
        </w:tc>
        <w:tc>
          <w:tcPr>
            <w:tcW w:w="2720" w:type="dxa"/>
            <w:vAlign w:val="bottom"/>
          </w:tcPr>
          <w:p>
            <w:pPr>
              <w:ind w:left="60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2006</w:t>
            </w:r>
          </w:p>
        </w:tc>
        <w:tc>
          <w:tcPr>
            <w:tcW w:w="5020" w:type="dxa"/>
            <w:vAlign w:val="bottom"/>
          </w:tcPr>
          <w:p>
            <w:pPr>
              <w:ind w:left="400"/>
              <w:spacing w:after="0"/>
              <w:rPr>
                <w:sz w:val="20"/>
                <w:szCs w:val="20"/>
                <w:color w:val="auto"/>
              </w:rPr>
            </w:pPr>
            <w:r>
              <w:rPr>
                <w:rFonts w:ascii="Arial" w:cs="Arial" w:eastAsia="Arial" w:hAnsi="Arial"/>
                <w:sz w:val="18"/>
                <w:szCs w:val="18"/>
                <w:b w:val="1"/>
                <w:bCs w:val="1"/>
                <w:color w:val="auto"/>
              </w:rPr>
              <w:t xml:space="preserve">Other Current Public Directorships: </w:t>
            </w:r>
            <w:r>
              <w:rPr>
                <w:rFonts w:ascii="Arial" w:cs="Arial" w:eastAsia="Arial" w:hAnsi="Arial"/>
                <w:sz w:val="18"/>
                <w:szCs w:val="18"/>
                <w:color w:val="auto"/>
              </w:rPr>
              <w:t>Public Storage,</w:t>
            </w:r>
          </w:p>
        </w:tc>
      </w:tr>
      <w:tr>
        <w:trPr>
          <w:trHeight w:val="244"/>
        </w:trPr>
        <w:tc>
          <w:tcPr>
            <w:tcW w:w="1820" w:type="dxa"/>
            <w:vAlign w:val="bottom"/>
          </w:tcPr>
          <w:p>
            <w:pPr>
              <w:ind w:left="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70</w:t>
            </w:r>
          </w:p>
        </w:tc>
        <w:tc>
          <w:tcPr>
            <w:tcW w:w="2720" w:type="dxa"/>
            <w:vAlign w:val="bottom"/>
          </w:tcPr>
          <w:p>
            <w:pPr>
              <w:ind w:left="600"/>
              <w:spacing w:after="0"/>
              <w:rPr>
                <w:sz w:val="20"/>
                <w:szCs w:val="20"/>
                <w:color w:val="auto"/>
              </w:rPr>
            </w:pPr>
            <w:r>
              <w:rPr>
                <w:rFonts w:ascii="Arial" w:cs="Arial" w:eastAsia="Arial" w:hAnsi="Arial"/>
                <w:sz w:val="18"/>
                <w:szCs w:val="18"/>
                <w:b w:val="1"/>
                <w:bCs w:val="1"/>
                <w:color w:val="auto"/>
              </w:rPr>
              <w:t>Independent</w:t>
            </w:r>
          </w:p>
        </w:tc>
        <w:tc>
          <w:tcPr>
            <w:tcW w:w="5020" w:type="dxa"/>
            <w:vAlign w:val="bottom"/>
          </w:tcPr>
          <w:p>
            <w:pPr>
              <w:ind w:left="400"/>
              <w:spacing w:after="0"/>
              <w:rPr>
                <w:sz w:val="20"/>
                <w:szCs w:val="20"/>
                <w:color w:val="auto"/>
              </w:rPr>
            </w:pPr>
            <w:r>
              <w:rPr>
                <w:rFonts w:ascii="Arial" w:cs="Arial" w:eastAsia="Arial" w:hAnsi="Arial"/>
                <w:sz w:val="18"/>
                <w:szCs w:val="18"/>
                <w:color w:val="auto"/>
              </w:rPr>
              <w:t>Inc.; PS Business Parks, Inc.</w:t>
            </w:r>
          </w:p>
        </w:tc>
      </w:tr>
    </w:tbl>
    <w:p>
      <w:pPr>
        <w:spacing w:after="0" w:line="242" w:lineRule="exact"/>
        <w:rPr>
          <w:sz w:val="20"/>
          <w:szCs w:val="20"/>
          <w:color w:val="auto"/>
        </w:rPr>
      </w:pPr>
    </w:p>
    <w:p>
      <w:pPr>
        <w:ind w:left="80" w:right="80"/>
        <w:spacing w:after="0" w:line="236" w:lineRule="auto"/>
        <w:rPr>
          <w:sz w:val="20"/>
          <w:szCs w:val="20"/>
          <w:color w:val="auto"/>
        </w:rPr>
      </w:pPr>
      <w:r>
        <w:rPr>
          <w:rFonts w:ascii="Arial" w:cs="Arial" w:eastAsia="Arial" w:hAnsi="Arial"/>
          <w:sz w:val="18"/>
          <w:szCs w:val="18"/>
          <w:color w:val="auto"/>
        </w:rPr>
        <w:t>In 2010, Gary Pruitt retired as Chairman of Univar N.V. (Univar), a multi-national chemical distribution company based in Bellevue, Washington, and retired as Chief Executive Officer in October 2009. Before joining Univar in 1978, Mr. Pruitt was a chartered accountant with Arthur Andersen from 1973 through 1977. Mr. Pruitt retired in February 2018 as a member of the board of directors, the compensation committee and the nomination and governance committee of Esterline Technologies Corporation, a specialty manufacturer serving in the global aerospace and defense markets that was listed on NYSE under “ESL” until its acquisition in 2019. Mr. Pruitt also served on the board of directors for Premera Blue Cross, a privately held health insurance company. Mr. Pruitt is a trustee of Public Storage, Inc. (a real estate investment trust specializing in self-storage facilities) (NYSE: “PSA”) and PS Business Parks, Inc. (a full-service real estate company) (NYSE: “PSB”). Mr. Pruitt is a Lead Independent Trustee of PSA and also serves as a member of its audit and governance committees. He also is a member of the audit committee of PSB.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6069330" cy="6940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69330" cy="694055"/>
                    </a:xfrm>
                    <a:prstGeom prst="rect">
                      <a:avLst/>
                    </a:prstGeom>
                    <a:noFill/>
                  </pic:spPr>
                </pic:pic>
              </a:graphicData>
            </a:graphic>
          </wp:anchor>
        </w:drawing>
      </w:r>
    </w:p>
    <w:p>
      <w:pPr>
        <w:spacing w:after="0" w:line="204" w:lineRule="exact"/>
        <w:rPr>
          <w:sz w:val="20"/>
          <w:szCs w:val="20"/>
          <w:color w:val="auto"/>
        </w:rPr>
      </w:pPr>
    </w:p>
    <w:p>
      <w:pPr>
        <w:ind w:left="80" w:right="160"/>
        <w:spacing w:after="0" w:line="247" w:lineRule="auto"/>
        <w:rPr>
          <w:sz w:val="20"/>
          <w:szCs w:val="20"/>
          <w:color w:val="auto"/>
        </w:rPr>
      </w:pPr>
      <w:r>
        <w:rPr>
          <w:rFonts w:ascii="Arial" w:cs="Arial" w:eastAsia="Arial" w:hAnsi="Arial"/>
          <w:sz w:val="18"/>
          <w:szCs w:val="18"/>
          <w:b w:val="1"/>
          <w:bCs w:val="1"/>
          <w:color w:val="auto"/>
        </w:rPr>
        <w:t xml:space="preserve">Qualifications: </w:t>
      </w:r>
      <w:r>
        <w:rPr>
          <w:rFonts w:ascii="Arial" w:cs="Arial" w:eastAsia="Arial" w:hAnsi="Arial"/>
          <w:sz w:val="18"/>
          <w:szCs w:val="18"/>
          <w:color w:val="auto"/>
        </w:rPr>
        <w:t>Mr. Pruitt brings to the Board his experience as a chief executive officer of a multi-national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the business attributes required of that position, along with operational and manufacturing expertise through his various other management positions held with Univar. His public accounting financial background and other public board experiences provide strategic and global perspectives on our business as well.</w:t>
      </w:r>
    </w:p>
    <w:p>
      <w:pPr>
        <w:spacing w:after="0" w:line="250"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6" w:right="117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Class 2 Directors – Directors with Terms That Will Expire in 2021</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shd w:val="clear" w:color="auto" w:fill="000000"/>
          </w:tcPr>
          <w:p>
            <w:pPr>
              <w:spacing w:after="0"/>
              <w:rPr>
                <w:sz w:val="18"/>
                <w:szCs w:val="18"/>
                <w:color w:val="auto"/>
              </w:rPr>
            </w:pPr>
          </w:p>
        </w:tc>
        <w:tc>
          <w:tcPr>
            <w:tcW w:w="2480" w:type="dxa"/>
            <w:vAlign w:val="bottom"/>
            <w:shd w:val="clear" w:color="auto" w:fill="000000"/>
          </w:tcPr>
          <w:p>
            <w:pPr>
              <w:spacing w:after="0"/>
              <w:rPr>
                <w:sz w:val="18"/>
                <w:szCs w:val="18"/>
                <w:color w:val="auto"/>
              </w:rPr>
            </w:pPr>
          </w:p>
        </w:tc>
        <w:tc>
          <w:tcPr>
            <w:tcW w:w="5020" w:type="dxa"/>
            <w:vAlign w:val="bottom"/>
            <w:shd w:val="clear" w:color="auto" w:fill="000000"/>
          </w:tcPr>
          <w:p>
            <w:pPr>
              <w:spacing w:after="0"/>
              <w:rPr>
                <w:sz w:val="18"/>
                <w:szCs w:val="18"/>
                <w:color w:val="auto"/>
              </w:rPr>
            </w:pPr>
          </w:p>
        </w:tc>
      </w:tr>
      <w:tr>
        <w:trPr>
          <w:trHeight w:val="220"/>
        </w:trPr>
        <w:tc>
          <w:tcPr>
            <w:tcW w:w="2060" w:type="dxa"/>
            <w:vAlign w:val="bottom"/>
          </w:tcPr>
          <w:p>
            <w:pPr>
              <w:ind w:left="80"/>
              <w:spacing w:after="0"/>
              <w:rPr>
                <w:sz w:val="20"/>
                <w:szCs w:val="20"/>
                <w:color w:val="auto"/>
              </w:rPr>
            </w:pPr>
            <w:r>
              <w:rPr>
                <w:rFonts w:ascii="Arial" w:cs="Arial" w:eastAsia="Arial" w:hAnsi="Arial"/>
                <w:sz w:val="18"/>
                <w:szCs w:val="18"/>
                <w:b w:val="1"/>
                <w:bCs w:val="1"/>
                <w:color w:val="auto"/>
              </w:rPr>
              <w:t>Thomas L. Deitrich</w:t>
            </w:r>
          </w:p>
        </w:tc>
        <w:tc>
          <w:tcPr>
            <w:tcW w:w="2480" w:type="dxa"/>
            <w:vAlign w:val="bottom"/>
          </w:tcPr>
          <w:p>
            <w:pPr>
              <w:ind w:left="36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2019</w:t>
            </w:r>
          </w:p>
        </w:tc>
        <w:tc>
          <w:tcPr>
            <w:tcW w:w="5020" w:type="dxa"/>
            <w:vAlign w:val="bottom"/>
          </w:tcPr>
          <w:p>
            <w:pPr>
              <w:ind w:left="400"/>
              <w:spacing w:after="0"/>
              <w:rPr>
                <w:sz w:val="20"/>
                <w:szCs w:val="20"/>
                <w:color w:val="auto"/>
              </w:rPr>
            </w:pPr>
            <w:r>
              <w:rPr>
                <w:rFonts w:ascii="Arial" w:cs="Arial" w:eastAsia="Arial" w:hAnsi="Arial"/>
                <w:sz w:val="18"/>
                <w:szCs w:val="18"/>
                <w:b w:val="1"/>
                <w:bCs w:val="1"/>
                <w:color w:val="auto"/>
              </w:rPr>
              <w:t xml:space="preserve">Other Current Public Directorships: </w:t>
            </w:r>
            <w:r>
              <w:rPr>
                <w:rFonts w:ascii="Arial" w:cs="Arial" w:eastAsia="Arial" w:hAnsi="Arial"/>
                <w:sz w:val="18"/>
                <w:szCs w:val="18"/>
                <w:color w:val="auto"/>
              </w:rPr>
              <w:t>None</w:t>
            </w:r>
          </w:p>
        </w:tc>
      </w:tr>
      <w:tr>
        <w:trPr>
          <w:trHeight w:val="239"/>
        </w:trPr>
        <w:tc>
          <w:tcPr>
            <w:tcW w:w="2060" w:type="dxa"/>
            <w:vAlign w:val="bottom"/>
          </w:tcPr>
          <w:p>
            <w:pPr>
              <w:ind w:left="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53</w:t>
            </w:r>
          </w:p>
        </w:tc>
        <w:tc>
          <w:tcPr>
            <w:tcW w:w="2480" w:type="dxa"/>
            <w:vAlign w:val="bottom"/>
          </w:tcPr>
          <w:p>
            <w:pPr>
              <w:spacing w:after="0"/>
              <w:rPr>
                <w:sz w:val="20"/>
                <w:szCs w:val="20"/>
                <w:color w:val="auto"/>
              </w:rPr>
            </w:pPr>
          </w:p>
        </w:tc>
        <w:tc>
          <w:tcPr>
            <w:tcW w:w="5020" w:type="dxa"/>
            <w:vAlign w:val="bottom"/>
          </w:tcPr>
          <w:p>
            <w:pPr>
              <w:spacing w:after="0"/>
              <w:rPr>
                <w:sz w:val="20"/>
                <w:szCs w:val="20"/>
                <w:color w:val="auto"/>
              </w:rPr>
            </w:pPr>
          </w:p>
        </w:tc>
      </w:tr>
    </w:tbl>
    <w:p>
      <w:pPr>
        <w:spacing w:after="0" w:line="242" w:lineRule="exact"/>
        <w:rPr>
          <w:sz w:val="20"/>
          <w:szCs w:val="20"/>
          <w:color w:val="auto"/>
        </w:rPr>
      </w:pPr>
    </w:p>
    <w:p>
      <w:pPr>
        <w:ind w:left="80" w:right="100"/>
        <w:spacing w:after="0" w:line="236" w:lineRule="auto"/>
        <w:rPr>
          <w:sz w:val="20"/>
          <w:szCs w:val="20"/>
          <w:color w:val="auto"/>
        </w:rPr>
      </w:pPr>
      <w:r>
        <w:rPr>
          <w:rFonts w:ascii="Arial" w:cs="Arial" w:eastAsia="Arial" w:hAnsi="Arial"/>
          <w:sz w:val="18"/>
          <w:szCs w:val="18"/>
          <w:color w:val="auto"/>
        </w:rPr>
        <w:t>Tom Deitrich is our President and Chief Executive Officer and a member of our Board of Directors. Mr. Deitrich was appointed to his current position and to the Board of Directors in August 2019. Mr. Deitrich joined Itron in October 2015, serving as Itron’s Executive Vice President and Chief Operating Officer until August 2019. From 2012 to September 2015, Mr. Deitrich was Senior Vice President and General Manager for Digital Networking at Freescale Semiconductor, Inc. (Freescale), and he served as the Senior Vice President and General Manager of Freescale’s RF, Analog, Sensor, and Cellular Products Group from 2009 to 2012. Mr. Deitrich held other roles of increasing responsibility at Freescale from 2006 to 2009. Prior to Freescale, Mr. Deitrich worked for Flextronics, Sony-Ericsson/Ericsson, and 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6069330" cy="12084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69330" cy="1208405"/>
                    </a:xfrm>
                    <a:prstGeom prst="rect">
                      <a:avLst/>
                    </a:prstGeom>
                    <a:noFill/>
                  </pic:spPr>
                </pic:pic>
              </a:graphicData>
            </a:graphic>
          </wp:anchor>
        </w:drawing>
      </w:r>
    </w:p>
    <w:p>
      <w:pPr>
        <w:spacing w:after="0" w:line="206" w:lineRule="exact"/>
        <w:rPr>
          <w:sz w:val="20"/>
          <w:szCs w:val="20"/>
          <w:color w:val="auto"/>
        </w:rPr>
      </w:pPr>
    </w:p>
    <w:p>
      <w:pPr>
        <w:ind w:left="80" w:right="100"/>
        <w:spacing w:after="0"/>
        <w:rPr>
          <w:sz w:val="20"/>
          <w:szCs w:val="20"/>
          <w:color w:val="auto"/>
        </w:rPr>
      </w:pPr>
      <w:r>
        <w:rPr>
          <w:rFonts w:ascii="Arial" w:cs="Arial" w:eastAsia="Arial" w:hAnsi="Arial"/>
          <w:sz w:val="18"/>
          <w:szCs w:val="18"/>
          <w:b w:val="1"/>
          <w:bCs w:val="1"/>
          <w:color w:val="auto"/>
        </w:rPr>
        <w:t xml:space="preserve">Qualifications: </w:t>
      </w:r>
      <w:r>
        <w:rPr>
          <w:rFonts w:ascii="Arial" w:cs="Arial" w:eastAsia="Arial" w:hAnsi="Arial"/>
          <w:sz w:val="18"/>
          <w:szCs w:val="18"/>
          <w:color w:val="auto"/>
        </w:rPr>
        <w:t>Mr. Deitrich brings to the Board more than 20 years of executive experience in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businesses, having held roles in research and development, product management, manufacturing, business development, and general management. As Itron’s prior Chief Operating Officer, Mr. Deitrich has extensive knowledge of Itron’s global operations, including finance, product development, manufacturing, procurement, product management, go-to-market and sales, and strategy. Additionally, Mr. Deitrich has been involved with a number of mergers and acquisitions at Itron. During his tenure at Itron, he has had extensive exposure to global systems and utilities throughout the world. As the only employee director, Mr. Deitrich provides the Board with valuable insight into management’s views and perspectives, as well as the day-to-day operations of Itron.</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shd w:val="clear" w:color="auto" w:fill="000000"/>
          </w:tcPr>
          <w:p>
            <w:pPr>
              <w:spacing w:after="0"/>
              <w:rPr>
                <w:sz w:val="18"/>
                <w:szCs w:val="18"/>
                <w:color w:val="auto"/>
              </w:rPr>
            </w:pPr>
          </w:p>
        </w:tc>
        <w:tc>
          <w:tcPr>
            <w:tcW w:w="2620" w:type="dxa"/>
            <w:vAlign w:val="bottom"/>
            <w:shd w:val="clear" w:color="auto" w:fill="000000"/>
          </w:tcPr>
          <w:p>
            <w:pPr>
              <w:spacing w:after="0"/>
              <w:rPr>
                <w:sz w:val="18"/>
                <w:szCs w:val="18"/>
                <w:color w:val="auto"/>
              </w:rPr>
            </w:pPr>
          </w:p>
        </w:tc>
        <w:tc>
          <w:tcPr>
            <w:tcW w:w="5020" w:type="dxa"/>
            <w:vAlign w:val="bottom"/>
            <w:shd w:val="clear" w:color="auto" w:fill="000000"/>
          </w:tcPr>
          <w:p>
            <w:pPr>
              <w:spacing w:after="0"/>
              <w:rPr>
                <w:sz w:val="18"/>
                <w:szCs w:val="18"/>
                <w:color w:val="auto"/>
              </w:rPr>
            </w:pPr>
          </w:p>
        </w:tc>
      </w:tr>
      <w:tr>
        <w:trPr>
          <w:trHeight w:val="220"/>
        </w:trPr>
        <w:tc>
          <w:tcPr>
            <w:tcW w:w="1920" w:type="dxa"/>
            <w:vAlign w:val="bottom"/>
          </w:tcPr>
          <w:p>
            <w:pPr>
              <w:ind w:left="80"/>
              <w:spacing w:after="0"/>
              <w:rPr>
                <w:sz w:val="20"/>
                <w:szCs w:val="20"/>
                <w:color w:val="auto"/>
              </w:rPr>
            </w:pPr>
            <w:r>
              <w:rPr>
                <w:rFonts w:ascii="Arial" w:cs="Arial" w:eastAsia="Arial" w:hAnsi="Arial"/>
                <w:sz w:val="18"/>
                <w:szCs w:val="18"/>
                <w:b w:val="1"/>
                <w:bCs w:val="1"/>
                <w:color w:val="auto"/>
              </w:rPr>
              <w:t>Daniel S. Pelino</w:t>
            </w:r>
          </w:p>
        </w:tc>
        <w:tc>
          <w:tcPr>
            <w:tcW w:w="2620" w:type="dxa"/>
            <w:vAlign w:val="bottom"/>
          </w:tcPr>
          <w:p>
            <w:pPr>
              <w:ind w:left="50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2014</w:t>
            </w:r>
          </w:p>
        </w:tc>
        <w:tc>
          <w:tcPr>
            <w:tcW w:w="5020" w:type="dxa"/>
            <w:vAlign w:val="bottom"/>
          </w:tcPr>
          <w:p>
            <w:pPr>
              <w:ind w:left="400"/>
              <w:spacing w:after="0"/>
              <w:rPr>
                <w:sz w:val="20"/>
                <w:szCs w:val="20"/>
                <w:color w:val="auto"/>
              </w:rPr>
            </w:pPr>
            <w:r>
              <w:rPr>
                <w:rFonts w:ascii="Arial" w:cs="Arial" w:eastAsia="Arial" w:hAnsi="Arial"/>
                <w:sz w:val="18"/>
                <w:szCs w:val="18"/>
                <w:b w:val="1"/>
                <w:bCs w:val="1"/>
                <w:color w:val="auto"/>
              </w:rPr>
              <w:t xml:space="preserve">Other Current Public Directorships: </w:t>
            </w:r>
            <w:r>
              <w:rPr>
                <w:rFonts w:ascii="Arial" w:cs="Arial" w:eastAsia="Arial" w:hAnsi="Arial"/>
                <w:sz w:val="18"/>
                <w:szCs w:val="18"/>
                <w:color w:val="auto"/>
              </w:rPr>
              <w:t>None</w:t>
            </w:r>
          </w:p>
        </w:tc>
      </w:tr>
      <w:tr>
        <w:trPr>
          <w:trHeight w:val="239"/>
        </w:trPr>
        <w:tc>
          <w:tcPr>
            <w:tcW w:w="1920" w:type="dxa"/>
            <w:vAlign w:val="bottom"/>
          </w:tcPr>
          <w:p>
            <w:pPr>
              <w:ind w:left="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62</w:t>
            </w:r>
          </w:p>
        </w:tc>
        <w:tc>
          <w:tcPr>
            <w:tcW w:w="2620" w:type="dxa"/>
            <w:vAlign w:val="bottom"/>
          </w:tcPr>
          <w:p>
            <w:pPr>
              <w:ind w:left="500"/>
              <w:spacing w:after="0"/>
              <w:rPr>
                <w:sz w:val="20"/>
                <w:szCs w:val="20"/>
                <w:color w:val="auto"/>
              </w:rPr>
            </w:pPr>
            <w:r>
              <w:rPr>
                <w:rFonts w:ascii="Arial" w:cs="Arial" w:eastAsia="Arial" w:hAnsi="Arial"/>
                <w:sz w:val="18"/>
                <w:szCs w:val="18"/>
                <w:b w:val="1"/>
                <w:bCs w:val="1"/>
                <w:color w:val="auto"/>
              </w:rPr>
              <w:t>Independent</w:t>
            </w:r>
          </w:p>
        </w:tc>
        <w:tc>
          <w:tcPr>
            <w:tcW w:w="5020" w:type="dxa"/>
            <w:vAlign w:val="bottom"/>
          </w:tcPr>
          <w:p>
            <w:pPr>
              <w:spacing w:after="0"/>
              <w:rPr>
                <w:sz w:val="20"/>
                <w:szCs w:val="20"/>
                <w:color w:val="auto"/>
              </w:rPr>
            </w:pPr>
          </w:p>
        </w:tc>
      </w:tr>
    </w:tbl>
    <w:p>
      <w:pPr>
        <w:spacing w:after="0" w:line="242" w:lineRule="exact"/>
        <w:rPr>
          <w:sz w:val="20"/>
          <w:szCs w:val="20"/>
          <w:color w:val="auto"/>
        </w:rPr>
      </w:pPr>
    </w:p>
    <w:p>
      <w:pPr>
        <w:ind w:left="80" w:right="200"/>
        <w:spacing w:after="0" w:line="237" w:lineRule="auto"/>
        <w:rPr>
          <w:sz w:val="20"/>
          <w:szCs w:val="20"/>
          <w:color w:val="auto"/>
        </w:rPr>
      </w:pPr>
      <w:r>
        <w:rPr>
          <w:rFonts w:ascii="Arial" w:cs="Arial" w:eastAsia="Arial" w:hAnsi="Arial"/>
          <w:sz w:val="18"/>
          <w:szCs w:val="18"/>
          <w:color w:val="auto"/>
        </w:rPr>
        <w:t>Dan Pelino retired from International Business Machines Corp., the multinational technology company (NYSE: “IBM”) in November 2016, where he had been employed since 1980, most recently as General Manager of IBM’s public sector business, a position he had held since 2012. The public sector business focused on government, education, healthcare and life sciences industries, including IBM’s Smarter Cities initiative. While at IBM, Mr. Pelino held several other positions of escalating responsibility focused on helping organizations, states, and countries transform and digitize their technology systems. Mr. Pelino currently serves on the executive committee for the Patient Centered Primary Care Collaborative and on the board of directors of the Healthcare Executive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6069330" cy="8229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69330" cy="822960"/>
                    </a:xfrm>
                    <a:prstGeom prst="rect">
                      <a:avLst/>
                    </a:prstGeom>
                    <a:noFill/>
                  </pic:spPr>
                </pic:pic>
              </a:graphicData>
            </a:graphic>
          </wp:anchor>
        </w:drawing>
      </w:r>
    </w:p>
    <w:p>
      <w:pPr>
        <w:spacing w:after="0" w:line="201" w:lineRule="exact"/>
        <w:rPr>
          <w:sz w:val="20"/>
          <w:szCs w:val="20"/>
          <w:color w:val="auto"/>
        </w:rPr>
      </w:pPr>
    </w:p>
    <w:p>
      <w:pPr>
        <w:ind w:left="80" w:right="100"/>
        <w:spacing w:after="0" w:line="244" w:lineRule="auto"/>
        <w:rPr>
          <w:sz w:val="20"/>
          <w:szCs w:val="20"/>
          <w:color w:val="auto"/>
        </w:rPr>
      </w:pPr>
      <w:r>
        <w:rPr>
          <w:rFonts w:ascii="Arial" w:cs="Arial" w:eastAsia="Arial" w:hAnsi="Arial"/>
          <w:sz w:val="18"/>
          <w:szCs w:val="18"/>
          <w:b w:val="1"/>
          <w:bCs w:val="1"/>
          <w:color w:val="auto"/>
        </w:rPr>
        <w:t xml:space="preserve">Qualifications: </w:t>
      </w:r>
      <w:r>
        <w:rPr>
          <w:rFonts w:ascii="Arial" w:cs="Arial" w:eastAsia="Arial" w:hAnsi="Arial"/>
          <w:sz w:val="18"/>
          <w:szCs w:val="18"/>
          <w:color w:val="auto"/>
        </w:rPr>
        <w:t>Mr. Pelino provides the Board with a strong background in technology, brand marketing, and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innovation and development. With his worldwide experience in governmental business and strategies, he brings a current global business perspective to the Board. In addition, Mr. Pelino’s knowledge of digitized services created for economic development adds invaluable insight to the Company’s smart metering systems and strategies for its utility customers.</w:t>
      </w:r>
    </w:p>
    <w:p>
      <w:pPr>
        <w:spacing w:after="0" w:line="252"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2060" w:type="dxa"/>
            <w:vAlign w:val="bottom"/>
            <w:gridSpan w:val="2"/>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24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128"/>
        </w:trPr>
        <w:tc>
          <w:tcPr>
            <w:tcW w:w="1540" w:type="dxa"/>
            <w:vAlign w:val="bottom"/>
            <w:tcBorders>
              <w:top w:val="single" w:sz="8" w:color="0000EE"/>
            </w:tcBorders>
          </w:tcPr>
          <w:p>
            <w:pPr>
              <w:spacing w:after="0"/>
              <w:rPr>
                <w:sz w:val="11"/>
                <w:szCs w:val="11"/>
                <w:color w:val="auto"/>
              </w:rPr>
            </w:pPr>
          </w:p>
        </w:tc>
        <w:tc>
          <w:tcPr>
            <w:tcW w:w="5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5020" w:type="dxa"/>
            <w:vAlign w:val="bottom"/>
          </w:tcPr>
          <w:p>
            <w:pPr>
              <w:spacing w:after="0"/>
              <w:rPr>
                <w:sz w:val="11"/>
                <w:szCs w:val="11"/>
                <w:color w:val="auto"/>
              </w:rPr>
            </w:pPr>
          </w:p>
        </w:tc>
      </w:tr>
      <w:tr>
        <w:trPr>
          <w:trHeight w:val="216"/>
        </w:trPr>
        <w:tc>
          <w:tcPr>
            <w:tcW w:w="1540" w:type="dxa"/>
            <w:vAlign w:val="bottom"/>
            <w:shd w:val="clear" w:color="auto" w:fill="000000"/>
          </w:tcPr>
          <w:p>
            <w:pPr>
              <w:spacing w:after="0"/>
              <w:rPr>
                <w:sz w:val="18"/>
                <w:szCs w:val="18"/>
                <w:color w:val="auto"/>
              </w:rPr>
            </w:pPr>
          </w:p>
        </w:tc>
        <w:tc>
          <w:tcPr>
            <w:tcW w:w="520" w:type="dxa"/>
            <w:vAlign w:val="bottom"/>
            <w:shd w:val="clear" w:color="auto" w:fill="000000"/>
          </w:tcPr>
          <w:p>
            <w:pPr>
              <w:spacing w:after="0"/>
              <w:rPr>
                <w:sz w:val="18"/>
                <w:szCs w:val="18"/>
                <w:color w:val="auto"/>
              </w:rPr>
            </w:pPr>
          </w:p>
        </w:tc>
        <w:tc>
          <w:tcPr>
            <w:tcW w:w="2480" w:type="dxa"/>
            <w:vAlign w:val="bottom"/>
            <w:shd w:val="clear" w:color="auto" w:fill="000000"/>
          </w:tcPr>
          <w:p>
            <w:pPr>
              <w:spacing w:after="0"/>
              <w:rPr>
                <w:sz w:val="18"/>
                <w:szCs w:val="18"/>
                <w:color w:val="auto"/>
              </w:rPr>
            </w:pPr>
          </w:p>
        </w:tc>
        <w:tc>
          <w:tcPr>
            <w:tcW w:w="5020" w:type="dxa"/>
            <w:vAlign w:val="bottom"/>
            <w:shd w:val="clear" w:color="auto" w:fill="000000"/>
          </w:tcPr>
          <w:p>
            <w:pPr>
              <w:spacing w:after="0"/>
              <w:rPr>
                <w:sz w:val="18"/>
                <w:szCs w:val="18"/>
                <w:color w:val="auto"/>
              </w:rPr>
            </w:pPr>
          </w:p>
        </w:tc>
      </w:tr>
      <w:tr>
        <w:trPr>
          <w:trHeight w:val="220"/>
        </w:trPr>
        <w:tc>
          <w:tcPr>
            <w:tcW w:w="2060" w:type="dxa"/>
            <w:vAlign w:val="bottom"/>
            <w:gridSpan w:val="2"/>
          </w:tcPr>
          <w:p>
            <w:pPr>
              <w:ind w:left="80"/>
              <w:spacing w:after="0"/>
              <w:rPr>
                <w:sz w:val="20"/>
                <w:szCs w:val="20"/>
                <w:color w:val="auto"/>
              </w:rPr>
            </w:pPr>
            <w:r>
              <w:rPr>
                <w:rFonts w:ascii="Arial" w:cs="Arial" w:eastAsia="Arial" w:hAnsi="Arial"/>
                <w:sz w:val="18"/>
                <w:szCs w:val="18"/>
                <w:b w:val="1"/>
                <w:bCs w:val="1"/>
                <w:color w:val="auto"/>
              </w:rPr>
              <w:t>Timothy M. Leyden</w:t>
            </w:r>
          </w:p>
        </w:tc>
        <w:tc>
          <w:tcPr>
            <w:tcW w:w="2480" w:type="dxa"/>
            <w:vAlign w:val="bottom"/>
          </w:tcPr>
          <w:p>
            <w:pPr>
              <w:ind w:left="36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2015</w:t>
            </w:r>
          </w:p>
        </w:tc>
        <w:tc>
          <w:tcPr>
            <w:tcW w:w="5020" w:type="dxa"/>
            <w:vAlign w:val="bottom"/>
          </w:tcPr>
          <w:p>
            <w:pPr>
              <w:ind w:left="400"/>
              <w:spacing w:after="0"/>
              <w:rPr>
                <w:sz w:val="20"/>
                <w:szCs w:val="20"/>
                <w:color w:val="auto"/>
              </w:rPr>
            </w:pPr>
            <w:r>
              <w:rPr>
                <w:rFonts w:ascii="Arial" w:cs="Arial" w:eastAsia="Arial" w:hAnsi="Arial"/>
                <w:sz w:val="18"/>
                <w:szCs w:val="18"/>
                <w:b w:val="1"/>
                <w:bCs w:val="1"/>
                <w:color w:val="auto"/>
              </w:rPr>
              <w:t xml:space="preserve">Other Current Public Directorships: </w:t>
            </w:r>
            <w:r>
              <w:rPr>
                <w:rFonts w:ascii="Arial" w:cs="Arial" w:eastAsia="Arial" w:hAnsi="Arial"/>
                <w:sz w:val="18"/>
                <w:szCs w:val="18"/>
                <w:color w:val="auto"/>
              </w:rPr>
              <w:t>None</w:t>
            </w:r>
          </w:p>
        </w:tc>
      </w:tr>
      <w:tr>
        <w:trPr>
          <w:trHeight w:val="239"/>
        </w:trPr>
        <w:tc>
          <w:tcPr>
            <w:tcW w:w="2060" w:type="dxa"/>
            <w:vAlign w:val="bottom"/>
            <w:gridSpan w:val="2"/>
          </w:tcPr>
          <w:p>
            <w:pPr>
              <w:ind w:left="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68</w:t>
            </w:r>
          </w:p>
        </w:tc>
        <w:tc>
          <w:tcPr>
            <w:tcW w:w="2480" w:type="dxa"/>
            <w:vAlign w:val="bottom"/>
          </w:tcPr>
          <w:p>
            <w:pPr>
              <w:ind w:left="360"/>
              <w:spacing w:after="0"/>
              <w:rPr>
                <w:sz w:val="20"/>
                <w:szCs w:val="20"/>
                <w:color w:val="auto"/>
              </w:rPr>
            </w:pPr>
            <w:r>
              <w:rPr>
                <w:rFonts w:ascii="Arial" w:cs="Arial" w:eastAsia="Arial" w:hAnsi="Arial"/>
                <w:sz w:val="18"/>
                <w:szCs w:val="18"/>
                <w:b w:val="1"/>
                <w:bCs w:val="1"/>
                <w:color w:val="auto"/>
              </w:rPr>
              <w:t>Independent</w:t>
            </w:r>
          </w:p>
        </w:tc>
        <w:tc>
          <w:tcPr>
            <w:tcW w:w="5020" w:type="dxa"/>
            <w:vAlign w:val="bottom"/>
          </w:tcPr>
          <w:p>
            <w:pPr>
              <w:spacing w:after="0"/>
              <w:rPr>
                <w:sz w:val="20"/>
                <w:szCs w:val="20"/>
                <w:color w:val="auto"/>
              </w:rPr>
            </w:pPr>
          </w:p>
        </w:tc>
      </w:tr>
    </w:tbl>
    <w:p>
      <w:pPr>
        <w:spacing w:after="0" w:line="242" w:lineRule="exact"/>
        <w:rPr>
          <w:sz w:val="20"/>
          <w:szCs w:val="20"/>
          <w:color w:val="auto"/>
        </w:rPr>
      </w:pPr>
    </w:p>
    <w:p>
      <w:pPr>
        <w:ind w:left="80" w:right="100"/>
        <w:spacing w:after="0" w:line="237" w:lineRule="auto"/>
        <w:rPr>
          <w:sz w:val="20"/>
          <w:szCs w:val="20"/>
          <w:color w:val="auto"/>
        </w:rPr>
      </w:pPr>
      <w:r>
        <w:rPr>
          <w:rFonts w:ascii="Arial" w:cs="Arial" w:eastAsia="Arial" w:hAnsi="Arial"/>
          <w:sz w:val="17"/>
          <w:szCs w:val="17"/>
          <w:color w:val="auto"/>
        </w:rPr>
        <w:t>Tim Leyden retired in 2015 after eight years with Western Digital Corporation (NASDAQ: “WDC”), a company that manufactures hard-disk drives used to record, store, and recall volumes of data. He served as WDC’s Chief Financial Officer from 2013 until January 2015, President of Western Digital, one of WDC’s two operating subsidiaries, from 2012 to 2013, its Chief Operating Officer from 2010 to 2012, and its Executive Vice President of Finance and Chief Financial Officer from 2007 to 2010. Prior to joining WDC, Mr. Leyden was Vice President and then Senior Vice President of Finance and Chief Financial Officer for Sage Software PLC, a customized software solutions business, from 2001 to 2007. Mr. Leyden serves on the board of directors for Oakgate Technology, Inc., a private company that provides test, validation and benchmarking products and services to the storage industry. He also serves on the board of Oracle Elevator Company, a private company providing maintenance, repair, and modifications to commercial elevators, and on the board of advisors of BlytheCo, a private company that brokers a variety of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party software solutions to all sizes of businesses. These solutions include ERP, CRM and HCM software installations. Mr. Leyden also serves on the Dean’s Advisory Board at the University of California Irvine’s Paul Merage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6069330" cy="8229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69330" cy="822960"/>
                    </a:xfrm>
                    <a:prstGeom prst="rect">
                      <a:avLst/>
                    </a:prstGeom>
                    <a:noFill/>
                  </pic:spPr>
                </pic:pic>
              </a:graphicData>
            </a:graphic>
          </wp:anchor>
        </w:drawing>
      </w:r>
    </w:p>
    <w:p>
      <w:pPr>
        <w:spacing w:after="0" w:line="203" w:lineRule="exact"/>
        <w:rPr>
          <w:sz w:val="20"/>
          <w:szCs w:val="20"/>
          <w:color w:val="auto"/>
        </w:rPr>
      </w:pPr>
    </w:p>
    <w:p>
      <w:pPr>
        <w:ind w:left="80" w:right="120"/>
        <w:spacing w:after="0" w:line="244" w:lineRule="auto"/>
        <w:rPr>
          <w:sz w:val="20"/>
          <w:szCs w:val="20"/>
          <w:color w:val="auto"/>
        </w:rPr>
      </w:pPr>
      <w:r>
        <w:rPr>
          <w:rFonts w:ascii="Arial" w:cs="Arial" w:eastAsia="Arial" w:hAnsi="Arial"/>
          <w:sz w:val="18"/>
          <w:szCs w:val="18"/>
          <w:b w:val="1"/>
          <w:bCs w:val="1"/>
          <w:color w:val="auto"/>
        </w:rPr>
        <w:t xml:space="preserve">Qualifications: </w:t>
      </w:r>
      <w:r>
        <w:rPr>
          <w:rFonts w:ascii="Arial" w:cs="Arial" w:eastAsia="Arial" w:hAnsi="Arial"/>
          <w:sz w:val="18"/>
          <w:szCs w:val="18"/>
          <w:color w:val="auto"/>
        </w:rPr>
        <w:t>Mr. Leyden brings to the Board a mix of financial and operational experience (in both hardware and</w:t>
      </w:r>
      <w:r>
        <w:rPr>
          <w:rFonts w:ascii="Arial" w:cs="Arial" w:eastAsia="Arial" w:hAnsi="Arial"/>
          <w:sz w:val="18"/>
          <w:szCs w:val="18"/>
          <w:b w:val="1"/>
          <w:bCs w:val="1"/>
          <w:color w:val="auto"/>
        </w:rPr>
        <w:t xml:space="preserve"> </w:t>
      </w:r>
      <w:r>
        <w:rPr>
          <w:rFonts w:ascii="Arial" w:cs="Arial" w:eastAsia="Arial" w:hAnsi="Arial"/>
          <w:sz w:val="18"/>
          <w:szCs w:val="18"/>
          <w:color w:val="auto"/>
        </w:rPr>
        <w:t>software industries), in addition to a background that includes mergers and acquisitions and integration experience related to the assimilation of acquired companies into both WDC and Sage Software. His prior experience with overseeing global manufacturing, engineering, marketing, and sales operations, when combined with his financial and accounting background, adds a depth of international insight to the Board.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3 Director Nominees – Directors With Terms That Will Expire in 2022</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shd w:val="clear" w:color="auto" w:fill="000000"/>
          </w:tcPr>
          <w:p>
            <w:pPr>
              <w:spacing w:after="0"/>
              <w:rPr>
                <w:sz w:val="18"/>
                <w:szCs w:val="18"/>
                <w:color w:val="auto"/>
              </w:rPr>
            </w:pPr>
          </w:p>
        </w:tc>
        <w:tc>
          <w:tcPr>
            <w:tcW w:w="2600" w:type="dxa"/>
            <w:vAlign w:val="bottom"/>
            <w:shd w:val="clear" w:color="auto" w:fill="000000"/>
          </w:tcPr>
          <w:p>
            <w:pPr>
              <w:spacing w:after="0"/>
              <w:rPr>
                <w:sz w:val="18"/>
                <w:szCs w:val="18"/>
                <w:color w:val="auto"/>
              </w:rPr>
            </w:pPr>
          </w:p>
        </w:tc>
        <w:tc>
          <w:tcPr>
            <w:tcW w:w="5020" w:type="dxa"/>
            <w:vAlign w:val="bottom"/>
            <w:shd w:val="clear" w:color="auto" w:fill="000000"/>
          </w:tcPr>
          <w:p>
            <w:pPr>
              <w:spacing w:after="0"/>
              <w:rPr>
                <w:sz w:val="18"/>
                <w:szCs w:val="18"/>
                <w:color w:val="auto"/>
              </w:rPr>
            </w:pPr>
          </w:p>
        </w:tc>
      </w:tr>
      <w:tr>
        <w:trPr>
          <w:trHeight w:val="220"/>
        </w:trPr>
        <w:tc>
          <w:tcPr>
            <w:tcW w:w="1940" w:type="dxa"/>
            <w:vAlign w:val="bottom"/>
          </w:tcPr>
          <w:p>
            <w:pPr>
              <w:ind w:left="80"/>
              <w:spacing w:after="0"/>
              <w:rPr>
                <w:sz w:val="20"/>
                <w:szCs w:val="20"/>
                <w:color w:val="auto"/>
              </w:rPr>
            </w:pPr>
            <w:r>
              <w:rPr>
                <w:rFonts w:ascii="Arial" w:cs="Arial" w:eastAsia="Arial" w:hAnsi="Arial"/>
                <w:sz w:val="18"/>
                <w:szCs w:val="18"/>
                <w:b w:val="1"/>
                <w:bCs w:val="1"/>
                <w:color w:val="auto"/>
              </w:rPr>
              <w:t>Lynda L. Ziegler</w:t>
            </w:r>
          </w:p>
        </w:tc>
        <w:tc>
          <w:tcPr>
            <w:tcW w:w="2600" w:type="dxa"/>
            <w:vAlign w:val="bottom"/>
          </w:tcPr>
          <w:p>
            <w:pPr>
              <w:ind w:left="4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2013</w:t>
            </w:r>
          </w:p>
        </w:tc>
        <w:tc>
          <w:tcPr>
            <w:tcW w:w="5020" w:type="dxa"/>
            <w:vAlign w:val="bottom"/>
          </w:tcPr>
          <w:p>
            <w:pPr>
              <w:ind w:left="400"/>
              <w:spacing w:after="0"/>
              <w:rPr>
                <w:sz w:val="20"/>
                <w:szCs w:val="20"/>
                <w:color w:val="auto"/>
              </w:rPr>
            </w:pPr>
            <w:r>
              <w:rPr>
                <w:rFonts w:ascii="Arial" w:cs="Arial" w:eastAsia="Arial" w:hAnsi="Arial"/>
                <w:sz w:val="18"/>
                <w:szCs w:val="18"/>
                <w:b w:val="1"/>
                <w:bCs w:val="1"/>
                <w:color w:val="auto"/>
              </w:rPr>
              <w:t xml:space="preserve">Other Current Public Directorships: </w:t>
            </w:r>
            <w:r>
              <w:rPr>
                <w:rFonts w:ascii="Arial" w:cs="Arial" w:eastAsia="Arial" w:hAnsi="Arial"/>
                <w:sz w:val="18"/>
                <w:szCs w:val="18"/>
                <w:color w:val="auto"/>
              </w:rPr>
              <w:t>None</w:t>
            </w:r>
          </w:p>
        </w:tc>
      </w:tr>
      <w:tr>
        <w:trPr>
          <w:trHeight w:val="239"/>
        </w:trPr>
        <w:tc>
          <w:tcPr>
            <w:tcW w:w="1940" w:type="dxa"/>
            <w:vAlign w:val="bottom"/>
          </w:tcPr>
          <w:p>
            <w:pPr>
              <w:ind w:left="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67</w:t>
            </w:r>
          </w:p>
        </w:tc>
        <w:tc>
          <w:tcPr>
            <w:tcW w:w="2600" w:type="dxa"/>
            <w:vAlign w:val="bottom"/>
          </w:tcPr>
          <w:p>
            <w:pPr>
              <w:ind w:left="480"/>
              <w:spacing w:after="0"/>
              <w:rPr>
                <w:sz w:val="20"/>
                <w:szCs w:val="20"/>
                <w:color w:val="auto"/>
              </w:rPr>
            </w:pPr>
            <w:r>
              <w:rPr>
                <w:rFonts w:ascii="Arial" w:cs="Arial" w:eastAsia="Arial" w:hAnsi="Arial"/>
                <w:sz w:val="18"/>
                <w:szCs w:val="18"/>
                <w:b w:val="1"/>
                <w:bCs w:val="1"/>
                <w:color w:val="auto"/>
              </w:rPr>
              <w:t>Independent</w:t>
            </w:r>
          </w:p>
        </w:tc>
        <w:tc>
          <w:tcPr>
            <w:tcW w:w="5020" w:type="dxa"/>
            <w:vAlign w:val="bottom"/>
          </w:tcPr>
          <w:p>
            <w:pPr>
              <w:spacing w:after="0"/>
              <w:rPr>
                <w:sz w:val="20"/>
                <w:szCs w:val="20"/>
                <w:color w:val="auto"/>
              </w:rPr>
            </w:pPr>
          </w:p>
        </w:tc>
      </w:tr>
    </w:tbl>
    <w:p>
      <w:pPr>
        <w:spacing w:after="0" w:line="242" w:lineRule="exact"/>
        <w:rPr>
          <w:sz w:val="20"/>
          <w:szCs w:val="20"/>
          <w:color w:val="auto"/>
        </w:rPr>
      </w:pPr>
    </w:p>
    <w:p>
      <w:pPr>
        <w:ind w:left="80" w:right="140"/>
        <w:spacing w:after="0" w:line="236" w:lineRule="auto"/>
        <w:rPr>
          <w:sz w:val="20"/>
          <w:szCs w:val="20"/>
          <w:color w:val="auto"/>
        </w:rPr>
      </w:pPr>
      <w:r>
        <w:rPr>
          <w:rFonts w:ascii="Arial" w:cs="Arial" w:eastAsia="Arial" w:hAnsi="Arial"/>
          <w:sz w:val="18"/>
          <w:szCs w:val="18"/>
          <w:color w:val="auto"/>
        </w:rPr>
        <w:t>Lynda Ziegler was elected Vice Chair of the Board in April 2015, and then Chair of the Board in September 2016. She was elected to a second term as Chair of the Board at the 2019 annual meeting. In September 2012, Ms. Ziegler retired from Southern California Edison (SCE), one of the largest electric utilities in the U.S. (and a customer of Itron), whose parent is Edison International. During her tenure at SCE, she held various management positions related to customer program offerings, customer service, development, communication and implementation of energy efficiency programs, marketing and communication of smart meters, and generally led all aspects of delivering power to almost 5 million customers. From 2006 to 2011, Ms. Ziegler was Senior Vice President of Customer Service, and from January 1, 2011 until her retirement in September of 2012, she served as Executive Vice President of Power Delivery Services, where she was responsible for transmission and distribution construction and maintenance, customer service, information technology (IT), and support services including procurement and real estate management. In the past, she has served on the advisory committee for power delivery and utilization at the Electric Power Research Institute and was a founding member of the Board of the Association for Women in Water and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6069330" cy="6940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69330" cy="694055"/>
                    </a:xfrm>
                    <a:prstGeom prst="rect">
                      <a:avLst/>
                    </a:prstGeom>
                    <a:noFill/>
                  </pic:spPr>
                </pic:pic>
              </a:graphicData>
            </a:graphic>
          </wp:anchor>
        </w:drawing>
      </w:r>
    </w:p>
    <w:p>
      <w:pPr>
        <w:spacing w:after="0" w:line="202" w:lineRule="exact"/>
        <w:rPr>
          <w:sz w:val="20"/>
          <w:szCs w:val="20"/>
          <w:color w:val="auto"/>
        </w:rPr>
      </w:pPr>
    </w:p>
    <w:p>
      <w:pPr>
        <w:ind w:left="80" w:right="280"/>
        <w:spacing w:after="0" w:line="247" w:lineRule="auto"/>
        <w:rPr>
          <w:sz w:val="20"/>
          <w:szCs w:val="20"/>
          <w:color w:val="auto"/>
        </w:rPr>
      </w:pPr>
      <w:r>
        <w:rPr>
          <w:rFonts w:ascii="Arial" w:cs="Arial" w:eastAsia="Arial" w:hAnsi="Arial"/>
          <w:sz w:val="18"/>
          <w:szCs w:val="18"/>
          <w:b w:val="1"/>
          <w:bCs w:val="1"/>
          <w:color w:val="auto"/>
        </w:rPr>
        <w:t xml:space="preserve">Qualifications: </w:t>
      </w:r>
      <w:r>
        <w:rPr>
          <w:rFonts w:ascii="Arial" w:cs="Arial" w:eastAsia="Arial" w:hAnsi="Arial"/>
          <w:sz w:val="18"/>
          <w:szCs w:val="18"/>
          <w:color w:val="auto"/>
        </w:rPr>
        <w:t>Ms. Ziegler brings to the Board her extensive background with public utilities, especially with her</w:t>
      </w:r>
      <w:r>
        <w:rPr>
          <w:rFonts w:ascii="Arial" w:cs="Arial" w:eastAsia="Arial" w:hAnsi="Arial"/>
          <w:sz w:val="18"/>
          <w:szCs w:val="18"/>
          <w:b w:val="1"/>
          <w:bCs w:val="1"/>
          <w:color w:val="auto"/>
        </w:rPr>
        <w:t xml:space="preserve"> </w:t>
      </w:r>
      <w:r>
        <w:rPr>
          <w:rFonts w:ascii="Arial" w:cs="Arial" w:eastAsia="Arial" w:hAnsi="Arial"/>
          <w:sz w:val="18"/>
          <w:szCs w:val="18"/>
          <w:color w:val="auto"/>
        </w:rPr>
        <w:t>recent responsibilities in the industry related to smart meters and customer relations from the utility perspective. Her breadth of knowledge of software services, transmission and distribution construction and maintenance, IT, and business development adds to the diverse business backgrounds of our other members of the Board.</w:t>
      </w:r>
    </w:p>
    <w:p>
      <w:pPr>
        <w:spacing w:after="0" w:line="250"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6" w:right="11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2100" w:type="dxa"/>
            <w:vAlign w:val="bottom"/>
            <w:gridSpan w:val="2"/>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244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128"/>
        </w:trPr>
        <w:tc>
          <w:tcPr>
            <w:tcW w:w="1540" w:type="dxa"/>
            <w:vAlign w:val="bottom"/>
            <w:tcBorders>
              <w:top w:val="single" w:sz="8" w:color="0000EE"/>
            </w:tcBorders>
          </w:tcPr>
          <w:p>
            <w:pPr>
              <w:spacing w:after="0"/>
              <w:rPr>
                <w:sz w:val="11"/>
                <w:szCs w:val="11"/>
                <w:color w:val="auto"/>
              </w:rPr>
            </w:pPr>
          </w:p>
        </w:tc>
        <w:tc>
          <w:tcPr>
            <w:tcW w:w="5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5020" w:type="dxa"/>
            <w:vAlign w:val="bottom"/>
          </w:tcPr>
          <w:p>
            <w:pPr>
              <w:spacing w:after="0"/>
              <w:rPr>
                <w:sz w:val="11"/>
                <w:szCs w:val="11"/>
                <w:color w:val="auto"/>
              </w:rPr>
            </w:pPr>
          </w:p>
        </w:tc>
      </w:tr>
      <w:tr>
        <w:trPr>
          <w:trHeight w:val="216"/>
        </w:trPr>
        <w:tc>
          <w:tcPr>
            <w:tcW w:w="1540" w:type="dxa"/>
            <w:vAlign w:val="bottom"/>
            <w:shd w:val="clear" w:color="auto" w:fill="000000"/>
          </w:tcPr>
          <w:p>
            <w:pPr>
              <w:spacing w:after="0"/>
              <w:rPr>
                <w:sz w:val="18"/>
                <w:szCs w:val="18"/>
                <w:color w:val="auto"/>
              </w:rPr>
            </w:pPr>
          </w:p>
        </w:tc>
        <w:tc>
          <w:tcPr>
            <w:tcW w:w="560" w:type="dxa"/>
            <w:vAlign w:val="bottom"/>
            <w:shd w:val="clear" w:color="auto" w:fill="000000"/>
          </w:tcPr>
          <w:p>
            <w:pPr>
              <w:spacing w:after="0"/>
              <w:rPr>
                <w:sz w:val="18"/>
                <w:szCs w:val="18"/>
                <w:color w:val="auto"/>
              </w:rPr>
            </w:pPr>
          </w:p>
        </w:tc>
        <w:tc>
          <w:tcPr>
            <w:tcW w:w="2440" w:type="dxa"/>
            <w:vAlign w:val="bottom"/>
            <w:shd w:val="clear" w:color="auto" w:fill="000000"/>
          </w:tcPr>
          <w:p>
            <w:pPr>
              <w:spacing w:after="0"/>
              <w:rPr>
                <w:sz w:val="18"/>
                <w:szCs w:val="18"/>
                <w:color w:val="auto"/>
              </w:rPr>
            </w:pPr>
          </w:p>
        </w:tc>
        <w:tc>
          <w:tcPr>
            <w:tcW w:w="5020" w:type="dxa"/>
            <w:vAlign w:val="bottom"/>
            <w:shd w:val="clear" w:color="auto" w:fill="000000"/>
          </w:tcPr>
          <w:p>
            <w:pPr>
              <w:spacing w:after="0"/>
              <w:rPr>
                <w:sz w:val="18"/>
                <w:szCs w:val="18"/>
                <w:color w:val="auto"/>
              </w:rPr>
            </w:pPr>
          </w:p>
        </w:tc>
      </w:tr>
      <w:tr>
        <w:trPr>
          <w:trHeight w:val="215"/>
        </w:trPr>
        <w:tc>
          <w:tcPr>
            <w:tcW w:w="2100" w:type="dxa"/>
            <w:vAlign w:val="bottom"/>
            <w:gridSpan w:val="2"/>
          </w:tcPr>
          <w:p>
            <w:pPr>
              <w:ind w:left="80"/>
              <w:spacing w:after="0"/>
              <w:rPr>
                <w:sz w:val="20"/>
                <w:szCs w:val="20"/>
                <w:color w:val="auto"/>
              </w:rPr>
            </w:pPr>
            <w:r>
              <w:rPr>
                <w:rFonts w:ascii="Arial" w:cs="Arial" w:eastAsia="Arial" w:hAnsi="Arial"/>
                <w:sz w:val="18"/>
                <w:szCs w:val="18"/>
                <w:b w:val="1"/>
                <w:bCs w:val="1"/>
                <w:color w:val="auto"/>
              </w:rPr>
              <w:t>Thomas S. Glanville</w:t>
            </w:r>
          </w:p>
        </w:tc>
        <w:tc>
          <w:tcPr>
            <w:tcW w:w="2440" w:type="dxa"/>
            <w:vAlign w:val="bottom"/>
          </w:tcPr>
          <w:p>
            <w:pPr>
              <w:ind w:left="3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2001</w:t>
            </w:r>
          </w:p>
        </w:tc>
        <w:tc>
          <w:tcPr>
            <w:tcW w:w="5020" w:type="dxa"/>
            <w:vAlign w:val="bottom"/>
          </w:tcPr>
          <w:p>
            <w:pPr>
              <w:ind w:left="400"/>
              <w:spacing w:after="0"/>
              <w:rPr>
                <w:sz w:val="20"/>
                <w:szCs w:val="20"/>
                <w:color w:val="auto"/>
              </w:rPr>
            </w:pPr>
            <w:r>
              <w:rPr>
                <w:rFonts w:ascii="Arial" w:cs="Arial" w:eastAsia="Arial" w:hAnsi="Arial"/>
                <w:sz w:val="18"/>
                <w:szCs w:val="18"/>
                <w:b w:val="1"/>
                <w:bCs w:val="1"/>
                <w:color w:val="auto"/>
              </w:rPr>
              <w:t xml:space="preserve">Other Current Public Directorships: </w:t>
            </w:r>
            <w:r>
              <w:rPr>
                <w:rFonts w:ascii="Arial" w:cs="Arial" w:eastAsia="Arial" w:hAnsi="Arial"/>
                <w:sz w:val="18"/>
                <w:szCs w:val="18"/>
                <w:color w:val="auto"/>
              </w:rPr>
              <w:t>Mitcham</w:t>
            </w:r>
          </w:p>
        </w:tc>
      </w:tr>
      <w:tr>
        <w:trPr>
          <w:trHeight w:val="244"/>
        </w:trPr>
        <w:tc>
          <w:tcPr>
            <w:tcW w:w="2100" w:type="dxa"/>
            <w:vAlign w:val="bottom"/>
            <w:gridSpan w:val="2"/>
          </w:tcPr>
          <w:p>
            <w:pPr>
              <w:ind w:left="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61</w:t>
            </w:r>
          </w:p>
        </w:tc>
        <w:tc>
          <w:tcPr>
            <w:tcW w:w="2440" w:type="dxa"/>
            <w:vAlign w:val="bottom"/>
          </w:tcPr>
          <w:p>
            <w:pPr>
              <w:ind w:left="320"/>
              <w:spacing w:after="0"/>
              <w:rPr>
                <w:sz w:val="20"/>
                <w:szCs w:val="20"/>
                <w:color w:val="auto"/>
              </w:rPr>
            </w:pPr>
            <w:r>
              <w:rPr>
                <w:rFonts w:ascii="Arial" w:cs="Arial" w:eastAsia="Arial" w:hAnsi="Arial"/>
                <w:sz w:val="18"/>
                <w:szCs w:val="18"/>
                <w:b w:val="1"/>
                <w:bCs w:val="1"/>
                <w:color w:val="auto"/>
              </w:rPr>
              <w:t>Independent</w:t>
            </w:r>
          </w:p>
        </w:tc>
        <w:tc>
          <w:tcPr>
            <w:tcW w:w="5020" w:type="dxa"/>
            <w:vAlign w:val="bottom"/>
          </w:tcPr>
          <w:p>
            <w:pPr>
              <w:ind w:left="400"/>
              <w:spacing w:after="0"/>
              <w:rPr>
                <w:sz w:val="20"/>
                <w:szCs w:val="20"/>
                <w:color w:val="auto"/>
              </w:rPr>
            </w:pPr>
            <w:r>
              <w:rPr>
                <w:rFonts w:ascii="Arial" w:cs="Arial" w:eastAsia="Arial" w:hAnsi="Arial"/>
                <w:sz w:val="18"/>
                <w:szCs w:val="18"/>
                <w:color w:val="auto"/>
              </w:rPr>
              <w:t>Industries, Inc.</w:t>
            </w:r>
          </w:p>
        </w:tc>
      </w:tr>
    </w:tbl>
    <w:p>
      <w:pPr>
        <w:spacing w:after="0" w:line="242" w:lineRule="exact"/>
        <w:rPr>
          <w:sz w:val="20"/>
          <w:szCs w:val="20"/>
          <w:color w:val="auto"/>
        </w:rPr>
      </w:pPr>
    </w:p>
    <w:p>
      <w:pPr>
        <w:ind w:left="80" w:right="80"/>
        <w:spacing w:after="0" w:line="236" w:lineRule="auto"/>
        <w:rPr>
          <w:sz w:val="20"/>
          <w:szCs w:val="20"/>
          <w:color w:val="auto"/>
        </w:rPr>
      </w:pPr>
      <w:r>
        <w:rPr>
          <w:rFonts w:ascii="Arial" w:cs="Arial" w:eastAsia="Arial" w:hAnsi="Arial"/>
          <w:sz w:val="18"/>
          <w:szCs w:val="18"/>
          <w:color w:val="auto"/>
        </w:rPr>
        <w:t>Thomas Glanville has been the Managing Partner of Eschelon Advisors, LP and affiliates, providing energy and private equity investment and advisory services since 2003. From 1999 to 2002, Mr. Glanville served as Vice President of Technology and New Ventures for Reliant Energy, Inc., one of the world’s largest international energy services companies, and its affiliate, Reliant Resources, Inc. In September 2015, he was appointed to the board of directors of Mitcham Industries, Inc. (NASDAQ: “MIND”), a publicly-traded technology company for the oceanographic, hydrographic, defense, seismic, and security industries, where he also serves as chair of the board’s audit committee. He currently serves on the board of directors for Strand Energy, L.C., a privately-held oil and gas exploration and production company, and Crescent Pass Energy, LLC, a private oil and gas production company. He served as Chairman of the Texas TriCities Chapter of the National Association of Corporate Directors (Houston, Austin, San Antonio) from 2011 through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6069330" cy="694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69330" cy="694690"/>
                    </a:xfrm>
                    <a:prstGeom prst="rect">
                      <a:avLst/>
                    </a:prstGeom>
                    <a:noFill/>
                  </pic:spPr>
                </pic:pic>
              </a:graphicData>
            </a:graphic>
          </wp:anchor>
        </w:drawing>
      </w:r>
    </w:p>
    <w:p>
      <w:pPr>
        <w:spacing w:after="0" w:line="204" w:lineRule="exact"/>
        <w:rPr>
          <w:sz w:val="20"/>
          <w:szCs w:val="20"/>
          <w:color w:val="auto"/>
        </w:rPr>
      </w:pPr>
    </w:p>
    <w:p>
      <w:pPr>
        <w:ind w:left="80" w:right="160"/>
        <w:spacing w:after="0" w:line="247" w:lineRule="auto"/>
        <w:rPr>
          <w:sz w:val="20"/>
          <w:szCs w:val="20"/>
          <w:color w:val="auto"/>
        </w:rPr>
      </w:pPr>
      <w:r>
        <w:rPr>
          <w:rFonts w:ascii="Arial" w:cs="Arial" w:eastAsia="Arial" w:hAnsi="Arial"/>
          <w:sz w:val="18"/>
          <w:szCs w:val="18"/>
          <w:b w:val="1"/>
          <w:bCs w:val="1"/>
          <w:color w:val="auto"/>
        </w:rPr>
        <w:t xml:space="preserve">Qualifications: </w:t>
      </w:r>
      <w:r>
        <w:rPr>
          <w:rFonts w:ascii="Arial" w:cs="Arial" w:eastAsia="Arial" w:hAnsi="Arial"/>
          <w:sz w:val="18"/>
          <w:szCs w:val="18"/>
          <w:color w:val="auto"/>
        </w:rPr>
        <w:t>Mr. Glanville brings to the Board financial expertise, industry-related experience through his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association with Reliant Energy, energy sector exposure through the Eschelon entities and Mitcham Industries, and technology skills that include his involvement with electric metering studies and research while he was Vice President of Technology and New Ventures for Reliant Energy.</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20" w:type="dxa"/>
            <w:vAlign w:val="bottom"/>
            <w:shd w:val="clear" w:color="auto" w:fill="000000"/>
          </w:tcPr>
          <w:p>
            <w:pPr>
              <w:spacing w:after="0"/>
              <w:rPr>
                <w:sz w:val="18"/>
                <w:szCs w:val="18"/>
                <w:color w:val="auto"/>
              </w:rPr>
            </w:pPr>
          </w:p>
        </w:tc>
        <w:tc>
          <w:tcPr>
            <w:tcW w:w="2520" w:type="dxa"/>
            <w:vAlign w:val="bottom"/>
            <w:shd w:val="clear" w:color="auto" w:fill="000000"/>
          </w:tcPr>
          <w:p>
            <w:pPr>
              <w:spacing w:after="0"/>
              <w:rPr>
                <w:sz w:val="18"/>
                <w:szCs w:val="18"/>
                <w:color w:val="auto"/>
              </w:rPr>
            </w:pPr>
          </w:p>
        </w:tc>
        <w:tc>
          <w:tcPr>
            <w:tcW w:w="5020" w:type="dxa"/>
            <w:vAlign w:val="bottom"/>
            <w:shd w:val="clear" w:color="auto" w:fill="000000"/>
          </w:tcPr>
          <w:p>
            <w:pPr>
              <w:spacing w:after="0"/>
              <w:rPr>
                <w:sz w:val="18"/>
                <w:szCs w:val="18"/>
                <w:color w:val="auto"/>
              </w:rPr>
            </w:pPr>
          </w:p>
        </w:tc>
      </w:tr>
      <w:tr>
        <w:trPr>
          <w:trHeight w:val="220"/>
        </w:trPr>
        <w:tc>
          <w:tcPr>
            <w:tcW w:w="2020" w:type="dxa"/>
            <w:vAlign w:val="bottom"/>
          </w:tcPr>
          <w:p>
            <w:pPr>
              <w:ind w:left="80"/>
              <w:spacing w:after="0"/>
              <w:rPr>
                <w:sz w:val="20"/>
                <w:szCs w:val="20"/>
                <w:color w:val="auto"/>
              </w:rPr>
            </w:pPr>
            <w:r>
              <w:rPr>
                <w:rFonts w:ascii="Arial" w:cs="Arial" w:eastAsia="Arial" w:hAnsi="Arial"/>
                <w:sz w:val="18"/>
                <w:szCs w:val="18"/>
                <w:b w:val="1"/>
                <w:bCs w:val="1"/>
                <w:color w:val="auto"/>
              </w:rPr>
              <w:t>Diana D. Tremblay</w:t>
            </w:r>
          </w:p>
        </w:tc>
        <w:tc>
          <w:tcPr>
            <w:tcW w:w="2520" w:type="dxa"/>
            <w:vAlign w:val="bottom"/>
          </w:tcPr>
          <w:p>
            <w:pPr>
              <w:ind w:left="40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2015</w:t>
            </w:r>
          </w:p>
        </w:tc>
        <w:tc>
          <w:tcPr>
            <w:tcW w:w="5020" w:type="dxa"/>
            <w:vAlign w:val="bottom"/>
          </w:tcPr>
          <w:p>
            <w:pPr>
              <w:ind w:left="400"/>
              <w:spacing w:after="0"/>
              <w:rPr>
                <w:sz w:val="20"/>
                <w:szCs w:val="20"/>
                <w:color w:val="auto"/>
              </w:rPr>
            </w:pPr>
            <w:r>
              <w:rPr>
                <w:rFonts w:ascii="Arial" w:cs="Arial" w:eastAsia="Arial" w:hAnsi="Arial"/>
                <w:sz w:val="18"/>
                <w:szCs w:val="18"/>
                <w:b w:val="1"/>
                <w:bCs w:val="1"/>
                <w:color w:val="auto"/>
              </w:rPr>
              <w:t xml:space="preserve">Other Current Public Directorships: </w:t>
            </w:r>
            <w:r>
              <w:rPr>
                <w:rFonts w:ascii="Arial" w:cs="Arial" w:eastAsia="Arial" w:hAnsi="Arial"/>
                <w:sz w:val="18"/>
                <w:szCs w:val="18"/>
                <w:color w:val="auto"/>
              </w:rPr>
              <w:t>None</w:t>
            </w:r>
          </w:p>
        </w:tc>
      </w:tr>
      <w:tr>
        <w:trPr>
          <w:trHeight w:val="239"/>
        </w:trPr>
        <w:tc>
          <w:tcPr>
            <w:tcW w:w="2020" w:type="dxa"/>
            <w:vAlign w:val="bottom"/>
          </w:tcPr>
          <w:p>
            <w:pPr>
              <w:ind w:left="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60</w:t>
            </w:r>
          </w:p>
        </w:tc>
        <w:tc>
          <w:tcPr>
            <w:tcW w:w="2520" w:type="dxa"/>
            <w:vAlign w:val="bottom"/>
          </w:tcPr>
          <w:p>
            <w:pPr>
              <w:ind w:left="400"/>
              <w:spacing w:after="0"/>
              <w:rPr>
                <w:sz w:val="20"/>
                <w:szCs w:val="20"/>
                <w:color w:val="auto"/>
              </w:rPr>
            </w:pPr>
            <w:r>
              <w:rPr>
                <w:rFonts w:ascii="Arial" w:cs="Arial" w:eastAsia="Arial" w:hAnsi="Arial"/>
                <w:sz w:val="18"/>
                <w:szCs w:val="18"/>
                <w:b w:val="1"/>
                <w:bCs w:val="1"/>
                <w:color w:val="auto"/>
              </w:rPr>
              <w:t>Independent</w:t>
            </w:r>
          </w:p>
        </w:tc>
        <w:tc>
          <w:tcPr>
            <w:tcW w:w="5020" w:type="dxa"/>
            <w:vAlign w:val="bottom"/>
          </w:tcPr>
          <w:p>
            <w:pPr>
              <w:spacing w:after="0"/>
              <w:rPr>
                <w:sz w:val="20"/>
                <w:szCs w:val="20"/>
                <w:color w:val="auto"/>
              </w:rPr>
            </w:pPr>
          </w:p>
        </w:tc>
      </w:tr>
    </w:tbl>
    <w:p>
      <w:pPr>
        <w:spacing w:after="0" w:line="242" w:lineRule="exact"/>
        <w:rPr>
          <w:sz w:val="20"/>
          <w:szCs w:val="20"/>
          <w:color w:val="auto"/>
        </w:rPr>
      </w:pPr>
    </w:p>
    <w:p>
      <w:pPr>
        <w:ind w:left="80" w:right="160"/>
        <w:spacing w:after="0" w:line="236" w:lineRule="auto"/>
        <w:rPr>
          <w:sz w:val="20"/>
          <w:szCs w:val="20"/>
          <w:color w:val="auto"/>
        </w:rPr>
      </w:pPr>
      <w:r>
        <w:rPr>
          <w:rFonts w:ascii="Arial" w:cs="Arial" w:eastAsia="Arial" w:hAnsi="Arial"/>
          <w:sz w:val="18"/>
          <w:szCs w:val="18"/>
          <w:color w:val="auto"/>
        </w:rPr>
        <w:t>Diana Tremblay retired from General Motors Company, the motor vehicle manufacturer and distributor multinational corporation (NYSE: “GM”) in September 2017. She had been with that company since 1977, and during her tenure at GM, she held a variety of positions in engineering, manufacturing and labor relations, including direct operational responsibility for over 50,000 employees. From July 2013 until her retirement, Ms. Tremblay served as Vice President of Global Business Services, where she was charged with streamlining administrative processes around the world to improve service quality, reduce complexity, and achieve cost efficiencies in such areas as finance, human resources, real estate, purchasing, asset management, and master data. From December 2009 to July 2013, Ms. Tremblay held the position of Vice President of Manufacturing at 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6069330" cy="6940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69330" cy="694055"/>
                    </a:xfrm>
                    <a:prstGeom prst="rect">
                      <a:avLst/>
                    </a:prstGeom>
                    <a:noFill/>
                  </pic:spPr>
                </pic:pic>
              </a:graphicData>
            </a:graphic>
          </wp:anchor>
        </w:drawing>
      </w:r>
    </w:p>
    <w:p>
      <w:pPr>
        <w:spacing w:after="0" w:line="206" w:lineRule="exact"/>
        <w:rPr>
          <w:sz w:val="20"/>
          <w:szCs w:val="20"/>
          <w:color w:val="auto"/>
        </w:rPr>
      </w:pPr>
    </w:p>
    <w:p>
      <w:pPr>
        <w:ind w:left="80" w:right="80"/>
        <w:spacing w:after="0" w:line="247" w:lineRule="auto"/>
        <w:rPr>
          <w:sz w:val="20"/>
          <w:szCs w:val="20"/>
          <w:color w:val="auto"/>
        </w:rPr>
      </w:pPr>
      <w:r>
        <w:rPr>
          <w:rFonts w:ascii="Arial" w:cs="Arial" w:eastAsia="Arial" w:hAnsi="Arial"/>
          <w:sz w:val="18"/>
          <w:szCs w:val="18"/>
          <w:b w:val="1"/>
          <w:bCs w:val="1"/>
          <w:color w:val="auto"/>
        </w:rPr>
        <w:t xml:space="preserve">Qualifications: </w:t>
      </w:r>
      <w:r>
        <w:rPr>
          <w:rFonts w:ascii="Arial" w:cs="Arial" w:eastAsia="Arial" w:hAnsi="Arial"/>
          <w:sz w:val="18"/>
          <w:szCs w:val="18"/>
          <w:color w:val="auto"/>
        </w:rPr>
        <w:t>Ms. Tremblay brings to the Board her broad business experience that includes her previous roles at</w:t>
      </w:r>
      <w:r>
        <w:rPr>
          <w:rFonts w:ascii="Arial" w:cs="Arial" w:eastAsia="Arial" w:hAnsi="Arial"/>
          <w:sz w:val="18"/>
          <w:szCs w:val="18"/>
          <w:b w:val="1"/>
          <w:bCs w:val="1"/>
          <w:color w:val="auto"/>
        </w:rPr>
        <w:t xml:space="preserve"> </w:t>
      </w:r>
      <w:r>
        <w:rPr>
          <w:rFonts w:ascii="Arial" w:cs="Arial" w:eastAsia="Arial" w:hAnsi="Arial"/>
          <w:sz w:val="18"/>
          <w:szCs w:val="18"/>
          <w:color w:val="auto"/>
        </w:rPr>
        <w:t>GM as an engineer, plant manager, head of manufacturing, and lead labor relations negotiator, which together with her knowledge of business services and global manufacturing processes, provide additional international, administrative and manufacturing perspectives to the Board.</w:t>
      </w:r>
    </w:p>
    <w:p>
      <w:pPr>
        <w:spacing w:after="0" w:line="250"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6" w:right="117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Snapshot of Directors and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123190</wp:posOffset>
            </wp:positionV>
            <wp:extent cx="5529580" cy="1663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29580"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Director Nominee Qualifications</w:t>
      </w:r>
    </w:p>
    <w:p>
      <w:pPr>
        <w:spacing w:after="0" w:line="193"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Our Nominating and Corporate Governance Committee assists the Board in reviewing the business and personal background of each of our directors with respect to our business and business goals. Our skill criteria for our Board members includes a person with the following personal criteria: adheres to and demonstrates the highest ethical standards and personal and professional integrity; an effective negotiator, listener, and team player; a visionary with a strategic and global perspective; a successful leader with a proven record of accomplishments; a problem-solver; an effective decision-maker; and a person who will take a strong interest in the Company. In addition, we believe that certain skills and experience should be represented on the Board, as represented below, although not every Board member must possess all such skills and experience to be considered capable of making valuable contributions to the Board.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Frank</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Tom</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Jerome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Tim</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Tom</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Dan</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rPr>
              <w:t>Gary</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Diana</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Lynda</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189"/>
        </w:trPr>
        <w:tc>
          <w:tcPr>
            <w:tcW w:w="32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Jaehnert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Glanville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Lande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Leyden</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Deitrich</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Pelino</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rPr>
              <w:t>Pruitt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Tremblay</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Ziegler</w:t>
            </w:r>
          </w:p>
        </w:tc>
        <w:tc>
          <w:tcPr>
            <w:tcW w:w="440" w:type="dxa"/>
            <w:vAlign w:val="bottom"/>
          </w:tcPr>
          <w:p>
            <w:pPr>
              <w:spacing w:after="0"/>
              <w:rPr>
                <w:sz w:val="16"/>
                <w:szCs w:val="16"/>
                <w:color w:val="auto"/>
              </w:rPr>
            </w:pPr>
          </w:p>
        </w:tc>
      </w:tr>
      <w:tr>
        <w:trPr>
          <w:trHeight w:val="230"/>
        </w:trPr>
        <w:tc>
          <w:tcPr>
            <w:tcW w:w="3200" w:type="dxa"/>
            <w:vAlign w:val="bottom"/>
            <w:shd w:val="clear" w:color="auto" w:fill="F2F2F2"/>
          </w:tcPr>
          <w:p>
            <w:pPr>
              <w:ind w:left="60"/>
              <w:spacing w:after="0"/>
              <w:rPr>
                <w:sz w:val="20"/>
                <w:szCs w:val="20"/>
                <w:color w:val="auto"/>
              </w:rPr>
            </w:pPr>
            <w:r>
              <w:rPr>
                <w:rFonts w:ascii="Arial" w:cs="Arial" w:eastAsia="Arial" w:hAnsi="Arial"/>
                <w:sz w:val="18"/>
                <w:szCs w:val="18"/>
                <w:color w:val="auto"/>
              </w:rPr>
              <w:t>Executive leadership experience</w:t>
            </w:r>
          </w:p>
        </w:tc>
        <w:tc>
          <w:tcPr>
            <w:tcW w:w="80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t>
            </w:r>
          </w:p>
        </w:tc>
        <w:tc>
          <w:tcPr>
            <w:tcW w:w="76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t>
            </w:r>
          </w:p>
        </w:tc>
        <w:tc>
          <w:tcPr>
            <w:tcW w:w="66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66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66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56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4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76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t>
            </w:r>
          </w:p>
        </w:tc>
        <w:tc>
          <w:tcPr>
            <w:tcW w:w="5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44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9</w:t>
            </w:r>
          </w:p>
        </w:tc>
      </w:tr>
      <w:tr>
        <w:trPr>
          <w:trHeight w:val="230"/>
        </w:trPr>
        <w:tc>
          <w:tcPr>
            <w:tcW w:w="3200" w:type="dxa"/>
            <w:vAlign w:val="bottom"/>
          </w:tcPr>
          <w:p>
            <w:pPr>
              <w:ind w:left="60"/>
              <w:spacing w:after="0"/>
              <w:rPr>
                <w:sz w:val="20"/>
                <w:szCs w:val="20"/>
                <w:color w:val="auto"/>
              </w:rPr>
            </w:pPr>
            <w:r>
              <w:rPr>
                <w:rFonts w:ascii="Arial" w:cs="Arial" w:eastAsia="Arial" w:hAnsi="Arial"/>
                <w:sz w:val="18"/>
                <w:szCs w:val="18"/>
                <w:color w:val="auto"/>
              </w:rPr>
              <w:t>Business development experience</w:t>
            </w: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760" w:type="dxa"/>
            <w:vAlign w:val="bottom"/>
          </w:tcPr>
          <w:p>
            <w:pPr>
              <w:jc w:val="center"/>
              <w:spacing w:after="0"/>
              <w:rPr>
                <w:sz w:val="20"/>
                <w:szCs w:val="20"/>
                <w:color w:val="auto"/>
              </w:rPr>
            </w:pPr>
            <w:r>
              <w:rPr>
                <w:rFonts w:ascii="Arial" w:cs="Arial" w:eastAsia="Arial" w:hAnsi="Arial"/>
                <w:sz w:val="18"/>
                <w:szCs w:val="18"/>
                <w:color w:val="auto"/>
              </w:rPr>
              <w:t>■</w:t>
            </w: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9"/>
              </w:rPr>
              <w:t>9</w:t>
            </w:r>
          </w:p>
        </w:tc>
      </w:tr>
      <w:tr>
        <w:trPr>
          <w:trHeight w:val="230"/>
        </w:trPr>
        <w:tc>
          <w:tcPr>
            <w:tcW w:w="3200" w:type="dxa"/>
            <w:vAlign w:val="bottom"/>
            <w:shd w:val="clear" w:color="auto" w:fill="F2F2F2"/>
          </w:tcPr>
          <w:p>
            <w:pPr>
              <w:ind w:left="60"/>
              <w:spacing w:after="0"/>
              <w:rPr>
                <w:sz w:val="20"/>
                <w:szCs w:val="20"/>
                <w:color w:val="auto"/>
              </w:rPr>
            </w:pPr>
            <w:r>
              <w:rPr>
                <w:rFonts w:ascii="Arial" w:cs="Arial" w:eastAsia="Arial" w:hAnsi="Arial"/>
                <w:sz w:val="18"/>
                <w:szCs w:val="18"/>
                <w:color w:val="auto"/>
              </w:rPr>
              <w:t>Financial literacy</w:t>
            </w:r>
          </w:p>
        </w:tc>
        <w:tc>
          <w:tcPr>
            <w:tcW w:w="80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t>
            </w:r>
          </w:p>
        </w:tc>
        <w:tc>
          <w:tcPr>
            <w:tcW w:w="76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t>
            </w:r>
          </w:p>
        </w:tc>
        <w:tc>
          <w:tcPr>
            <w:tcW w:w="66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66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66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56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4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760" w:type="dxa"/>
            <w:vAlign w:val="bottom"/>
            <w:shd w:val="clear" w:color="auto" w:fill="F2F2F2"/>
          </w:tcPr>
          <w:p>
            <w:pPr>
              <w:spacing w:after="0"/>
              <w:rPr>
                <w:sz w:val="19"/>
                <w:szCs w:val="19"/>
                <w:color w:val="auto"/>
              </w:rPr>
            </w:pPr>
          </w:p>
        </w:tc>
        <w:tc>
          <w:tcPr>
            <w:tcW w:w="580" w:type="dxa"/>
            <w:vAlign w:val="bottom"/>
            <w:shd w:val="clear" w:color="auto" w:fill="F2F2F2"/>
          </w:tcPr>
          <w:p>
            <w:pPr>
              <w:spacing w:after="0"/>
              <w:rPr>
                <w:sz w:val="19"/>
                <w:szCs w:val="19"/>
                <w:color w:val="auto"/>
              </w:rPr>
            </w:pPr>
          </w:p>
        </w:tc>
        <w:tc>
          <w:tcPr>
            <w:tcW w:w="44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7</w:t>
            </w:r>
          </w:p>
        </w:tc>
      </w:tr>
      <w:tr>
        <w:trPr>
          <w:trHeight w:val="215"/>
        </w:trPr>
        <w:tc>
          <w:tcPr>
            <w:tcW w:w="3200" w:type="dxa"/>
            <w:vAlign w:val="bottom"/>
          </w:tcPr>
          <w:p>
            <w:pPr>
              <w:ind w:left="60"/>
              <w:spacing w:after="0"/>
              <w:rPr>
                <w:sz w:val="20"/>
                <w:szCs w:val="20"/>
                <w:color w:val="auto"/>
              </w:rPr>
            </w:pPr>
            <w:r>
              <w:rPr>
                <w:rFonts w:ascii="Arial" w:cs="Arial" w:eastAsia="Arial" w:hAnsi="Arial"/>
                <w:sz w:val="18"/>
                <w:szCs w:val="18"/>
                <w:color w:val="auto"/>
              </w:rPr>
              <w:t>Public board and governance</w:t>
            </w: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760" w:type="dxa"/>
            <w:vAlign w:val="bottom"/>
          </w:tcPr>
          <w:p>
            <w:pPr>
              <w:jc w:val="center"/>
              <w:spacing w:after="0"/>
              <w:rPr>
                <w:sz w:val="20"/>
                <w:szCs w:val="20"/>
                <w:color w:val="auto"/>
              </w:rPr>
            </w:pPr>
            <w:r>
              <w:rPr>
                <w:rFonts w:ascii="Arial" w:cs="Arial" w:eastAsia="Arial" w:hAnsi="Arial"/>
                <w:sz w:val="18"/>
                <w:szCs w:val="18"/>
                <w:color w:val="auto"/>
              </w:rPr>
              <w:t>■</w:t>
            </w: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9"/>
              </w:rPr>
              <w:t>9</w:t>
            </w:r>
          </w:p>
        </w:tc>
      </w:tr>
      <w:tr>
        <w:trPr>
          <w:trHeight w:val="217"/>
        </w:trPr>
        <w:tc>
          <w:tcPr>
            <w:tcW w:w="3200" w:type="dxa"/>
            <w:vAlign w:val="bottom"/>
          </w:tcPr>
          <w:p>
            <w:pPr>
              <w:ind w:left="240"/>
              <w:spacing w:after="0"/>
              <w:rPr>
                <w:sz w:val="20"/>
                <w:szCs w:val="20"/>
                <w:color w:val="auto"/>
              </w:rPr>
            </w:pPr>
            <w:r>
              <w:rPr>
                <w:rFonts w:ascii="Arial" w:cs="Arial" w:eastAsia="Arial" w:hAnsi="Arial"/>
                <w:sz w:val="18"/>
                <w:szCs w:val="18"/>
                <w:color w:val="auto"/>
              </w:rPr>
              <w:t>experience</w:t>
            </w: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3200" w:type="dxa"/>
            <w:vAlign w:val="bottom"/>
            <w:shd w:val="clear" w:color="auto" w:fill="F2F2F2"/>
          </w:tcPr>
          <w:p>
            <w:pPr>
              <w:ind w:left="60"/>
              <w:spacing w:after="0"/>
              <w:rPr>
                <w:sz w:val="20"/>
                <w:szCs w:val="20"/>
                <w:color w:val="auto"/>
              </w:rPr>
            </w:pPr>
            <w:r>
              <w:rPr>
                <w:rFonts w:ascii="Arial" w:cs="Arial" w:eastAsia="Arial" w:hAnsi="Arial"/>
                <w:sz w:val="18"/>
                <w:szCs w:val="18"/>
                <w:color w:val="auto"/>
              </w:rPr>
              <w:t>Industry expertise</w:t>
            </w:r>
          </w:p>
        </w:tc>
        <w:tc>
          <w:tcPr>
            <w:tcW w:w="800" w:type="dxa"/>
            <w:vAlign w:val="bottom"/>
            <w:shd w:val="clear" w:color="auto" w:fill="F2F2F2"/>
          </w:tcPr>
          <w:p>
            <w:pPr>
              <w:spacing w:after="0"/>
              <w:rPr>
                <w:sz w:val="19"/>
                <w:szCs w:val="19"/>
                <w:color w:val="auto"/>
              </w:rPr>
            </w:pPr>
          </w:p>
        </w:tc>
        <w:tc>
          <w:tcPr>
            <w:tcW w:w="76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t>
            </w:r>
          </w:p>
        </w:tc>
        <w:tc>
          <w:tcPr>
            <w:tcW w:w="660" w:type="dxa"/>
            <w:vAlign w:val="bottom"/>
            <w:shd w:val="clear" w:color="auto" w:fill="F2F2F2"/>
          </w:tcPr>
          <w:p>
            <w:pPr>
              <w:spacing w:after="0"/>
              <w:rPr>
                <w:sz w:val="19"/>
                <w:szCs w:val="19"/>
                <w:color w:val="auto"/>
              </w:rPr>
            </w:pPr>
          </w:p>
        </w:tc>
        <w:tc>
          <w:tcPr>
            <w:tcW w:w="660" w:type="dxa"/>
            <w:vAlign w:val="bottom"/>
            <w:shd w:val="clear" w:color="auto" w:fill="F2F2F2"/>
          </w:tcPr>
          <w:p>
            <w:pPr>
              <w:spacing w:after="0"/>
              <w:rPr>
                <w:sz w:val="19"/>
                <w:szCs w:val="19"/>
                <w:color w:val="auto"/>
              </w:rPr>
            </w:pPr>
          </w:p>
        </w:tc>
        <w:tc>
          <w:tcPr>
            <w:tcW w:w="66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560" w:type="dxa"/>
            <w:vAlign w:val="bottom"/>
            <w:shd w:val="clear" w:color="auto" w:fill="F2F2F2"/>
          </w:tcPr>
          <w:p>
            <w:pPr>
              <w:spacing w:after="0"/>
              <w:rPr>
                <w:sz w:val="19"/>
                <w:szCs w:val="19"/>
                <w:color w:val="auto"/>
              </w:rPr>
            </w:pPr>
          </w:p>
        </w:tc>
        <w:tc>
          <w:tcPr>
            <w:tcW w:w="480" w:type="dxa"/>
            <w:vAlign w:val="bottom"/>
            <w:shd w:val="clear" w:color="auto" w:fill="F2F2F2"/>
          </w:tcPr>
          <w:p>
            <w:pPr>
              <w:spacing w:after="0"/>
              <w:rPr>
                <w:sz w:val="19"/>
                <w:szCs w:val="19"/>
                <w:color w:val="auto"/>
              </w:rPr>
            </w:pPr>
          </w:p>
        </w:tc>
        <w:tc>
          <w:tcPr>
            <w:tcW w:w="760" w:type="dxa"/>
            <w:vAlign w:val="bottom"/>
            <w:shd w:val="clear" w:color="auto" w:fill="F2F2F2"/>
          </w:tcPr>
          <w:p>
            <w:pPr>
              <w:spacing w:after="0"/>
              <w:rPr>
                <w:sz w:val="19"/>
                <w:szCs w:val="19"/>
                <w:color w:val="auto"/>
              </w:rPr>
            </w:pPr>
          </w:p>
        </w:tc>
        <w:tc>
          <w:tcPr>
            <w:tcW w:w="5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44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3</w:t>
            </w:r>
          </w:p>
        </w:tc>
      </w:tr>
      <w:tr>
        <w:trPr>
          <w:trHeight w:val="230"/>
        </w:trPr>
        <w:tc>
          <w:tcPr>
            <w:tcW w:w="3200" w:type="dxa"/>
            <w:vAlign w:val="bottom"/>
          </w:tcPr>
          <w:p>
            <w:pPr>
              <w:ind w:left="60"/>
              <w:spacing w:after="0"/>
              <w:rPr>
                <w:sz w:val="20"/>
                <w:szCs w:val="20"/>
                <w:color w:val="auto"/>
              </w:rPr>
            </w:pPr>
            <w:r>
              <w:rPr>
                <w:rFonts w:ascii="Arial" w:cs="Arial" w:eastAsia="Arial" w:hAnsi="Arial"/>
                <w:sz w:val="18"/>
                <w:szCs w:val="18"/>
                <w:color w:val="auto"/>
              </w:rPr>
              <w:t>Global experience</w:t>
            </w: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760" w:type="dxa"/>
            <w:vAlign w:val="bottom"/>
          </w:tcPr>
          <w:p>
            <w:pPr>
              <w:jc w:val="center"/>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9"/>
              </w:rPr>
              <w:t>7</w:t>
            </w:r>
          </w:p>
        </w:tc>
      </w:tr>
      <w:tr>
        <w:trPr>
          <w:trHeight w:val="215"/>
        </w:trPr>
        <w:tc>
          <w:tcPr>
            <w:tcW w:w="3200" w:type="dxa"/>
            <w:vAlign w:val="bottom"/>
            <w:shd w:val="clear" w:color="auto" w:fill="F2F2F2"/>
          </w:tcPr>
          <w:p>
            <w:pPr>
              <w:ind w:left="60"/>
              <w:spacing w:after="0"/>
              <w:rPr>
                <w:sz w:val="20"/>
                <w:szCs w:val="20"/>
                <w:color w:val="auto"/>
              </w:rPr>
            </w:pPr>
            <w:r>
              <w:rPr>
                <w:rFonts w:ascii="Arial" w:cs="Arial" w:eastAsia="Arial" w:hAnsi="Arial"/>
                <w:sz w:val="18"/>
                <w:szCs w:val="18"/>
                <w:color w:val="auto"/>
              </w:rPr>
              <w:t>Manufacturing and/or Supply Chain</w:t>
            </w:r>
          </w:p>
        </w:tc>
        <w:tc>
          <w:tcPr>
            <w:tcW w:w="80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t>
            </w:r>
          </w:p>
        </w:tc>
        <w:tc>
          <w:tcPr>
            <w:tcW w:w="760" w:type="dxa"/>
            <w:vAlign w:val="bottom"/>
            <w:shd w:val="clear" w:color="auto" w:fill="F2F2F2"/>
          </w:tcPr>
          <w:p>
            <w:pPr>
              <w:spacing w:after="0"/>
              <w:rPr>
                <w:sz w:val="18"/>
                <w:szCs w:val="18"/>
                <w:color w:val="auto"/>
              </w:rPr>
            </w:pPr>
          </w:p>
        </w:tc>
        <w:tc>
          <w:tcPr>
            <w:tcW w:w="660" w:type="dxa"/>
            <w:vAlign w:val="bottom"/>
            <w:shd w:val="clear" w:color="auto" w:fill="F2F2F2"/>
          </w:tcPr>
          <w:p>
            <w:pPr>
              <w:spacing w:after="0"/>
              <w:rPr>
                <w:sz w:val="18"/>
                <w:szCs w:val="18"/>
                <w:color w:val="auto"/>
              </w:rPr>
            </w:pPr>
          </w:p>
        </w:tc>
        <w:tc>
          <w:tcPr>
            <w:tcW w:w="66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66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56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4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76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t>
            </w:r>
          </w:p>
        </w:tc>
        <w:tc>
          <w:tcPr>
            <w:tcW w:w="580" w:type="dxa"/>
            <w:vAlign w:val="bottom"/>
            <w:shd w:val="clear" w:color="auto" w:fill="F2F2F2"/>
          </w:tcPr>
          <w:p>
            <w:pPr>
              <w:spacing w:after="0"/>
              <w:rPr>
                <w:sz w:val="18"/>
                <w:szCs w:val="18"/>
                <w:color w:val="auto"/>
              </w:rPr>
            </w:pPr>
          </w:p>
        </w:tc>
        <w:tc>
          <w:tcPr>
            <w:tcW w:w="44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6</w:t>
            </w:r>
          </w:p>
        </w:tc>
      </w:tr>
      <w:tr>
        <w:trPr>
          <w:trHeight w:val="217"/>
        </w:trPr>
        <w:tc>
          <w:tcPr>
            <w:tcW w:w="3200" w:type="dxa"/>
            <w:vAlign w:val="bottom"/>
            <w:shd w:val="clear" w:color="auto" w:fill="F2F2F2"/>
          </w:tcPr>
          <w:p>
            <w:pPr>
              <w:ind w:left="240"/>
              <w:spacing w:after="0"/>
              <w:rPr>
                <w:sz w:val="20"/>
                <w:szCs w:val="20"/>
                <w:color w:val="auto"/>
              </w:rPr>
            </w:pPr>
            <w:r>
              <w:rPr>
                <w:rFonts w:ascii="Arial" w:cs="Arial" w:eastAsia="Arial" w:hAnsi="Arial"/>
                <w:sz w:val="18"/>
                <w:szCs w:val="18"/>
                <w:color w:val="auto"/>
              </w:rPr>
              <w:t>expertise*</w:t>
            </w:r>
          </w:p>
        </w:tc>
        <w:tc>
          <w:tcPr>
            <w:tcW w:w="800" w:type="dxa"/>
            <w:vAlign w:val="bottom"/>
            <w:shd w:val="clear" w:color="auto" w:fill="F2F2F2"/>
          </w:tcPr>
          <w:p>
            <w:pPr>
              <w:spacing w:after="0"/>
              <w:rPr>
                <w:sz w:val="18"/>
                <w:szCs w:val="18"/>
                <w:color w:val="auto"/>
              </w:rPr>
            </w:pPr>
          </w:p>
        </w:tc>
        <w:tc>
          <w:tcPr>
            <w:tcW w:w="760" w:type="dxa"/>
            <w:vAlign w:val="bottom"/>
            <w:shd w:val="clear" w:color="auto" w:fill="F2F2F2"/>
          </w:tcPr>
          <w:p>
            <w:pPr>
              <w:spacing w:after="0"/>
              <w:rPr>
                <w:sz w:val="18"/>
                <w:szCs w:val="18"/>
                <w:color w:val="auto"/>
              </w:rPr>
            </w:pPr>
          </w:p>
        </w:tc>
        <w:tc>
          <w:tcPr>
            <w:tcW w:w="660" w:type="dxa"/>
            <w:vAlign w:val="bottom"/>
            <w:shd w:val="clear" w:color="auto" w:fill="F2F2F2"/>
          </w:tcPr>
          <w:p>
            <w:pPr>
              <w:spacing w:after="0"/>
              <w:rPr>
                <w:sz w:val="18"/>
                <w:szCs w:val="18"/>
                <w:color w:val="auto"/>
              </w:rPr>
            </w:pPr>
          </w:p>
        </w:tc>
        <w:tc>
          <w:tcPr>
            <w:tcW w:w="660" w:type="dxa"/>
            <w:vAlign w:val="bottom"/>
            <w:shd w:val="clear" w:color="auto" w:fill="F2F2F2"/>
          </w:tcPr>
          <w:p>
            <w:pPr>
              <w:spacing w:after="0"/>
              <w:rPr>
                <w:sz w:val="18"/>
                <w:szCs w:val="18"/>
                <w:color w:val="auto"/>
              </w:rPr>
            </w:pPr>
          </w:p>
        </w:tc>
        <w:tc>
          <w:tcPr>
            <w:tcW w:w="660" w:type="dxa"/>
            <w:vAlign w:val="bottom"/>
            <w:shd w:val="clear" w:color="auto" w:fill="F2F2F2"/>
          </w:tcPr>
          <w:p>
            <w:pPr>
              <w:spacing w:after="0"/>
              <w:rPr>
                <w:sz w:val="18"/>
                <w:szCs w:val="18"/>
                <w:color w:val="auto"/>
              </w:rPr>
            </w:pPr>
          </w:p>
        </w:tc>
        <w:tc>
          <w:tcPr>
            <w:tcW w:w="560" w:type="dxa"/>
            <w:vAlign w:val="bottom"/>
            <w:shd w:val="clear" w:color="auto" w:fill="F2F2F2"/>
          </w:tcPr>
          <w:p>
            <w:pPr>
              <w:spacing w:after="0"/>
              <w:rPr>
                <w:sz w:val="18"/>
                <w:szCs w:val="18"/>
                <w:color w:val="auto"/>
              </w:rPr>
            </w:pPr>
          </w:p>
        </w:tc>
        <w:tc>
          <w:tcPr>
            <w:tcW w:w="480" w:type="dxa"/>
            <w:vAlign w:val="bottom"/>
            <w:shd w:val="clear" w:color="auto" w:fill="F2F2F2"/>
          </w:tcPr>
          <w:p>
            <w:pPr>
              <w:spacing w:after="0"/>
              <w:rPr>
                <w:sz w:val="18"/>
                <w:szCs w:val="18"/>
                <w:color w:val="auto"/>
              </w:rPr>
            </w:pPr>
          </w:p>
        </w:tc>
        <w:tc>
          <w:tcPr>
            <w:tcW w:w="760" w:type="dxa"/>
            <w:vAlign w:val="bottom"/>
            <w:shd w:val="clear" w:color="auto" w:fill="F2F2F2"/>
          </w:tcPr>
          <w:p>
            <w:pPr>
              <w:spacing w:after="0"/>
              <w:rPr>
                <w:sz w:val="18"/>
                <w:szCs w:val="18"/>
                <w:color w:val="auto"/>
              </w:rPr>
            </w:pPr>
          </w:p>
        </w:tc>
        <w:tc>
          <w:tcPr>
            <w:tcW w:w="580" w:type="dxa"/>
            <w:vAlign w:val="bottom"/>
            <w:shd w:val="clear" w:color="auto" w:fill="F2F2F2"/>
          </w:tcPr>
          <w:p>
            <w:pPr>
              <w:spacing w:after="0"/>
              <w:rPr>
                <w:sz w:val="18"/>
                <w:szCs w:val="18"/>
                <w:color w:val="auto"/>
              </w:rPr>
            </w:pPr>
          </w:p>
        </w:tc>
        <w:tc>
          <w:tcPr>
            <w:tcW w:w="440" w:type="dxa"/>
            <w:vAlign w:val="bottom"/>
            <w:shd w:val="clear" w:color="auto" w:fill="F2F2F2"/>
          </w:tcPr>
          <w:p>
            <w:pPr>
              <w:spacing w:after="0"/>
              <w:rPr>
                <w:sz w:val="18"/>
                <w:szCs w:val="18"/>
                <w:color w:val="auto"/>
              </w:rPr>
            </w:pPr>
          </w:p>
        </w:tc>
      </w:tr>
      <w:tr>
        <w:trPr>
          <w:trHeight w:val="230"/>
        </w:trPr>
        <w:tc>
          <w:tcPr>
            <w:tcW w:w="3200" w:type="dxa"/>
            <w:vAlign w:val="bottom"/>
          </w:tcPr>
          <w:p>
            <w:pPr>
              <w:ind w:left="60"/>
              <w:spacing w:after="0"/>
              <w:rPr>
                <w:sz w:val="20"/>
                <w:szCs w:val="20"/>
                <w:color w:val="auto"/>
              </w:rPr>
            </w:pPr>
            <w:r>
              <w:rPr>
                <w:rFonts w:ascii="Arial" w:cs="Arial" w:eastAsia="Arial" w:hAnsi="Arial"/>
                <w:sz w:val="18"/>
                <w:szCs w:val="18"/>
                <w:color w:val="auto"/>
              </w:rPr>
              <w:t>Technology and Innovation expertise</w:t>
            </w:r>
          </w:p>
        </w:tc>
        <w:tc>
          <w:tcPr>
            <w:tcW w:w="8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9"/>
              </w:rPr>
              <w:t>5</w:t>
            </w:r>
          </w:p>
        </w:tc>
      </w:tr>
      <w:tr>
        <w:trPr>
          <w:trHeight w:val="230"/>
        </w:trPr>
        <w:tc>
          <w:tcPr>
            <w:tcW w:w="3200" w:type="dxa"/>
            <w:vAlign w:val="bottom"/>
            <w:shd w:val="clear" w:color="auto" w:fill="F2F2F2"/>
          </w:tcPr>
          <w:p>
            <w:pPr>
              <w:ind w:left="60"/>
              <w:spacing w:after="0"/>
              <w:rPr>
                <w:sz w:val="20"/>
                <w:szCs w:val="20"/>
                <w:color w:val="auto"/>
              </w:rPr>
            </w:pPr>
            <w:r>
              <w:rPr>
                <w:rFonts w:ascii="Arial" w:cs="Arial" w:eastAsia="Arial" w:hAnsi="Arial"/>
                <w:sz w:val="18"/>
                <w:szCs w:val="18"/>
                <w:color w:val="auto"/>
              </w:rPr>
              <w:t>Marketing/sales expertise</w:t>
            </w:r>
          </w:p>
        </w:tc>
        <w:tc>
          <w:tcPr>
            <w:tcW w:w="800" w:type="dxa"/>
            <w:vAlign w:val="bottom"/>
            <w:shd w:val="clear" w:color="auto" w:fill="F2F2F2"/>
          </w:tcPr>
          <w:p>
            <w:pPr>
              <w:spacing w:after="0"/>
              <w:rPr>
                <w:sz w:val="19"/>
                <w:szCs w:val="19"/>
                <w:color w:val="auto"/>
              </w:rPr>
            </w:pPr>
          </w:p>
        </w:tc>
        <w:tc>
          <w:tcPr>
            <w:tcW w:w="76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t>
            </w:r>
          </w:p>
        </w:tc>
        <w:tc>
          <w:tcPr>
            <w:tcW w:w="66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660" w:type="dxa"/>
            <w:vAlign w:val="bottom"/>
            <w:shd w:val="clear" w:color="auto" w:fill="F2F2F2"/>
          </w:tcPr>
          <w:p>
            <w:pPr>
              <w:spacing w:after="0"/>
              <w:rPr>
                <w:sz w:val="19"/>
                <w:szCs w:val="19"/>
                <w:color w:val="auto"/>
              </w:rPr>
            </w:pPr>
          </w:p>
        </w:tc>
        <w:tc>
          <w:tcPr>
            <w:tcW w:w="66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56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4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760" w:type="dxa"/>
            <w:vAlign w:val="bottom"/>
            <w:shd w:val="clear" w:color="auto" w:fill="F2F2F2"/>
          </w:tcPr>
          <w:p>
            <w:pPr>
              <w:spacing w:after="0"/>
              <w:rPr>
                <w:sz w:val="19"/>
                <w:szCs w:val="19"/>
                <w:color w:val="auto"/>
              </w:rPr>
            </w:pPr>
          </w:p>
        </w:tc>
        <w:tc>
          <w:tcPr>
            <w:tcW w:w="5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44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6</w:t>
            </w:r>
          </w:p>
        </w:tc>
      </w:tr>
      <w:tr>
        <w:trPr>
          <w:trHeight w:val="230"/>
        </w:trPr>
        <w:tc>
          <w:tcPr>
            <w:tcW w:w="3200" w:type="dxa"/>
            <w:vAlign w:val="bottom"/>
          </w:tcPr>
          <w:p>
            <w:pPr>
              <w:ind w:left="60"/>
              <w:spacing w:after="0"/>
              <w:rPr>
                <w:sz w:val="20"/>
                <w:szCs w:val="20"/>
                <w:color w:val="auto"/>
              </w:rPr>
            </w:pPr>
            <w:r>
              <w:rPr>
                <w:rFonts w:ascii="Arial" w:cs="Arial" w:eastAsia="Arial" w:hAnsi="Arial"/>
                <w:sz w:val="18"/>
                <w:szCs w:val="18"/>
                <w:color w:val="auto"/>
              </w:rPr>
              <w:t>Hardware/software services expertise</w:t>
            </w: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9"/>
              </w:rPr>
              <w:t>4</w:t>
            </w:r>
          </w:p>
        </w:tc>
      </w:tr>
      <w:tr>
        <w:trPr>
          <w:trHeight w:val="230"/>
        </w:trPr>
        <w:tc>
          <w:tcPr>
            <w:tcW w:w="3200" w:type="dxa"/>
            <w:vAlign w:val="bottom"/>
            <w:shd w:val="clear" w:color="auto" w:fill="F2F2F2"/>
          </w:tcPr>
          <w:p>
            <w:pPr>
              <w:ind w:left="60"/>
              <w:spacing w:after="0"/>
              <w:rPr>
                <w:sz w:val="20"/>
                <w:szCs w:val="20"/>
                <w:color w:val="auto"/>
              </w:rPr>
            </w:pPr>
            <w:r>
              <w:rPr>
                <w:rFonts w:ascii="Arial" w:cs="Arial" w:eastAsia="Arial" w:hAnsi="Arial"/>
                <w:sz w:val="18"/>
                <w:szCs w:val="18"/>
                <w:color w:val="auto"/>
              </w:rPr>
              <w:t>Government expertise</w:t>
            </w:r>
          </w:p>
        </w:tc>
        <w:tc>
          <w:tcPr>
            <w:tcW w:w="800" w:type="dxa"/>
            <w:vAlign w:val="bottom"/>
            <w:shd w:val="clear" w:color="auto" w:fill="F2F2F2"/>
          </w:tcPr>
          <w:p>
            <w:pPr>
              <w:spacing w:after="0"/>
              <w:rPr>
                <w:sz w:val="19"/>
                <w:szCs w:val="19"/>
                <w:color w:val="auto"/>
              </w:rPr>
            </w:pPr>
          </w:p>
        </w:tc>
        <w:tc>
          <w:tcPr>
            <w:tcW w:w="760" w:type="dxa"/>
            <w:vAlign w:val="bottom"/>
            <w:shd w:val="clear" w:color="auto" w:fill="F2F2F2"/>
          </w:tcPr>
          <w:p>
            <w:pPr>
              <w:spacing w:after="0"/>
              <w:rPr>
                <w:sz w:val="19"/>
                <w:szCs w:val="19"/>
                <w:color w:val="auto"/>
              </w:rPr>
            </w:pPr>
          </w:p>
        </w:tc>
        <w:tc>
          <w:tcPr>
            <w:tcW w:w="660" w:type="dxa"/>
            <w:vAlign w:val="bottom"/>
            <w:shd w:val="clear" w:color="auto" w:fill="F2F2F2"/>
          </w:tcPr>
          <w:p>
            <w:pPr>
              <w:spacing w:after="0"/>
              <w:rPr>
                <w:sz w:val="19"/>
                <w:szCs w:val="19"/>
                <w:color w:val="auto"/>
              </w:rPr>
            </w:pPr>
          </w:p>
        </w:tc>
        <w:tc>
          <w:tcPr>
            <w:tcW w:w="660" w:type="dxa"/>
            <w:vAlign w:val="bottom"/>
            <w:shd w:val="clear" w:color="auto" w:fill="F2F2F2"/>
          </w:tcPr>
          <w:p>
            <w:pPr>
              <w:spacing w:after="0"/>
              <w:rPr>
                <w:sz w:val="19"/>
                <w:szCs w:val="19"/>
                <w:color w:val="auto"/>
              </w:rPr>
            </w:pPr>
          </w:p>
        </w:tc>
        <w:tc>
          <w:tcPr>
            <w:tcW w:w="660" w:type="dxa"/>
            <w:vAlign w:val="bottom"/>
            <w:shd w:val="clear" w:color="auto" w:fill="F2F2F2"/>
          </w:tcPr>
          <w:p>
            <w:pPr>
              <w:spacing w:after="0"/>
              <w:rPr>
                <w:sz w:val="19"/>
                <w:szCs w:val="19"/>
                <w:color w:val="auto"/>
              </w:rPr>
            </w:pPr>
          </w:p>
        </w:tc>
        <w:tc>
          <w:tcPr>
            <w:tcW w:w="56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480" w:type="dxa"/>
            <w:vAlign w:val="bottom"/>
            <w:shd w:val="clear" w:color="auto" w:fill="F2F2F2"/>
          </w:tcPr>
          <w:p>
            <w:pPr>
              <w:spacing w:after="0"/>
              <w:rPr>
                <w:sz w:val="19"/>
                <w:szCs w:val="19"/>
                <w:color w:val="auto"/>
              </w:rPr>
            </w:pPr>
          </w:p>
        </w:tc>
        <w:tc>
          <w:tcPr>
            <w:tcW w:w="760" w:type="dxa"/>
            <w:vAlign w:val="bottom"/>
            <w:shd w:val="clear" w:color="auto" w:fill="F2F2F2"/>
          </w:tcPr>
          <w:p>
            <w:pPr>
              <w:spacing w:after="0"/>
              <w:rPr>
                <w:sz w:val="19"/>
                <w:szCs w:val="19"/>
                <w:color w:val="auto"/>
              </w:rPr>
            </w:pPr>
          </w:p>
        </w:tc>
        <w:tc>
          <w:tcPr>
            <w:tcW w:w="5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44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2</w:t>
            </w:r>
          </w:p>
        </w:tc>
      </w:tr>
      <w:tr>
        <w:trPr>
          <w:trHeight w:val="215"/>
        </w:trPr>
        <w:tc>
          <w:tcPr>
            <w:tcW w:w="3200" w:type="dxa"/>
            <w:vAlign w:val="bottom"/>
          </w:tcPr>
          <w:p>
            <w:pPr>
              <w:ind w:left="60"/>
              <w:spacing w:after="0"/>
              <w:rPr>
                <w:sz w:val="20"/>
                <w:szCs w:val="20"/>
                <w:color w:val="auto"/>
              </w:rPr>
            </w:pPr>
            <w:r>
              <w:rPr>
                <w:rFonts w:ascii="Arial" w:cs="Arial" w:eastAsia="Arial" w:hAnsi="Arial"/>
                <w:sz w:val="18"/>
                <w:szCs w:val="18"/>
                <w:color w:val="auto"/>
              </w:rPr>
              <w:t>Compensation, Benefits and Talent</w:t>
            </w:r>
          </w:p>
        </w:tc>
        <w:tc>
          <w:tcPr>
            <w:tcW w:w="800" w:type="dxa"/>
            <w:vAlign w:val="bottom"/>
          </w:tcPr>
          <w:p>
            <w:pPr>
              <w:jc w:val="center"/>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4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rPr>
              <w:t>■</w:t>
            </w: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9"/>
              </w:rPr>
              <w:t>7</w:t>
            </w:r>
          </w:p>
        </w:tc>
      </w:tr>
      <w:tr>
        <w:trPr>
          <w:trHeight w:val="217"/>
        </w:trPr>
        <w:tc>
          <w:tcPr>
            <w:tcW w:w="3200" w:type="dxa"/>
            <w:vAlign w:val="bottom"/>
          </w:tcPr>
          <w:p>
            <w:pPr>
              <w:ind w:left="240"/>
              <w:spacing w:after="0"/>
              <w:rPr>
                <w:sz w:val="20"/>
                <w:szCs w:val="20"/>
                <w:color w:val="auto"/>
              </w:rPr>
            </w:pPr>
            <w:r>
              <w:rPr>
                <w:rFonts w:ascii="Arial" w:cs="Arial" w:eastAsia="Arial" w:hAnsi="Arial"/>
                <w:sz w:val="18"/>
                <w:szCs w:val="18"/>
                <w:color w:val="auto"/>
              </w:rPr>
              <w:t>Management**</w:t>
            </w: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3200" w:type="dxa"/>
            <w:vAlign w:val="bottom"/>
            <w:shd w:val="clear" w:color="auto" w:fill="F2F2F2"/>
          </w:tcPr>
          <w:p>
            <w:pPr>
              <w:ind w:left="60"/>
              <w:spacing w:after="0"/>
              <w:rPr>
                <w:sz w:val="20"/>
                <w:szCs w:val="20"/>
                <w:color w:val="auto"/>
              </w:rPr>
            </w:pPr>
            <w:r>
              <w:rPr>
                <w:rFonts w:ascii="Arial" w:cs="Arial" w:eastAsia="Arial" w:hAnsi="Arial"/>
                <w:sz w:val="18"/>
                <w:szCs w:val="18"/>
                <w:color w:val="auto"/>
              </w:rPr>
              <w:t>Mergers and Acquisitions</w:t>
            </w:r>
          </w:p>
        </w:tc>
        <w:tc>
          <w:tcPr>
            <w:tcW w:w="80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t>
            </w:r>
          </w:p>
        </w:tc>
        <w:tc>
          <w:tcPr>
            <w:tcW w:w="76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t>
            </w:r>
          </w:p>
        </w:tc>
        <w:tc>
          <w:tcPr>
            <w:tcW w:w="66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66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66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56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4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760" w:type="dxa"/>
            <w:vAlign w:val="bottom"/>
            <w:shd w:val="clear" w:color="auto" w:fill="F2F2F2"/>
          </w:tcPr>
          <w:p>
            <w:pPr>
              <w:spacing w:after="0"/>
              <w:rPr>
                <w:sz w:val="19"/>
                <w:szCs w:val="19"/>
                <w:color w:val="auto"/>
              </w:rPr>
            </w:pPr>
          </w:p>
        </w:tc>
        <w:tc>
          <w:tcPr>
            <w:tcW w:w="580" w:type="dxa"/>
            <w:vAlign w:val="bottom"/>
            <w:shd w:val="clear" w:color="auto" w:fill="F2F2F2"/>
          </w:tcPr>
          <w:p>
            <w:pPr>
              <w:spacing w:after="0"/>
              <w:rPr>
                <w:sz w:val="19"/>
                <w:szCs w:val="19"/>
                <w:color w:val="auto"/>
              </w:rPr>
            </w:pPr>
          </w:p>
        </w:tc>
        <w:tc>
          <w:tcPr>
            <w:tcW w:w="44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8483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295" w:lineRule="exact"/>
        <w:rPr>
          <w:sz w:val="20"/>
          <w:szCs w:val="20"/>
          <w:color w:val="auto"/>
        </w:rPr>
      </w:pPr>
    </w:p>
    <w:p>
      <w:pPr>
        <w:ind w:left="360" w:hanging="355"/>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Has run or overseen manufacturing or supply chain operations.</w:t>
      </w:r>
    </w:p>
    <w:p>
      <w:pPr>
        <w:spacing w:after="0" w:line="109" w:lineRule="exact"/>
        <w:rPr>
          <w:sz w:val="20"/>
          <w:szCs w:val="20"/>
          <w:color w:val="auto"/>
        </w:rPr>
      </w:pPr>
    </w:p>
    <w:p>
      <w:pPr>
        <w:ind w:left="360" w:hanging="355"/>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Serves as member of the Compensation Committee of our Board or has overseen compensation and benefits in a management capacity.</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9"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Our Nominating and Corporate Governance Committee generally considers diversity as one of several factors relating to overall composition when making nominations to our Board. Although we do not have a formal policy governing how diversity is considered, the Nominating and Corporate Governance Committee generally considers diversity by examining the entire Board membership, including when making nominations to our Board. The Nominating and Corporate Governance Committee construes Board diversity broadly to include many factors, including, but not limited to, gender, age, and ethnicity. As a result, the Nominating and Corporate Governance Committee strives to ensure that our Board is represented by individuals with a variety of different opinions, perspectives, personal, professional, and industry experience and backgrounds, skills, and expertise. Currently, of the eight independent directors on our Board who are nominees or continuing on the Board after the Annual Meeting, three are either former Chief Financial Officers or former Chief Executive Officers, seven have global business experience, and two are women, including our Board Chair.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 and Attributes</w:t>
      </w:r>
    </w:p>
    <w:p>
      <w:pPr>
        <w:spacing w:after="0" w:line="20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We have concluded that all of our directors, including the nominees for re-election, have the skills, experience, knowledge, and personal attributes that are necessary to effectively serve on our Board and to contribute to the overall success of our Company. We believe that the diverse background of each of our Board members ensures that we have a Board that has a broad range of industry-related knowledge, experience, and business acumen. </w:t>
      </w:r>
      <w:r>
        <w:rPr>
          <w:rFonts w:ascii="Arial" w:cs="Arial" w:eastAsia="Arial" w:hAnsi="Arial"/>
          <w:sz w:val="18"/>
          <w:szCs w:val="18"/>
          <w:i w:val="1"/>
          <w:iCs w:val="1"/>
          <w:color w:val="auto"/>
        </w:rPr>
        <w:t>See also</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CORPORATE GOVERNANCE – Director Nominations by Shareholders</w:t>
      </w:r>
      <w:r>
        <w:rPr>
          <w:rFonts w:ascii="Arial" w:cs="Arial" w:eastAsia="Arial" w:hAnsi="Arial"/>
          <w:sz w:val="18"/>
          <w:szCs w:val="18"/>
          <w:color w:val="auto"/>
        </w:rPr>
        <w:t>” in this proxy statement.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9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Nominating and Corporate Governance Committee annually reviews compensation paid to non-employee directors and makes recommendations for adjustment, as appropriate, to the Board. In 2018, the Nominating and Corporate Governance Committee recommended, and the Board approved, an increase in the compensation paid to non-employee directors that was to be effective January 1, 2019. However, in December 2018, the Board elected to delay the implementation of such increase until such time that the Board re-authorized and re-approved any increase. Ultimately, the Company did not change the compensation paid to non-employee directors for the 2019 fiscal year. Both equity and cash compensation paid to our directors in 2019 was determined using benchmark data from our peer companies provided by the Compensation Committee’s independent compensation consultant, Frederic W. Cook &amp; Co. (F.W. Cook).</w:t>
      </w:r>
    </w:p>
    <w:tbl>
      <w:tblPr>
        <w:tblLayout w:type="fixed"/>
        <w:tblInd w:w="0" w:type="dxa"/>
        <w:tblCellMar>
          <w:top w:w="0" w:type="dxa"/>
          <w:left w:w="0" w:type="dxa"/>
          <w:bottom w:w="0" w:type="dxa"/>
          <w:right w:w="0" w:type="dxa"/>
        </w:tblCellMar>
      </w:tblPr>
      <w:tr>
        <w:trPr>
          <w:trHeight w:val="280"/>
        </w:trPr>
        <w:tc>
          <w:tcPr>
            <w:tcW w:w="5620" w:type="dxa"/>
            <w:vAlign w:val="bottom"/>
            <w:shd w:val="clear" w:color="auto" w:fill="D8D8D8"/>
          </w:tcPr>
          <w:p>
            <w:pPr>
              <w:ind w:left="40"/>
              <w:spacing w:after="0" w:line="280" w:lineRule="exact"/>
              <w:rPr>
                <w:sz w:val="20"/>
                <w:szCs w:val="20"/>
                <w:color w:val="auto"/>
              </w:rPr>
            </w:pPr>
            <w:r>
              <w:rPr>
                <w:rFonts w:ascii="Arial" w:cs="Arial" w:eastAsia="Arial" w:hAnsi="Arial"/>
                <w:sz w:val="18"/>
                <w:szCs w:val="18"/>
                <w:b w:val="1"/>
                <w:bCs w:val="1"/>
                <w:color w:val="auto"/>
              </w:rPr>
              <w:t>Compensation structure for directors</w:t>
            </w:r>
            <w:r>
              <w:rPr>
                <w:rFonts w:ascii="Arial" w:cs="Arial" w:eastAsia="Arial" w:hAnsi="Arial"/>
                <w:sz w:val="29"/>
                <w:szCs w:val="29"/>
                <w:b w:val="1"/>
                <w:bCs w:val="1"/>
                <w:color w:val="auto"/>
                <w:vertAlign w:val="superscript"/>
              </w:rPr>
              <w:t>(1)</w:t>
            </w:r>
          </w:p>
        </w:tc>
        <w:tc>
          <w:tcPr>
            <w:tcW w:w="288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30"/>
        </w:trPr>
        <w:tc>
          <w:tcPr>
            <w:tcW w:w="8500" w:type="dxa"/>
            <w:vAlign w:val="bottom"/>
            <w:gridSpan w:val="2"/>
            <w:shd w:val="clear" w:color="auto" w:fill="CCEEFF"/>
          </w:tcPr>
          <w:p>
            <w:pPr>
              <w:ind w:left="40"/>
              <w:spacing w:after="0" w:line="230" w:lineRule="exact"/>
              <w:rPr>
                <w:sz w:val="20"/>
                <w:szCs w:val="20"/>
                <w:color w:val="auto"/>
              </w:rPr>
            </w:pPr>
            <w:r>
              <w:rPr>
                <w:rFonts w:ascii="Arial" w:cs="Arial" w:eastAsia="Arial" w:hAnsi="Arial"/>
                <w:sz w:val="16"/>
                <w:szCs w:val="16"/>
                <w:b w:val="1"/>
                <w:bCs w:val="1"/>
                <w:color w:val="auto"/>
              </w:rPr>
              <w:t>Regular retainer (all directors except Messrs. Mezey</w:t>
            </w:r>
            <w:r>
              <w:rPr>
                <w:rFonts w:ascii="Arial" w:cs="Arial" w:eastAsia="Arial" w:hAnsi="Arial"/>
                <w:sz w:val="26"/>
                <w:szCs w:val="26"/>
                <w:b w:val="1"/>
                <w:bCs w:val="1"/>
                <w:color w:val="auto"/>
                <w:vertAlign w:val="superscript"/>
              </w:rPr>
              <w:t>(2)</w:t>
            </w:r>
            <w:r>
              <w:rPr>
                <w:rFonts w:ascii="Arial" w:cs="Arial" w:eastAsia="Arial" w:hAnsi="Arial"/>
                <w:sz w:val="16"/>
                <w:szCs w:val="16"/>
                <w:b w:val="1"/>
                <w:bCs w:val="1"/>
                <w:color w:val="auto"/>
              </w:rPr>
              <w:t xml:space="preserve"> and Deitrich</w:t>
            </w:r>
            <w:r>
              <w:rPr>
                <w:rFonts w:ascii="Arial" w:cs="Arial" w:eastAsia="Arial" w:hAnsi="Arial"/>
                <w:sz w:val="26"/>
                <w:szCs w:val="26"/>
                <w:b w:val="1"/>
                <w:bCs w:val="1"/>
                <w:color w:val="auto"/>
                <w:vertAlign w:val="superscript"/>
              </w:rPr>
              <w:t>(2)</w:t>
            </w:r>
            <w:r>
              <w:rPr>
                <w:rFonts w:ascii="Arial" w:cs="Arial" w:eastAsia="Arial" w:hAnsi="Arial"/>
                <w:sz w:val="16"/>
                <w:szCs w:val="16"/>
                <w:b w:val="1"/>
                <w:bCs w:val="1"/>
                <w:color w:val="auto"/>
              </w:rPr>
              <w:t>, and Board Chair Ms. Ziegler)</w:t>
            </w:r>
          </w:p>
        </w:tc>
        <w:tc>
          <w:tcPr>
            <w:tcW w:w="1060" w:type="dxa"/>
            <w:vAlign w:val="bottom"/>
            <w:shd w:val="clear" w:color="auto" w:fill="CCEEFF"/>
          </w:tcPr>
          <w:p>
            <w:pPr>
              <w:spacing w:after="0"/>
              <w:rPr>
                <w:sz w:val="19"/>
                <w:szCs w:val="19"/>
                <w:color w:val="auto"/>
              </w:rPr>
            </w:pPr>
          </w:p>
        </w:tc>
      </w:tr>
      <w:tr>
        <w:trPr>
          <w:trHeight w:val="230"/>
        </w:trPr>
        <w:tc>
          <w:tcPr>
            <w:tcW w:w="5620" w:type="dxa"/>
            <w:vAlign w:val="bottom"/>
          </w:tcPr>
          <w:p>
            <w:pPr>
              <w:ind w:left="40"/>
              <w:spacing w:after="0" w:line="230" w:lineRule="exact"/>
              <w:rPr>
                <w:sz w:val="20"/>
                <w:szCs w:val="20"/>
                <w:color w:val="auto"/>
              </w:rPr>
            </w:pPr>
            <w:r>
              <w:rPr>
                <w:rFonts w:ascii="Arial" w:cs="Arial" w:eastAsia="Arial" w:hAnsi="Arial"/>
                <w:sz w:val="16"/>
                <w:szCs w:val="16"/>
                <w:color w:val="auto"/>
              </w:rPr>
              <w:t>Total annual base retainer</w:t>
            </w:r>
            <w:r>
              <w:rPr>
                <w:rFonts w:ascii="Arial" w:cs="Arial" w:eastAsia="Arial" w:hAnsi="Arial"/>
                <w:sz w:val="26"/>
                <w:szCs w:val="26"/>
                <w:color w:val="auto"/>
                <w:vertAlign w:val="superscript"/>
              </w:rPr>
              <w:t>(3)</w:t>
            </w:r>
          </w:p>
        </w:tc>
        <w:tc>
          <w:tcPr>
            <w:tcW w:w="28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165,000</w:t>
            </w:r>
          </w:p>
        </w:tc>
      </w:tr>
      <w:tr>
        <w:trPr>
          <w:trHeight w:val="229"/>
        </w:trPr>
        <w:tc>
          <w:tcPr>
            <w:tcW w:w="5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w:t>
            </w:r>
          </w:p>
        </w:tc>
        <w:tc>
          <w:tcPr>
            <w:tcW w:w="28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65,000</w:t>
            </w:r>
          </w:p>
        </w:tc>
      </w:tr>
      <w:tr>
        <w:trPr>
          <w:trHeight w:val="230"/>
        </w:trPr>
        <w:tc>
          <w:tcPr>
            <w:tcW w:w="5620" w:type="dxa"/>
            <w:vAlign w:val="bottom"/>
          </w:tcPr>
          <w:p>
            <w:pPr>
              <w:ind w:left="400"/>
              <w:spacing w:after="0"/>
              <w:rPr>
                <w:sz w:val="20"/>
                <w:szCs w:val="20"/>
                <w:color w:val="auto"/>
              </w:rPr>
            </w:pPr>
            <w:r>
              <w:rPr>
                <w:rFonts w:ascii="Arial" w:cs="Arial" w:eastAsia="Arial" w:hAnsi="Arial"/>
                <w:sz w:val="18"/>
                <w:szCs w:val="18"/>
                <w:color w:val="auto"/>
              </w:rPr>
              <w:t>Stock</w:t>
            </w:r>
          </w:p>
        </w:tc>
        <w:tc>
          <w:tcPr>
            <w:tcW w:w="28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100,000</w:t>
            </w:r>
          </w:p>
        </w:tc>
      </w:tr>
      <w:tr>
        <w:trPr>
          <w:trHeight w:val="230"/>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Annual committee chair retainer (cash)</w:t>
            </w:r>
          </w:p>
        </w:tc>
        <w:tc>
          <w:tcPr>
            <w:tcW w:w="28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620" w:type="dxa"/>
            <w:vAlign w:val="bottom"/>
          </w:tcPr>
          <w:p>
            <w:pPr>
              <w:ind w:left="400"/>
              <w:spacing w:after="0"/>
              <w:rPr>
                <w:sz w:val="20"/>
                <w:szCs w:val="20"/>
                <w:color w:val="auto"/>
              </w:rPr>
            </w:pPr>
            <w:r>
              <w:rPr>
                <w:rFonts w:ascii="Arial" w:cs="Arial" w:eastAsia="Arial" w:hAnsi="Arial"/>
                <w:sz w:val="18"/>
                <w:szCs w:val="18"/>
                <w:color w:val="auto"/>
              </w:rPr>
              <w:t>Compensation</w:t>
            </w:r>
          </w:p>
        </w:tc>
        <w:tc>
          <w:tcPr>
            <w:tcW w:w="28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15,000</w:t>
            </w:r>
          </w:p>
        </w:tc>
      </w:tr>
      <w:tr>
        <w:trPr>
          <w:trHeight w:val="229"/>
        </w:trPr>
        <w:tc>
          <w:tcPr>
            <w:tcW w:w="5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Nominating &amp; Corporate Governance</w:t>
            </w:r>
          </w:p>
        </w:tc>
        <w:tc>
          <w:tcPr>
            <w:tcW w:w="28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r>
      <w:tr>
        <w:trPr>
          <w:trHeight w:val="230"/>
        </w:trPr>
        <w:tc>
          <w:tcPr>
            <w:tcW w:w="5620" w:type="dxa"/>
            <w:vAlign w:val="bottom"/>
          </w:tcPr>
          <w:p>
            <w:pPr>
              <w:ind w:left="400"/>
              <w:spacing w:after="0"/>
              <w:rPr>
                <w:sz w:val="20"/>
                <w:szCs w:val="20"/>
                <w:color w:val="auto"/>
              </w:rPr>
            </w:pPr>
            <w:r>
              <w:rPr>
                <w:rFonts w:ascii="Arial" w:cs="Arial" w:eastAsia="Arial" w:hAnsi="Arial"/>
                <w:sz w:val="18"/>
                <w:szCs w:val="18"/>
                <w:color w:val="auto"/>
              </w:rPr>
              <w:t>Audit/Finance</w:t>
            </w:r>
          </w:p>
        </w:tc>
        <w:tc>
          <w:tcPr>
            <w:tcW w:w="28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20,000</w:t>
            </w:r>
          </w:p>
        </w:tc>
      </w:tr>
      <w:tr>
        <w:trPr>
          <w:trHeight w:val="230"/>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Annual committee member retainer (cash)</w:t>
            </w:r>
          </w:p>
        </w:tc>
        <w:tc>
          <w:tcPr>
            <w:tcW w:w="28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620" w:type="dxa"/>
            <w:vAlign w:val="bottom"/>
          </w:tcPr>
          <w:p>
            <w:pPr>
              <w:ind w:left="400"/>
              <w:spacing w:after="0"/>
              <w:rPr>
                <w:sz w:val="20"/>
                <w:szCs w:val="20"/>
                <w:color w:val="auto"/>
              </w:rPr>
            </w:pPr>
            <w:r>
              <w:rPr>
                <w:rFonts w:ascii="Arial" w:cs="Arial" w:eastAsia="Arial" w:hAnsi="Arial"/>
                <w:sz w:val="18"/>
                <w:szCs w:val="18"/>
                <w:color w:val="auto"/>
              </w:rPr>
              <w:t>Compensation</w:t>
            </w:r>
          </w:p>
        </w:tc>
        <w:tc>
          <w:tcPr>
            <w:tcW w:w="28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6,500</w:t>
            </w:r>
          </w:p>
        </w:tc>
      </w:tr>
      <w:tr>
        <w:trPr>
          <w:trHeight w:val="229"/>
        </w:trPr>
        <w:tc>
          <w:tcPr>
            <w:tcW w:w="5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Nominating &amp; Corporate Governance</w:t>
            </w:r>
          </w:p>
        </w:tc>
        <w:tc>
          <w:tcPr>
            <w:tcW w:w="28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r>
      <w:tr>
        <w:trPr>
          <w:trHeight w:val="230"/>
        </w:trPr>
        <w:tc>
          <w:tcPr>
            <w:tcW w:w="5620" w:type="dxa"/>
            <w:vAlign w:val="bottom"/>
          </w:tcPr>
          <w:p>
            <w:pPr>
              <w:ind w:left="400"/>
              <w:spacing w:after="0"/>
              <w:rPr>
                <w:sz w:val="20"/>
                <w:szCs w:val="20"/>
                <w:color w:val="auto"/>
              </w:rPr>
            </w:pPr>
            <w:r>
              <w:rPr>
                <w:rFonts w:ascii="Arial" w:cs="Arial" w:eastAsia="Arial" w:hAnsi="Arial"/>
                <w:sz w:val="18"/>
                <w:szCs w:val="18"/>
                <w:color w:val="auto"/>
              </w:rPr>
              <w:t>Audit/Finance</w:t>
            </w:r>
          </w:p>
        </w:tc>
        <w:tc>
          <w:tcPr>
            <w:tcW w:w="28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10,000</w:t>
            </w:r>
          </w:p>
        </w:tc>
      </w:tr>
      <w:tr>
        <w:trPr>
          <w:trHeight w:val="230"/>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Board Chair retainer</w:t>
            </w:r>
          </w:p>
        </w:tc>
        <w:tc>
          <w:tcPr>
            <w:tcW w:w="28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620" w:type="dxa"/>
            <w:vAlign w:val="bottom"/>
          </w:tcPr>
          <w:p>
            <w:pPr>
              <w:ind w:left="40"/>
              <w:spacing w:after="0" w:line="230" w:lineRule="exact"/>
              <w:rPr>
                <w:sz w:val="20"/>
                <w:szCs w:val="20"/>
                <w:color w:val="auto"/>
              </w:rPr>
            </w:pPr>
            <w:r>
              <w:rPr>
                <w:rFonts w:ascii="Arial" w:cs="Arial" w:eastAsia="Arial" w:hAnsi="Arial"/>
                <w:sz w:val="16"/>
                <w:szCs w:val="16"/>
                <w:color w:val="auto"/>
              </w:rPr>
              <w:t>Total annual Board Chair retainer</w:t>
            </w:r>
            <w:r>
              <w:rPr>
                <w:rFonts w:ascii="Arial" w:cs="Arial" w:eastAsia="Arial" w:hAnsi="Arial"/>
                <w:sz w:val="26"/>
                <w:szCs w:val="26"/>
                <w:color w:val="auto"/>
                <w:vertAlign w:val="superscript"/>
              </w:rPr>
              <w:t>(3)(4)</w:t>
            </w:r>
          </w:p>
        </w:tc>
        <w:tc>
          <w:tcPr>
            <w:tcW w:w="28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250,000</w:t>
            </w:r>
          </w:p>
        </w:tc>
      </w:tr>
      <w:tr>
        <w:trPr>
          <w:trHeight w:val="230"/>
        </w:trPr>
        <w:tc>
          <w:tcPr>
            <w:tcW w:w="5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w:t>
            </w:r>
          </w:p>
        </w:tc>
        <w:tc>
          <w:tcPr>
            <w:tcW w:w="28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120,000</w:t>
            </w:r>
          </w:p>
        </w:tc>
      </w:tr>
      <w:tr>
        <w:trPr>
          <w:trHeight w:val="236"/>
        </w:trPr>
        <w:tc>
          <w:tcPr>
            <w:tcW w:w="56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Stock</w:t>
            </w:r>
          </w:p>
        </w:tc>
        <w:tc>
          <w:tcPr>
            <w:tcW w:w="28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-2348230</wp:posOffset>
            </wp:positionV>
            <wp:extent cx="6069330" cy="23399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69330" cy="2339975"/>
                    </a:xfrm>
                    <a:prstGeom prst="rect">
                      <a:avLst/>
                    </a:prstGeom>
                    <a:noFill/>
                  </pic:spPr>
                </pic:pic>
              </a:graphicData>
            </a:graphic>
          </wp:anchor>
        </w:drawing>
      </w:r>
    </w:p>
    <w:p>
      <w:pPr>
        <w:spacing w:after="0" w:line="93" w:lineRule="exact"/>
        <w:rPr>
          <w:sz w:val="20"/>
          <w:szCs w:val="20"/>
          <w:color w:val="auto"/>
        </w:rPr>
      </w:pPr>
    </w:p>
    <w:p>
      <w:pPr>
        <w:ind w:left="360" w:hanging="355"/>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Director compensation is payable quarterly at the beginning of each quarter.</w:t>
      </w:r>
    </w:p>
    <w:p>
      <w:pPr>
        <w:spacing w:after="0" w:line="109" w:lineRule="exact"/>
        <w:rPr>
          <w:rFonts w:ascii="Arial" w:cs="Arial" w:eastAsia="Arial" w:hAnsi="Arial"/>
          <w:sz w:val="14"/>
          <w:szCs w:val="14"/>
          <w:color w:val="auto"/>
        </w:rPr>
      </w:pPr>
    </w:p>
    <w:p>
      <w:pPr>
        <w:ind w:left="360" w:right="60" w:hanging="355"/>
        <w:spacing w:after="0" w:line="249" w:lineRule="auto"/>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Mr. Mezey served as an employee director until his retirement in 2019, at which time Mr. Deitrich was appointed CEO and to the Board. In accordance with the Company’s Corporate Governance Guiding Principles, our employee directors do not receive any compensation for serving on the Board.</w:t>
      </w:r>
    </w:p>
    <w:p>
      <w:pPr>
        <w:spacing w:after="0" w:line="92" w:lineRule="exact"/>
        <w:rPr>
          <w:rFonts w:ascii="Arial" w:cs="Arial" w:eastAsia="Arial" w:hAnsi="Arial"/>
          <w:sz w:val="14"/>
          <w:szCs w:val="14"/>
          <w:color w:val="auto"/>
        </w:rPr>
      </w:pPr>
    </w:p>
    <w:p>
      <w:pPr>
        <w:ind w:left="360" w:right="380" w:hanging="355"/>
        <w:spacing w:after="0" w:line="258" w:lineRule="auto"/>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 2014, the Board adopted a policy that permits a director age 65 or older to elect to receive all of his or her retainer in cash, provided they continuously meet the stock ownership guidelines described in the following paragraph.</w:t>
      </w:r>
    </w:p>
    <w:p>
      <w:pPr>
        <w:spacing w:after="0" w:line="202"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360" w:hanging="355"/>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Board Chair receives no additional retainers for serving on any of our committees.</w:t>
      </w:r>
    </w:p>
    <w:p>
      <w:pPr>
        <w:spacing w:after="0" w:line="109" w:lineRule="exact"/>
        <w:rPr>
          <w:sz w:val="20"/>
          <w:szCs w:val="20"/>
          <w:color w:val="auto"/>
        </w:rPr>
      </w:pPr>
    </w:p>
    <w:p>
      <w:pPr>
        <w:ind w:left="360" w:hanging="355"/>
        <w:spacing w:after="0" w:line="247" w:lineRule="auto"/>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 2019 and prior years, new non-employee directors received a grant of restricted stock units (RSUs) equal in value to $32,500, which is 50% of the annual cash retainer for directors other than the Board Chair. Upon election to the Board, the non-employee directors’ RSUs vest in equal installments on each of the first three anniversaries of the date of grant. Shares of our common stock and RSUs granted to non-employee directors are issued under our Second Amended and Restated 2010 Stock Incentive Plan (Second A&amp;R 2010 Plan).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Director Compensation Table (for all non-employee Directors)</w:t>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Pension Value</w:t>
            </w: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and</w:t>
            </w: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Nonqualified</w:t>
            </w: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Fees Earned</w:t>
            </w: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9"/>
              </w:rPr>
              <w:t>or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4"/>
                <w:szCs w:val="14"/>
                <w:color w:val="auto"/>
              </w:rPr>
            </w:pPr>
          </w:p>
        </w:tc>
      </w:tr>
      <w:tr>
        <w:trPr>
          <w:trHeight w:val="148"/>
        </w:trPr>
        <w:tc>
          <w:tcPr>
            <w:tcW w:w="19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Paid in Cash</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Awards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Awards</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Compensation</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Earnings</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Compensation</w:t>
            </w:r>
          </w:p>
        </w:tc>
        <w:tc>
          <w:tcPr>
            <w:tcW w:w="780" w:type="dxa"/>
            <w:vAlign w:val="bottom"/>
          </w:tcPr>
          <w:p>
            <w:pPr>
              <w:jc w:val="right"/>
              <w:ind w:right="134"/>
              <w:spacing w:after="0" w:line="149" w:lineRule="exact"/>
              <w:rPr>
                <w:sz w:val="20"/>
                <w:szCs w:val="20"/>
                <w:color w:val="auto"/>
              </w:rPr>
            </w:pPr>
            <w:r>
              <w:rPr>
                <w:rFonts w:ascii="Arial" w:cs="Arial" w:eastAsia="Arial" w:hAnsi="Arial"/>
                <w:sz w:val="14"/>
                <w:szCs w:val="14"/>
                <w:b w:val="1"/>
                <w:bCs w:val="1"/>
                <w:color w:val="auto"/>
              </w:rPr>
              <w:t>Total</w:t>
            </w:r>
          </w:p>
        </w:tc>
      </w:tr>
      <w:tr>
        <w:trPr>
          <w:trHeight w:val="215"/>
        </w:trPr>
        <w:tc>
          <w:tcPr>
            <w:tcW w:w="1920" w:type="dxa"/>
            <w:vAlign w:val="bottom"/>
          </w:tcPr>
          <w:p>
            <w:pPr>
              <w:ind w:left="740"/>
              <w:spacing w:after="0"/>
              <w:rPr>
                <w:sz w:val="20"/>
                <w:szCs w:val="20"/>
                <w:color w:val="auto"/>
              </w:rPr>
            </w:pPr>
            <w:r>
              <w:rPr>
                <w:rFonts w:ascii="Arial" w:cs="Arial" w:eastAsia="Arial" w:hAnsi="Arial"/>
                <w:sz w:val="14"/>
                <w:szCs w:val="14"/>
                <w:b w:val="1"/>
                <w:bCs w:val="1"/>
                <w:color w:val="auto"/>
              </w:rPr>
              <w:t>Name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center"/>
              <w:spacing w:after="0" w:line="216" w:lineRule="exact"/>
              <w:rPr>
                <w:sz w:val="20"/>
                <w:szCs w:val="20"/>
                <w:color w:val="auto"/>
              </w:rPr>
            </w:pPr>
            <w:r>
              <w:rPr>
                <w:rFonts w:ascii="Arial" w:cs="Arial" w:eastAsia="Arial" w:hAnsi="Arial"/>
                <w:sz w:val="24"/>
                <w:szCs w:val="24"/>
                <w:b w:val="1"/>
                <w:bCs w:val="1"/>
                <w:color w:val="auto"/>
                <w:w w:val="97"/>
                <w:vertAlign w:val="subscript"/>
              </w:rPr>
              <w:t>($)</w:t>
            </w:r>
            <w:r>
              <w:rPr>
                <w:rFonts w:ascii="Arial" w:cs="Arial" w:eastAsia="Arial" w:hAnsi="Arial"/>
                <w:sz w:val="11"/>
                <w:szCs w:val="11"/>
                <w:b w:val="1"/>
                <w:bCs w:val="1"/>
                <w:color w:val="auto"/>
                <w:w w:val="97"/>
              </w:rPr>
              <w:t>(12)</w:t>
            </w:r>
          </w:p>
        </w:tc>
        <w:tc>
          <w:tcPr>
            <w:tcW w:w="760" w:type="dxa"/>
            <w:vAlign w:val="bottom"/>
          </w:tcPr>
          <w:p>
            <w:pPr>
              <w:jc w:val="center"/>
              <w:spacing w:after="0" w:line="216" w:lineRule="exact"/>
              <w:rPr>
                <w:sz w:val="20"/>
                <w:szCs w:val="20"/>
                <w:color w:val="auto"/>
              </w:rPr>
            </w:pPr>
            <w:r>
              <w:rPr>
                <w:rFonts w:ascii="Arial" w:cs="Arial" w:eastAsia="Arial" w:hAnsi="Arial"/>
                <w:sz w:val="24"/>
                <w:szCs w:val="24"/>
                <w:b w:val="1"/>
                <w:bCs w:val="1"/>
                <w:color w:val="auto"/>
                <w:w w:val="97"/>
                <w:vertAlign w:val="subscript"/>
              </w:rPr>
              <w:t>($)</w:t>
            </w:r>
            <w:r>
              <w:rPr>
                <w:rFonts w:ascii="Arial" w:cs="Arial" w:eastAsia="Arial" w:hAnsi="Arial"/>
                <w:sz w:val="11"/>
                <w:szCs w:val="11"/>
                <w:b w:val="1"/>
                <w:bCs w:val="1"/>
                <w:color w:val="auto"/>
                <w:w w:val="97"/>
              </w:rPr>
              <w:t>(13)</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center"/>
              <w:ind w:right="15"/>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w:t>
            </w:r>
          </w:p>
        </w:tc>
      </w:tr>
      <w:tr>
        <w:trPr>
          <w:trHeight w:val="229"/>
        </w:trPr>
        <w:tc>
          <w:tcPr>
            <w:tcW w:w="1920" w:type="dxa"/>
            <w:vAlign w:val="bottom"/>
          </w:tcPr>
          <w:p>
            <w:pPr>
              <w:spacing w:after="0" w:line="230" w:lineRule="exact"/>
              <w:rPr>
                <w:sz w:val="20"/>
                <w:szCs w:val="20"/>
                <w:color w:val="auto"/>
              </w:rPr>
            </w:pPr>
            <w:r>
              <w:rPr>
                <w:rFonts w:ascii="Arial" w:cs="Arial" w:eastAsia="Arial" w:hAnsi="Arial"/>
                <w:sz w:val="16"/>
                <w:szCs w:val="16"/>
                <w:color w:val="auto"/>
              </w:rPr>
              <w:t>Thomas Glanville</w:t>
            </w:r>
            <w:r>
              <w:rPr>
                <w:rFonts w:ascii="Arial" w:cs="Arial" w:eastAsia="Arial" w:hAnsi="Arial"/>
                <w:sz w:val="26"/>
                <w:szCs w:val="26"/>
                <w:color w:val="auto"/>
                <w:vertAlign w:val="superscript"/>
              </w:rPr>
              <w:t>(1)</w:t>
            </w:r>
          </w:p>
        </w:tc>
        <w:tc>
          <w:tcPr>
            <w:tcW w:w="1320" w:type="dxa"/>
            <w:vAlign w:val="bottom"/>
          </w:tcPr>
          <w:p>
            <w:pPr>
              <w:jc w:val="right"/>
              <w:ind w:right="76"/>
              <w:spacing w:after="0"/>
              <w:rPr>
                <w:sz w:val="20"/>
                <w:szCs w:val="20"/>
                <w:color w:val="auto"/>
              </w:rPr>
            </w:pPr>
            <w:r>
              <w:rPr>
                <w:rFonts w:ascii="Arial" w:cs="Arial" w:eastAsia="Arial" w:hAnsi="Arial"/>
                <w:sz w:val="18"/>
                <w:szCs w:val="18"/>
                <w:color w:val="auto"/>
              </w:rPr>
              <w:t>85,000</w:t>
            </w: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99,935</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1260" w:type="dxa"/>
            <w:vAlign w:val="bottom"/>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1280" w:type="dxa"/>
            <w:vAlign w:val="bottom"/>
          </w:tcPr>
          <w:p>
            <w:pPr>
              <w:ind w:left="9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184,935</w:t>
            </w:r>
          </w:p>
        </w:tc>
      </w:tr>
      <w:tr>
        <w:trPr>
          <w:trHeight w:val="229"/>
        </w:trPr>
        <w:tc>
          <w:tcPr>
            <w:tcW w:w="1920" w:type="dxa"/>
            <w:vAlign w:val="bottom"/>
          </w:tcPr>
          <w:p>
            <w:pPr>
              <w:spacing w:after="0" w:line="230" w:lineRule="exact"/>
              <w:rPr>
                <w:sz w:val="20"/>
                <w:szCs w:val="20"/>
                <w:color w:val="auto"/>
              </w:rPr>
            </w:pPr>
            <w:r>
              <w:rPr>
                <w:rFonts w:ascii="Arial" w:cs="Arial" w:eastAsia="Arial" w:hAnsi="Arial"/>
                <w:sz w:val="16"/>
                <w:szCs w:val="16"/>
                <w:color w:val="auto"/>
              </w:rPr>
              <w:t>Frank Jaehnert</w:t>
            </w:r>
            <w:r>
              <w:rPr>
                <w:rFonts w:ascii="Arial" w:cs="Arial" w:eastAsia="Arial" w:hAnsi="Arial"/>
                <w:sz w:val="26"/>
                <w:szCs w:val="26"/>
                <w:color w:val="auto"/>
                <w:vertAlign w:val="superscript"/>
              </w:rPr>
              <w:t>(2)(3)</w:t>
            </w:r>
          </w:p>
        </w:tc>
        <w:tc>
          <w:tcPr>
            <w:tcW w:w="1320" w:type="dxa"/>
            <w:vAlign w:val="bottom"/>
          </w:tcPr>
          <w:p>
            <w:pPr>
              <w:jc w:val="right"/>
              <w:ind w:right="76"/>
              <w:spacing w:after="0"/>
              <w:rPr>
                <w:sz w:val="20"/>
                <w:szCs w:val="20"/>
                <w:color w:val="auto"/>
              </w:rPr>
            </w:pPr>
            <w:r>
              <w:rPr>
                <w:rFonts w:ascii="Arial" w:cs="Arial" w:eastAsia="Arial" w:hAnsi="Arial"/>
                <w:sz w:val="18"/>
                <w:szCs w:val="18"/>
                <w:color w:val="auto"/>
              </w:rPr>
              <w:t>86,500</w:t>
            </w: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99,935</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1260" w:type="dxa"/>
            <w:vAlign w:val="bottom"/>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1280" w:type="dxa"/>
            <w:vAlign w:val="bottom"/>
          </w:tcPr>
          <w:p>
            <w:pPr>
              <w:ind w:left="9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186,435</w:t>
            </w:r>
          </w:p>
        </w:tc>
      </w:tr>
      <w:tr>
        <w:trPr>
          <w:trHeight w:val="230"/>
        </w:trPr>
        <w:tc>
          <w:tcPr>
            <w:tcW w:w="1920" w:type="dxa"/>
            <w:vAlign w:val="bottom"/>
          </w:tcPr>
          <w:p>
            <w:pPr>
              <w:spacing w:after="0" w:line="230" w:lineRule="exact"/>
              <w:rPr>
                <w:sz w:val="20"/>
                <w:szCs w:val="20"/>
                <w:color w:val="auto"/>
              </w:rPr>
            </w:pPr>
            <w:r>
              <w:rPr>
                <w:rFonts w:ascii="Arial" w:cs="Arial" w:eastAsia="Arial" w:hAnsi="Arial"/>
                <w:sz w:val="16"/>
                <w:szCs w:val="16"/>
                <w:color w:val="auto"/>
              </w:rPr>
              <w:t>Jerome Lande</w:t>
            </w:r>
            <w:r>
              <w:rPr>
                <w:rFonts w:ascii="Arial" w:cs="Arial" w:eastAsia="Arial" w:hAnsi="Arial"/>
                <w:sz w:val="26"/>
                <w:szCs w:val="26"/>
                <w:color w:val="auto"/>
                <w:vertAlign w:val="superscript"/>
              </w:rPr>
              <w:t>(4)(5)(6)</w:t>
            </w:r>
          </w:p>
        </w:tc>
        <w:tc>
          <w:tcPr>
            <w:tcW w:w="1320" w:type="dxa"/>
            <w:vAlign w:val="bottom"/>
          </w:tcPr>
          <w:p>
            <w:pPr>
              <w:jc w:val="right"/>
              <w:ind w:right="76"/>
              <w:spacing w:after="0"/>
              <w:rPr>
                <w:sz w:val="20"/>
                <w:szCs w:val="20"/>
                <w:color w:val="auto"/>
              </w:rPr>
            </w:pPr>
            <w:r>
              <w:rPr>
                <w:rFonts w:ascii="Arial" w:cs="Arial" w:eastAsia="Arial" w:hAnsi="Arial"/>
                <w:sz w:val="18"/>
                <w:szCs w:val="18"/>
                <w:color w:val="auto"/>
              </w:rPr>
              <w:t>75,000</w:t>
            </w: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1260" w:type="dxa"/>
            <w:vAlign w:val="bottom"/>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1280" w:type="dxa"/>
            <w:vAlign w:val="bottom"/>
          </w:tcPr>
          <w:p>
            <w:pPr>
              <w:ind w:left="9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75,000</w:t>
            </w:r>
          </w:p>
        </w:tc>
      </w:tr>
      <w:tr>
        <w:trPr>
          <w:trHeight w:val="229"/>
        </w:trPr>
        <w:tc>
          <w:tcPr>
            <w:tcW w:w="1920" w:type="dxa"/>
            <w:vAlign w:val="bottom"/>
          </w:tcPr>
          <w:p>
            <w:pPr>
              <w:spacing w:after="0" w:line="230" w:lineRule="exact"/>
              <w:rPr>
                <w:sz w:val="20"/>
                <w:szCs w:val="20"/>
                <w:color w:val="auto"/>
              </w:rPr>
            </w:pPr>
            <w:r>
              <w:rPr>
                <w:rFonts w:ascii="Arial" w:cs="Arial" w:eastAsia="Arial" w:hAnsi="Arial"/>
                <w:sz w:val="16"/>
                <w:szCs w:val="16"/>
                <w:color w:val="auto"/>
              </w:rPr>
              <w:t>Timothy Leyden</w:t>
            </w:r>
            <w:r>
              <w:rPr>
                <w:rFonts w:ascii="Arial" w:cs="Arial" w:eastAsia="Arial" w:hAnsi="Arial"/>
                <w:sz w:val="26"/>
                <w:szCs w:val="26"/>
                <w:color w:val="auto"/>
                <w:vertAlign w:val="superscript"/>
              </w:rPr>
              <w:t>(4)</w:t>
            </w:r>
          </w:p>
        </w:tc>
        <w:tc>
          <w:tcPr>
            <w:tcW w:w="1320" w:type="dxa"/>
            <w:vAlign w:val="bottom"/>
          </w:tcPr>
          <w:p>
            <w:pPr>
              <w:jc w:val="right"/>
              <w:ind w:right="76"/>
              <w:spacing w:after="0"/>
              <w:rPr>
                <w:sz w:val="20"/>
                <w:szCs w:val="20"/>
                <w:color w:val="auto"/>
              </w:rPr>
            </w:pPr>
            <w:r>
              <w:rPr>
                <w:rFonts w:ascii="Arial" w:cs="Arial" w:eastAsia="Arial" w:hAnsi="Arial"/>
                <w:sz w:val="18"/>
                <w:szCs w:val="18"/>
                <w:color w:val="auto"/>
              </w:rPr>
              <w:t>75,000</w:t>
            </w: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99,935</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1260" w:type="dxa"/>
            <w:vAlign w:val="bottom"/>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1280" w:type="dxa"/>
            <w:vAlign w:val="bottom"/>
          </w:tcPr>
          <w:p>
            <w:pPr>
              <w:ind w:left="9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174,935</w:t>
            </w:r>
          </w:p>
        </w:tc>
      </w:tr>
      <w:tr>
        <w:trPr>
          <w:trHeight w:val="229"/>
        </w:trPr>
        <w:tc>
          <w:tcPr>
            <w:tcW w:w="1920" w:type="dxa"/>
            <w:vAlign w:val="bottom"/>
          </w:tcPr>
          <w:p>
            <w:pPr>
              <w:spacing w:after="0" w:line="230" w:lineRule="exact"/>
              <w:rPr>
                <w:sz w:val="20"/>
                <w:szCs w:val="20"/>
                <w:color w:val="auto"/>
              </w:rPr>
            </w:pPr>
            <w:r>
              <w:rPr>
                <w:rFonts w:ascii="Arial" w:cs="Arial" w:eastAsia="Arial" w:hAnsi="Arial"/>
                <w:sz w:val="16"/>
                <w:szCs w:val="16"/>
                <w:color w:val="auto"/>
              </w:rPr>
              <w:t>Daniel Pelino</w:t>
            </w:r>
            <w:r>
              <w:rPr>
                <w:rFonts w:ascii="Arial" w:cs="Arial" w:eastAsia="Arial" w:hAnsi="Arial"/>
                <w:sz w:val="26"/>
                <w:szCs w:val="26"/>
                <w:color w:val="auto"/>
                <w:vertAlign w:val="superscript"/>
              </w:rPr>
              <w:t>(2)(7)</w:t>
            </w:r>
          </w:p>
        </w:tc>
        <w:tc>
          <w:tcPr>
            <w:tcW w:w="1320" w:type="dxa"/>
            <w:vAlign w:val="bottom"/>
          </w:tcPr>
          <w:p>
            <w:pPr>
              <w:jc w:val="right"/>
              <w:ind w:right="76"/>
              <w:spacing w:after="0"/>
              <w:rPr>
                <w:sz w:val="20"/>
                <w:szCs w:val="20"/>
                <w:color w:val="auto"/>
              </w:rPr>
            </w:pPr>
            <w:r>
              <w:rPr>
                <w:rFonts w:ascii="Arial" w:cs="Arial" w:eastAsia="Arial" w:hAnsi="Arial"/>
                <w:sz w:val="18"/>
                <w:szCs w:val="18"/>
                <w:color w:val="auto"/>
              </w:rPr>
              <w:t>76,500</w:t>
            </w: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99,935</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1260" w:type="dxa"/>
            <w:vAlign w:val="bottom"/>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1280" w:type="dxa"/>
            <w:vAlign w:val="bottom"/>
          </w:tcPr>
          <w:p>
            <w:pPr>
              <w:ind w:left="9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176,435</w:t>
            </w:r>
          </w:p>
        </w:tc>
      </w:tr>
      <w:tr>
        <w:trPr>
          <w:trHeight w:val="230"/>
        </w:trPr>
        <w:tc>
          <w:tcPr>
            <w:tcW w:w="1920" w:type="dxa"/>
            <w:vAlign w:val="bottom"/>
          </w:tcPr>
          <w:p>
            <w:pPr>
              <w:spacing w:after="0" w:line="230" w:lineRule="exact"/>
              <w:rPr>
                <w:sz w:val="20"/>
                <w:szCs w:val="20"/>
                <w:color w:val="auto"/>
              </w:rPr>
            </w:pPr>
            <w:r>
              <w:rPr>
                <w:rFonts w:ascii="Arial" w:cs="Arial" w:eastAsia="Arial" w:hAnsi="Arial"/>
                <w:sz w:val="16"/>
                <w:szCs w:val="16"/>
                <w:color w:val="auto"/>
              </w:rPr>
              <w:t>Gary Pruitt</w:t>
            </w:r>
            <w:r>
              <w:rPr>
                <w:rFonts w:ascii="Arial" w:cs="Arial" w:eastAsia="Arial" w:hAnsi="Arial"/>
                <w:sz w:val="26"/>
                <w:szCs w:val="26"/>
                <w:color w:val="auto"/>
                <w:vertAlign w:val="superscript"/>
              </w:rPr>
              <w:t>(4)(8)</w:t>
            </w:r>
          </w:p>
        </w:tc>
        <w:tc>
          <w:tcPr>
            <w:tcW w:w="1320" w:type="dxa"/>
            <w:vAlign w:val="bottom"/>
          </w:tcPr>
          <w:p>
            <w:pPr>
              <w:jc w:val="right"/>
              <w:ind w:right="76"/>
              <w:spacing w:after="0"/>
              <w:rPr>
                <w:sz w:val="20"/>
                <w:szCs w:val="20"/>
                <w:color w:val="auto"/>
              </w:rPr>
            </w:pPr>
            <w:r>
              <w:rPr>
                <w:rFonts w:ascii="Arial" w:cs="Arial" w:eastAsia="Arial" w:hAnsi="Arial"/>
                <w:sz w:val="18"/>
                <w:szCs w:val="18"/>
                <w:color w:val="auto"/>
              </w:rPr>
              <w:t>175,000</w:t>
            </w: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1260" w:type="dxa"/>
            <w:vAlign w:val="bottom"/>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1280" w:type="dxa"/>
            <w:vAlign w:val="bottom"/>
          </w:tcPr>
          <w:p>
            <w:pPr>
              <w:ind w:left="9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175,000</w:t>
            </w:r>
          </w:p>
        </w:tc>
      </w:tr>
      <w:tr>
        <w:trPr>
          <w:trHeight w:val="229"/>
        </w:trPr>
        <w:tc>
          <w:tcPr>
            <w:tcW w:w="1920" w:type="dxa"/>
            <w:vAlign w:val="bottom"/>
          </w:tcPr>
          <w:p>
            <w:pPr>
              <w:spacing w:after="0" w:line="230" w:lineRule="exact"/>
              <w:rPr>
                <w:sz w:val="20"/>
                <w:szCs w:val="20"/>
                <w:color w:val="auto"/>
              </w:rPr>
            </w:pPr>
            <w:r>
              <w:rPr>
                <w:rFonts w:ascii="Arial" w:cs="Arial" w:eastAsia="Arial" w:hAnsi="Arial"/>
                <w:sz w:val="16"/>
                <w:szCs w:val="16"/>
                <w:color w:val="auto"/>
              </w:rPr>
              <w:t>Diana Tremblay</w:t>
            </w:r>
            <w:r>
              <w:rPr>
                <w:rFonts w:ascii="Arial" w:cs="Arial" w:eastAsia="Arial" w:hAnsi="Arial"/>
                <w:sz w:val="26"/>
                <w:szCs w:val="26"/>
                <w:color w:val="auto"/>
                <w:vertAlign w:val="superscript"/>
              </w:rPr>
              <w:t>(9)</w:t>
            </w:r>
          </w:p>
        </w:tc>
        <w:tc>
          <w:tcPr>
            <w:tcW w:w="1320" w:type="dxa"/>
            <w:vAlign w:val="bottom"/>
          </w:tcPr>
          <w:p>
            <w:pPr>
              <w:jc w:val="right"/>
              <w:ind w:right="76"/>
              <w:spacing w:after="0"/>
              <w:rPr>
                <w:sz w:val="20"/>
                <w:szCs w:val="20"/>
                <w:color w:val="auto"/>
              </w:rPr>
            </w:pPr>
            <w:r>
              <w:rPr>
                <w:rFonts w:ascii="Arial" w:cs="Arial" w:eastAsia="Arial" w:hAnsi="Arial"/>
                <w:sz w:val="18"/>
                <w:szCs w:val="18"/>
                <w:color w:val="auto"/>
              </w:rPr>
              <w:t>80,000</w:t>
            </w: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99,935</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1260" w:type="dxa"/>
            <w:vAlign w:val="bottom"/>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1280" w:type="dxa"/>
            <w:vAlign w:val="bottom"/>
          </w:tcPr>
          <w:p>
            <w:pPr>
              <w:ind w:left="9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179,935</w:t>
            </w:r>
          </w:p>
        </w:tc>
      </w:tr>
      <w:tr>
        <w:trPr>
          <w:trHeight w:val="383"/>
        </w:trPr>
        <w:tc>
          <w:tcPr>
            <w:tcW w:w="1920" w:type="dxa"/>
            <w:vAlign w:val="bottom"/>
          </w:tcPr>
          <w:p>
            <w:pPr>
              <w:spacing w:after="0"/>
              <w:rPr>
                <w:sz w:val="20"/>
                <w:szCs w:val="20"/>
                <w:color w:val="auto"/>
              </w:rPr>
            </w:pPr>
            <w:r>
              <w:rPr>
                <w:rFonts w:ascii="Arial" w:cs="Arial" w:eastAsia="Arial" w:hAnsi="Arial"/>
                <w:sz w:val="18"/>
                <w:szCs w:val="18"/>
                <w:color w:val="auto"/>
              </w:rPr>
              <w:t>Lynda Ziegler</w:t>
            </w:r>
            <w:r>
              <w:rPr>
                <w:rFonts w:ascii="Arial" w:cs="Arial" w:eastAsia="Arial" w:hAnsi="Arial"/>
                <w:sz w:val="29"/>
                <w:szCs w:val="29"/>
                <w:color w:val="auto"/>
                <w:vertAlign w:val="superscript"/>
              </w:rPr>
              <w:t>(10)(11)</w:t>
            </w:r>
          </w:p>
        </w:tc>
        <w:tc>
          <w:tcPr>
            <w:tcW w:w="1320" w:type="dxa"/>
            <w:vAlign w:val="bottom"/>
          </w:tcPr>
          <w:p>
            <w:pPr>
              <w:jc w:val="right"/>
              <w:ind w:right="76"/>
              <w:spacing w:after="0"/>
              <w:rPr>
                <w:sz w:val="20"/>
                <w:szCs w:val="20"/>
                <w:color w:val="auto"/>
              </w:rPr>
            </w:pPr>
            <w:r>
              <w:rPr>
                <w:rFonts w:ascii="Arial" w:cs="Arial" w:eastAsia="Arial" w:hAnsi="Arial"/>
                <w:sz w:val="18"/>
                <w:szCs w:val="18"/>
                <w:color w:val="auto"/>
              </w:rPr>
              <w:t>120,000</w:t>
            </w: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129,919</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1260" w:type="dxa"/>
            <w:vAlign w:val="bottom"/>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1280" w:type="dxa"/>
            <w:vAlign w:val="bottom"/>
          </w:tcPr>
          <w:p>
            <w:pPr>
              <w:ind w:left="9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249,919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-1279525</wp:posOffset>
            </wp:positionV>
            <wp:extent cx="6069330" cy="131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69330" cy="1311910"/>
                    </a:xfrm>
                    <a:prstGeom prst="rect">
                      <a:avLst/>
                    </a:prstGeom>
                    <a:noFill/>
                  </pic:spPr>
                </pic:pic>
              </a:graphicData>
            </a:graphic>
          </wp:anchor>
        </w:drawing>
      </w:r>
    </w:p>
    <w:p>
      <w:pPr>
        <w:spacing w:after="0" w:line="142" w:lineRule="exact"/>
        <w:rPr>
          <w:sz w:val="20"/>
          <w:szCs w:val="20"/>
          <w:color w:val="auto"/>
        </w:rPr>
      </w:pPr>
    </w:p>
    <w:p>
      <w:pPr>
        <w:ind w:left="360" w:hanging="355"/>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Chair of the Audit/Finance Committee.</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Chair of the Nominating and Corporate Governance Committee.</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Member of the Audit/Finance Committee.</w:t>
      </w:r>
    </w:p>
    <w:p>
      <w:pPr>
        <w:spacing w:after="0" w:line="109" w:lineRule="exact"/>
        <w:rPr>
          <w:rFonts w:ascii="Arial" w:cs="Arial" w:eastAsia="Arial" w:hAnsi="Arial"/>
          <w:sz w:val="14"/>
          <w:szCs w:val="14"/>
          <w:color w:val="auto"/>
        </w:rPr>
      </w:pPr>
    </w:p>
    <w:p>
      <w:pPr>
        <w:ind w:left="360" w:right="500" w:hanging="355"/>
        <w:spacing w:after="0" w:line="258" w:lineRule="auto"/>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Mr. Lande was initially appointed to the Board pursuant to a cooperation agreement with Coppersmith Capital Management, LLC, Scopia Management, Inc., and Jerome J. Lande.</w:t>
      </w:r>
    </w:p>
    <w:p>
      <w:pPr>
        <w:spacing w:after="0" w:line="85" w:lineRule="exact"/>
        <w:rPr>
          <w:rFonts w:ascii="Arial" w:cs="Arial" w:eastAsia="Arial" w:hAnsi="Arial"/>
          <w:sz w:val="14"/>
          <w:szCs w:val="14"/>
          <w:color w:val="auto"/>
        </w:rPr>
      </w:pPr>
    </w:p>
    <w:p>
      <w:pPr>
        <w:ind w:left="360" w:hanging="355"/>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Mr. Lande waived equity grants and his cash retainers were paid directly to Scopia Capital Management LP.</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Mr. Pruitt elected to receive his 2019 equity awards in cash.</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Chair of the Compensation Committee.</w:t>
      </w:r>
    </w:p>
    <w:p>
      <w:pPr>
        <w:spacing w:after="0" w:line="109" w:lineRule="exact"/>
        <w:rPr>
          <w:rFonts w:ascii="Arial" w:cs="Arial" w:eastAsia="Arial" w:hAnsi="Arial"/>
          <w:sz w:val="14"/>
          <w:szCs w:val="14"/>
          <w:color w:val="auto"/>
        </w:rPr>
      </w:pPr>
    </w:p>
    <w:p>
      <w:pPr>
        <w:ind w:left="360" w:right="280" w:hanging="355"/>
        <w:spacing w:after="0" w:line="258" w:lineRule="auto"/>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Ms. Ziegler served as a member of the Nominating and Corporate Governance Committee, but was not compensated for her service on that committee.</w:t>
      </w:r>
    </w:p>
    <w:p>
      <w:pPr>
        <w:spacing w:after="0" w:line="85" w:lineRule="exact"/>
        <w:rPr>
          <w:rFonts w:ascii="Arial" w:cs="Arial" w:eastAsia="Arial" w:hAnsi="Arial"/>
          <w:sz w:val="14"/>
          <w:szCs w:val="14"/>
          <w:color w:val="auto"/>
        </w:rPr>
      </w:pPr>
    </w:p>
    <w:p>
      <w:pPr>
        <w:ind w:left="360" w:hanging="355"/>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Board Chair.</w:t>
      </w:r>
    </w:p>
    <w:p>
      <w:pPr>
        <w:spacing w:after="0" w:line="109" w:lineRule="exact"/>
        <w:rPr>
          <w:rFonts w:ascii="Arial" w:cs="Arial" w:eastAsia="Arial" w:hAnsi="Arial"/>
          <w:sz w:val="14"/>
          <w:szCs w:val="14"/>
          <w:color w:val="auto"/>
        </w:rPr>
      </w:pPr>
    </w:p>
    <w:p>
      <w:pPr>
        <w:ind w:left="360" w:right="180" w:hanging="355"/>
        <w:spacing w:after="0" w:line="258" w:lineRule="auto"/>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amounts in this column reflect the aggregate grant date fair value of the awards determined in accordance with Financial Accounting Standards Board Accounting Standards Codification Topic 718 (FASB ASC Topic 718). Quarterly retainer grants to directors vest immediately.</w:t>
      </w:r>
    </w:p>
    <w:p>
      <w:pPr>
        <w:spacing w:after="0" w:line="85" w:lineRule="exact"/>
        <w:rPr>
          <w:rFonts w:ascii="Arial" w:cs="Arial" w:eastAsia="Arial" w:hAnsi="Arial"/>
          <w:sz w:val="14"/>
          <w:szCs w:val="14"/>
          <w:color w:val="auto"/>
        </w:rPr>
      </w:pPr>
    </w:p>
    <w:p>
      <w:pPr>
        <w:ind w:left="360" w:hanging="355"/>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No options were granted to non-employee directors in 2019.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Since 2006, we have maintained stock ownership guidelines for our non-employee directors. We expect our directors to accumulate shares equal to five times their annual cash retainer within five years from their initial appointment or election as a director, or to be making progress towards meeting the guidelines. Based on 2019 director compensation, for our Board Chair that equates to a value of $600,000, and for the other directors, it equates to a value of $325,000. All of our non-employee directors currently comply with these ownership guidelines.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2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Pursuant to the Company’s Amended and Restated Executive Deferred Compensation Plan dated January 1, 2012, our non-employee directors are eligible to participate in that plan and may defer into a nonqualified account up to 100% of any director fees and 100% of any shares of common stock that he or she anticipates receiving.</w:t>
      </w:r>
    </w:p>
    <w:p>
      <w:pPr>
        <w:spacing w:after="0" w:line="21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288925</wp:posOffset>
            </wp:positionV>
            <wp:extent cx="606933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 of the Board of Directors</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leadership of our Board is managed by our Board Chair. Our Corporate Governance Guiding Principles (Governance Principles) generally require the role of Board Chair to be held by an independent director who meets the independence requirements of the Nasdaq Stock Market. The Board believes having separate roles of Board Chair and CEO allows for a more balanced workload between the Board Chair and the CEO, especially in light of the current duties and responsibilities of the Board Chair, which include the following:</w:t>
      </w:r>
    </w:p>
    <w:p>
      <w:pPr>
        <w:spacing w:after="0" w:line="97" w:lineRule="exact"/>
        <w:rPr>
          <w:sz w:val="20"/>
          <w:szCs w:val="20"/>
          <w:color w:val="auto"/>
        </w:rPr>
      </w:pPr>
    </w:p>
    <w:p>
      <w:pPr>
        <w:ind w:left="700" w:right="700" w:hanging="344"/>
        <w:spacing w:after="0" w:line="246"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Preside over all meetings of the Board (including executive sessions of the Board) and meetings of the shareholders;</w:t>
      </w:r>
    </w:p>
    <w:p>
      <w:pPr>
        <w:spacing w:after="0" w:line="88" w:lineRule="exact"/>
        <w:rPr>
          <w:rFonts w:ascii="Arial" w:cs="Arial" w:eastAsia="Arial" w:hAnsi="Arial"/>
          <w:sz w:val="18"/>
          <w:szCs w:val="18"/>
          <w:color w:val="auto"/>
        </w:rPr>
      </w:pPr>
    </w:p>
    <w:p>
      <w:pPr>
        <w:ind w:left="700" w:hanging="344"/>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the agendas of each Board and committee meeting;</w:t>
      </w:r>
    </w:p>
    <w:p>
      <w:pPr>
        <w:spacing w:after="0" w:line="103" w:lineRule="exact"/>
        <w:rPr>
          <w:rFonts w:ascii="Arial" w:cs="Arial" w:eastAsia="Arial" w:hAnsi="Arial"/>
          <w:sz w:val="18"/>
          <w:szCs w:val="18"/>
          <w:color w:val="auto"/>
        </w:rPr>
      </w:pPr>
    </w:p>
    <w:p>
      <w:pPr>
        <w:ind w:left="700" w:hanging="344"/>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Prepare agendas as needed for executive sessions of the independent directors;</w:t>
      </w:r>
    </w:p>
    <w:p>
      <w:pPr>
        <w:spacing w:after="0" w:line="103" w:lineRule="exact"/>
        <w:rPr>
          <w:rFonts w:ascii="Arial" w:cs="Arial" w:eastAsia="Arial" w:hAnsi="Arial"/>
          <w:sz w:val="18"/>
          <w:szCs w:val="18"/>
          <w:color w:val="auto"/>
        </w:rPr>
      </w:pPr>
    </w:p>
    <w:p>
      <w:pPr>
        <w:ind w:left="700" w:hanging="344"/>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Serve as a liaison between the independent directors and the CEO;</w:t>
      </w:r>
    </w:p>
    <w:p>
      <w:pPr>
        <w:spacing w:after="0" w:line="103" w:lineRule="exact"/>
        <w:rPr>
          <w:rFonts w:ascii="Arial" w:cs="Arial" w:eastAsia="Arial" w:hAnsi="Arial"/>
          <w:sz w:val="18"/>
          <w:szCs w:val="18"/>
          <w:color w:val="auto"/>
        </w:rPr>
      </w:pPr>
    </w:p>
    <w:p>
      <w:pPr>
        <w:jc w:val="both"/>
        <w:ind w:left="700" w:right="840" w:hanging="344"/>
        <w:spacing w:after="0" w:line="274" w:lineRule="auto"/>
        <w:tabs>
          <w:tab w:leader="none" w:pos="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consultation with the CEO, make recommendations to the Nominating and Corporate Governance Committee as to membership of Board committees and appointment of Board committee Chairs; and</w:t>
      </w:r>
    </w:p>
    <w:p>
      <w:pPr>
        <w:spacing w:after="0" w:line="66" w:lineRule="exact"/>
        <w:rPr>
          <w:rFonts w:ascii="Arial" w:cs="Arial" w:eastAsia="Arial" w:hAnsi="Arial"/>
          <w:sz w:val="17"/>
          <w:szCs w:val="17"/>
          <w:color w:val="auto"/>
        </w:rPr>
      </w:pPr>
    </w:p>
    <w:p>
      <w:pPr>
        <w:ind w:left="700" w:hanging="344"/>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Perform such other duties as the Board may require.</w:t>
      </w:r>
    </w:p>
    <w:p>
      <w:pPr>
        <w:spacing w:after="0" w:line="18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Pursuant to the Governance Principles, the Board Chair must be an independent director unless the Board determines that the best interests of shareholders would otherwise be better served. The Board Chair is elected by a majority of the members of the Board following the annual meeting of shareholders (or at such other time as a vacancy for the role of Board Chair may occur). The Board Chair serves for a term of three years (provided such director is re-elected by shareholders if his or her term as a director does not coincide with his or her term as Board Chair). The Board Chair may not serve more than two consecutive terms, unless the Board approves an extended term. Our current Chair, Lynda L. Zeigler, is serving her second term that will expire at the 2022 annual meeting.</w:t>
      </w:r>
    </w:p>
    <w:p>
      <w:pPr>
        <w:spacing w:after="0" w:line="16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If the Board determines that it is in the best interests of the shareholders to combine the roles of CEO and Board Chair, the Board will appoint a Lead Independent Director with the duties set forth in the Governance Principles.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Guiding Principles</w:t>
      </w:r>
    </w:p>
    <w:p>
      <w:pPr>
        <w:spacing w:after="0" w:line="189" w:lineRule="exact"/>
        <w:rPr>
          <w:sz w:val="20"/>
          <w:szCs w:val="20"/>
          <w:color w:val="auto"/>
        </w:rPr>
      </w:pPr>
    </w:p>
    <w:p>
      <w:pPr>
        <w:ind w:right="900"/>
        <w:spacing w:after="0" w:line="282" w:lineRule="auto"/>
        <w:rPr>
          <w:sz w:val="20"/>
          <w:szCs w:val="20"/>
          <w:color w:val="auto"/>
        </w:rPr>
      </w:pPr>
      <w:r>
        <w:rPr>
          <w:rFonts w:ascii="Arial" w:cs="Arial" w:eastAsia="Arial" w:hAnsi="Arial"/>
          <w:sz w:val="18"/>
          <w:szCs w:val="18"/>
          <w:color w:val="auto"/>
        </w:rPr>
        <w:t xml:space="preserve">The Company’s Governance Principles are available on the Company’s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“Investors” and then “Corporate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Matters – Meeting Attendance</w:t>
      </w:r>
    </w:p>
    <w:p>
      <w:pPr>
        <w:spacing w:after="0" w:line="1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business, property, and affairs are managed under the oversight of our Board. Members of our Board are kept informed of our business through discussions with our CEO and other officers, by reviewing materials provided to them, by visiting our offices, and by participating in meetings of the Board and its committees.</w:t>
      </w:r>
    </w:p>
    <w:p>
      <w:pPr>
        <w:spacing w:after="0" w:line="17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In accordance with our Governance Principles, directors are expected to attend the Company’s annual meeting of shareholders. All our directors attended the 2019 annual meeting of shareholders in person. During 2019, the Board met eleven times. All the directors attended at least 75% of the meetings of the Board and committees on which he or she served. Also, in accordance with our Governance Principles, our independent directors meet in an executive session as often as necessary, but no less than two times annually.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common stock is listed on the Nasdaq Stock Market stock exchange (Nasdaq). 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be independent. Under the rules of Nasdaq, a director will only</w:t>
      </w:r>
    </w:p>
    <w:p>
      <w:pPr>
        <w:spacing w:after="0" w:line="217"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qualify as an “independent director” if that company’s board of directors determines that the person does not have a relationship that would interfere with the exercise of independent judgment in carrying out the responsibilities of a director.</w:t>
      </w:r>
    </w:p>
    <w:p>
      <w:pPr>
        <w:spacing w:after="0" w:line="22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As recommended by the Nominating and Corporate Governance Committee, the Board has determined that a majority of our Board are independent directors as defined under the rules of Nasdaq and the SEC, with Mr. Deitrich serving as the sole non-independent director. As Mr. Deitrich does not sit on any committees, and as recommended by the Nominating and Corporate Governance Committee, the Board has determined that all members of Itron’s committees are independent under SEC rules and Nasdaq listing rules. In addition, as recommended by the Nominating and Corporate Governance Committee, the Board has determined that all members of our Audit/Finance Committee are independent under Rule 10A-3 of the Securities Exchange Act of 1934, as amended (Exchange Act).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three committees to assist the Board in fulfilling its responsibilities: Nominating and Corporate Governance, Audit/Finance, and Compensation. Each of the three current committees operates under a written charter that has been approved by the Board. The committee charters are reviewed annually and are updated as necessary to reflect changes in regulatory requirements and evolving oversight practices. In 2019, all of the committee charters were amended and are available on our website at http://investors.itron.com/corporate-governance-0. The table below provides membership of each committee at the end of fiscal year 2019, followed by a description of each committee’s responsibilities.</w:t>
      </w:r>
    </w:p>
    <w:p>
      <w:pPr>
        <w:spacing w:after="0" w:line="36"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Nominating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6069330" cy="402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69330" cy="402590"/>
                    </a:xfrm>
                    <a:prstGeom prst="rect">
                      <a:avLst/>
                    </a:prstGeom>
                    <a:noFill/>
                  </pic:spPr>
                </pic:pic>
              </a:graphicData>
            </a:graphic>
          </wp:anchor>
        </w:drawing>
      </w:r>
    </w:p>
    <w:p>
      <w:pPr>
        <w:ind w:left="60"/>
        <w:spacing w:after="0"/>
        <w:tabs>
          <w:tab w:leader="none" w:pos="4120" w:val="left"/>
          <w:tab w:leader="none" w:pos="6060" w:val="left"/>
          <w:tab w:leader="none" w:pos="8300" w:val="left"/>
        </w:tabs>
        <w:rPr>
          <w:sz w:val="20"/>
          <w:szCs w:val="20"/>
          <w:color w:val="auto"/>
        </w:rPr>
      </w:pPr>
      <w:r>
        <w:rPr>
          <w:rFonts w:ascii="Arial" w:cs="Arial" w:eastAsia="Arial" w:hAnsi="Arial"/>
          <w:sz w:val="18"/>
          <w:szCs w:val="18"/>
          <w:b w:val="1"/>
          <w:bCs w:val="1"/>
          <w:color w:val="auto"/>
        </w:rPr>
        <w:t>Director</w:t>
      </w:r>
      <w:r>
        <w:rPr>
          <w:sz w:val="20"/>
          <w:szCs w:val="20"/>
          <w:color w:val="auto"/>
        </w:rPr>
        <w:tab/>
      </w:r>
      <w:r>
        <w:rPr>
          <w:rFonts w:ascii="Arial" w:cs="Arial" w:eastAsia="Arial" w:hAnsi="Arial"/>
          <w:sz w:val="18"/>
          <w:szCs w:val="18"/>
          <w:b w:val="1"/>
          <w:bCs w:val="1"/>
          <w:color w:val="auto"/>
        </w:rPr>
        <w:t>Compensation</w:t>
      </w:r>
      <w:r>
        <w:rPr>
          <w:sz w:val="20"/>
          <w:szCs w:val="20"/>
          <w:color w:val="auto"/>
        </w:rPr>
        <w:tab/>
      </w:r>
      <w:r>
        <w:rPr>
          <w:rFonts w:ascii="Arial" w:cs="Arial" w:eastAsia="Arial" w:hAnsi="Arial"/>
          <w:sz w:val="18"/>
          <w:szCs w:val="18"/>
          <w:b w:val="1"/>
          <w:bCs w:val="1"/>
          <w:color w:val="auto"/>
        </w:rPr>
        <w:t>Corporate</w:t>
      </w:r>
      <w:r>
        <w:rPr>
          <w:sz w:val="20"/>
          <w:szCs w:val="20"/>
          <w:color w:val="auto"/>
        </w:rPr>
        <w:tab/>
      </w:r>
      <w:r>
        <w:rPr>
          <w:rFonts w:ascii="Arial" w:cs="Arial" w:eastAsia="Arial" w:hAnsi="Arial"/>
          <w:sz w:val="17"/>
          <w:szCs w:val="17"/>
          <w:b w:val="1"/>
          <w:bCs w:val="1"/>
          <w:color w:val="auto"/>
        </w:rPr>
        <w:t>Audit/Finance</w:t>
      </w:r>
    </w:p>
    <w:p>
      <w:pPr>
        <w:ind w:left="6000"/>
        <w:spacing w:after="0"/>
        <w:rPr>
          <w:sz w:val="20"/>
          <w:szCs w:val="20"/>
          <w:color w:val="auto"/>
        </w:rPr>
      </w:pPr>
      <w:r>
        <w:rPr>
          <w:rFonts w:ascii="Arial" w:cs="Arial" w:eastAsia="Arial" w:hAnsi="Arial"/>
          <w:sz w:val="18"/>
          <w:szCs w:val="18"/>
          <w:b w:val="1"/>
          <w:bCs w:val="1"/>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60693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11"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Thomas S. Glanville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5377815</wp:posOffset>
            </wp:positionH>
            <wp:positionV relativeFrom="paragraph">
              <wp:posOffset>-119380</wp:posOffset>
            </wp:positionV>
            <wp:extent cx="12890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pacing w:after="0" w:line="28" w:lineRule="exact"/>
        <w:rPr>
          <w:sz w:val="20"/>
          <w:szCs w:val="20"/>
          <w:color w:val="auto"/>
        </w:rPr>
      </w:pPr>
    </w:p>
    <w:p>
      <w:pPr>
        <w:ind w:left="60"/>
        <w:spacing w:after="0"/>
        <w:rPr>
          <w:sz w:val="20"/>
          <w:szCs w:val="20"/>
          <w:color w:val="auto"/>
        </w:rPr>
      </w:pPr>
      <w:r>
        <w:rPr>
          <w:rFonts w:ascii="Arial" w:cs="Arial" w:eastAsia="Arial" w:hAnsi="Arial"/>
          <w:sz w:val="17"/>
          <w:szCs w:val="17"/>
          <w:color w:val="auto"/>
        </w:rPr>
        <w:t>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2771775</wp:posOffset>
            </wp:positionH>
            <wp:positionV relativeFrom="paragraph">
              <wp:posOffset>-119380</wp:posOffset>
            </wp:positionV>
            <wp:extent cx="154305" cy="120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4305" cy="120015"/>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-119380</wp:posOffset>
            </wp:positionV>
            <wp:extent cx="12001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0015" cy="137160"/>
                    </a:xfrm>
                    <a:prstGeom prst="rect">
                      <a:avLst/>
                    </a:prstGeom>
                    <a:noFill/>
                  </pic:spPr>
                </pic:pic>
              </a:graphicData>
            </a:graphic>
          </wp:anchor>
        </w:drawing>
      </w:r>
    </w:p>
    <w:p>
      <w:pPr>
        <w:spacing w:after="0" w:line="28" w:lineRule="exact"/>
        <w:rPr>
          <w:sz w:val="20"/>
          <w:szCs w:val="20"/>
          <w:color w:val="auto"/>
        </w:rPr>
      </w:pPr>
    </w:p>
    <w:p>
      <w:pPr>
        <w:ind w:left="60"/>
        <w:spacing w:after="0"/>
        <w:rPr>
          <w:sz w:val="20"/>
          <w:szCs w:val="20"/>
          <w:color w:val="auto"/>
        </w:rPr>
      </w:pPr>
      <w:r>
        <w:rPr>
          <w:rFonts w:ascii="Arial" w:cs="Arial" w:eastAsia="Arial" w:hAnsi="Arial"/>
          <w:sz w:val="17"/>
          <w:szCs w:val="17"/>
          <w:color w:val="auto"/>
        </w:rPr>
        <w:t>Jerome J. Lande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5360670</wp:posOffset>
            </wp:positionH>
            <wp:positionV relativeFrom="paragraph">
              <wp:posOffset>-119380</wp:posOffset>
            </wp:positionV>
            <wp:extent cx="163195" cy="120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3195" cy="120015"/>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auto"/>
        </w:rPr>
        <w:t>Timothy M. Leyden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5360670</wp:posOffset>
            </wp:positionH>
            <wp:positionV relativeFrom="paragraph">
              <wp:posOffset>-119380</wp:posOffset>
            </wp:positionV>
            <wp:extent cx="163195" cy="1200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3195" cy="120015"/>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Thomas L. Deitrich</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Daniel S. Pelino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2771775</wp:posOffset>
            </wp:positionH>
            <wp:positionV relativeFrom="paragraph">
              <wp:posOffset>-119380</wp:posOffset>
            </wp:positionV>
            <wp:extent cx="154305" cy="1200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4305" cy="120015"/>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-119380</wp:posOffset>
            </wp:positionV>
            <wp:extent cx="154305" cy="1200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4305" cy="120015"/>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auto"/>
        </w:rPr>
        <w:t>Gary E. Pruitt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5360670</wp:posOffset>
            </wp:positionH>
            <wp:positionV relativeFrom="paragraph">
              <wp:posOffset>-119380</wp:posOffset>
            </wp:positionV>
            <wp:extent cx="163195" cy="1200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3195" cy="120015"/>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auto"/>
        </w:rPr>
        <w:t>Diana D. Tremblay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-119380</wp:posOffset>
            </wp:positionV>
            <wp:extent cx="12001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137160"/>
                    </a:xfrm>
                    <a:prstGeom prst="rect">
                      <a:avLst/>
                    </a:prstGeom>
                    <a:noFill/>
                  </pic:spPr>
                </pic:pic>
              </a:graphicData>
            </a:graphic>
          </wp:anchor>
        </w:drawing>
      </w:r>
    </w:p>
    <w:p>
      <w:pPr>
        <w:spacing w:after="0" w:line="28" w:lineRule="exact"/>
        <w:rPr>
          <w:sz w:val="20"/>
          <w:szCs w:val="20"/>
          <w:color w:val="auto"/>
        </w:rPr>
      </w:pPr>
    </w:p>
    <w:p>
      <w:pPr>
        <w:ind w:left="60"/>
        <w:spacing w:after="0"/>
        <w:rPr>
          <w:sz w:val="20"/>
          <w:szCs w:val="20"/>
          <w:color w:val="auto"/>
        </w:rPr>
      </w:pPr>
      <w:r>
        <w:rPr>
          <w:rFonts w:ascii="Arial" w:cs="Arial" w:eastAsia="Arial" w:hAnsi="Arial"/>
          <w:sz w:val="17"/>
          <w:szCs w:val="17"/>
          <w:color w:val="auto"/>
        </w:rPr>
        <w:t>Lynda L.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51435</wp:posOffset>
            </wp:positionV>
            <wp:extent cx="162560" cy="1200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2560" cy="120015"/>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-119380</wp:posOffset>
            </wp:positionV>
            <wp:extent cx="154305" cy="1200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4305" cy="120015"/>
                    </a:xfrm>
                    <a:prstGeom prst="rect">
                      <a:avLst/>
                    </a:prstGeom>
                    <a:noFill/>
                  </pic:spPr>
                </pic:pic>
              </a:graphicData>
            </a:graphic>
          </wp:anchor>
        </w:drawing>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Committee Member        </w:t>
      </w:r>
      <w:r>
        <w:rPr>
          <w:sz w:val="1"/>
          <w:szCs w:val="1"/>
          <w:color w:val="auto"/>
        </w:rPr>
        <w:drawing>
          <wp:inline distT="0" distB="0" distL="0" distR="0">
            <wp:extent cx="128905" cy="13716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37160"/>
                    </a:xfrm>
                    <a:prstGeom prst="rect">
                      <a:avLst/>
                    </a:prstGeom>
                    <a:noFill/>
                    <a:ln>
                      <a:noFill/>
                    </a:ln>
                  </pic:spPr>
                </pic:pic>
              </a:graphicData>
            </a:graphic>
          </wp:inline>
        </w:drawing>
      </w:r>
      <w:r>
        <w:rPr>
          <w:rFonts w:ascii="Arial" w:cs="Arial" w:eastAsia="Arial" w:hAnsi="Arial"/>
          <w:sz w:val="18"/>
          <w:szCs w:val="18"/>
          <w:color w:val="auto"/>
        </w:rPr>
        <w:t xml:space="preserve">   Committee Chair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Nominating and Corporate Governance Committee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Nominating and Corporate Governance Committee (NCGC) is primarily responsible for:</w:t>
      </w:r>
    </w:p>
    <w:p>
      <w:pPr>
        <w:spacing w:after="0" w:line="104" w:lineRule="exact"/>
        <w:rPr>
          <w:sz w:val="20"/>
          <w:szCs w:val="20"/>
          <w:color w:val="auto"/>
        </w:rPr>
      </w:pPr>
    </w:p>
    <w:p>
      <w:pPr>
        <w:ind w:left="700" w:hanging="344"/>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and implementing our Governance Principles</w:t>
      </w:r>
    </w:p>
    <w:p>
      <w:pPr>
        <w:spacing w:after="0" w:line="103" w:lineRule="exact"/>
        <w:rPr>
          <w:rFonts w:ascii="Arial" w:cs="Arial" w:eastAsia="Arial" w:hAnsi="Arial"/>
          <w:sz w:val="18"/>
          <w:szCs w:val="18"/>
          <w:color w:val="auto"/>
        </w:rPr>
      </w:pPr>
    </w:p>
    <w:p>
      <w:pPr>
        <w:ind w:left="700" w:right="240" w:hanging="344"/>
        <w:spacing w:after="0" w:line="246"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the process for evaluating the performance of our Board Chair and the CEO, as well as the other directors and the Board as a whole</w:t>
      </w:r>
    </w:p>
    <w:p>
      <w:pPr>
        <w:spacing w:after="0" w:line="88" w:lineRule="exact"/>
        <w:rPr>
          <w:rFonts w:ascii="Arial" w:cs="Arial" w:eastAsia="Arial" w:hAnsi="Arial"/>
          <w:sz w:val="18"/>
          <w:szCs w:val="18"/>
          <w:color w:val="auto"/>
        </w:rPr>
      </w:pPr>
    </w:p>
    <w:p>
      <w:pPr>
        <w:ind w:left="700" w:hanging="344"/>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determining the qualifications of the directors serving on the Board, including their independence</w:t>
      </w:r>
    </w:p>
    <w:p>
      <w:pPr>
        <w:spacing w:after="0" w:line="103" w:lineRule="exact"/>
        <w:rPr>
          <w:rFonts w:ascii="Arial" w:cs="Arial" w:eastAsia="Arial" w:hAnsi="Arial"/>
          <w:sz w:val="18"/>
          <w:szCs w:val="18"/>
          <w:color w:val="auto"/>
        </w:rPr>
      </w:pPr>
    </w:p>
    <w:p>
      <w:pPr>
        <w:ind w:left="700" w:hanging="344"/>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recommending candidates to serve on the Board</w:t>
      </w:r>
    </w:p>
    <w:p>
      <w:pPr>
        <w:spacing w:after="0" w:line="103" w:lineRule="exact"/>
        <w:rPr>
          <w:rFonts w:ascii="Arial" w:cs="Arial" w:eastAsia="Arial" w:hAnsi="Arial"/>
          <w:sz w:val="18"/>
          <w:szCs w:val="18"/>
          <w:color w:val="auto"/>
        </w:rPr>
      </w:pPr>
    </w:p>
    <w:p>
      <w:pPr>
        <w:ind w:left="700" w:right="440" w:hanging="344"/>
        <w:spacing w:after="0" w:line="246"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with respect to candidates for directors proposed by shareholders</w:t>
      </w:r>
    </w:p>
    <w:p>
      <w:pPr>
        <w:spacing w:after="0" w:line="210"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To assist the committee in its identification of qualified director candidates, it has historically engaged an outside search firm and may do so in the future. The NCGC also reviews the compensation paid to our directors and makes recommendations to the Board on director fees and other compensation payable to the Board members.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All of the members of the NCGC are independent under SEC rules and Nasdaq listing rules.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Audit/Finance Committee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Audit/Finance Committee (AFC) is primarily responsible for:</w:t>
      </w:r>
    </w:p>
    <w:p>
      <w:pPr>
        <w:spacing w:after="0" w:line="104" w:lineRule="exact"/>
        <w:rPr>
          <w:sz w:val="20"/>
          <w:szCs w:val="20"/>
          <w:color w:val="auto"/>
        </w:rPr>
      </w:pPr>
    </w:p>
    <w:p>
      <w:pPr>
        <w:ind w:left="700" w:hanging="344"/>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overseeing our accounting and financial reporting processes and the audit of our financial statements</w:t>
      </w:r>
    </w:p>
    <w:p>
      <w:pPr>
        <w:spacing w:after="0" w:line="103" w:lineRule="exact"/>
        <w:rPr>
          <w:rFonts w:ascii="Arial" w:cs="Arial" w:eastAsia="Arial" w:hAnsi="Arial"/>
          <w:sz w:val="18"/>
          <w:szCs w:val="18"/>
          <w:color w:val="auto"/>
        </w:rPr>
      </w:pPr>
    </w:p>
    <w:p>
      <w:pPr>
        <w:ind w:left="700" w:hanging="344"/>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determining the compensation of our independent auditors</w:t>
      </w:r>
    </w:p>
    <w:p>
      <w:pPr>
        <w:spacing w:after="0" w:line="103" w:lineRule="exact"/>
        <w:rPr>
          <w:rFonts w:ascii="Arial" w:cs="Arial" w:eastAsia="Arial" w:hAnsi="Arial"/>
          <w:sz w:val="18"/>
          <w:szCs w:val="18"/>
          <w:color w:val="auto"/>
        </w:rPr>
      </w:pPr>
    </w:p>
    <w:p>
      <w:pPr>
        <w:ind w:left="700" w:right="40" w:hanging="344"/>
        <w:spacing w:after="0" w:line="246"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with management our business financial risks and the process by which management assesses and manages such financial risks</w:t>
      </w:r>
    </w:p>
    <w:p>
      <w:pPr>
        <w:spacing w:after="0" w:line="88" w:lineRule="exact"/>
        <w:rPr>
          <w:rFonts w:ascii="Arial" w:cs="Arial" w:eastAsia="Arial" w:hAnsi="Arial"/>
          <w:sz w:val="18"/>
          <w:szCs w:val="18"/>
          <w:color w:val="auto"/>
        </w:rPr>
      </w:pPr>
    </w:p>
    <w:p>
      <w:pPr>
        <w:ind w:left="700" w:hanging="344"/>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selecting, retaining or terminating our independent auditors</w:t>
      </w:r>
    </w:p>
    <w:p>
      <w:pPr>
        <w:spacing w:after="0" w:line="103" w:lineRule="exact"/>
        <w:rPr>
          <w:rFonts w:ascii="Arial" w:cs="Arial" w:eastAsia="Arial" w:hAnsi="Arial"/>
          <w:sz w:val="18"/>
          <w:szCs w:val="18"/>
          <w:color w:val="auto"/>
        </w:rPr>
      </w:pPr>
    </w:p>
    <w:p>
      <w:pPr>
        <w:ind w:left="700" w:hanging="344"/>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monitoring compliance with our code of conduct</w:t>
      </w:r>
    </w:p>
    <w:p>
      <w:pPr>
        <w:spacing w:after="0" w:line="17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Board has determined that all members of the AFC are independent under SEC rules and Nasdaq listing rules, including Rule 10A-3 of the Exchange Act. The NCGC has determined that all of the current members of the AFC are financially literate in accordance with the Standards of Nasdaq Rule 5605(c)(2)(A)(iv), and “audit committee financial experts” as defined in Item 407(d)(5) of Regulation S-K.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Committee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(CC) is primarily responsible for:</w:t>
      </w:r>
    </w:p>
    <w:p>
      <w:pPr>
        <w:spacing w:after="0" w:line="104" w:lineRule="exact"/>
        <w:rPr>
          <w:sz w:val="20"/>
          <w:szCs w:val="20"/>
          <w:color w:val="auto"/>
        </w:rPr>
      </w:pPr>
    </w:p>
    <w:p>
      <w:pPr>
        <w:ind w:left="700" w:hanging="344"/>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recommending to the Board our CEO’s total annual and long-term incentive compensation</w:t>
      </w:r>
    </w:p>
    <w:p>
      <w:pPr>
        <w:spacing w:after="0" w:line="103" w:lineRule="exact"/>
        <w:rPr>
          <w:rFonts w:ascii="Arial" w:cs="Arial" w:eastAsia="Arial" w:hAnsi="Arial"/>
          <w:sz w:val="18"/>
          <w:szCs w:val="18"/>
          <w:color w:val="auto"/>
        </w:rPr>
      </w:pPr>
    </w:p>
    <w:p>
      <w:pPr>
        <w:ind w:left="700" w:hanging="344"/>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setting compensation levels for our other executive officers</w:t>
      </w:r>
    </w:p>
    <w:p>
      <w:pPr>
        <w:spacing w:after="0" w:line="103" w:lineRule="exact"/>
        <w:rPr>
          <w:rFonts w:ascii="Arial" w:cs="Arial" w:eastAsia="Arial" w:hAnsi="Arial"/>
          <w:sz w:val="18"/>
          <w:szCs w:val="18"/>
          <w:color w:val="auto"/>
        </w:rPr>
      </w:pPr>
    </w:p>
    <w:p>
      <w:pPr>
        <w:ind w:left="700" w:right="160" w:hanging="344"/>
        <w:spacing w:after="0" w:line="246"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overseeing the administration of various incentive compensation and benefit plans, which includes an annual evaluation of our compensation plans and policies</w:t>
      </w:r>
    </w:p>
    <w:p>
      <w:pPr>
        <w:spacing w:after="0" w:line="15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The CC, when appropriate, may form and delegate authority to subcommittees and may delegate authority to one or more designated members of the Board or to Company officers. The Board has determined that all members of the CC are independent under SEC rules and Nasdaq listing rules. In addition, all CC members are “non-employee directors” under Section 16b-3 of the Exchange Act and “outside directors” for the purposes of Section 162(m) of the U.S. Internal Revenue Code.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COMPENSATION – CD&amp;A</w:t>
      </w:r>
      <w:r>
        <w:rPr>
          <w:rFonts w:ascii="Arial" w:cs="Arial" w:eastAsia="Arial" w:hAnsi="Arial"/>
          <w:sz w:val="18"/>
          <w:szCs w:val="18"/>
          <w:color w:val="auto"/>
        </w:rPr>
        <w:t>” in this proxy statement for more information on the CC’s responsibilities regarding the compensation of our executive officers.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No member of our Board’s Compensation Committee has served as an officer or employee of the Company. None of our executive officers serve as a member of the compensation committee of any other company that has an executive officer serving as a member of our Board. None of our executive officers serve as a member of the board of directors of any other company that has an executive officer serving as a member of our Board’s Compensation Committee.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There were no related person transactions required to be disclosed pursuant to Item 404(a) of Regulation S-K in fiscal year 2019. In order to determine this, the Board requires our executive officers, directors and director nominees to disclose certain information regarding related person transactions. A “related person transaction” generally is a transaction (including any indebtedness or a guarantee of indebtedness) that involves the Company’s directors, executive officers, director nominees, 5% or more beneficial owners of the Company’s common stock, immediate family members of these persons, or entities in which one of these persons has a direct or indirect</w:t>
      </w:r>
    </w:p>
    <w:p>
      <w:pPr>
        <w:spacing w:after="0" w:line="22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00"/>
          </w:cols>
          <w:pgMar w:left="1160" w:top="279" w:right="1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material interest. The current threshold required to be disclosed under SEC regulations is $120,000. Under its charter, the Audit/Finance Committee of the Board has been delegated with the responsibility of reviewing and approving any related person transactions.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Board’s Role in Risk Oversight</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Board has overall responsibility for risk oversight, including, as part of regular Board and committee meetings, general oversight of our executives’ management of risks relevant to the Company. The Board determines, directly or through Board committees, whether: (i) there are adequate processes designed and implemented by Company management such that risks have been identified and are being managed; (ii) the risk management processes are intended to ensure that Company risks are taken into account in corporate decision-making; and (iii) the risk management processes and procedures ensure that material risks to the Company are brought to the attention of the Board or an appropriate committee of the Board. Each of the Company’s risk management processes are reviewed periodically (but at least once a year) by either the Board or an appropriate committee to which the Board has delegated specific oversight responsibility, as described below. Throughout the year, the Board and each committee spend a portion of their time reviewing and discussing specific risk topics. Committee Chairs regularly report to the full Board on actions taken at committee meetings. At least annually, the Board conducts a review of our long-term strategic plans, and at each of our quarterly meetings, our General Counsel updates the Board on material legal and regulatory matters.</w:t>
      </w:r>
    </w:p>
    <w:p>
      <w:pPr>
        <w:sectPr>
          <w:pgSz w:w="11900" w:h="16838" w:orient="portrait"/>
          <w:cols w:equalWidth="0" w:num="1">
            <w:col w:w="9540"/>
          </w:cols>
          <w:pgMar w:left="1160" w:top="279" w:right="1199" w:bottom="1440" w:gutter="0" w:footer="0" w:header="0"/>
        </w:sectPr>
      </w:pPr>
    </w:p>
    <w:p>
      <w:pPr>
        <w:spacing w:after="0" w:line="242"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Board</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Nominating and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-1545590</wp:posOffset>
            </wp:positionH>
            <wp:positionV relativeFrom="paragraph">
              <wp:posOffset>-125095</wp:posOffset>
            </wp:positionV>
            <wp:extent cx="6069330" cy="274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69330" cy="274320"/>
                    </a:xfrm>
                    <a:prstGeom prst="rect">
                      <a:avLst/>
                    </a:prstGeom>
                    <a:noFill/>
                  </pic:spPr>
                </pic:pic>
              </a:graphicData>
            </a:graphic>
          </wp:anchor>
        </w:drawing>
      </w:r>
    </w:p>
    <w:p>
      <w:pPr>
        <w:spacing w:after="0"/>
        <w:tabs>
          <w:tab w:leader="none" w:pos="2380" w:val="left"/>
        </w:tabs>
        <w:rPr>
          <w:sz w:val="20"/>
          <w:szCs w:val="20"/>
          <w:color w:val="auto"/>
        </w:rPr>
      </w:pPr>
      <w:r>
        <w:rPr>
          <w:rFonts w:ascii="Arial" w:cs="Arial" w:eastAsia="Arial" w:hAnsi="Arial"/>
          <w:sz w:val="18"/>
          <w:szCs w:val="18"/>
          <w:b w:val="1"/>
          <w:bCs w:val="1"/>
          <w:color w:val="auto"/>
        </w:rPr>
        <w:t>Compensation</w:t>
      </w:r>
      <w:r>
        <w:rPr>
          <w:sz w:val="20"/>
          <w:szCs w:val="20"/>
          <w:color w:val="auto"/>
        </w:rPr>
        <w:tab/>
      </w:r>
      <w:r>
        <w:rPr>
          <w:rFonts w:ascii="Arial" w:cs="Arial" w:eastAsia="Arial" w:hAnsi="Arial"/>
          <w:sz w:val="18"/>
          <w:szCs w:val="18"/>
          <w:b w:val="1"/>
          <w:bCs w:val="1"/>
          <w:color w:val="auto"/>
        </w:rPr>
        <w:t>Governance</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Audit/Finance</w:t>
      </w:r>
    </w:p>
    <w:p>
      <w:pPr>
        <w:spacing w:after="0" w:line="44" w:lineRule="exact"/>
        <w:rPr>
          <w:sz w:val="20"/>
          <w:szCs w:val="20"/>
          <w:color w:val="auto"/>
        </w:rPr>
      </w:pPr>
    </w:p>
    <w:p>
      <w:pPr>
        <w:sectPr>
          <w:pgSz w:w="11900" w:h="16838" w:orient="portrait"/>
          <w:cols w:equalWidth="0" w:num="3">
            <w:col w:w="1720" w:space="720"/>
            <w:col w:w="4680" w:space="100"/>
            <w:col w:w="2320"/>
          </w:cols>
          <w:pgMar w:left="1160" w:top="279" w:right="1199" w:bottom="1440" w:gutter="0" w:footer="0" w:header="0"/>
          <w:type w:val="continuous"/>
        </w:sectPr>
      </w:pPr>
    </w:p>
    <w:p>
      <w:pPr>
        <w:ind w:left="240" w:right="180" w:hanging="163"/>
        <w:spacing w:after="0" w:line="246" w:lineRule="auto"/>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Overall responsibility for risk oversight</w:t>
      </w:r>
    </w:p>
    <w:p>
      <w:pPr>
        <w:spacing w:after="0" w:line="7" w:lineRule="exact"/>
        <w:rPr>
          <w:rFonts w:ascii="Arial" w:cs="Arial" w:eastAsia="Arial" w:hAnsi="Arial"/>
          <w:sz w:val="18"/>
          <w:szCs w:val="18"/>
          <w:color w:val="auto"/>
        </w:rPr>
      </w:pPr>
    </w:p>
    <w:p>
      <w:pPr>
        <w:ind w:left="240" w:hanging="163"/>
        <w:spacing w:after="0" w:line="237" w:lineRule="auto"/>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Assesses directly, through Board committees or through established processes and procedures, risks relevant to the Company</w:t>
      </w:r>
    </w:p>
    <w:p>
      <w:pPr>
        <w:spacing w:after="0" w:line="20" w:lineRule="exact"/>
        <w:rPr>
          <w:sz w:val="20"/>
          <w:szCs w:val="20"/>
          <w:color w:val="auto"/>
        </w:rPr>
      </w:pPr>
      <w:r>
        <w:rPr>
          <w:sz w:val="20"/>
          <w:szCs w:val="20"/>
          <w:color w:val="auto"/>
        </w:rPr>
        <w:br w:type="column"/>
      </w:r>
    </w:p>
    <w:p>
      <w:pPr>
        <w:ind w:left="196" w:hanging="196"/>
        <w:spacing w:after="0" w:line="236" w:lineRule="auto"/>
        <w:tabs>
          <w:tab w:leader="none" w:pos="196"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Responsible for overseeing compensation risks, including assessing possible risks from our compensation plans and policies for our executives and ensuring that our executive compensation is aligned with Company performance</w:t>
      </w:r>
    </w:p>
    <w:p>
      <w:pPr>
        <w:spacing w:after="0" w:line="43" w:lineRule="exact"/>
        <w:rPr>
          <w:rFonts w:ascii="Arial" w:cs="Arial" w:eastAsia="Arial" w:hAnsi="Arial"/>
          <w:sz w:val="18"/>
          <w:szCs w:val="18"/>
          <w:color w:val="auto"/>
        </w:rPr>
      </w:pPr>
    </w:p>
    <w:p>
      <w:pPr>
        <w:ind w:left="196" w:right="100" w:hanging="196"/>
        <w:spacing w:after="0" w:line="236" w:lineRule="auto"/>
        <w:tabs>
          <w:tab w:leader="none" w:pos="196"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Reviews a summary and assessment of such risks annually and in connection with discussions of various compensation elements and benefits throughout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149860</wp:posOffset>
            </wp:positionV>
            <wp:extent cx="606933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6933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93" w:right="20" w:hanging="193"/>
        <w:spacing w:after="0" w:line="237" w:lineRule="auto"/>
        <w:tabs>
          <w:tab w:leader="none" w:pos="1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Oversees our overall corporate governance, including Board and committee composition, Board size and structure, and our director independence</w:t>
      </w:r>
    </w:p>
    <w:p>
      <w:pPr>
        <w:spacing w:after="0" w:line="13" w:lineRule="exact"/>
        <w:rPr>
          <w:rFonts w:ascii="Arial" w:cs="Arial" w:eastAsia="Arial" w:hAnsi="Arial"/>
          <w:sz w:val="18"/>
          <w:szCs w:val="18"/>
          <w:color w:val="auto"/>
        </w:rPr>
      </w:pPr>
    </w:p>
    <w:p>
      <w:pPr>
        <w:ind w:left="193" w:hanging="193"/>
        <w:spacing w:after="0" w:line="261" w:lineRule="auto"/>
        <w:tabs>
          <w:tab w:leader="none" w:pos="193"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Reviews our Governance Principles annually pursuant to its charter</w:t>
      </w:r>
    </w:p>
    <w:p>
      <w:pPr>
        <w:spacing w:after="0" w:line="20" w:lineRule="exact"/>
        <w:rPr>
          <w:sz w:val="20"/>
          <w:szCs w:val="20"/>
          <w:color w:val="auto"/>
        </w:rPr>
      </w:pPr>
      <w:r>
        <w:rPr>
          <w:sz w:val="20"/>
          <w:szCs w:val="20"/>
          <w:color w:val="auto"/>
        </w:rPr>
        <w:br w:type="column"/>
      </w:r>
    </w:p>
    <w:p>
      <w:pPr>
        <w:ind w:left="197" w:right="60" w:hanging="197"/>
        <w:spacing w:after="0" w:line="253" w:lineRule="auto"/>
        <w:tabs>
          <w:tab w:leader="none" w:pos="197"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Responsible for reviewing our major financial risk exposures, financial reporting, and monitors our credit and liquidity risk, and compliance risk</w:t>
      </w:r>
    </w:p>
    <w:p>
      <w:pPr>
        <w:spacing w:after="0" w:line="200" w:lineRule="exact"/>
        <w:rPr>
          <w:rFonts w:ascii="Arial" w:cs="Arial" w:eastAsia="Arial" w:hAnsi="Arial"/>
          <w:sz w:val="17"/>
          <w:szCs w:val="17"/>
          <w:color w:val="auto"/>
        </w:rPr>
      </w:pPr>
    </w:p>
    <w:p>
      <w:pPr>
        <w:spacing w:after="0" w:line="318" w:lineRule="exact"/>
        <w:rPr>
          <w:rFonts w:ascii="Arial" w:cs="Arial" w:eastAsia="Arial" w:hAnsi="Arial"/>
          <w:sz w:val="17"/>
          <w:szCs w:val="17"/>
          <w:color w:val="auto"/>
        </w:rPr>
      </w:pPr>
    </w:p>
    <w:p>
      <w:pPr>
        <w:ind w:left="197" w:right="100" w:hanging="197"/>
        <w:spacing w:after="0" w:line="237" w:lineRule="auto"/>
        <w:tabs>
          <w:tab w:leader="none" w:pos="1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Meets regularly with our independent auditors and in executive session to facilitate a full and candid discussion of risk and other issues</w:t>
      </w:r>
    </w:p>
    <w:p>
      <w:pPr>
        <w:spacing w:after="0" w:line="925" w:lineRule="exact"/>
        <w:rPr>
          <w:sz w:val="20"/>
          <w:szCs w:val="20"/>
          <w:color w:val="auto"/>
        </w:rPr>
      </w:pPr>
    </w:p>
    <w:p>
      <w:pPr>
        <w:sectPr>
          <w:pgSz w:w="11900" w:h="16838" w:orient="portrait"/>
          <w:cols w:equalWidth="0" w:num="4">
            <w:col w:w="2340" w:space="104"/>
            <w:col w:w="2316" w:space="87"/>
            <w:col w:w="2213" w:space="163"/>
            <w:col w:w="2317"/>
          </w:cols>
          <w:pgMar w:left="1160" w:top="279" w:right="1199" w:bottom="1440" w:gutter="0" w:footer="0" w:header="0"/>
          <w:type w:val="continuous"/>
        </w:sectPr>
      </w:pPr>
    </w:p>
    <w:p>
      <w:pPr>
        <w:spacing w:after="0" w:line="29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Following a review of the Company’s current risk management systems and processes, the Board has concluded that the current allocation of oversight responsibilities between the Board and its committees is adequate, provided that the committees continue to coordinate their risk oversight responsibilities, share information appropriately with the other Board members, and provide timely and adequate reports to the full Board. The Board continually evaluates its risk oversight role.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The Company has adopted a Code of Conduct that applies to all directors, officers, and employees of the Company and any subsidiary of the Company and is available on the Company’s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“Investors” and then “Corporate Governance.” In addition, we have adopted policies and procedures for reporting and investigating suspected violations of the Code of Conduct. The Company intends to satisfy any future</w:t>
      </w:r>
    </w:p>
    <w:p>
      <w:pPr>
        <w:spacing w:after="0" w:line="217"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type w:val="continuous"/>
        </w:sectPr>
      </w:pPr>
    </w:p>
    <w:bookmarkStart w:id="19" w:name="page20"/>
    <w:bookmarkEnd w:id="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 xml:space="preserve">disclosure requirement under Item 5.05 of Form 8-K regarding an amendment to or waiver from application of or provisions of the Code of Conduct, that applies to the CEO or the CFO, by posting such information on our website, </w:t>
      </w:r>
      <w:r>
        <w:rPr>
          <w:rFonts w:ascii="Arial" w:cs="Arial" w:eastAsia="Arial" w:hAnsi="Arial"/>
          <w:sz w:val="18"/>
          <w:szCs w:val="18"/>
          <w:i w:val="1"/>
          <w:iCs w:val="1"/>
          <w:color w:val="auto"/>
        </w:rPr>
        <w:t>www.itron.com</w:t>
      </w:r>
      <w:r>
        <w:rPr>
          <w:rFonts w:ascii="Arial" w:cs="Arial" w:eastAsia="Arial" w:hAnsi="Arial"/>
          <w:sz w:val="18"/>
          <w:szCs w:val="18"/>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Policy</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The Company has adopted an Anti-Hedging Policy that prohibits our directors, officers, and employees from entering into transactions involving our securities that are designed to hedge or offset any decrease in the market value of Itron securities.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COMPENSATION – CD&amp;A – Anti-Hedging Policy</w:t>
      </w:r>
      <w:r>
        <w:rPr>
          <w:rFonts w:ascii="Arial" w:cs="Arial" w:eastAsia="Arial" w:hAnsi="Arial"/>
          <w:sz w:val="18"/>
          <w:szCs w:val="18"/>
          <w:color w:val="auto"/>
        </w:rPr>
        <w:t>” in this proxy statement for more information on this policy.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Repayment (Clawback) Policy</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has adopted a repayment or “clawback” policy, which provides that if a bonus or equity award (Award) is paid that is conditioned on meeting certain financial metrics, and, subsequently, there is a required financial restatement, which, had the correct information been known at the time, would have resulted in a lower Award, then the Board has the right to demand repayment of the excess amount of the Award, net of taxes, from an executive officer who has received an Award. If the Board (or its delegated committee) determines that fraud has resulted in a material financial restatement, it is required that the Board demand repayment from the executive officer engaged in the fraud of the full Award, net of taxes.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 by Shareholders</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accordance with the Company’s Amended and Restated Bylaws, in order to nominate a director for election to the Board at an annual meeting of shareholders, a shareholder must deliver written notice of such nomination to the Corporate Secretary of the Company at the Company’s executive offices no fewer than 60 days nor more than 90 days prior to the date of the annual meeting (or if less than 60 days’ notice or prior public disclosure of the date of such annual meeting is given or made to the shareholders, not later than the tenth day following the day on which notice of the date of the annual meeting was mailed or public disclosure was made). The notice of a shareholder’s intention to nominate a director must include:</w:t>
      </w:r>
    </w:p>
    <w:p>
      <w:pPr>
        <w:spacing w:after="0" w:line="99" w:lineRule="exact"/>
        <w:rPr>
          <w:sz w:val="20"/>
          <w:szCs w:val="20"/>
          <w:color w:val="auto"/>
        </w:rPr>
      </w:pPr>
    </w:p>
    <w:p>
      <w:pPr>
        <w:ind w:left="700" w:hanging="344"/>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name and address of the shareholder;</w:t>
      </w:r>
    </w:p>
    <w:p>
      <w:pPr>
        <w:spacing w:after="0" w:line="103" w:lineRule="exact"/>
        <w:rPr>
          <w:rFonts w:ascii="Arial" w:cs="Arial" w:eastAsia="Arial" w:hAnsi="Arial"/>
          <w:sz w:val="18"/>
          <w:szCs w:val="18"/>
          <w:color w:val="auto"/>
        </w:rPr>
      </w:pPr>
    </w:p>
    <w:p>
      <w:pPr>
        <w:ind w:left="700" w:hanging="344"/>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representation that the shareholder is entitled to vote at the meeting at which directors will be elected;</w:t>
      </w:r>
    </w:p>
    <w:p>
      <w:pPr>
        <w:spacing w:after="0" w:line="103" w:lineRule="exact"/>
        <w:rPr>
          <w:rFonts w:ascii="Arial" w:cs="Arial" w:eastAsia="Arial" w:hAnsi="Arial"/>
          <w:sz w:val="18"/>
          <w:szCs w:val="18"/>
          <w:color w:val="auto"/>
        </w:rPr>
      </w:pPr>
    </w:p>
    <w:p>
      <w:pPr>
        <w:ind w:left="700" w:hanging="344"/>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statement of the number of shares of the Company that are beneficially owned by the shareholder;</w:t>
      </w:r>
    </w:p>
    <w:p>
      <w:pPr>
        <w:spacing w:after="0" w:line="103" w:lineRule="exact"/>
        <w:rPr>
          <w:rFonts w:ascii="Arial" w:cs="Arial" w:eastAsia="Arial" w:hAnsi="Arial"/>
          <w:sz w:val="18"/>
          <w:szCs w:val="18"/>
          <w:color w:val="auto"/>
        </w:rPr>
      </w:pPr>
    </w:p>
    <w:p>
      <w:pPr>
        <w:ind w:left="700" w:right="200" w:hanging="344"/>
        <w:spacing w:after="0" w:line="246"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representation that the shareholder intends to appear in person or by proxy at the meeting to nominate the person or persons specified in the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and the following information with respect to the person nominated by the shareholder:</w:t>
      </w:r>
    </w:p>
    <w:p>
      <w:pPr>
        <w:spacing w:after="0" w:line="104" w:lineRule="exact"/>
        <w:rPr>
          <w:sz w:val="20"/>
          <w:szCs w:val="20"/>
          <w:color w:val="auto"/>
        </w:rPr>
      </w:pPr>
    </w:p>
    <w:p>
      <w:pPr>
        <w:ind w:left="700" w:hanging="344"/>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name and address;</w:t>
      </w:r>
    </w:p>
    <w:p>
      <w:pPr>
        <w:spacing w:after="0" w:line="103" w:lineRule="exact"/>
        <w:rPr>
          <w:rFonts w:ascii="Arial" w:cs="Arial" w:eastAsia="Arial" w:hAnsi="Arial"/>
          <w:sz w:val="18"/>
          <w:szCs w:val="18"/>
          <w:color w:val="auto"/>
        </w:rPr>
      </w:pPr>
    </w:p>
    <w:p>
      <w:pPr>
        <w:ind w:left="700" w:right="740" w:hanging="344"/>
        <w:spacing w:after="0" w:line="246"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information regarding such nominee as would be required in a proxy statement filed pursuant to applicable SEC rules;</w:t>
      </w:r>
    </w:p>
    <w:p>
      <w:pPr>
        <w:spacing w:after="0" w:line="88" w:lineRule="exact"/>
        <w:rPr>
          <w:rFonts w:ascii="Arial" w:cs="Arial" w:eastAsia="Arial" w:hAnsi="Arial"/>
          <w:sz w:val="18"/>
          <w:szCs w:val="18"/>
          <w:color w:val="auto"/>
        </w:rPr>
      </w:pPr>
    </w:p>
    <w:p>
      <w:pPr>
        <w:ind w:left="700" w:right="20" w:hanging="344"/>
        <w:spacing w:after="0" w:line="246"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description of any arrangements or understandings between the shareholder and the nominee and any other persons (including their names), pursuant to which the nomination is made; and</w:t>
      </w:r>
    </w:p>
    <w:p>
      <w:pPr>
        <w:spacing w:after="0" w:line="88" w:lineRule="exact"/>
        <w:rPr>
          <w:rFonts w:ascii="Arial" w:cs="Arial" w:eastAsia="Arial" w:hAnsi="Arial"/>
          <w:sz w:val="18"/>
          <w:szCs w:val="18"/>
          <w:color w:val="auto"/>
        </w:rPr>
      </w:pPr>
    </w:p>
    <w:p>
      <w:pPr>
        <w:ind w:left="700" w:hanging="344"/>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consent of such nominee to serve as a director, if elected.</w:t>
      </w:r>
    </w:p>
    <w:p>
      <w:pPr>
        <w:spacing w:after="0" w:line="17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Other directors and senior management of the Company may also recommend director nominees for consideration by the Nominating and Corporate Governance Committee. The Nominating and Corporate Governance Committee evaluates director nominees, including nominees that are submitted to the Company by a shareholder, taking into consideration the qualification criteria set forth under “</w:t>
      </w:r>
      <w:r>
        <w:rPr>
          <w:rFonts w:ascii="Arial" w:cs="Arial" w:eastAsia="Arial" w:hAnsi="Arial"/>
          <w:sz w:val="18"/>
          <w:szCs w:val="18"/>
          <w:i w:val="1"/>
          <w:iCs w:val="1"/>
          <w:color w:val="auto"/>
        </w:rPr>
        <w:t>ELECTION OF DIRECTORS – Director and Director Nominee</w:t>
      </w:r>
      <w:r>
        <w:rPr>
          <w:rFonts w:ascii="Arial" w:cs="Arial" w:eastAsia="Arial" w:hAnsi="Arial"/>
          <w:sz w:val="18"/>
          <w:szCs w:val="18"/>
          <w:color w:val="auto"/>
        </w:rPr>
        <w:t xml:space="preserve"> </w:t>
      </w:r>
      <w:r>
        <w:rPr>
          <w:rFonts w:ascii="Arial" w:cs="Arial" w:eastAsia="Arial" w:hAnsi="Arial"/>
          <w:sz w:val="18"/>
          <w:szCs w:val="18"/>
          <w:i w:val="1"/>
          <w:iCs w:val="1"/>
          <w:color w:val="auto"/>
        </w:rPr>
        <w:t>Qualifications</w:t>
      </w:r>
      <w:r>
        <w:rPr>
          <w:rFonts w:ascii="Arial" w:cs="Arial" w:eastAsia="Arial" w:hAnsi="Arial"/>
          <w:sz w:val="18"/>
          <w:szCs w:val="18"/>
          <w:color w:val="auto"/>
        </w:rPr>
        <w:t>” in this proxy statement. In the event of a shareholder recommendation, the Nominating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Governance Committee screens and evaluates the person recommended in the same manner as other candidates. In addition, the Nominating and Corporate Governance Committee determines if the proposed</w:t>
      </w:r>
    </w:p>
    <w:p>
      <w:pPr>
        <w:spacing w:after="0" w:line="22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00"/>
          </w:cols>
          <w:pgMar w:left="1160" w:top="279" w:right="1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director nominee will have sufficient time available to effectively carry out his or her Board duties and responsibilities. The Nominating and Corporate Governance Committee may then recommend the director candidate to the Board for its consideration, if deemed appropriate.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 with the Board</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The Company’s Board provides a process whereby shareholders may contact the Board or any committee as a group or any committee Chair or individual director, by email addressed to </w:t>
      </w:r>
      <w:r>
        <w:rPr>
          <w:rFonts w:ascii="Arial" w:cs="Arial" w:eastAsia="Arial" w:hAnsi="Arial"/>
          <w:sz w:val="18"/>
          <w:szCs w:val="18"/>
          <w:i w:val="1"/>
          <w:iCs w:val="1"/>
          <w:color w:val="auto"/>
        </w:rPr>
        <w:t>boardofdirectors@itron.com</w:t>
      </w:r>
      <w:r>
        <w:rPr>
          <w:rFonts w:ascii="Arial" w:cs="Arial" w:eastAsia="Arial" w:hAnsi="Arial"/>
          <w:sz w:val="18"/>
          <w:szCs w:val="18"/>
          <w:color w:val="auto"/>
        </w:rPr>
        <w:t xml:space="preserve">. Shareholders should clearly specify in each communication the name of the director to whom the communication is addressed. Shareholders may also write to the Board or any committee as a group or any committee Chair or individual director by sending the communication to: Itron, Inc., Attn: Corporate Secretary, 2111 N. Molter Road, Liberty Lake, WA 99019. Communications may also be submitted through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by selecting “Investors,” “Corporate Governance,” and then “Contact the Board.”</w:t>
      </w:r>
    </w:p>
    <w:p>
      <w:pPr>
        <w:spacing w:after="0" w:line="166"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 xml:space="preserve">Shareholder communications are delivered directly to the Corporate Secretary of the Company, who then determines whether to forward such communications to the specified director addressees. You can access a description of the process that the Corporate Secretary uses for determining whether to forward shareholders’ communications to directors at our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“Investors,” “Corporate Governance,” and then “Contact the Board.”</w:t>
      </w:r>
    </w:p>
    <w:p>
      <w:pPr>
        <w:spacing w:after="0" w:line="17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Shareholders wishing to submit proposals for inclusion in the proxy statement relating to the 2021 annual shareholders meeting should follow the procedures specified under “</w:t>
      </w:r>
      <w:r>
        <w:rPr>
          <w:rFonts w:ascii="Arial" w:cs="Arial" w:eastAsia="Arial" w:hAnsi="Arial"/>
          <w:sz w:val="18"/>
          <w:szCs w:val="18"/>
          <w:i w:val="1"/>
          <w:iCs w:val="1"/>
          <w:color w:val="auto"/>
        </w:rPr>
        <w:t>SHAREHOLDER PROPOSALS FOR THE 2021 ANNUAL</w:t>
      </w:r>
      <w:r>
        <w:rPr>
          <w:rFonts w:ascii="Arial" w:cs="Arial" w:eastAsia="Arial" w:hAnsi="Arial"/>
          <w:sz w:val="18"/>
          <w:szCs w:val="18"/>
          <w:color w:val="auto"/>
        </w:rPr>
        <w:t xml:space="preserve"> </w:t>
      </w:r>
      <w:r>
        <w:rPr>
          <w:rFonts w:ascii="Arial" w:cs="Arial" w:eastAsia="Arial" w:hAnsi="Arial"/>
          <w:sz w:val="18"/>
          <w:szCs w:val="18"/>
          <w:i w:val="1"/>
          <w:iCs w:val="1"/>
          <w:color w:val="auto"/>
        </w:rPr>
        <w:t>MEETING</w:t>
      </w:r>
      <w:r>
        <w:rPr>
          <w:rFonts w:ascii="Arial" w:cs="Arial" w:eastAsia="Arial" w:hAnsi="Arial"/>
          <w:sz w:val="18"/>
          <w:szCs w:val="18"/>
          <w:color w:val="auto"/>
        </w:rPr>
        <w:t>” in this proxy statement. Shareholders wishing to nominate directors should follow the procedures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w:t>
      </w:r>
      <w:r>
        <w:rPr>
          <w:rFonts w:ascii="Arial" w:cs="Arial" w:eastAsia="Arial" w:hAnsi="Arial"/>
          <w:sz w:val="18"/>
          <w:szCs w:val="18"/>
          <w:i w:val="1"/>
          <w:iCs w:val="1"/>
          <w:color w:val="auto"/>
        </w:rPr>
        <w:t>CORPORATE GOVERNANCE</w:t>
      </w:r>
      <w:r>
        <w:rPr>
          <w:rFonts w:ascii="Arial" w:cs="Arial" w:eastAsia="Arial" w:hAnsi="Arial"/>
          <w:sz w:val="18"/>
          <w:szCs w:val="18"/>
          <w:color w:val="auto"/>
        </w:rPr>
        <w:t xml:space="preserve"> – </w:t>
      </w:r>
      <w:r>
        <w:rPr>
          <w:rFonts w:ascii="Arial" w:cs="Arial" w:eastAsia="Arial" w:hAnsi="Arial"/>
          <w:sz w:val="18"/>
          <w:szCs w:val="18"/>
          <w:i w:val="1"/>
          <w:iCs w:val="1"/>
          <w:color w:val="auto"/>
        </w:rPr>
        <w:t>Director Nominations by Shareholders</w:t>
      </w:r>
      <w:r>
        <w:rPr>
          <w:rFonts w:ascii="Arial" w:cs="Arial" w:eastAsia="Arial" w:hAnsi="Arial"/>
          <w:sz w:val="18"/>
          <w:szCs w:val="18"/>
          <w:color w:val="auto"/>
        </w:rPr>
        <w:t>” in this proxy statement.</w:t>
      </w:r>
    </w:p>
    <w:p>
      <w:pPr>
        <w:spacing w:after="0" w:line="217"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288925</wp:posOffset>
            </wp:positionV>
            <wp:extent cx="606933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 ADVISORY APPROVAL OF EXECUTIVE COMPENSATION (Say-on-Pay)</w:t>
      </w:r>
    </w:p>
    <w:p>
      <w:pPr>
        <w:spacing w:after="0" w:line="193"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We are asking our shareholders to approve a non-binding advisory resolution on the Company’s executive compensation programs for our named executive officers (NEOs) (commonly known as “say-on-pay”) as we have described them in this proxy statement. Although this advisory vote is non-binding, the Board and the Compensation Committee will take into account the outcome of the vote when considering future compensation decisions for our executives. As discussed in the Compensation Discussion and Analysis (CD&amp;A) section of this proxy statement, we believe our compensation programs are reasonable, competitive and strongly focused on pay-for-performance principles that will result in the creation of long-term shareholder value. Some of the features of our compensation programs that illustrate our philosophy are:</w:t>
      </w:r>
    </w:p>
    <w:p>
      <w:pPr>
        <w:spacing w:after="0" w:line="97" w:lineRule="exact"/>
        <w:rPr>
          <w:sz w:val="20"/>
          <w:szCs w:val="20"/>
          <w:color w:val="auto"/>
        </w:rPr>
      </w:pPr>
    </w:p>
    <w:p>
      <w:pPr>
        <w:ind w:left="700" w:right="20" w:hanging="344"/>
        <w:spacing w:after="0" w:line="251" w:lineRule="auto"/>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significant portion of an NEO’s compensation is at-risk or performance-based and subject to the Company’s operating and financial performance. We consider annual cash-based incentives, equity long-term incentives, and stock options to be performance-based, because each of these three elements is valuable to the executive only if performance goals are achieved and/or our share price improves. In fiscal year 2019, the executive compensation package (base salary and short- and long-term incentives at target) included 75% of at-risk compensation for the CEO and an average of 66% of at-risk compensation for the other NEOs. Our long-term incentive plan (LTIP) for equity awards granted under our Amended and Restated 2010 Stock Incentive Plan (A&amp;R 2010 Plan) or Second A&amp;R 2010 Plan, as applicable, has three-year performance periods, with one-year averages determined each year for measurement purposes, to encourage NEOs to make decisions that align our long-term goals with shareholder interests and to discourage excessive risk taking.</w:t>
      </w:r>
    </w:p>
    <w:p>
      <w:pPr>
        <w:spacing w:after="0" w:line="88" w:lineRule="exact"/>
        <w:rPr>
          <w:rFonts w:ascii="Arial" w:cs="Arial" w:eastAsia="Arial" w:hAnsi="Arial"/>
          <w:sz w:val="17"/>
          <w:szCs w:val="17"/>
          <w:color w:val="auto"/>
        </w:rPr>
      </w:pPr>
    </w:p>
    <w:p>
      <w:pPr>
        <w:ind w:left="700" w:right="280" w:hanging="344"/>
        <w:spacing w:after="0" w:line="246"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Stock ownership guidelines require executive officers who are NEOs to acquire and hold certain amounts of Itron stock to further strengthen alignment of management’s interest with those of our shareholders.</w:t>
      </w:r>
    </w:p>
    <w:p>
      <w:pPr>
        <w:spacing w:after="0" w:line="88" w:lineRule="exact"/>
        <w:rPr>
          <w:rFonts w:ascii="Arial" w:cs="Arial" w:eastAsia="Arial" w:hAnsi="Arial"/>
          <w:sz w:val="18"/>
          <w:szCs w:val="18"/>
          <w:color w:val="auto"/>
        </w:rPr>
      </w:pPr>
    </w:p>
    <w:p>
      <w:pPr>
        <w:ind w:left="700" w:hanging="344"/>
        <w:spacing w:after="0" w:line="237"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established an Incentive Repayment (Clawback) Policy that covers awards under all of our incentive programs, and provides that if a bonus or equity award is paid that is conditional on meeting certain financial metrics, and subsequently, there is a required material financial restatement, which, had the correct information been known at the time, would have resulted in a lower award, then the Board (or its delegated committee) has the right to demand repayment of the excess amount of the award, net of taxes. If the Board (or its delegated committee) determines that fraud has resulted in a material financial restatement, the Board is required to demand repayment of the full award, net of taxes.</w:t>
      </w:r>
    </w:p>
    <w:p>
      <w:pPr>
        <w:spacing w:after="0" w:line="94" w:lineRule="exact"/>
        <w:rPr>
          <w:rFonts w:ascii="Arial" w:cs="Arial" w:eastAsia="Arial" w:hAnsi="Arial"/>
          <w:sz w:val="18"/>
          <w:szCs w:val="18"/>
          <w:color w:val="auto"/>
        </w:rPr>
      </w:pPr>
    </w:p>
    <w:p>
      <w:pPr>
        <w:ind w:left="700" w:right="200" w:hanging="344"/>
        <w:spacing w:after="0" w:line="238"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maintain our long-standing commitment to strong corporate governance by continuing our policies of (i) separate Board Chair and CEO roles, (ii) majority voting for directors, (iii) all independent Board members (except our CEO) and all independent committee members, (iv) executive sessions of independent directors, and (v) prohibition on hedging or pledging of Itron stock by our executive officers.</w:t>
      </w:r>
    </w:p>
    <w:p>
      <w:pPr>
        <w:spacing w:after="0" w:line="96" w:lineRule="exact"/>
        <w:rPr>
          <w:rFonts w:ascii="Arial" w:cs="Arial" w:eastAsia="Arial" w:hAnsi="Arial"/>
          <w:sz w:val="18"/>
          <w:szCs w:val="18"/>
          <w:color w:val="auto"/>
        </w:rPr>
      </w:pPr>
    </w:p>
    <w:p>
      <w:pPr>
        <w:ind w:left="700" w:right="40" w:hanging="344"/>
        <w:spacing w:after="0" w:line="237"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compensation of our NEOs varies depending upon the achievement of pre-established performance goals determined by the Compensation Committee (or the independent members of the Board, for the CEO), which are intended to serve as incentives for our NEOs. When performance does not meet the pre-established target goals, as was the case in prior years, then the amount of compensation paid to our executives is correspondingly reduced or eliminated. Conversely, when the Company’s operating and financial performance meets or exceeds the pre-established performance metrics, then the amount of compensation paid to our executives increases.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The 2019 Executive Compensation Program in Detail</w:t>
      </w:r>
      <w:r>
        <w:rPr>
          <w:rFonts w:ascii="Arial" w:cs="Arial" w:eastAsia="Arial" w:hAnsi="Arial"/>
          <w:sz w:val="18"/>
          <w:szCs w:val="18"/>
          <w:color w:val="auto"/>
        </w:rPr>
        <w:t>” in the CD&amp;A.</w:t>
      </w:r>
    </w:p>
    <w:p>
      <w:pPr>
        <w:spacing w:after="0" w:line="17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believe our executive compensation policies have enabled us to retain and attract exceptional senior executives whose talent and experience have helped Itron become a leader in our industry. Our Compensation Committee (and for the CEO compensation, also the independent members of the Board), which provides overall direction for our compensation programs, believes the fiscal year 2019 compensation paid to our NEOs is reasonable and appropriate and adequately reflects the Company’s overall performance in 2019.</w:t>
      </w:r>
    </w:p>
    <w:p>
      <w:pPr>
        <w:spacing w:after="0" w:line="165"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Shareholders are encouraged to read the full details of our executive compensation programs as described in the “</w:t>
      </w:r>
      <w:r>
        <w:rPr>
          <w:rFonts w:ascii="Arial" w:cs="Arial" w:eastAsia="Arial" w:hAnsi="Arial"/>
          <w:sz w:val="18"/>
          <w:szCs w:val="18"/>
          <w:i w:val="1"/>
          <w:iCs w:val="1"/>
          <w:color w:val="auto"/>
        </w:rPr>
        <w:t>EXECUTIVE COMPENSATION</w:t>
      </w:r>
      <w:r>
        <w:rPr>
          <w:rFonts w:ascii="Arial" w:cs="Arial" w:eastAsia="Arial" w:hAnsi="Arial"/>
          <w:sz w:val="18"/>
          <w:szCs w:val="18"/>
          <w:color w:val="auto"/>
        </w:rPr>
        <w:t>” section of this proxy statement.</w:t>
      </w:r>
    </w:p>
    <w:p>
      <w:pPr>
        <w:spacing w:after="0" w:line="21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For the reasons provided above, we recommend that the shareholders vote in favor of the following resolution:</w:t>
      </w:r>
    </w:p>
    <w:p>
      <w:pPr>
        <w:spacing w:after="0" w:line="14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shareholders approve, on a non-binding advisory basis, the compensation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named executive officers, as disclosed in the Compensation Discussion and Analysis section of the Company’s proxy statement for the 2020 annual meeting of shareholders, which disclosure includes the Executive Compensation Tables, and the accompanying footnotes and narrative disclosures within the proxy statement.</w:t>
      </w:r>
    </w:p>
    <w:p>
      <w:pPr>
        <w:spacing w:after="0" w:line="28"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The Board recommends that shareholders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1546225</wp:posOffset>
            </wp:positionH>
            <wp:positionV relativeFrom="paragraph">
              <wp:posOffset>-125095</wp:posOffset>
            </wp:positionV>
            <wp:extent cx="240030" cy="402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0030" cy="402590"/>
                    </a:xfrm>
                    <a:prstGeom prst="rect">
                      <a:avLst/>
                    </a:prstGeom>
                    <a:noFill/>
                  </pic:spPr>
                </pic:pic>
              </a:graphicData>
            </a:graphic>
          </wp:anchor>
        </w:drawing>
      </w:r>
    </w:p>
    <w:p>
      <w:pPr>
        <w:ind w:left="2920"/>
        <w:spacing w:after="0"/>
        <w:rPr>
          <w:sz w:val="20"/>
          <w:szCs w:val="20"/>
          <w:color w:val="auto"/>
        </w:rPr>
      </w:pPr>
      <w:r>
        <w:rPr>
          <w:rFonts w:ascii="Arial" w:cs="Arial" w:eastAsia="Arial" w:hAnsi="Arial"/>
          <w:sz w:val="18"/>
          <w:szCs w:val="18"/>
          <w:b w:val="1"/>
          <w:bCs w:val="1"/>
          <w:color w:val="auto"/>
        </w:rPr>
        <w:t>“FOR” the approval of the compensation paid to</w:t>
      </w:r>
    </w:p>
    <w:p>
      <w:pPr>
        <w:ind w:left="2920"/>
        <w:spacing w:after="0"/>
        <w:rPr>
          <w:sz w:val="20"/>
          <w:szCs w:val="20"/>
          <w:color w:val="auto"/>
        </w:rPr>
      </w:pPr>
      <w:r>
        <w:rPr>
          <w:rFonts w:ascii="Arial" w:cs="Arial" w:eastAsia="Arial" w:hAnsi="Arial"/>
          <w:sz w:val="18"/>
          <w:szCs w:val="18"/>
          <w:b w:val="1"/>
          <w:bCs w:val="1"/>
          <w:color w:val="auto"/>
        </w:rPr>
        <w:t>our named executive officers in fiscal year 2019</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&amp; ANALYSIS (CD&amp;A)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Compensation</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This CD&amp;A explains our executive compensation program for our named executive officers (NEOs) listed below. The CD&amp;A also describes the process followed by the Compensation Committee of the Board (referred to as the Compensation Committee or the Committee in this CD&amp;A) for making pay decisions, as well as its rationale for specific decisions related to 2019.</w:t>
      </w:r>
    </w:p>
    <w:p>
      <w:pPr>
        <w:spacing w:after="0" w:line="33"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22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19"/>
                <w:szCs w:val="19"/>
                <w:color w:val="auto"/>
              </w:rPr>
            </w:pPr>
          </w:p>
        </w:tc>
        <w:tc>
          <w:tcPr>
            <w:tcW w:w="71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Title</w:t>
            </w:r>
          </w:p>
        </w:tc>
      </w:tr>
      <w:tr>
        <w:trPr>
          <w:trHeight w:val="249"/>
        </w:trPr>
        <w:tc>
          <w:tcPr>
            <w:tcW w:w="2200" w:type="dxa"/>
            <w:vAlign w:val="bottom"/>
          </w:tcPr>
          <w:p>
            <w:pPr>
              <w:ind w:left="40"/>
              <w:spacing w:after="0" w:line="249" w:lineRule="exact"/>
              <w:rPr>
                <w:sz w:val="20"/>
                <w:szCs w:val="20"/>
                <w:color w:val="auto"/>
              </w:rPr>
            </w:pPr>
            <w:r>
              <w:rPr>
                <w:rFonts w:ascii="Arial" w:cs="Arial" w:eastAsia="Arial" w:hAnsi="Arial"/>
                <w:sz w:val="17"/>
                <w:szCs w:val="17"/>
                <w:color w:val="auto"/>
              </w:rPr>
              <w:t>Thomas L. Deitrich</w:t>
            </w:r>
            <w:r>
              <w:rPr>
                <w:rFonts w:ascii="Arial" w:cs="Arial" w:eastAsia="Arial" w:hAnsi="Arial"/>
                <w:sz w:val="28"/>
                <w:szCs w:val="28"/>
                <w:color w:val="auto"/>
                <w:vertAlign w:val="superscript"/>
              </w:rPr>
              <w:t>(1)</w:t>
            </w:r>
          </w:p>
        </w:tc>
        <w:tc>
          <w:tcPr>
            <w:tcW w:w="120" w:type="dxa"/>
            <w:vAlign w:val="bottom"/>
          </w:tcPr>
          <w:p>
            <w:pPr>
              <w:spacing w:after="0"/>
              <w:rPr>
                <w:sz w:val="21"/>
                <w:szCs w:val="21"/>
                <w:color w:val="auto"/>
              </w:rPr>
            </w:pPr>
          </w:p>
        </w:tc>
        <w:tc>
          <w:tcPr>
            <w:tcW w:w="7160" w:type="dxa"/>
            <w:vAlign w:val="bottom"/>
          </w:tcPr>
          <w:p>
            <w:pPr>
              <w:ind w:left="40"/>
              <w:spacing w:after="0"/>
              <w:rPr>
                <w:sz w:val="20"/>
                <w:szCs w:val="20"/>
                <w:color w:val="auto"/>
              </w:rPr>
            </w:pPr>
            <w:r>
              <w:rPr>
                <w:rFonts w:ascii="Arial" w:cs="Arial" w:eastAsia="Arial" w:hAnsi="Arial"/>
                <w:sz w:val="18"/>
                <w:szCs w:val="18"/>
                <w:color w:val="auto"/>
              </w:rPr>
              <w:t>President and CEO</w:t>
            </w:r>
          </w:p>
        </w:tc>
      </w:tr>
      <w:tr>
        <w:trPr>
          <w:trHeight w:val="217"/>
        </w:trPr>
        <w:tc>
          <w:tcPr>
            <w:tcW w:w="2200" w:type="dxa"/>
            <w:vAlign w:val="bottom"/>
          </w:tcPr>
          <w:p>
            <w:pPr>
              <w:ind w:left="40"/>
              <w:spacing w:after="0"/>
              <w:rPr>
                <w:sz w:val="20"/>
                <w:szCs w:val="20"/>
                <w:color w:val="auto"/>
              </w:rPr>
            </w:pPr>
            <w:r>
              <w:rPr>
                <w:rFonts w:ascii="Arial" w:cs="Arial" w:eastAsia="Arial" w:hAnsi="Arial"/>
                <w:sz w:val="18"/>
                <w:szCs w:val="18"/>
                <w:color w:val="auto"/>
              </w:rPr>
              <w:t>Joan S. Hooper</w:t>
            </w:r>
          </w:p>
        </w:tc>
        <w:tc>
          <w:tcPr>
            <w:tcW w:w="120" w:type="dxa"/>
            <w:vAlign w:val="bottom"/>
          </w:tcPr>
          <w:p>
            <w:pPr>
              <w:spacing w:after="0"/>
              <w:rPr>
                <w:sz w:val="18"/>
                <w:szCs w:val="18"/>
                <w:color w:val="auto"/>
              </w:rPr>
            </w:pPr>
          </w:p>
        </w:tc>
        <w:tc>
          <w:tcPr>
            <w:tcW w:w="7160" w:type="dxa"/>
            <w:vAlign w:val="bottom"/>
          </w:tcPr>
          <w:p>
            <w:pPr>
              <w:ind w:left="40"/>
              <w:spacing w:after="0"/>
              <w:rPr>
                <w:sz w:val="20"/>
                <w:szCs w:val="20"/>
                <w:color w:val="auto"/>
              </w:rPr>
            </w:pPr>
            <w:r>
              <w:rPr>
                <w:rFonts w:ascii="Arial" w:cs="Arial" w:eastAsia="Arial" w:hAnsi="Arial"/>
                <w:sz w:val="18"/>
                <w:szCs w:val="18"/>
                <w:color w:val="auto"/>
              </w:rPr>
              <w:t>Senior Vice President and CFO</w:t>
            </w:r>
          </w:p>
        </w:tc>
      </w:tr>
      <w:tr>
        <w:trPr>
          <w:trHeight w:val="229"/>
        </w:trPr>
        <w:tc>
          <w:tcPr>
            <w:tcW w:w="2200" w:type="dxa"/>
            <w:vAlign w:val="bottom"/>
          </w:tcPr>
          <w:p>
            <w:pPr>
              <w:ind w:left="40"/>
              <w:spacing w:after="0"/>
              <w:rPr>
                <w:sz w:val="20"/>
                <w:szCs w:val="20"/>
                <w:color w:val="auto"/>
              </w:rPr>
            </w:pPr>
            <w:r>
              <w:rPr>
                <w:rFonts w:ascii="Arial" w:cs="Arial" w:eastAsia="Arial" w:hAnsi="Arial"/>
                <w:sz w:val="18"/>
                <w:szCs w:val="18"/>
                <w:color w:val="auto"/>
              </w:rPr>
              <w:t>Sarah E. Hlavinka</w:t>
            </w:r>
          </w:p>
        </w:tc>
        <w:tc>
          <w:tcPr>
            <w:tcW w:w="120" w:type="dxa"/>
            <w:vAlign w:val="bottom"/>
          </w:tcPr>
          <w:p>
            <w:pPr>
              <w:spacing w:after="0"/>
              <w:rPr>
                <w:sz w:val="19"/>
                <w:szCs w:val="19"/>
                <w:color w:val="auto"/>
              </w:rPr>
            </w:pPr>
          </w:p>
        </w:tc>
        <w:tc>
          <w:tcPr>
            <w:tcW w:w="7160" w:type="dxa"/>
            <w:vAlign w:val="bottom"/>
          </w:tcPr>
          <w:p>
            <w:pPr>
              <w:ind w:left="40"/>
              <w:spacing w:after="0"/>
              <w:rPr>
                <w:sz w:val="20"/>
                <w:szCs w:val="20"/>
                <w:color w:val="auto"/>
              </w:rPr>
            </w:pPr>
            <w:r>
              <w:rPr>
                <w:rFonts w:ascii="Arial" w:cs="Arial" w:eastAsia="Arial" w:hAnsi="Arial"/>
                <w:sz w:val="18"/>
                <w:szCs w:val="18"/>
                <w:color w:val="auto"/>
              </w:rPr>
              <w:t>Senior Vice President, General Counsel and Corporate Secretary</w:t>
            </w:r>
          </w:p>
        </w:tc>
      </w:tr>
      <w:tr>
        <w:trPr>
          <w:trHeight w:val="229"/>
        </w:trPr>
        <w:tc>
          <w:tcPr>
            <w:tcW w:w="2200" w:type="dxa"/>
            <w:vAlign w:val="bottom"/>
          </w:tcPr>
          <w:p>
            <w:pPr>
              <w:ind w:left="40"/>
              <w:spacing w:after="0"/>
              <w:rPr>
                <w:sz w:val="20"/>
                <w:szCs w:val="20"/>
                <w:color w:val="auto"/>
              </w:rPr>
            </w:pPr>
            <w:r>
              <w:rPr>
                <w:rFonts w:ascii="Arial" w:cs="Arial" w:eastAsia="Arial" w:hAnsi="Arial"/>
                <w:sz w:val="18"/>
                <w:szCs w:val="18"/>
                <w:color w:val="auto"/>
              </w:rPr>
              <w:t>Michel C. Cadieux</w:t>
            </w:r>
          </w:p>
        </w:tc>
        <w:tc>
          <w:tcPr>
            <w:tcW w:w="120" w:type="dxa"/>
            <w:vAlign w:val="bottom"/>
          </w:tcPr>
          <w:p>
            <w:pPr>
              <w:spacing w:after="0"/>
              <w:rPr>
                <w:sz w:val="19"/>
                <w:szCs w:val="19"/>
                <w:color w:val="auto"/>
              </w:rPr>
            </w:pPr>
          </w:p>
        </w:tc>
        <w:tc>
          <w:tcPr>
            <w:tcW w:w="7160" w:type="dxa"/>
            <w:vAlign w:val="bottom"/>
          </w:tcPr>
          <w:p>
            <w:pPr>
              <w:ind w:left="40"/>
              <w:spacing w:after="0"/>
              <w:rPr>
                <w:sz w:val="20"/>
                <w:szCs w:val="20"/>
                <w:color w:val="auto"/>
              </w:rPr>
            </w:pPr>
            <w:r>
              <w:rPr>
                <w:rFonts w:ascii="Arial" w:cs="Arial" w:eastAsia="Arial" w:hAnsi="Arial"/>
                <w:sz w:val="18"/>
                <w:szCs w:val="18"/>
                <w:color w:val="auto"/>
              </w:rPr>
              <w:t>Senior Vice President, Human Resources</w:t>
            </w:r>
          </w:p>
        </w:tc>
      </w:tr>
      <w:tr>
        <w:trPr>
          <w:trHeight w:val="229"/>
        </w:trPr>
        <w:tc>
          <w:tcPr>
            <w:tcW w:w="2200" w:type="dxa"/>
            <w:vAlign w:val="bottom"/>
          </w:tcPr>
          <w:p>
            <w:pPr>
              <w:ind w:left="40"/>
              <w:spacing w:after="0"/>
              <w:rPr>
                <w:sz w:val="20"/>
                <w:szCs w:val="20"/>
                <w:color w:val="auto"/>
              </w:rPr>
            </w:pPr>
            <w:r>
              <w:rPr>
                <w:rFonts w:ascii="Arial" w:cs="Arial" w:eastAsia="Arial" w:hAnsi="Arial"/>
                <w:sz w:val="18"/>
                <w:szCs w:val="18"/>
                <w:color w:val="auto"/>
              </w:rPr>
              <w:t>Donald L. Reeves III</w:t>
            </w:r>
          </w:p>
        </w:tc>
        <w:tc>
          <w:tcPr>
            <w:tcW w:w="120" w:type="dxa"/>
            <w:vAlign w:val="bottom"/>
          </w:tcPr>
          <w:p>
            <w:pPr>
              <w:spacing w:after="0"/>
              <w:rPr>
                <w:sz w:val="19"/>
                <w:szCs w:val="19"/>
                <w:color w:val="auto"/>
              </w:rPr>
            </w:pPr>
          </w:p>
        </w:tc>
        <w:tc>
          <w:tcPr>
            <w:tcW w:w="7160" w:type="dxa"/>
            <w:vAlign w:val="bottom"/>
          </w:tcPr>
          <w:p>
            <w:pPr>
              <w:ind w:left="40"/>
              <w:spacing w:after="0"/>
              <w:rPr>
                <w:sz w:val="20"/>
                <w:szCs w:val="20"/>
                <w:color w:val="auto"/>
              </w:rPr>
            </w:pPr>
            <w:r>
              <w:rPr>
                <w:rFonts w:ascii="Arial" w:cs="Arial" w:eastAsia="Arial" w:hAnsi="Arial"/>
                <w:sz w:val="18"/>
                <w:szCs w:val="18"/>
                <w:color w:val="auto"/>
              </w:rPr>
              <w:t>Senior Vice President, Outcomes</w:t>
            </w:r>
          </w:p>
        </w:tc>
      </w:tr>
      <w:tr>
        <w:trPr>
          <w:trHeight w:val="383"/>
        </w:trPr>
        <w:tc>
          <w:tcPr>
            <w:tcW w:w="2200" w:type="dxa"/>
            <w:vAlign w:val="bottom"/>
          </w:tcPr>
          <w:p>
            <w:pPr>
              <w:ind w:left="40"/>
              <w:spacing w:after="0"/>
              <w:rPr>
                <w:sz w:val="20"/>
                <w:szCs w:val="20"/>
                <w:color w:val="auto"/>
              </w:rPr>
            </w:pPr>
            <w:r>
              <w:rPr>
                <w:rFonts w:ascii="Arial" w:cs="Arial" w:eastAsia="Arial" w:hAnsi="Arial"/>
                <w:sz w:val="18"/>
                <w:szCs w:val="18"/>
                <w:color w:val="auto"/>
              </w:rPr>
              <w:t>Philip C. Mezey</w:t>
            </w:r>
            <w:r>
              <w:rPr>
                <w:rFonts w:ascii="Arial" w:cs="Arial" w:eastAsia="Arial" w:hAnsi="Arial"/>
                <w:sz w:val="29"/>
                <w:szCs w:val="29"/>
                <w:color w:val="auto"/>
                <w:vertAlign w:val="superscript"/>
              </w:rPr>
              <w:t>(2)</w:t>
            </w:r>
          </w:p>
        </w:tc>
        <w:tc>
          <w:tcPr>
            <w:tcW w:w="120" w:type="dxa"/>
            <w:vAlign w:val="bottom"/>
          </w:tcPr>
          <w:p>
            <w:pPr>
              <w:spacing w:after="0"/>
              <w:rPr>
                <w:sz w:val="24"/>
                <w:szCs w:val="24"/>
                <w:color w:val="auto"/>
              </w:rPr>
            </w:pPr>
          </w:p>
        </w:tc>
        <w:tc>
          <w:tcPr>
            <w:tcW w:w="7160" w:type="dxa"/>
            <w:vAlign w:val="bottom"/>
          </w:tcPr>
          <w:p>
            <w:pPr>
              <w:ind w:left="40"/>
              <w:spacing w:after="0"/>
              <w:rPr>
                <w:sz w:val="20"/>
                <w:szCs w:val="20"/>
                <w:color w:val="auto"/>
              </w:rPr>
            </w:pPr>
            <w:r>
              <w:rPr>
                <w:rFonts w:ascii="Arial" w:cs="Arial" w:eastAsia="Arial" w:hAnsi="Arial"/>
                <w:sz w:val="18"/>
                <w:szCs w:val="18"/>
                <w:color w:val="auto"/>
              </w:rPr>
              <w:t>Former President and CEO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8483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142" w:lineRule="exact"/>
        <w:rPr>
          <w:sz w:val="20"/>
          <w:szCs w:val="20"/>
          <w:color w:val="auto"/>
        </w:rPr>
      </w:pPr>
    </w:p>
    <w:p>
      <w:pPr>
        <w:ind w:left="360" w:hanging="355"/>
        <w:spacing w:after="0"/>
        <w:tabs>
          <w:tab w:leader="none" w:pos="3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Mr. Deitrich was promoted and appointed as President and CEO, and appointed to the Board, effective August 6, 2019.</w:t>
      </w:r>
    </w:p>
    <w:p>
      <w:pPr>
        <w:spacing w:after="0" w:line="109" w:lineRule="exact"/>
        <w:rPr>
          <w:rFonts w:ascii="Arial" w:cs="Arial" w:eastAsia="Arial" w:hAnsi="Arial"/>
          <w:sz w:val="14"/>
          <w:szCs w:val="14"/>
          <w:color w:val="auto"/>
        </w:rPr>
      </w:pPr>
    </w:p>
    <w:p>
      <w:pPr>
        <w:ind w:left="360" w:right="280" w:hanging="355"/>
        <w:spacing w:after="0" w:line="258" w:lineRule="auto"/>
        <w:tabs>
          <w:tab w:leader="none" w:pos="3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Mr. Mezey became a non-executive officer employee effective August 6, 2019 through August 31, 2019. Mr. Mezey became a non-employee consultant effective September 1, 2019 through December 31, 2019.</w:t>
      </w:r>
    </w:p>
    <w:p>
      <w:pPr>
        <w:spacing w:after="0" w:line="14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On January 22, 2019, Philip Mezey, the Company’s President and CEO and a member of the Board of Directors, informed the Board of his intention to retire from his positions. Mr. Mezey continued to lead the Company as President and CEO and served as a member of the Board until his successor was appointed. On August 6, 2019, and after an extensive global search, the Board promoted and appointed Thomas Deitrich to succeed Mr. Mezey as President and CEO, and Mr. Deitrich was appointed to the Board at that time. Upon the appointment of Mr. Deitrich as President and CEO, Mr. Mezey remained with the Company as a non-executive officer employee through August 31, 2019, and then as a non-employee consultant through December 31, 2019, to help facilitate a seamless transition. For more information about the impact of this transition on Messrs. Mezey’s and Deitrich’s 2019 compensation,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Highlights</w:t>
      </w:r>
      <w:r>
        <w:rPr>
          <w:rFonts w:ascii="Arial" w:cs="Arial" w:eastAsia="Arial" w:hAnsi="Arial"/>
          <w:sz w:val="18"/>
          <w:szCs w:val="18"/>
          <w:color w:val="auto"/>
        </w:rPr>
        <w:t>” in this CD&amp;A for details.</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Summary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Performance</w:t>
      </w:r>
    </w:p>
    <w:p>
      <w:pPr>
        <w:spacing w:after="0" w:line="193"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Itron made solid progress in 2019 on the Company’s strategic and operational initiatives. We expanded our footprint of networked endpoints 10% since 2018; drove backlog to a record high $3.2 billion with a book to bill ratio exceeding 1:1; completed both our 2016 restructuring program and our integration of Silver Spring Networks, Inc., which we acquired in 2018; and focused on our customers’ success with innovative new offerings, such as Distributed Intelligent endpoints and enhanced data analytics. Itron’s leadership team remained focused with the appointment of our then-COO, Mr. Deitrich, as our new President and CEO in August of 2019, and we made significant progress across four key metrics that are all strongly embedded in our executive compensation program: Revenue, non-GAAP earnings per diluted share</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(non-GAAP EPS), earnings before interest, tax, depreciation and amortization (Adjusted EBITDA)</w:t>
      </w:r>
      <w:r>
        <w:rPr>
          <w:rFonts w:ascii="Arial" w:cs="Arial" w:eastAsia="Arial" w:hAnsi="Arial"/>
          <w:sz w:val="29"/>
          <w:szCs w:val="29"/>
          <w:color w:val="auto"/>
          <w:vertAlign w:val="superscript"/>
        </w:rPr>
        <w:t>(1)</w:t>
      </w:r>
      <w:r>
        <w:rPr>
          <w:rFonts w:ascii="Arial" w:cs="Arial" w:eastAsia="Arial" w:hAnsi="Arial"/>
          <w:sz w:val="18"/>
          <w:szCs w:val="18"/>
          <w:color w:val="auto"/>
        </w:rPr>
        <w:t>, and Free Cash Flow</w:t>
      </w:r>
      <w:r>
        <w:rPr>
          <w:rFonts w:ascii="Arial" w:cs="Arial" w:eastAsia="Arial" w:hAnsi="Arial"/>
          <w:sz w:val="29"/>
          <w:szCs w:val="29"/>
          <w:color w:val="auto"/>
          <w:vertAlign w:val="superscript"/>
        </w:rPr>
        <w:t>(1)</w:t>
      </w:r>
      <w:r>
        <w:rPr>
          <w:rFonts w:ascii="Arial" w:cs="Arial" w:eastAsia="Arial" w:hAnsi="Arial"/>
          <w:sz w:val="18"/>
          <w:szCs w:val="18"/>
          <w:color w:val="auto"/>
        </w:rPr>
        <w:t>, as follows:</w:t>
      </w:r>
    </w:p>
    <w:p>
      <w:pPr>
        <w:spacing w:after="0" w:line="7" w:lineRule="exact"/>
        <w:rPr>
          <w:sz w:val="20"/>
          <w:szCs w:val="20"/>
          <w:color w:val="auto"/>
        </w:rPr>
      </w:pPr>
    </w:p>
    <w:p>
      <w:pPr>
        <w:ind w:left="700" w:right="280" w:hanging="344"/>
        <w:spacing w:after="0" w:line="246"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Revenue of approximately $2.5 billion increased 5% from 2018, driven primarily by our Networked Solutions segment, which grew 16%;</w:t>
      </w:r>
    </w:p>
    <w:p>
      <w:pPr>
        <w:spacing w:after="0" w:line="88" w:lineRule="exact"/>
        <w:rPr>
          <w:rFonts w:ascii="Arial" w:cs="Arial" w:eastAsia="Arial" w:hAnsi="Arial"/>
          <w:sz w:val="18"/>
          <w:szCs w:val="18"/>
          <w:color w:val="auto"/>
        </w:rPr>
      </w:pPr>
    </w:p>
    <w:p>
      <w:pPr>
        <w:ind w:left="700" w:right="120" w:hanging="344"/>
        <w:spacing w:after="0" w:line="246"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Adjusted EBITDA of approximately $270 million increased 15% percent from 2018, including the benefits from our restructuring and integration projects;</w:t>
      </w:r>
    </w:p>
    <w:p>
      <w:pPr>
        <w:spacing w:after="0" w:line="88" w:lineRule="exact"/>
        <w:rPr>
          <w:rFonts w:ascii="Arial" w:cs="Arial" w:eastAsia="Arial" w:hAnsi="Arial"/>
          <w:sz w:val="18"/>
          <w:szCs w:val="18"/>
          <w:color w:val="auto"/>
        </w:rPr>
      </w:pPr>
    </w:p>
    <w:p>
      <w:pPr>
        <w:ind w:left="700" w:hanging="344"/>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Non-GAAP EPS of $3.32 increased 25% from 2018; and</w:t>
      </w:r>
    </w:p>
    <w:p>
      <w:pPr>
        <w:spacing w:after="0" w:line="103" w:lineRule="exact"/>
        <w:rPr>
          <w:rFonts w:ascii="Arial" w:cs="Arial" w:eastAsia="Arial" w:hAnsi="Arial"/>
          <w:sz w:val="18"/>
          <w:szCs w:val="18"/>
          <w:color w:val="auto"/>
        </w:rPr>
      </w:pPr>
    </w:p>
    <w:p>
      <w:pPr>
        <w:ind w:left="700" w:right="780" w:hanging="344"/>
        <w:spacing w:after="0" w:line="246"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Free Cash Flow of $112 million more than doubled from 2018, enabling accelerated debt payments of approximately $60 million and share repurchases of $25 million in 2019.</w:t>
      </w:r>
    </w:p>
    <w:p>
      <w:pPr>
        <w:spacing w:after="0" w:line="17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Management remains committed as we have continued to enhance Itron’s market position. In particular, we continued the expansion of networked endpoints; the development of innovative solutions in the Smart Energy and Smart City space; and the empowerment of our employees to drive operational improvement and efficiencies across our business. The combination of these efforts will contribute to long-term value for our shareholders.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Highlights</w:t>
      </w:r>
    </w:p>
    <w:p>
      <w:pPr>
        <w:spacing w:after="0" w:line="193"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Our executive compensation program has three primary elements: base salary, annual cash incentives (as part of our Executive Management Incentive Plan (EMIP)), and long-term equity incentives (as part of our Long-Term Incentive Plan (LTIP)). Each of these compensation elements serves a specific purpose in our compensation strategy. Base salary is an essential component to any market-competitive compensation program. Annual incentives reward the achievement of short-term goals, while long-term incentives drive our NEOs to focus on shareholder value creation.</w:t>
      </w:r>
    </w:p>
    <w:p>
      <w:pPr>
        <w:spacing w:after="0" w:line="16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In February 2019, after a challenging fiscal 2018, the Compensation Committee took several important actions when setting 2019 EMIP financial goals and 2019 LTIP award values:</w:t>
      </w:r>
    </w:p>
    <w:p>
      <w:pPr>
        <w:spacing w:after="0" w:line="90" w:lineRule="exact"/>
        <w:rPr>
          <w:sz w:val="20"/>
          <w:szCs w:val="20"/>
          <w:color w:val="auto"/>
        </w:rPr>
      </w:pPr>
    </w:p>
    <w:p>
      <w:pPr>
        <w:ind w:left="700" w:right="620" w:hanging="344"/>
        <w:spacing w:after="0" w:line="246"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Approved EMIP financial targets at higher levels than 2018 performance to drive year-over-year results, requiring significantly improved performance in 2019 to earn threshold and target payouts;</w:t>
      </w:r>
    </w:p>
    <w:p>
      <w:pPr>
        <w:spacing w:after="0" w:line="88" w:lineRule="exact"/>
        <w:rPr>
          <w:rFonts w:ascii="Arial" w:cs="Arial" w:eastAsia="Arial" w:hAnsi="Arial"/>
          <w:sz w:val="18"/>
          <w:szCs w:val="18"/>
          <w:color w:val="auto"/>
        </w:rPr>
      </w:pPr>
    </w:p>
    <w:p>
      <w:pPr>
        <w:ind w:left="700" w:hanging="344"/>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Set the maximum EMIP payout at 150% of target instead of the EMIP Plan maximum of 200%; and</w:t>
      </w:r>
    </w:p>
    <w:p>
      <w:pPr>
        <w:spacing w:after="0" w:line="103" w:lineRule="exact"/>
        <w:rPr>
          <w:rFonts w:ascii="Arial" w:cs="Arial" w:eastAsia="Arial" w:hAnsi="Arial"/>
          <w:sz w:val="18"/>
          <w:szCs w:val="18"/>
          <w:color w:val="auto"/>
        </w:rPr>
      </w:pPr>
    </w:p>
    <w:p>
      <w:pPr>
        <w:ind w:left="700" w:right="420" w:hanging="344"/>
        <w:spacing w:after="0" w:line="246"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Changed the mix of metrics under the EMIP to focus exclusively on financial results, by replacing strategic goals with Company Free Cash Flow and placing a heavier emphasis on Adjusted EBITDA, as follows:</w:t>
      </w:r>
    </w:p>
    <w:p>
      <w:pPr>
        <w:spacing w:after="0" w:line="1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340" w:type="dxa"/>
            <w:vAlign w:val="bottom"/>
            <w:tcBorders>
              <w:top w:val="single" w:sz="8" w:color="auto"/>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Performance Objectives</w:t>
            </w:r>
          </w:p>
        </w:tc>
        <w:tc>
          <w:tcPr>
            <w:tcW w:w="384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Performance Metrics &amp; Weightings</w:t>
            </w:r>
          </w:p>
        </w:tc>
        <w:tc>
          <w:tcPr>
            <w:tcW w:w="3380" w:type="dxa"/>
            <w:vAlign w:val="bottom"/>
            <w:tcBorders>
              <w:top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18"/>
                <w:szCs w:val="18"/>
                <w:b w:val="1"/>
                <w:bCs w:val="1"/>
                <w:color w:val="auto"/>
              </w:rPr>
              <w:t>EMIP Weighting</w:t>
            </w:r>
          </w:p>
        </w:tc>
      </w:tr>
      <w:tr>
        <w:trPr>
          <w:trHeight w:val="223"/>
        </w:trPr>
        <w:tc>
          <w:tcPr>
            <w:tcW w:w="23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Financial (100%)</w:t>
            </w:r>
          </w:p>
        </w:tc>
        <w:tc>
          <w:tcPr>
            <w:tcW w:w="3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Adjusted EBITDA*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60%</w:t>
            </w:r>
          </w:p>
        </w:tc>
      </w:tr>
      <w:tr>
        <w:trPr>
          <w:trHeight w:val="223"/>
        </w:trPr>
        <w:tc>
          <w:tcPr>
            <w:tcW w:w="1340" w:type="dxa"/>
            <w:vAlign w:val="bottom"/>
            <w:tcBorders>
              <w:lef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3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Revenue</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30%</w:t>
            </w:r>
          </w:p>
        </w:tc>
      </w:tr>
      <w:tr>
        <w:trPr>
          <w:trHeight w:val="223"/>
        </w:trPr>
        <w:tc>
          <w:tcPr>
            <w:tcW w:w="1340" w:type="dxa"/>
            <w:vAlign w:val="bottom"/>
            <w:tcBorders>
              <w:left w:val="single" w:sz="8" w:color="auto"/>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3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Free Cash Flow</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w:t>
            </w:r>
          </w:p>
        </w:tc>
      </w:tr>
      <w:tr>
        <w:trPr>
          <w:trHeight w:val="223"/>
        </w:trPr>
        <w:tc>
          <w:tcPr>
            <w:tcW w:w="23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Total</w:t>
            </w:r>
          </w:p>
        </w:tc>
        <w:tc>
          <w:tcPr>
            <w:tcW w:w="3840" w:type="dxa"/>
            <w:vAlign w:val="bottom"/>
            <w:tcBorders>
              <w:bottom w:val="single" w:sz="8" w:color="auto"/>
              <w:right w:val="single" w:sz="8" w:color="auto"/>
            </w:tcBorders>
          </w:tcPr>
          <w:p>
            <w:pPr>
              <w:spacing w:after="0"/>
              <w:rPr>
                <w:sz w:val="19"/>
                <w:szCs w:val="19"/>
                <w:color w:val="auto"/>
              </w:rPr>
            </w:pP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r>
      <w:tr>
        <w:trPr>
          <w:trHeight w:val="169"/>
        </w:trPr>
        <w:tc>
          <w:tcPr>
            <w:tcW w:w="1340" w:type="dxa"/>
            <w:vAlign w:val="bottom"/>
            <w:tcBorders>
              <w:bottom w:val="single" w:sz="8" w:color="auto"/>
            </w:tcBorders>
          </w:tcPr>
          <w:p>
            <w:pPr>
              <w:spacing w:after="0"/>
              <w:rPr>
                <w:sz w:val="14"/>
                <w:szCs w:val="14"/>
                <w:color w:val="auto"/>
              </w:rPr>
            </w:pPr>
          </w:p>
        </w:tc>
        <w:tc>
          <w:tcPr>
            <w:tcW w:w="10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380" w:type="dxa"/>
            <w:vAlign w:val="bottom"/>
          </w:tcPr>
          <w:p>
            <w:pPr>
              <w:spacing w:after="0"/>
              <w:rPr>
                <w:sz w:val="14"/>
                <w:szCs w:val="14"/>
                <w:color w:val="auto"/>
              </w:rPr>
            </w:pPr>
          </w:p>
        </w:tc>
      </w:tr>
    </w:tbl>
    <w:p>
      <w:pPr>
        <w:spacing w:after="0" w:line="113" w:lineRule="exact"/>
        <w:rPr>
          <w:sz w:val="20"/>
          <w:szCs w:val="20"/>
          <w:color w:val="auto"/>
        </w:rPr>
      </w:pPr>
    </w:p>
    <w:p>
      <w:pPr>
        <w:ind w:left="360" w:hanging="355"/>
        <w:spacing w:after="0"/>
        <w:tabs>
          <w:tab w:leader="none" w:pos="3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If the threshold Adjusted EBITDA goal is not achieved, no portion of the EMIP award will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48895</wp:posOffset>
            </wp:positionV>
            <wp:extent cx="8483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184" w:lineRule="exact"/>
        <w:rPr>
          <w:sz w:val="20"/>
          <w:szCs w:val="20"/>
          <w:color w:val="auto"/>
        </w:rPr>
      </w:pPr>
    </w:p>
    <w:p>
      <w:pPr>
        <w:ind w:left="360" w:right="40" w:hanging="355"/>
        <w:spacing w:after="0" w:line="218" w:lineRule="auto"/>
        <w:tabs>
          <w:tab w:leader="none" w:pos="36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A schedule reconciling Adjusted EBITDA to net income, non-GAAP EPS to net income, and Free Cash Flow to GAAP free cash flow is available on page 41 of our 2019 Annual Report on Form 10-K.</w:t>
      </w:r>
    </w:p>
    <w:p>
      <w:pPr>
        <w:spacing w:after="0" w:line="214"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Adjusted EBITDA focuses on profitable growth, while continuing to provide strong accountability for returns. Revenue ensures we are delivering an appropriate level of top-line growth. Free Cash Flow is a strong indicator of profitability adjusted for non-cash expenses and capital investments. The Committee retains discretion to further adjust the award upward or downward based on its assessment of individual performance, and in fiscal 2019 took the following discretionary actions:</w:t>
      </w:r>
    </w:p>
    <w:p>
      <w:pPr>
        <w:spacing w:after="0" w:line="97" w:lineRule="exact"/>
        <w:rPr>
          <w:sz w:val="20"/>
          <w:szCs w:val="20"/>
          <w:color w:val="auto"/>
        </w:rPr>
      </w:pPr>
    </w:p>
    <w:p>
      <w:pPr>
        <w:ind w:left="700" w:hanging="344"/>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Reduced the overall value of the annual LTIP awards by 25%;</w:t>
      </w:r>
    </w:p>
    <w:p>
      <w:pPr>
        <w:spacing w:after="0" w:line="103" w:lineRule="exact"/>
        <w:rPr>
          <w:rFonts w:ascii="Arial" w:cs="Arial" w:eastAsia="Arial" w:hAnsi="Arial"/>
          <w:sz w:val="18"/>
          <w:szCs w:val="18"/>
          <w:color w:val="auto"/>
        </w:rPr>
      </w:pPr>
    </w:p>
    <w:p>
      <w:pPr>
        <w:ind w:left="700" w:hanging="344"/>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Did not grant stock options as part of the annual LTIP awards; and</w:t>
      </w:r>
    </w:p>
    <w:p>
      <w:pPr>
        <w:spacing w:after="0" w:line="103" w:lineRule="exact"/>
        <w:rPr>
          <w:rFonts w:ascii="Arial" w:cs="Arial" w:eastAsia="Arial" w:hAnsi="Arial"/>
          <w:sz w:val="18"/>
          <w:szCs w:val="18"/>
          <w:color w:val="auto"/>
        </w:rPr>
      </w:pPr>
    </w:p>
    <w:p>
      <w:pPr>
        <w:ind w:left="700" w:hanging="344"/>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Reduced the number of target performance-based restricted stock units (PRSUs) by 50%.</w:t>
      </w:r>
    </w:p>
    <w:p>
      <w:pPr>
        <w:spacing w:after="0" w:line="171"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 xml:space="preserve">The Compensation Committee believes that these 2019 actions appropriately recognized the performance results from fiscal 2018, while balancing our leadership stability and retention objectives during a time of uncertainty and transition. </w:t>
      </w:r>
      <w:r>
        <w:rPr>
          <w:rFonts w:ascii="Arial" w:cs="Arial" w:eastAsia="Arial" w:hAnsi="Arial"/>
          <w:sz w:val="18"/>
          <w:szCs w:val="18"/>
          <w:i w:val="1"/>
          <w:iCs w:val="1"/>
          <w:color w:val="auto"/>
        </w:rPr>
        <w:t xml:space="preserve">See </w:t>
      </w:r>
      <w:r>
        <w:rPr>
          <w:rFonts w:ascii="Arial" w:cs="Arial" w:eastAsia="Arial" w:hAnsi="Arial"/>
          <w:sz w:val="18"/>
          <w:szCs w:val="18"/>
          <w:color w:val="auto"/>
        </w:rPr>
        <w:t>“</w:t>
      </w:r>
      <w:r>
        <w:rPr>
          <w:rFonts w:ascii="Arial" w:cs="Arial" w:eastAsia="Arial" w:hAnsi="Arial"/>
          <w:sz w:val="18"/>
          <w:szCs w:val="18"/>
          <w:i w:val="1"/>
          <w:iCs w:val="1"/>
          <w:color w:val="auto"/>
        </w:rPr>
        <w:t>Long-Term Incentives</w:t>
      </w:r>
      <w:r>
        <w:rPr>
          <w:rFonts w:ascii="Arial" w:cs="Arial" w:eastAsia="Arial" w:hAnsi="Arial"/>
          <w:sz w:val="18"/>
          <w:szCs w:val="18"/>
          <w:color w:val="auto"/>
        </w:rPr>
        <w:t>” in this CD&amp;A for details.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At the close of 2019, based on our financial performance and consistent with the design of our program,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made the following executive compensation payout decisions for fiscal 2019:</w:t>
      </w:r>
    </w:p>
    <w:p>
      <w:pPr>
        <w:spacing w:after="0" w:line="117" w:lineRule="exact"/>
        <w:rPr>
          <w:sz w:val="20"/>
          <w:szCs w:val="20"/>
          <w:color w:val="auto"/>
        </w:rPr>
      </w:pPr>
    </w:p>
    <w:p>
      <w:pPr>
        <w:ind w:left="700" w:right="60" w:hanging="344"/>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Salary: None of the NEOs received base salary adjustments in 2019, except for Mr. Deitrich who, at the time of his promotion to President and CEO, received an adjustment to align his base salary with the market. See “</w:t>
      </w:r>
      <w:r>
        <w:rPr>
          <w:rFonts w:ascii="Arial" w:cs="Arial" w:eastAsia="Arial" w:hAnsi="Arial"/>
          <w:sz w:val="18"/>
          <w:szCs w:val="18"/>
          <w:i w:val="1"/>
          <w:iCs w:val="1"/>
          <w:color w:val="auto"/>
        </w:rPr>
        <w:t>Base Salary</w:t>
      </w:r>
      <w:r>
        <w:rPr>
          <w:rFonts w:ascii="Arial" w:cs="Arial" w:eastAsia="Arial" w:hAnsi="Arial"/>
          <w:sz w:val="18"/>
          <w:szCs w:val="18"/>
          <w:color w:val="auto"/>
        </w:rPr>
        <w:t>” in this CD&amp;A for details.</w:t>
      </w:r>
    </w:p>
    <w:p>
      <w:pPr>
        <w:spacing w:after="0" w:line="94" w:lineRule="exact"/>
        <w:rPr>
          <w:rFonts w:ascii="Arial" w:cs="Arial" w:eastAsia="Arial" w:hAnsi="Arial"/>
          <w:sz w:val="18"/>
          <w:szCs w:val="18"/>
          <w:color w:val="auto"/>
        </w:rPr>
      </w:pPr>
    </w:p>
    <w:p>
      <w:pPr>
        <w:ind w:left="700" w:right="60" w:hanging="344"/>
        <w:spacing w:after="0" w:line="238"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EMIP: 2019 financial performance resulted in an overall attainment percentage of 77.5%. This overall attainment result is a combination of achievement of specific Adjusted EBITDA, Revenue, and Free Cash Flow goals.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Annual Cash Incentives: The Executive Management Incentive Plan (EMIP)</w:t>
      </w:r>
      <w:r>
        <w:rPr>
          <w:rFonts w:ascii="Arial" w:cs="Arial" w:eastAsia="Arial" w:hAnsi="Arial"/>
          <w:sz w:val="18"/>
          <w:szCs w:val="18"/>
          <w:color w:val="auto"/>
        </w:rPr>
        <w:t>” in this CD&amp;A for details.</w:t>
      </w:r>
    </w:p>
    <w:p>
      <w:pPr>
        <w:spacing w:after="0" w:line="96" w:lineRule="exact"/>
        <w:rPr>
          <w:rFonts w:ascii="Arial" w:cs="Arial" w:eastAsia="Arial" w:hAnsi="Arial"/>
          <w:sz w:val="18"/>
          <w:szCs w:val="18"/>
          <w:color w:val="auto"/>
        </w:rPr>
      </w:pPr>
    </w:p>
    <w:p>
      <w:pPr>
        <w:ind w:left="700" w:right="140" w:hanging="344"/>
        <w:spacing w:after="0" w:line="238"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LTIP: Under the LTIP, NEOs received a portion of their annual grant in the form of PRSUs. Consistent with the terms of the LTIP, the NEOs earned 91.2% of their target PRSUs for the 2017-2019 performance cycle. This attainment is the combination of an average non-GAAP EPS target attainment of 84.5% and a total shareholder return (TSR) multiplier of 108%.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Long-Term Incentives – A Closer Look at Performance-Based Restricted Stock Units (PRSUs)</w:t>
      </w:r>
      <w:r>
        <w:rPr>
          <w:rFonts w:ascii="Arial" w:cs="Arial" w:eastAsia="Arial" w:hAnsi="Arial"/>
          <w:sz w:val="18"/>
          <w:szCs w:val="18"/>
          <w:color w:val="auto"/>
        </w:rPr>
        <w:t>” in this CD&amp;A for details.</w:t>
      </w:r>
    </w:p>
    <w:p>
      <w:pPr>
        <w:spacing w:after="0" w:line="162"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These payouts are aligned with the Company’s business performance in 2019. The Compensation Committee believes that the design and structure of the Company’s incentive program provide a direct link between Company performance and pay outcomes for the executives, as described in greater detail in the following section.</w:t>
      </w:r>
    </w:p>
    <w:p>
      <w:pPr>
        <w:spacing w:after="0" w:line="143"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i w:val="1"/>
          <w:iCs w:val="1"/>
          <w:color w:val="auto"/>
        </w:rPr>
        <w:t xml:space="preserve">Changes to Mr. Deitrich’s Compensation. </w:t>
      </w:r>
      <w:r>
        <w:rPr>
          <w:rFonts w:ascii="Arial" w:cs="Arial" w:eastAsia="Arial" w:hAnsi="Arial"/>
          <w:sz w:val="18"/>
          <w:szCs w:val="18"/>
          <w:color w:val="auto"/>
        </w:rPr>
        <w:t>In recognition of Mr. Deitrich’s promotion to President and CEO and to bring</w:t>
      </w:r>
      <w:r>
        <w:rPr>
          <w:rFonts w:ascii="Arial" w:cs="Arial" w:eastAsia="Arial" w:hAnsi="Arial"/>
          <w:sz w:val="18"/>
          <w:szCs w:val="18"/>
          <w:i w:val="1"/>
          <w:iCs w:val="1"/>
          <w:color w:val="auto"/>
        </w:rPr>
        <w:t xml:space="preserve"> </w:t>
      </w:r>
      <w:r>
        <w:rPr>
          <w:rFonts w:ascii="Arial" w:cs="Arial" w:eastAsia="Arial" w:hAnsi="Arial"/>
          <w:sz w:val="18"/>
          <w:szCs w:val="18"/>
          <w:color w:val="auto"/>
        </w:rPr>
        <w:t>his compensation up to levels consistent with his experience and new role, the Committee approved the following changes: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223"/>
        </w:trPr>
        <w:tc>
          <w:tcPr>
            <w:tcW w:w="5180" w:type="dxa"/>
            <w:vAlign w:val="bottom"/>
            <w:shd w:val="clear" w:color="auto" w:fill="B2B2B2"/>
          </w:tcPr>
          <w:p>
            <w:pPr>
              <w:ind w:left="40"/>
              <w:spacing w:after="0"/>
              <w:rPr>
                <w:sz w:val="20"/>
                <w:szCs w:val="20"/>
                <w:color w:val="auto"/>
              </w:rPr>
            </w:pPr>
            <w:r>
              <w:rPr>
                <w:rFonts w:ascii="Arial" w:cs="Arial" w:eastAsia="Arial" w:hAnsi="Arial"/>
                <w:sz w:val="18"/>
                <w:szCs w:val="18"/>
                <w:color w:val="auto"/>
              </w:rPr>
              <w:t>Annualized Base Salary Rate</w:t>
            </w:r>
          </w:p>
        </w:tc>
        <w:tc>
          <w:tcPr>
            <w:tcW w:w="192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550,000</w:t>
            </w:r>
          </w:p>
        </w:tc>
        <w:tc>
          <w:tcPr>
            <w:tcW w:w="140" w:type="dxa"/>
            <w:vAlign w:val="bottom"/>
            <w:shd w:val="clear" w:color="auto" w:fill="B2B2B2"/>
          </w:tcPr>
          <w:p>
            <w:pPr>
              <w:spacing w:after="0"/>
              <w:rPr>
                <w:sz w:val="19"/>
                <w:szCs w:val="19"/>
                <w:color w:val="auto"/>
              </w:rPr>
            </w:pPr>
          </w:p>
        </w:tc>
        <w:tc>
          <w:tcPr>
            <w:tcW w:w="26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shd w:val="clear" w:color="auto" w:fill="B2B2B2"/>
          </w:tcPr>
          <w:p>
            <w:pPr>
              <w:spacing w:after="0"/>
              <w:rPr>
                <w:sz w:val="19"/>
                <w:szCs w:val="19"/>
                <w:color w:val="auto"/>
              </w:rPr>
            </w:pPr>
          </w:p>
        </w:tc>
      </w:tr>
      <w:tr>
        <w:trPr>
          <w:trHeight w:val="230"/>
        </w:trPr>
        <w:tc>
          <w:tcPr>
            <w:tcW w:w="5180" w:type="dxa"/>
            <w:vAlign w:val="bottom"/>
          </w:tcPr>
          <w:p>
            <w:pPr>
              <w:ind w:left="40"/>
              <w:spacing w:after="0"/>
              <w:rPr>
                <w:sz w:val="20"/>
                <w:szCs w:val="20"/>
                <w:color w:val="auto"/>
              </w:rPr>
            </w:pPr>
            <w:r>
              <w:rPr>
                <w:rFonts w:ascii="Arial" w:cs="Arial" w:eastAsia="Arial" w:hAnsi="Arial"/>
                <w:sz w:val="18"/>
                <w:szCs w:val="18"/>
                <w:color w:val="auto"/>
              </w:rPr>
              <w:t>Target EMIP (as a % of Base Salary)*</w:t>
            </w: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5180" w:type="dxa"/>
            <w:vAlign w:val="bottom"/>
            <w:shd w:val="clear" w:color="auto" w:fill="B2B2B2"/>
          </w:tcPr>
          <w:p>
            <w:pPr>
              <w:ind w:left="40"/>
              <w:spacing w:after="0"/>
              <w:rPr>
                <w:sz w:val="20"/>
                <w:szCs w:val="20"/>
                <w:color w:val="auto"/>
              </w:rPr>
            </w:pPr>
            <w:r>
              <w:rPr>
                <w:rFonts w:ascii="Arial" w:cs="Arial" w:eastAsia="Arial" w:hAnsi="Arial"/>
                <w:sz w:val="18"/>
                <w:szCs w:val="18"/>
                <w:color w:val="auto"/>
              </w:rPr>
              <w:t>Target LTIP Award**</w:t>
            </w:r>
          </w:p>
        </w:tc>
        <w:tc>
          <w:tcPr>
            <w:tcW w:w="192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2,000,000</w:t>
            </w:r>
          </w:p>
        </w:tc>
        <w:tc>
          <w:tcPr>
            <w:tcW w:w="140" w:type="dxa"/>
            <w:vAlign w:val="bottom"/>
            <w:shd w:val="clear" w:color="auto" w:fill="B2B2B2"/>
          </w:tcPr>
          <w:p>
            <w:pPr>
              <w:spacing w:after="0"/>
              <w:rPr>
                <w:sz w:val="19"/>
                <w:szCs w:val="19"/>
                <w:color w:val="auto"/>
              </w:rPr>
            </w:pPr>
          </w:p>
        </w:tc>
        <w:tc>
          <w:tcPr>
            <w:tcW w:w="26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B2B2B2"/>
          </w:tcPr>
          <w:p>
            <w:pPr>
              <w:spacing w:after="0"/>
              <w:rPr>
                <w:sz w:val="19"/>
                <w:szCs w:val="19"/>
                <w:color w:val="auto"/>
              </w:rPr>
            </w:pPr>
          </w:p>
        </w:tc>
      </w:tr>
      <w:tr>
        <w:trPr>
          <w:trHeight w:val="230"/>
        </w:trPr>
        <w:tc>
          <w:tcPr>
            <w:tcW w:w="5180" w:type="dxa"/>
            <w:vAlign w:val="bottom"/>
          </w:tcPr>
          <w:p>
            <w:pPr>
              <w:ind w:left="40"/>
              <w:spacing w:after="0"/>
              <w:rPr>
                <w:sz w:val="20"/>
                <w:szCs w:val="20"/>
                <w:color w:val="auto"/>
              </w:rPr>
            </w:pPr>
            <w:r>
              <w:rPr>
                <w:rFonts w:ascii="Arial" w:cs="Arial" w:eastAsia="Arial" w:hAnsi="Arial"/>
                <w:sz w:val="18"/>
                <w:szCs w:val="18"/>
                <w:color w:val="auto"/>
              </w:rPr>
              <w:t>One-Time Equity Award Upon Promotion***</w:t>
            </w: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3,500,000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8483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281" w:lineRule="exact"/>
        <w:rPr>
          <w:sz w:val="20"/>
          <w:szCs w:val="20"/>
          <w:color w:val="auto"/>
        </w:rPr>
      </w:pPr>
    </w:p>
    <w:p>
      <w:pPr>
        <w:ind w:left="360" w:right="300" w:hanging="355"/>
        <w:spacing w:after="0" w:line="279" w:lineRule="auto"/>
        <w:tabs>
          <w:tab w:leader="none" w:pos="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2019 EMIP award was earned on a prorated basis. See “</w:t>
      </w:r>
      <w:r>
        <w:rPr>
          <w:rFonts w:ascii="Arial" w:cs="Arial" w:eastAsia="Arial" w:hAnsi="Arial"/>
          <w:sz w:val="14"/>
          <w:szCs w:val="14"/>
          <w:i w:val="1"/>
          <w:iCs w:val="1"/>
          <w:color w:val="auto"/>
        </w:rPr>
        <w:t>Annual Cash Incentives: The Executive Management Incentive Plan (EMIP)</w:t>
      </w:r>
      <w:r>
        <w:rPr>
          <w:rFonts w:ascii="Arial" w:cs="Arial" w:eastAsia="Arial" w:hAnsi="Arial"/>
          <w:sz w:val="14"/>
          <w:szCs w:val="14"/>
          <w:color w:val="auto"/>
        </w:rPr>
        <w:t>” in this CD&amp;A for details</w:t>
      </w:r>
      <w:r>
        <w:rPr>
          <w:rFonts w:ascii="Arial" w:cs="Arial" w:eastAsia="Arial" w:hAnsi="Arial"/>
          <w:sz w:val="14"/>
          <w:szCs w:val="14"/>
          <w:i w:val="1"/>
          <w:iCs w:val="1"/>
          <w:color w:val="auto"/>
        </w:rPr>
        <w:t>.</w:t>
      </w:r>
    </w:p>
    <w:p>
      <w:pPr>
        <w:spacing w:after="0" w:line="72" w:lineRule="exact"/>
        <w:rPr>
          <w:sz w:val="20"/>
          <w:szCs w:val="20"/>
          <w:color w:val="auto"/>
        </w:rPr>
      </w:pPr>
    </w:p>
    <w:p>
      <w:pPr>
        <w:ind w:left="360" w:hanging="355"/>
        <w:spacing w:after="0"/>
        <w:tabs>
          <w:tab w:leader="none" w:pos="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2019 Target LTIP Award was granted on the same basis as the other NEOs prior to Mr. Deitrich’s promotion.</w:t>
      </w:r>
    </w:p>
    <w:p>
      <w:pPr>
        <w:spacing w:after="0" w:line="95" w:lineRule="exact"/>
        <w:rPr>
          <w:rFonts w:ascii="Arial" w:cs="Arial" w:eastAsia="Arial" w:hAnsi="Arial"/>
          <w:sz w:val="14"/>
          <w:szCs w:val="14"/>
          <w:color w:val="auto"/>
        </w:rPr>
      </w:pPr>
    </w:p>
    <w:p>
      <w:pPr>
        <w:ind w:left="360" w:hanging="355"/>
        <w:spacing w:after="0"/>
        <w:tabs>
          <w:tab w:leader="none" w:pos="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See “</w:t>
      </w:r>
      <w:r>
        <w:rPr>
          <w:rFonts w:ascii="Arial" w:cs="Arial" w:eastAsia="Arial" w:hAnsi="Arial"/>
          <w:sz w:val="14"/>
          <w:szCs w:val="14"/>
          <w:i w:val="1"/>
          <w:iCs w:val="1"/>
          <w:color w:val="auto"/>
        </w:rPr>
        <w:t>Long-Term Incentives</w:t>
      </w:r>
      <w:r>
        <w:rPr>
          <w:rFonts w:ascii="Arial" w:cs="Arial" w:eastAsia="Arial" w:hAnsi="Arial"/>
          <w:sz w:val="14"/>
          <w:szCs w:val="14"/>
          <w:color w:val="auto"/>
        </w:rPr>
        <w:t>” in this CD&amp;A for details.</w:t>
      </w:r>
    </w:p>
    <w:p>
      <w:pPr>
        <w:spacing w:after="0" w:line="16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i w:val="1"/>
          <w:iCs w:val="1"/>
          <w:color w:val="auto"/>
        </w:rPr>
        <w:t xml:space="preserve">Changes to Mr. Mezey’s Compensation. </w:t>
      </w:r>
      <w:r>
        <w:rPr>
          <w:rFonts w:ascii="Arial" w:cs="Arial" w:eastAsia="Arial" w:hAnsi="Arial"/>
          <w:sz w:val="18"/>
          <w:szCs w:val="18"/>
          <w:color w:val="auto"/>
        </w:rPr>
        <w:t>As part of his Transition and Retirement Agreement (dated January 21, 2019),</w:t>
      </w:r>
      <w:r>
        <w:rPr>
          <w:rFonts w:ascii="Arial" w:cs="Arial" w:eastAsia="Arial" w:hAnsi="Arial"/>
          <w:sz w:val="18"/>
          <w:szCs w:val="18"/>
          <w:i w:val="1"/>
          <w:iCs w:val="1"/>
          <w:color w:val="auto"/>
        </w:rPr>
        <w:t xml:space="preserve"> </w:t>
      </w:r>
      <w:r>
        <w:rPr>
          <w:rFonts w:ascii="Arial" w:cs="Arial" w:eastAsia="Arial" w:hAnsi="Arial"/>
          <w:sz w:val="18"/>
          <w:szCs w:val="18"/>
          <w:color w:val="auto"/>
        </w:rPr>
        <w:t>Mr. Mezey continued to serve as President and CEO and member of the Company’s Board of Directors until Mr. Deitrich succeeded him in the role effective August 6, 2019. During this time and through August 31, 2019, Mr. Mezey continued to receive the same base salary and benefits and continued to vest in his outstanding equity</w:t>
      </w:r>
    </w:p>
    <w:p>
      <w:pPr>
        <w:spacing w:after="0" w:line="21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awards in accordance with their existing terms. He was also eligible to receive a pro-rated annual cash bonus for fiscal 2019, will continue to vest in his outstanding equity awards per their terms for terminations due to retirement, and will be eligible to exercise his vested stock options for up to three years following his separation. Mr. Mezey, due to his pending retirement, did not receive an annual LTIP grant in 2019.</w:t>
      </w:r>
    </w:p>
    <w:p>
      <w:pPr>
        <w:spacing w:after="0" w:line="2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Also pursuant to Mr. Mezey’s Transition and Retirement Agreement, upon the appointment of Mr. Deitrich to his new role, Mr. Mezey resigned from his positions. He then served as a non-executive officer employee effective August 6, 2019 through August 31, 2019, and then as a non-employee consultant effective September 1, 2019 through December 31, 2019. In these subsequent roles, Mr. Mezey was responsible for transitioning all duties and responsibilities to our new CEO, assisting as requested by our new CEO, and performing any other duties or responsibilities as reasonably requested by the Board. During his consulting period, Mr. Mezey received a monthly consulting fee of $130,000.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Linking CEO Pay and Performance</w:t>
      </w:r>
    </w:p>
    <w:p>
      <w:pPr>
        <w:spacing w:after="0" w:line="193"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A key component of our executive compensation philosophy is the link between compensation and overall business results and shareholder value creation. We strive to clearly communicate this to our shareholders and believe that looking at realizable pay in the following different contexts can illustrate this point effectively:</w:t>
      </w:r>
    </w:p>
    <w:p>
      <w:pPr>
        <w:spacing w:after="0" w:line="94" w:lineRule="exact"/>
        <w:rPr>
          <w:sz w:val="20"/>
          <w:szCs w:val="20"/>
          <w:color w:val="auto"/>
        </w:rPr>
      </w:pPr>
    </w:p>
    <w:p>
      <w:pPr>
        <w:ind w:left="700" w:hanging="344"/>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Realizable pay versus pay opportunity; and</w:t>
      </w:r>
    </w:p>
    <w:p>
      <w:pPr>
        <w:spacing w:after="0" w:line="103" w:lineRule="exact"/>
        <w:rPr>
          <w:rFonts w:ascii="Arial" w:cs="Arial" w:eastAsia="Arial" w:hAnsi="Arial"/>
          <w:sz w:val="18"/>
          <w:szCs w:val="18"/>
          <w:color w:val="auto"/>
        </w:rPr>
      </w:pPr>
    </w:p>
    <w:p>
      <w:pPr>
        <w:ind w:left="700" w:hanging="344"/>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Realizable pay for performance relative to peers</w:t>
      </w:r>
    </w:p>
    <w:p>
      <w:pPr>
        <w:spacing w:after="0" w:line="16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i w:val="1"/>
          <w:iCs w:val="1"/>
          <w:color w:val="auto"/>
        </w:rPr>
        <w:t xml:space="preserve">CEO Realizable Pay versus Pay Opportunity. </w:t>
      </w:r>
      <w:r>
        <w:rPr>
          <w:rFonts w:ascii="Arial" w:cs="Arial" w:eastAsia="Arial" w:hAnsi="Arial"/>
          <w:sz w:val="18"/>
          <w:szCs w:val="18"/>
          <w:color w:val="auto"/>
        </w:rPr>
        <w:t>Many of the required disclosures concerning CEO compensation discuss</w:t>
      </w:r>
      <w:r>
        <w:rPr>
          <w:rFonts w:ascii="Arial" w:cs="Arial" w:eastAsia="Arial" w:hAnsi="Arial"/>
          <w:sz w:val="18"/>
          <w:szCs w:val="18"/>
          <w:i w:val="1"/>
          <w:iCs w:val="1"/>
          <w:color w:val="auto"/>
        </w:rPr>
        <w:t xml:space="preserve"> </w:t>
      </w:r>
      <w:r>
        <w:rPr>
          <w:rFonts w:ascii="Arial" w:cs="Arial" w:eastAsia="Arial" w:hAnsi="Arial"/>
          <w:sz w:val="18"/>
          <w:szCs w:val="18"/>
          <w:color w:val="auto"/>
        </w:rPr>
        <w:t>pay elements or opportunities that may be earned by the CEO. Realizable pay, on the other hand, more closely considers actual compensation earned (or earnable) based on performance. To illustrate the differences, we compared pay opportunity to realizable pay on a year-by-year basis over the past three years; for this purpose, we use the following definitions: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Pay opportunity </w:t>
      </w:r>
      <w:r>
        <w:rPr>
          <w:rFonts w:ascii="Arial" w:cs="Arial" w:eastAsia="Arial" w:hAnsi="Arial"/>
          <w:sz w:val="18"/>
          <w:szCs w:val="18"/>
          <w:color w:val="auto"/>
        </w:rPr>
        <w:t>represents:</w:t>
      </w:r>
    </w:p>
    <w:p>
      <w:pPr>
        <w:spacing w:after="0" w:line="126" w:lineRule="exact"/>
        <w:rPr>
          <w:sz w:val="20"/>
          <w:szCs w:val="20"/>
          <w:color w:val="auto"/>
        </w:rPr>
      </w:pPr>
    </w:p>
    <w:p>
      <w:pPr>
        <w:ind w:left="700" w:hanging="344"/>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sum of base salary and target EMIP opportunity for each fiscal year; and</w:t>
      </w:r>
    </w:p>
    <w:p>
      <w:pPr>
        <w:spacing w:after="0" w:line="103" w:lineRule="exact"/>
        <w:rPr>
          <w:rFonts w:ascii="Arial" w:cs="Arial" w:eastAsia="Arial" w:hAnsi="Arial"/>
          <w:sz w:val="18"/>
          <w:szCs w:val="18"/>
          <w:color w:val="auto"/>
        </w:rPr>
      </w:pPr>
    </w:p>
    <w:p>
      <w:pPr>
        <w:ind w:left="700" w:hanging="344"/>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grant date fair value of stock options, RSUs and PRSUs granted in each fiscal year.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Realizable pay </w:t>
      </w:r>
      <w:r>
        <w:rPr>
          <w:rFonts w:ascii="Arial" w:cs="Arial" w:eastAsia="Arial" w:hAnsi="Arial"/>
          <w:sz w:val="18"/>
          <w:szCs w:val="18"/>
          <w:color w:val="auto"/>
        </w:rPr>
        <w:t>represents:</w:t>
      </w:r>
    </w:p>
    <w:p>
      <w:pPr>
        <w:spacing w:after="0" w:line="126" w:lineRule="exact"/>
        <w:rPr>
          <w:sz w:val="20"/>
          <w:szCs w:val="20"/>
          <w:color w:val="auto"/>
        </w:rPr>
      </w:pPr>
    </w:p>
    <w:p>
      <w:pPr>
        <w:ind w:left="700" w:hanging="344"/>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sum of base salary and actual EMIP paid for each fiscal year;</w:t>
      </w:r>
    </w:p>
    <w:p>
      <w:pPr>
        <w:spacing w:after="0" w:line="103" w:lineRule="exact"/>
        <w:rPr>
          <w:rFonts w:ascii="Arial" w:cs="Arial" w:eastAsia="Arial" w:hAnsi="Arial"/>
          <w:sz w:val="18"/>
          <w:szCs w:val="18"/>
          <w:color w:val="auto"/>
        </w:rPr>
      </w:pPr>
    </w:p>
    <w:p>
      <w:pPr>
        <w:ind w:left="700" w:right="180" w:hanging="344"/>
        <w:spacing w:after="0" w:line="246"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 the money” value of any stock options granted in each fiscal year, valued as of their vesting date, or if unvested, as of December 31, 2019;</w:t>
      </w:r>
    </w:p>
    <w:p>
      <w:pPr>
        <w:spacing w:after="0" w:line="88" w:lineRule="exact"/>
        <w:rPr>
          <w:rFonts w:ascii="Arial" w:cs="Arial" w:eastAsia="Arial" w:hAnsi="Arial"/>
          <w:sz w:val="18"/>
          <w:szCs w:val="18"/>
          <w:color w:val="auto"/>
        </w:rPr>
      </w:pPr>
    </w:p>
    <w:p>
      <w:pPr>
        <w:ind w:left="700" w:right="120" w:hanging="344"/>
        <w:spacing w:after="0" w:line="246"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value of RSUs granted in each fiscal year valued at their vesting date, or if unvested, as of December 31, 2019;</w:t>
      </w:r>
    </w:p>
    <w:p>
      <w:pPr>
        <w:spacing w:after="0" w:line="88" w:lineRule="exact"/>
        <w:rPr>
          <w:rFonts w:ascii="Arial" w:cs="Arial" w:eastAsia="Arial" w:hAnsi="Arial"/>
          <w:sz w:val="18"/>
          <w:szCs w:val="18"/>
          <w:color w:val="auto"/>
        </w:rPr>
      </w:pPr>
    </w:p>
    <w:p>
      <w:pPr>
        <w:ind w:left="700" w:hanging="344"/>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number of PRSUs actually earned based on performance, valued as of December 31, 2019; and</w:t>
      </w:r>
    </w:p>
    <w:p>
      <w:pPr>
        <w:spacing w:after="0" w:line="103" w:lineRule="exact"/>
        <w:rPr>
          <w:rFonts w:ascii="Arial" w:cs="Arial" w:eastAsia="Arial" w:hAnsi="Arial"/>
          <w:sz w:val="18"/>
          <w:szCs w:val="18"/>
          <w:color w:val="auto"/>
        </w:rPr>
      </w:pPr>
    </w:p>
    <w:p>
      <w:pPr>
        <w:ind w:left="700" w:right="660" w:hanging="344"/>
        <w:spacing w:after="0" w:line="246"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outstanding PRSUs (uncompleted performance cycles), the estimated number of PRSUs based on performance to date, valued as of December 31, 2019.</w:t>
      </w:r>
    </w:p>
    <w:p>
      <w:pPr>
        <w:spacing w:after="0" w:line="210"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chart below illustrates Messrs. Mezey’s (for 2017 and 2018) and Deitrich’s (for 2019) realizable pay compared to their pay opportunities, as well as the corresponding year-end stock price for the last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100330</wp:posOffset>
            </wp:positionV>
            <wp:extent cx="5511800" cy="25374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1180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CEO Realizable Pay for Performance Relative to Peer Group. </w:t>
      </w:r>
      <w:r>
        <w:rPr>
          <w:rFonts w:ascii="Arial" w:cs="Arial" w:eastAsia="Arial" w:hAnsi="Arial"/>
          <w:sz w:val="18"/>
          <w:szCs w:val="18"/>
          <w:color w:val="auto"/>
        </w:rPr>
        <w:t>To provide another perspective, it is also helpful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understand the degree of alignment between CEO realizable pay and performance relative to our peer companies.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Our Decision-Making Process – The Role of Peer Companies</w:t>
      </w:r>
      <w:r>
        <w:rPr>
          <w:rFonts w:ascii="Arial" w:cs="Arial" w:eastAsia="Arial" w:hAnsi="Arial"/>
          <w:sz w:val="18"/>
          <w:szCs w:val="18"/>
          <w:color w:val="auto"/>
        </w:rPr>
        <w:t>” in this CD&amp;A for a list of the peer companies. To evaluate this alignment, we analyzed the relationship between realizable total direct compensation (TDC) for the CEO over 2016-2018 for the peer companies and for the Company, and TSR for the three years ended December 31, 2018. This time period was selected because it was most closely aligned with the compensation information available for our peer group companies for the years that Mr. Mezey was our CEO.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 this purpose, realizable TDC is defined as the sum of:</w:t>
      </w:r>
    </w:p>
    <w:p>
      <w:pPr>
        <w:spacing w:after="0" w:line="104" w:lineRule="exact"/>
        <w:rPr>
          <w:sz w:val="20"/>
          <w:szCs w:val="20"/>
          <w:color w:val="auto"/>
        </w:rPr>
      </w:pPr>
    </w:p>
    <w:p>
      <w:pPr>
        <w:ind w:left="700" w:hanging="344"/>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Actual base salaries paid over the three-year period;</w:t>
      </w:r>
    </w:p>
    <w:p>
      <w:pPr>
        <w:spacing w:after="0" w:line="103" w:lineRule="exact"/>
        <w:rPr>
          <w:rFonts w:ascii="Arial" w:cs="Arial" w:eastAsia="Arial" w:hAnsi="Arial"/>
          <w:sz w:val="18"/>
          <w:szCs w:val="18"/>
          <w:color w:val="auto"/>
        </w:rPr>
      </w:pPr>
    </w:p>
    <w:p>
      <w:pPr>
        <w:ind w:left="700" w:hanging="344"/>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Actual annual incentives (bonuses) paid over the three-year period;</w:t>
      </w:r>
    </w:p>
    <w:p>
      <w:pPr>
        <w:spacing w:after="0" w:line="103" w:lineRule="exact"/>
        <w:rPr>
          <w:rFonts w:ascii="Arial" w:cs="Arial" w:eastAsia="Arial" w:hAnsi="Arial"/>
          <w:sz w:val="18"/>
          <w:szCs w:val="18"/>
          <w:color w:val="auto"/>
        </w:rPr>
      </w:pPr>
    </w:p>
    <w:p>
      <w:pPr>
        <w:ind w:left="700" w:hanging="344"/>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“In-the-money” value as of December 31, 2018 of any stock options granted over the three-year period;</w:t>
      </w:r>
    </w:p>
    <w:p>
      <w:pPr>
        <w:spacing w:after="0" w:line="103" w:lineRule="exact"/>
        <w:rPr>
          <w:rFonts w:ascii="Arial" w:cs="Arial" w:eastAsia="Arial" w:hAnsi="Arial"/>
          <w:sz w:val="18"/>
          <w:szCs w:val="18"/>
          <w:color w:val="auto"/>
        </w:rPr>
      </w:pPr>
    </w:p>
    <w:p>
      <w:pPr>
        <w:ind w:left="700" w:right="160" w:hanging="344"/>
        <w:spacing w:after="0" w:line="246"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value as of December 31, 2018 of any restricted shares granted (including vested and unvested shares) over the three-year period; and</w:t>
      </w:r>
    </w:p>
    <w:p>
      <w:pPr>
        <w:spacing w:after="0" w:line="88" w:lineRule="exact"/>
        <w:rPr>
          <w:rFonts w:ascii="Arial" w:cs="Arial" w:eastAsia="Arial" w:hAnsi="Arial"/>
          <w:sz w:val="18"/>
          <w:szCs w:val="18"/>
          <w:color w:val="auto"/>
        </w:rPr>
      </w:pPr>
    </w:p>
    <w:p>
      <w:pPr>
        <w:ind w:left="700" w:right="220" w:hanging="344"/>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Cash-based long-term incentives awarded during the period, and the value as of December 31, 2018 of any performance shares granted over the three-year period (assuming target performance for cycles not completed).</w:t>
      </w:r>
    </w:p>
    <w:p>
      <w:pPr>
        <w:spacing w:after="0" w:line="21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480"/>
          </w:cols>
          <w:pgMar w:left="1160" w:top="279" w:right="125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chart below illustrates the percentile ranking of our three-year TSR and Mr. Mezey’s realizable TDC relative to our peer companies. As the chart indicates, during the three-year period our TSR performance was below the median of the peer companies and Mr. Mezey’s realizable TDC was below the median. Mr. Mezey’s realizable TDC was within an “alignment corridor” representing a strong correlation between compensation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104140</wp:posOffset>
            </wp:positionV>
            <wp:extent cx="4594860" cy="33604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594860"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Best Compensation Practices &amp; Policies</w:t>
      </w:r>
    </w:p>
    <w:p>
      <w:pPr>
        <w:spacing w:after="0" w:line="19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We also believe the Company’s practices and policies promote sound compensation governance and are in the best interests of our shareholders and executives:</w:t>
      </w:r>
    </w:p>
    <w:p>
      <w:pPr>
        <w:sectPr>
          <w:pgSz w:w="11900" w:h="16838" w:orient="portrait"/>
          <w:cols w:equalWidth="0" w:num="1">
            <w:col w:w="9540"/>
          </w:cols>
          <w:pgMar w:left="1160" w:top="279" w:right="1199" w:bottom="1440" w:gutter="0" w:footer="0" w:header="0"/>
        </w:sectPr>
      </w:pPr>
    </w:p>
    <w:p>
      <w:pPr>
        <w:spacing w:after="0" w:line="27" w:lineRule="exact"/>
        <w:rPr>
          <w:sz w:val="20"/>
          <w:szCs w:val="20"/>
          <w:color w:val="auto"/>
        </w:rPr>
      </w:pPr>
    </w:p>
    <w:p>
      <w:pPr>
        <w:jc w:val="center"/>
        <w:ind w:left="80"/>
        <w:spacing w:after="0"/>
        <w:rPr>
          <w:sz w:val="20"/>
          <w:szCs w:val="20"/>
          <w:color w:val="auto"/>
        </w:rPr>
      </w:pPr>
      <w:r>
        <w:rPr>
          <w:rFonts w:ascii="Arial" w:cs="Arial" w:eastAsia="Arial" w:hAnsi="Arial"/>
          <w:sz w:val="18"/>
          <w:szCs w:val="18"/>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11430</wp:posOffset>
            </wp:positionV>
            <wp:extent cx="296608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38" w:lineRule="exact"/>
        <w:rPr>
          <w:sz w:val="20"/>
          <w:szCs w:val="20"/>
          <w:color w:val="auto"/>
        </w:rPr>
      </w:pPr>
    </w:p>
    <w:p>
      <w:pPr>
        <w:ind w:left="460" w:hanging="383"/>
        <w:spacing w:after="0"/>
        <w:tabs>
          <w:tab w:leader="none" w:pos="46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Heavy emphasis on variable compensation</w:t>
      </w:r>
    </w:p>
    <w:p>
      <w:pPr>
        <w:spacing w:after="0" w:line="22" w:lineRule="exact"/>
        <w:rPr>
          <w:rFonts w:ascii="MS PGothic" w:cs="MS PGothic" w:eastAsia="MS PGothic" w:hAnsi="MS PGothic"/>
          <w:sz w:val="18"/>
          <w:szCs w:val="18"/>
          <w:color w:val="auto"/>
        </w:rPr>
      </w:pPr>
    </w:p>
    <w:p>
      <w:pPr>
        <w:ind w:left="460" w:hanging="383"/>
        <w:spacing w:after="0" w:line="243" w:lineRule="auto"/>
        <w:tabs>
          <w:tab w:leader="none" w:pos="46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Significant portion of annual long-term incentives are performance based</w:t>
      </w:r>
    </w:p>
    <w:p>
      <w:pPr>
        <w:spacing w:after="0" w:line="12" w:lineRule="exact"/>
        <w:rPr>
          <w:rFonts w:ascii="MS PGothic" w:cs="MS PGothic" w:eastAsia="MS PGothic" w:hAnsi="MS PGothic"/>
          <w:sz w:val="18"/>
          <w:szCs w:val="18"/>
          <w:color w:val="auto"/>
        </w:rPr>
      </w:pPr>
    </w:p>
    <w:p>
      <w:pPr>
        <w:ind w:left="460" w:hanging="383"/>
        <w:spacing w:after="0"/>
        <w:tabs>
          <w:tab w:leader="none" w:pos="46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Rigorous stock ownership guidelines</w:t>
      </w:r>
    </w:p>
    <w:p>
      <w:pPr>
        <w:spacing w:after="0" w:line="225" w:lineRule="exact"/>
        <w:rPr>
          <w:rFonts w:ascii="MS PGothic" w:cs="MS PGothic" w:eastAsia="MS PGothic" w:hAnsi="MS PGothic"/>
          <w:sz w:val="18"/>
          <w:szCs w:val="18"/>
          <w:color w:val="auto"/>
        </w:rPr>
      </w:pPr>
    </w:p>
    <w:p>
      <w:pPr>
        <w:ind w:left="460" w:hanging="383"/>
        <w:spacing w:after="0"/>
        <w:tabs>
          <w:tab w:leader="none" w:pos="46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Incentive Repayment (Clawback) Policy</w:t>
      </w:r>
    </w:p>
    <w:p>
      <w:pPr>
        <w:spacing w:after="0" w:line="22" w:lineRule="exact"/>
        <w:rPr>
          <w:rFonts w:ascii="MS PGothic" w:cs="MS PGothic" w:eastAsia="MS PGothic" w:hAnsi="MS PGothic"/>
          <w:sz w:val="18"/>
          <w:szCs w:val="18"/>
          <w:color w:val="auto"/>
        </w:rPr>
      </w:pPr>
    </w:p>
    <w:p>
      <w:pPr>
        <w:ind w:left="460" w:hanging="383"/>
        <w:spacing w:after="0"/>
        <w:tabs>
          <w:tab w:leader="none" w:pos="46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Independent compensation consultant</w:t>
      </w:r>
    </w:p>
    <w:p>
      <w:pPr>
        <w:spacing w:after="0" w:line="22" w:lineRule="exact"/>
        <w:rPr>
          <w:rFonts w:ascii="MS PGothic" w:cs="MS PGothic" w:eastAsia="MS PGothic" w:hAnsi="MS PGothic"/>
          <w:sz w:val="18"/>
          <w:szCs w:val="18"/>
          <w:color w:val="auto"/>
        </w:rPr>
      </w:pPr>
    </w:p>
    <w:p>
      <w:pPr>
        <w:ind w:left="460" w:hanging="383"/>
        <w:spacing w:after="0"/>
        <w:tabs>
          <w:tab w:leader="none" w:pos="46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Annual risk assessments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522"/>
        <w:spacing w:after="0"/>
        <w:rPr>
          <w:sz w:val="20"/>
          <w:szCs w:val="20"/>
          <w:color w:val="auto"/>
        </w:rPr>
      </w:pPr>
      <w:r>
        <w:rPr>
          <w:rFonts w:ascii="Arial" w:cs="Arial" w:eastAsia="Arial" w:hAnsi="Arial"/>
          <w:sz w:val="18"/>
          <w:szCs w:val="18"/>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11430</wp:posOffset>
            </wp:positionV>
            <wp:extent cx="29832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8" w:lineRule="exact"/>
        <w:rPr>
          <w:sz w:val="20"/>
          <w:szCs w:val="20"/>
          <w:color w:val="auto"/>
        </w:rPr>
      </w:pPr>
    </w:p>
    <w:p>
      <w:pPr>
        <w:ind w:left="382" w:hanging="382"/>
        <w:spacing w:after="0"/>
        <w:tabs>
          <w:tab w:leader="none" w:pos="382" w:val="left"/>
        </w:tabs>
        <w:numPr>
          <w:ilvl w:val="0"/>
          <w:numId w:val="42"/>
        </w:numPr>
        <w:rPr>
          <w:rFonts w:ascii="MS PGothic" w:cs="MS PGothic" w:eastAsia="MS PGothic" w:hAnsi="MS PGothic"/>
          <w:sz w:val="18"/>
          <w:szCs w:val="18"/>
          <w:color w:val="auto"/>
        </w:rPr>
      </w:pPr>
      <w:r>
        <w:rPr>
          <w:rFonts w:ascii="Arial" w:cs="Arial" w:eastAsia="Arial" w:hAnsi="Arial"/>
          <w:sz w:val="18"/>
          <w:szCs w:val="18"/>
          <w:color w:val="auto"/>
        </w:rPr>
        <w:t>No employment agreements</w:t>
      </w:r>
    </w:p>
    <w:p>
      <w:pPr>
        <w:spacing w:after="0" w:line="22" w:lineRule="exact"/>
        <w:rPr>
          <w:rFonts w:ascii="MS PGothic" w:cs="MS PGothic" w:eastAsia="MS PGothic" w:hAnsi="MS PGothic"/>
          <w:sz w:val="18"/>
          <w:szCs w:val="18"/>
          <w:color w:val="auto"/>
        </w:rPr>
      </w:pPr>
    </w:p>
    <w:p>
      <w:pPr>
        <w:ind w:left="382" w:hanging="382"/>
        <w:spacing w:after="0"/>
        <w:tabs>
          <w:tab w:leader="none" w:pos="382" w:val="left"/>
        </w:tabs>
        <w:numPr>
          <w:ilvl w:val="0"/>
          <w:numId w:val="42"/>
        </w:numPr>
        <w:rPr>
          <w:rFonts w:ascii="MS PGothic" w:cs="MS PGothic" w:eastAsia="MS PGothic" w:hAnsi="MS PGothic"/>
          <w:sz w:val="17"/>
          <w:szCs w:val="17"/>
          <w:color w:val="auto"/>
        </w:rPr>
      </w:pPr>
      <w:r>
        <w:rPr>
          <w:rFonts w:ascii="Arial" w:cs="Arial" w:eastAsia="Arial" w:hAnsi="Arial"/>
          <w:sz w:val="17"/>
          <w:szCs w:val="17"/>
          <w:color w:val="auto"/>
        </w:rPr>
        <w:t>No “single trigger” change-in-control cash payments</w:t>
      </w:r>
    </w:p>
    <w:p>
      <w:pPr>
        <w:spacing w:after="0" w:line="236" w:lineRule="exact"/>
        <w:rPr>
          <w:rFonts w:ascii="MS PGothic" w:cs="MS PGothic" w:eastAsia="MS PGothic" w:hAnsi="MS PGothic"/>
          <w:sz w:val="17"/>
          <w:szCs w:val="17"/>
          <w:color w:val="auto"/>
        </w:rPr>
      </w:pPr>
    </w:p>
    <w:p>
      <w:pPr>
        <w:ind w:left="382" w:right="980" w:hanging="382"/>
        <w:spacing w:after="0" w:line="243" w:lineRule="auto"/>
        <w:tabs>
          <w:tab w:leader="none" w:pos="382" w:val="left"/>
        </w:tabs>
        <w:numPr>
          <w:ilvl w:val="0"/>
          <w:numId w:val="42"/>
        </w:numPr>
        <w:rPr>
          <w:rFonts w:ascii="MS PGothic" w:cs="MS PGothic" w:eastAsia="MS PGothic" w:hAnsi="MS PGothic"/>
          <w:sz w:val="18"/>
          <w:szCs w:val="18"/>
          <w:color w:val="auto"/>
        </w:rPr>
      </w:pPr>
      <w:r>
        <w:rPr>
          <w:rFonts w:ascii="Arial" w:cs="Arial" w:eastAsia="Arial" w:hAnsi="Arial"/>
          <w:sz w:val="18"/>
          <w:szCs w:val="18"/>
          <w:color w:val="auto"/>
        </w:rPr>
        <w:t>No tax gross-ups in our change-in-control agreements</w:t>
      </w:r>
    </w:p>
    <w:p>
      <w:pPr>
        <w:spacing w:after="0" w:line="12" w:lineRule="exact"/>
        <w:rPr>
          <w:rFonts w:ascii="MS PGothic" w:cs="MS PGothic" w:eastAsia="MS PGothic" w:hAnsi="MS PGothic"/>
          <w:sz w:val="18"/>
          <w:szCs w:val="18"/>
          <w:color w:val="auto"/>
        </w:rPr>
      </w:pPr>
    </w:p>
    <w:p>
      <w:pPr>
        <w:ind w:left="382" w:hanging="382"/>
        <w:spacing w:after="0"/>
        <w:tabs>
          <w:tab w:leader="none" w:pos="382" w:val="left"/>
        </w:tabs>
        <w:numPr>
          <w:ilvl w:val="0"/>
          <w:numId w:val="42"/>
        </w:numPr>
        <w:rPr>
          <w:rFonts w:ascii="MS PGothic" w:cs="MS PGothic" w:eastAsia="MS PGothic" w:hAnsi="MS PGothic"/>
          <w:sz w:val="18"/>
          <w:szCs w:val="18"/>
          <w:color w:val="auto"/>
        </w:rPr>
      </w:pPr>
      <w:r>
        <w:rPr>
          <w:rFonts w:ascii="Arial" w:cs="Arial" w:eastAsia="Arial" w:hAnsi="Arial"/>
          <w:sz w:val="18"/>
          <w:szCs w:val="18"/>
          <w:color w:val="auto"/>
        </w:rPr>
        <w:t>No option backdating or repricing</w:t>
      </w:r>
    </w:p>
    <w:p>
      <w:pPr>
        <w:spacing w:after="0" w:line="22" w:lineRule="exact"/>
        <w:rPr>
          <w:rFonts w:ascii="MS PGothic" w:cs="MS PGothic" w:eastAsia="MS PGothic" w:hAnsi="MS PGothic"/>
          <w:sz w:val="18"/>
          <w:szCs w:val="18"/>
          <w:color w:val="auto"/>
        </w:rPr>
      </w:pPr>
    </w:p>
    <w:p>
      <w:pPr>
        <w:ind w:left="382" w:hanging="382"/>
        <w:spacing w:after="0"/>
        <w:tabs>
          <w:tab w:leader="none" w:pos="382" w:val="left"/>
        </w:tabs>
        <w:numPr>
          <w:ilvl w:val="0"/>
          <w:numId w:val="42"/>
        </w:numPr>
        <w:rPr>
          <w:rFonts w:ascii="MS PGothic" w:cs="MS PGothic" w:eastAsia="MS PGothic" w:hAnsi="MS PGothic"/>
          <w:sz w:val="18"/>
          <w:szCs w:val="18"/>
          <w:color w:val="auto"/>
        </w:rPr>
      </w:pPr>
      <w:r>
        <w:rPr>
          <w:rFonts w:ascii="Arial" w:cs="Arial" w:eastAsia="Arial" w:hAnsi="Arial"/>
          <w:sz w:val="18"/>
          <w:szCs w:val="18"/>
          <w:color w:val="auto"/>
        </w:rPr>
        <w:t>No hedging or pledging</w:t>
      </w:r>
    </w:p>
    <w:p>
      <w:pPr>
        <w:spacing w:after="0" w:line="22" w:lineRule="exact"/>
        <w:rPr>
          <w:rFonts w:ascii="MS PGothic" w:cs="MS PGothic" w:eastAsia="MS PGothic" w:hAnsi="MS PGothic"/>
          <w:sz w:val="18"/>
          <w:szCs w:val="18"/>
          <w:color w:val="auto"/>
        </w:rPr>
      </w:pPr>
    </w:p>
    <w:p>
      <w:pPr>
        <w:ind w:left="382" w:hanging="382"/>
        <w:spacing w:after="0"/>
        <w:tabs>
          <w:tab w:leader="none" w:pos="382" w:val="left"/>
        </w:tabs>
        <w:numPr>
          <w:ilvl w:val="0"/>
          <w:numId w:val="42"/>
        </w:numPr>
        <w:rPr>
          <w:rFonts w:ascii="MS PGothic" w:cs="MS PGothic" w:eastAsia="MS PGothic" w:hAnsi="MS PGothic"/>
          <w:sz w:val="18"/>
          <w:szCs w:val="18"/>
          <w:color w:val="auto"/>
        </w:rPr>
      </w:pPr>
      <w:r>
        <w:rPr>
          <w:rFonts w:ascii="Arial" w:cs="Arial" w:eastAsia="Arial" w:hAnsi="Arial"/>
          <w:sz w:val="18"/>
          <w:szCs w:val="18"/>
          <w:color w:val="auto"/>
        </w:rPr>
        <w:t>No special perquisites</w:t>
      </w:r>
    </w:p>
    <w:p>
      <w:pPr>
        <w:spacing w:after="0" w:line="200" w:lineRule="exact"/>
        <w:rPr>
          <w:sz w:val="20"/>
          <w:szCs w:val="20"/>
          <w:color w:val="auto"/>
        </w:rPr>
      </w:pPr>
    </w:p>
    <w:p>
      <w:pPr>
        <w:sectPr>
          <w:pgSz w:w="11900" w:h="16838" w:orient="portrait"/>
          <w:cols w:equalWidth="0" w:num="2">
            <w:col w:w="4660" w:space="218"/>
            <w:col w:w="4662"/>
          </w:cols>
          <w:pgMar w:left="1160" w:top="279" w:right="1199" w:bottom="1440" w:gutter="0" w:footer="0" w:header="0"/>
          <w:type w:val="continuous"/>
        </w:sectPr>
      </w:pP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Say-On-Pay &amp; Shareholder Engagement</w:t>
      </w:r>
    </w:p>
    <w:p>
      <w:pPr>
        <w:spacing w:after="0" w:line="207"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Each year, we carefully consider the results of our shareholder say-on-pay vote from the preceding year. We also take into account the feedback we receive from our major shareholders, which is solicited by the Board Chair, and the Chair of the Compensation Committee, either in person or via telephone.</w:t>
      </w:r>
    </w:p>
    <w:p>
      <w:pPr>
        <w:spacing w:after="0" w:line="16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2019, approximately 94% of the votes cast supported our executive compensation decisions. The Board regularly conducts proactive outreach meetings with the Company’s largest shareholders. During 2019, the Company offered meetings to shareholders representing approximately 54% of shares outstanding, and directors met with shareholders representing approximately 29% of shares outstanding to discuss topics including Company</w:t>
      </w:r>
    </w:p>
    <w:p>
      <w:pPr>
        <w:spacing w:after="0" w:line="217"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type w:val="continuous"/>
        </w:sectPr>
      </w:pPr>
    </w:p>
    <w:bookmarkStart w:id="28" w:name="page29"/>
    <w:bookmarkEnd w:id="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strategy and performance, governance, and executive compensation. Overall, our shareholders are highly supportive of our executive compensation program and its direction. We will continue to keep an open dialogue with our shareholders to help ensure that we have a regular pulse on investor perspectives.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What Guides Our Program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Compensation Philosophy &amp; Objectives</w:t>
      </w:r>
    </w:p>
    <w:p>
      <w:pPr>
        <w:spacing w:after="0" w:line="19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philosophy underlying our executive compensation program is to employ the best leaders in our industry to ensure we execute on our business goals, promote both short-and long-term profitable growth of the Company, and create long-term shareholder value, all grounded in the following guiding principles: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540" w:type="dxa"/>
            <w:vAlign w:val="bottom"/>
          </w:tcPr>
          <w:p>
            <w:pPr>
              <w:ind w:left="80"/>
              <w:spacing w:after="0"/>
              <w:rPr>
                <w:sz w:val="20"/>
                <w:szCs w:val="20"/>
                <w:color w:val="auto"/>
              </w:rPr>
            </w:pPr>
            <w:r>
              <w:rPr>
                <w:rFonts w:ascii="Arial" w:cs="Arial" w:eastAsia="Arial" w:hAnsi="Arial"/>
                <w:sz w:val="18"/>
                <w:szCs w:val="18"/>
                <w:b w:val="1"/>
                <w:bCs w:val="1"/>
                <w:color w:val="auto"/>
              </w:rPr>
              <w:t>Pay for Performance</w:t>
            </w:r>
          </w:p>
        </w:tc>
        <w:tc>
          <w:tcPr>
            <w:tcW w:w="7020" w:type="dxa"/>
            <w:vAlign w:val="bottom"/>
          </w:tcPr>
          <w:p>
            <w:pPr>
              <w:ind w:left="360"/>
              <w:spacing w:after="0"/>
              <w:rPr>
                <w:sz w:val="20"/>
                <w:szCs w:val="20"/>
                <w:color w:val="auto"/>
              </w:rPr>
            </w:pPr>
            <w:r>
              <w:rPr>
                <w:rFonts w:ascii="Arial" w:cs="Arial" w:eastAsia="Arial" w:hAnsi="Arial"/>
                <w:sz w:val="18"/>
                <w:szCs w:val="18"/>
                <w:color w:val="auto"/>
              </w:rPr>
              <w:t>A significant portion of an executive’s total compensation should be variable (“at-</w:t>
            </w:r>
          </w:p>
        </w:tc>
      </w:tr>
      <w:tr>
        <w:trPr>
          <w:trHeight w:val="203"/>
        </w:trPr>
        <w:tc>
          <w:tcPr>
            <w:tcW w:w="2540" w:type="dxa"/>
            <w:vAlign w:val="bottom"/>
          </w:tcPr>
          <w:p>
            <w:pPr>
              <w:spacing w:after="0"/>
              <w:rPr>
                <w:sz w:val="17"/>
                <w:szCs w:val="17"/>
                <w:color w:val="auto"/>
              </w:rPr>
            </w:pPr>
          </w:p>
        </w:tc>
        <w:tc>
          <w:tcPr>
            <w:tcW w:w="7020" w:type="dxa"/>
            <w:vAlign w:val="bottom"/>
          </w:tcPr>
          <w:p>
            <w:pPr>
              <w:ind w:left="360"/>
              <w:spacing w:after="0" w:line="202" w:lineRule="exact"/>
              <w:rPr>
                <w:sz w:val="20"/>
                <w:szCs w:val="20"/>
                <w:color w:val="auto"/>
              </w:rPr>
            </w:pPr>
            <w:r>
              <w:rPr>
                <w:rFonts w:ascii="Arial" w:cs="Arial" w:eastAsia="Arial" w:hAnsi="Arial"/>
                <w:sz w:val="18"/>
                <w:szCs w:val="18"/>
                <w:color w:val="auto"/>
              </w:rPr>
              <w:t>risk”) and dependent upon the attainment of certain specific and measurable</w:t>
            </w:r>
          </w:p>
        </w:tc>
      </w:tr>
      <w:tr>
        <w:trPr>
          <w:trHeight w:val="217"/>
        </w:trPr>
        <w:tc>
          <w:tcPr>
            <w:tcW w:w="2540" w:type="dxa"/>
            <w:vAlign w:val="bottom"/>
          </w:tcPr>
          <w:p>
            <w:pPr>
              <w:spacing w:after="0"/>
              <w:rPr>
                <w:sz w:val="18"/>
                <w:szCs w:val="18"/>
                <w:color w:val="auto"/>
              </w:rPr>
            </w:pPr>
          </w:p>
        </w:tc>
        <w:tc>
          <w:tcPr>
            <w:tcW w:w="7020" w:type="dxa"/>
            <w:vAlign w:val="bottom"/>
          </w:tcPr>
          <w:p>
            <w:pPr>
              <w:ind w:left="360"/>
              <w:spacing w:after="0"/>
              <w:rPr>
                <w:sz w:val="20"/>
                <w:szCs w:val="20"/>
                <w:color w:val="auto"/>
              </w:rPr>
            </w:pPr>
            <w:r>
              <w:rPr>
                <w:rFonts w:ascii="Arial" w:cs="Arial" w:eastAsia="Arial" w:hAnsi="Arial"/>
                <w:sz w:val="18"/>
                <w:szCs w:val="18"/>
                <w:color w:val="auto"/>
              </w:rPr>
              <w:t>annual and long-term financial performance objectives.</w:t>
            </w:r>
          </w:p>
        </w:tc>
      </w:tr>
      <w:tr>
        <w:trPr>
          <w:trHeight w:val="445"/>
        </w:trPr>
        <w:tc>
          <w:tcPr>
            <w:tcW w:w="2540" w:type="dxa"/>
            <w:vAlign w:val="bottom"/>
          </w:tcPr>
          <w:p>
            <w:pPr>
              <w:ind w:left="80"/>
              <w:spacing w:after="0"/>
              <w:rPr>
                <w:sz w:val="20"/>
                <w:szCs w:val="20"/>
                <w:color w:val="auto"/>
              </w:rPr>
            </w:pPr>
            <w:r>
              <w:rPr>
                <w:rFonts w:ascii="Arial" w:cs="Arial" w:eastAsia="Arial" w:hAnsi="Arial"/>
                <w:sz w:val="18"/>
                <w:szCs w:val="18"/>
                <w:b w:val="1"/>
                <w:bCs w:val="1"/>
                <w:color w:val="auto"/>
              </w:rPr>
              <w:t>Shareholder Alignment</w:t>
            </w:r>
          </w:p>
        </w:tc>
        <w:tc>
          <w:tcPr>
            <w:tcW w:w="7020" w:type="dxa"/>
            <w:vAlign w:val="bottom"/>
          </w:tcPr>
          <w:p>
            <w:pPr>
              <w:ind w:left="360"/>
              <w:spacing w:after="0"/>
              <w:rPr>
                <w:sz w:val="20"/>
                <w:szCs w:val="20"/>
                <w:color w:val="auto"/>
              </w:rPr>
            </w:pPr>
            <w:r>
              <w:rPr>
                <w:rFonts w:ascii="Arial" w:cs="Arial" w:eastAsia="Arial" w:hAnsi="Arial"/>
                <w:sz w:val="18"/>
                <w:szCs w:val="18"/>
                <w:color w:val="auto"/>
              </w:rPr>
              <w:t>Executives should be compensated through pay elements (base salaries and</w:t>
            </w:r>
          </w:p>
        </w:tc>
      </w:tr>
      <w:tr>
        <w:trPr>
          <w:trHeight w:val="203"/>
        </w:trPr>
        <w:tc>
          <w:tcPr>
            <w:tcW w:w="2540" w:type="dxa"/>
            <w:vAlign w:val="bottom"/>
          </w:tcPr>
          <w:p>
            <w:pPr>
              <w:spacing w:after="0"/>
              <w:rPr>
                <w:sz w:val="17"/>
                <w:szCs w:val="17"/>
                <w:color w:val="auto"/>
              </w:rPr>
            </w:pPr>
          </w:p>
        </w:tc>
        <w:tc>
          <w:tcPr>
            <w:tcW w:w="7020" w:type="dxa"/>
            <w:vAlign w:val="bottom"/>
          </w:tcPr>
          <w:p>
            <w:pPr>
              <w:ind w:left="360"/>
              <w:spacing w:after="0" w:line="202" w:lineRule="exact"/>
              <w:rPr>
                <w:sz w:val="20"/>
                <w:szCs w:val="20"/>
                <w:color w:val="auto"/>
              </w:rPr>
            </w:pPr>
            <w:r>
              <w:rPr>
                <w:rFonts w:ascii="Arial" w:cs="Arial" w:eastAsia="Arial" w:hAnsi="Arial"/>
                <w:sz w:val="18"/>
                <w:szCs w:val="18"/>
                <w:color w:val="auto"/>
              </w:rPr>
              <w:t>annual- and long-term incentives) designed to align executive compensation to the</w:t>
            </w:r>
          </w:p>
        </w:tc>
      </w:tr>
      <w:tr>
        <w:trPr>
          <w:trHeight w:val="217"/>
        </w:trPr>
        <w:tc>
          <w:tcPr>
            <w:tcW w:w="2540" w:type="dxa"/>
            <w:vAlign w:val="bottom"/>
          </w:tcPr>
          <w:p>
            <w:pPr>
              <w:spacing w:after="0"/>
              <w:rPr>
                <w:sz w:val="18"/>
                <w:szCs w:val="18"/>
                <w:color w:val="auto"/>
              </w:rPr>
            </w:pPr>
          </w:p>
        </w:tc>
        <w:tc>
          <w:tcPr>
            <w:tcW w:w="7020" w:type="dxa"/>
            <w:vAlign w:val="bottom"/>
          </w:tcPr>
          <w:p>
            <w:pPr>
              <w:ind w:left="360"/>
              <w:spacing w:after="0"/>
              <w:rPr>
                <w:sz w:val="20"/>
                <w:szCs w:val="20"/>
                <w:color w:val="auto"/>
              </w:rPr>
            </w:pPr>
            <w:r>
              <w:rPr>
                <w:rFonts w:ascii="Arial" w:cs="Arial" w:eastAsia="Arial" w:hAnsi="Arial"/>
                <w:sz w:val="18"/>
                <w:szCs w:val="18"/>
                <w:color w:val="auto"/>
              </w:rPr>
              <w:t>creation of long-term value for our shareholders.</w:t>
            </w:r>
          </w:p>
        </w:tc>
      </w:tr>
      <w:tr>
        <w:trPr>
          <w:trHeight w:val="445"/>
        </w:trPr>
        <w:tc>
          <w:tcPr>
            <w:tcW w:w="2540" w:type="dxa"/>
            <w:vAlign w:val="bottom"/>
          </w:tcPr>
          <w:p>
            <w:pPr>
              <w:ind w:left="80"/>
              <w:spacing w:after="0"/>
              <w:rPr>
                <w:sz w:val="20"/>
                <w:szCs w:val="20"/>
                <w:color w:val="auto"/>
              </w:rPr>
            </w:pPr>
            <w:r>
              <w:rPr>
                <w:rFonts w:ascii="Arial" w:cs="Arial" w:eastAsia="Arial" w:hAnsi="Arial"/>
                <w:sz w:val="18"/>
                <w:szCs w:val="18"/>
                <w:b w:val="1"/>
                <w:bCs w:val="1"/>
                <w:color w:val="auto"/>
              </w:rPr>
              <w:t>Competitiveness</w:t>
            </w:r>
          </w:p>
        </w:tc>
        <w:tc>
          <w:tcPr>
            <w:tcW w:w="7020" w:type="dxa"/>
            <w:vAlign w:val="bottom"/>
          </w:tcPr>
          <w:p>
            <w:pPr>
              <w:ind w:left="360"/>
              <w:spacing w:after="0"/>
              <w:rPr>
                <w:sz w:val="20"/>
                <w:szCs w:val="20"/>
                <w:color w:val="auto"/>
              </w:rPr>
            </w:pPr>
            <w:r>
              <w:rPr>
                <w:rFonts w:ascii="Arial" w:cs="Arial" w:eastAsia="Arial" w:hAnsi="Arial"/>
                <w:sz w:val="18"/>
                <w:szCs w:val="18"/>
                <w:color w:val="auto"/>
              </w:rPr>
              <w:t>Target compensation should be set at the median of market to ensure that</w:t>
            </w:r>
          </w:p>
        </w:tc>
      </w:tr>
      <w:tr>
        <w:trPr>
          <w:trHeight w:val="203"/>
        </w:trPr>
        <w:tc>
          <w:tcPr>
            <w:tcW w:w="2540" w:type="dxa"/>
            <w:vAlign w:val="bottom"/>
          </w:tcPr>
          <w:p>
            <w:pPr>
              <w:spacing w:after="0"/>
              <w:rPr>
                <w:sz w:val="17"/>
                <w:szCs w:val="17"/>
                <w:color w:val="auto"/>
              </w:rPr>
            </w:pPr>
          </w:p>
        </w:tc>
        <w:tc>
          <w:tcPr>
            <w:tcW w:w="7020" w:type="dxa"/>
            <w:vAlign w:val="bottom"/>
          </w:tcPr>
          <w:p>
            <w:pPr>
              <w:ind w:left="360"/>
              <w:spacing w:after="0" w:line="202" w:lineRule="exact"/>
              <w:rPr>
                <w:sz w:val="20"/>
                <w:szCs w:val="20"/>
                <w:color w:val="auto"/>
              </w:rPr>
            </w:pPr>
            <w:r>
              <w:rPr>
                <w:rFonts w:ascii="Arial" w:cs="Arial" w:eastAsia="Arial" w:hAnsi="Arial"/>
                <w:sz w:val="18"/>
                <w:szCs w:val="18"/>
                <w:color w:val="auto"/>
              </w:rPr>
              <w:t>compensation is at a level that is competitive with that being offered to individuals</w:t>
            </w:r>
          </w:p>
        </w:tc>
      </w:tr>
      <w:tr>
        <w:trPr>
          <w:trHeight w:val="203"/>
        </w:trPr>
        <w:tc>
          <w:tcPr>
            <w:tcW w:w="2540" w:type="dxa"/>
            <w:vAlign w:val="bottom"/>
          </w:tcPr>
          <w:p>
            <w:pPr>
              <w:spacing w:after="0"/>
              <w:rPr>
                <w:sz w:val="17"/>
                <w:szCs w:val="17"/>
                <w:color w:val="auto"/>
              </w:rPr>
            </w:pPr>
          </w:p>
        </w:tc>
        <w:tc>
          <w:tcPr>
            <w:tcW w:w="7020" w:type="dxa"/>
            <w:vAlign w:val="bottom"/>
          </w:tcPr>
          <w:p>
            <w:pPr>
              <w:ind w:left="360"/>
              <w:spacing w:after="0" w:line="202" w:lineRule="exact"/>
              <w:rPr>
                <w:sz w:val="20"/>
                <w:szCs w:val="20"/>
                <w:color w:val="auto"/>
              </w:rPr>
            </w:pPr>
            <w:r>
              <w:rPr>
                <w:rFonts w:ascii="Arial" w:cs="Arial" w:eastAsia="Arial" w:hAnsi="Arial"/>
                <w:sz w:val="18"/>
                <w:szCs w:val="18"/>
                <w:color w:val="auto"/>
              </w:rPr>
              <w:t>holding comparable positions at other companies with which we compete for</w:t>
            </w:r>
          </w:p>
        </w:tc>
      </w:tr>
      <w:tr>
        <w:trPr>
          <w:trHeight w:val="217"/>
        </w:trPr>
        <w:tc>
          <w:tcPr>
            <w:tcW w:w="2540" w:type="dxa"/>
            <w:vAlign w:val="bottom"/>
          </w:tcPr>
          <w:p>
            <w:pPr>
              <w:spacing w:after="0"/>
              <w:rPr>
                <w:sz w:val="18"/>
                <w:szCs w:val="18"/>
                <w:color w:val="auto"/>
              </w:rPr>
            </w:pPr>
          </w:p>
        </w:tc>
        <w:tc>
          <w:tcPr>
            <w:tcW w:w="7020" w:type="dxa"/>
            <w:vAlign w:val="bottom"/>
          </w:tcPr>
          <w:p>
            <w:pPr>
              <w:ind w:left="360"/>
              <w:spacing w:after="0"/>
              <w:rPr>
                <w:sz w:val="20"/>
                <w:szCs w:val="20"/>
                <w:color w:val="auto"/>
              </w:rPr>
            </w:pPr>
            <w:r>
              <w:rPr>
                <w:rFonts w:ascii="Arial" w:cs="Arial" w:eastAsia="Arial" w:hAnsi="Arial"/>
                <w:sz w:val="18"/>
                <w:szCs w:val="18"/>
                <w:color w:val="auto"/>
              </w:rPr>
              <w:t>business and leadership talent.</w:t>
            </w:r>
          </w:p>
        </w:tc>
      </w:tr>
      <w:tr>
        <w:trPr>
          <w:trHeight w:val="445"/>
        </w:trPr>
        <w:tc>
          <w:tcPr>
            <w:tcW w:w="2540" w:type="dxa"/>
            <w:vAlign w:val="bottom"/>
          </w:tcPr>
          <w:p>
            <w:pPr>
              <w:ind w:left="80"/>
              <w:spacing w:after="0"/>
              <w:rPr>
                <w:sz w:val="20"/>
                <w:szCs w:val="20"/>
                <w:color w:val="auto"/>
              </w:rPr>
            </w:pPr>
            <w:r>
              <w:rPr>
                <w:rFonts w:ascii="Arial" w:cs="Arial" w:eastAsia="Arial" w:hAnsi="Arial"/>
                <w:sz w:val="18"/>
                <w:szCs w:val="18"/>
                <w:b w:val="1"/>
                <w:bCs w:val="1"/>
                <w:color w:val="auto"/>
              </w:rPr>
              <w:t>Attraction and Retention</w:t>
            </w:r>
          </w:p>
        </w:tc>
        <w:tc>
          <w:tcPr>
            <w:tcW w:w="7020" w:type="dxa"/>
            <w:vAlign w:val="bottom"/>
          </w:tcPr>
          <w:p>
            <w:pPr>
              <w:ind w:left="360"/>
              <w:spacing w:after="0"/>
              <w:rPr>
                <w:sz w:val="20"/>
                <w:szCs w:val="20"/>
                <w:color w:val="auto"/>
              </w:rPr>
            </w:pPr>
            <w:r>
              <w:rPr>
                <w:rFonts w:ascii="Arial" w:cs="Arial" w:eastAsia="Arial" w:hAnsi="Arial"/>
                <w:sz w:val="18"/>
                <w:szCs w:val="18"/>
                <w:color w:val="auto"/>
              </w:rPr>
              <w:t>The executive compensation program should enable the Company to attract highly</w:t>
            </w:r>
          </w:p>
        </w:tc>
      </w:tr>
      <w:tr>
        <w:trPr>
          <w:trHeight w:val="203"/>
        </w:trPr>
        <w:tc>
          <w:tcPr>
            <w:tcW w:w="2540" w:type="dxa"/>
            <w:vAlign w:val="bottom"/>
          </w:tcPr>
          <w:p>
            <w:pPr>
              <w:spacing w:after="0"/>
              <w:rPr>
                <w:sz w:val="17"/>
                <w:szCs w:val="17"/>
                <w:color w:val="auto"/>
              </w:rPr>
            </w:pPr>
          </w:p>
        </w:tc>
        <w:tc>
          <w:tcPr>
            <w:tcW w:w="7020" w:type="dxa"/>
            <w:vAlign w:val="bottom"/>
          </w:tcPr>
          <w:p>
            <w:pPr>
              <w:ind w:left="360"/>
              <w:spacing w:after="0" w:line="202" w:lineRule="exact"/>
              <w:rPr>
                <w:sz w:val="20"/>
                <w:szCs w:val="20"/>
                <w:color w:val="auto"/>
              </w:rPr>
            </w:pPr>
            <w:r>
              <w:rPr>
                <w:rFonts w:ascii="Arial" w:cs="Arial" w:eastAsia="Arial" w:hAnsi="Arial"/>
                <w:sz w:val="18"/>
                <w:szCs w:val="18"/>
                <w:color w:val="auto"/>
              </w:rPr>
              <w:t>talented people with exceptional leadership capabilities and to retain high-caliber</w:t>
            </w:r>
          </w:p>
        </w:tc>
      </w:tr>
      <w:tr>
        <w:trPr>
          <w:trHeight w:val="203"/>
        </w:trPr>
        <w:tc>
          <w:tcPr>
            <w:tcW w:w="2540" w:type="dxa"/>
            <w:vAlign w:val="bottom"/>
          </w:tcPr>
          <w:p>
            <w:pPr>
              <w:spacing w:after="0"/>
              <w:rPr>
                <w:sz w:val="17"/>
                <w:szCs w:val="17"/>
                <w:color w:val="auto"/>
              </w:rPr>
            </w:pPr>
          </w:p>
        </w:tc>
        <w:tc>
          <w:tcPr>
            <w:tcW w:w="7020" w:type="dxa"/>
            <w:vAlign w:val="bottom"/>
          </w:tcPr>
          <w:p>
            <w:pPr>
              <w:ind w:left="360"/>
              <w:spacing w:after="0" w:line="202" w:lineRule="exact"/>
              <w:rPr>
                <w:sz w:val="20"/>
                <w:szCs w:val="20"/>
                <w:color w:val="auto"/>
              </w:rPr>
            </w:pPr>
            <w:r>
              <w:rPr>
                <w:rFonts w:ascii="Arial" w:cs="Arial" w:eastAsia="Arial" w:hAnsi="Arial"/>
                <w:sz w:val="18"/>
                <w:szCs w:val="18"/>
                <w:color w:val="auto"/>
              </w:rPr>
              <w:t>talent. When required, the Company may adjust individual elements of</w:t>
            </w:r>
          </w:p>
        </w:tc>
      </w:tr>
      <w:tr>
        <w:trPr>
          <w:trHeight w:val="217"/>
        </w:trPr>
        <w:tc>
          <w:tcPr>
            <w:tcW w:w="2540" w:type="dxa"/>
            <w:vAlign w:val="bottom"/>
          </w:tcPr>
          <w:p>
            <w:pPr>
              <w:spacing w:after="0"/>
              <w:rPr>
                <w:sz w:val="18"/>
                <w:szCs w:val="18"/>
                <w:color w:val="auto"/>
              </w:rPr>
            </w:pPr>
          </w:p>
        </w:tc>
        <w:tc>
          <w:tcPr>
            <w:tcW w:w="7020" w:type="dxa"/>
            <w:vAlign w:val="bottom"/>
          </w:tcPr>
          <w:p>
            <w:pPr>
              <w:ind w:left="360"/>
              <w:spacing w:after="0"/>
              <w:rPr>
                <w:sz w:val="20"/>
                <w:szCs w:val="20"/>
                <w:color w:val="auto"/>
              </w:rPr>
            </w:pPr>
            <w:r>
              <w:rPr>
                <w:rFonts w:ascii="Arial" w:cs="Arial" w:eastAsia="Arial" w:hAnsi="Arial"/>
                <w:sz w:val="18"/>
                <w:szCs w:val="18"/>
                <w:color w:val="auto"/>
              </w:rPr>
              <w:t>compensation to accomplish this goal.</w:t>
            </w:r>
          </w:p>
        </w:tc>
      </w:tr>
      <w:tr>
        <w:trPr>
          <w:trHeight w:val="445"/>
        </w:trPr>
        <w:tc>
          <w:tcPr>
            <w:tcW w:w="2540" w:type="dxa"/>
            <w:vAlign w:val="bottom"/>
          </w:tcPr>
          <w:p>
            <w:pPr>
              <w:spacing w:after="0"/>
              <w:rPr>
                <w:sz w:val="24"/>
                <w:szCs w:val="24"/>
                <w:color w:val="auto"/>
              </w:rPr>
            </w:pPr>
          </w:p>
        </w:tc>
        <w:tc>
          <w:tcPr>
            <w:tcW w:w="7020" w:type="dxa"/>
            <w:vAlign w:val="bottom"/>
          </w:tcPr>
          <w:p>
            <w:pPr>
              <w:ind w:left="1940"/>
              <w:spacing w:after="0"/>
              <w:rPr>
                <w:sz w:val="20"/>
                <w:szCs w:val="20"/>
                <w:color w:val="auto"/>
              </w:rPr>
            </w:pPr>
            <w:r>
              <w:rPr>
                <w:rFonts w:ascii="Arial" w:cs="Arial" w:eastAsia="Arial" w:hAnsi="Arial"/>
                <w:sz w:val="18"/>
                <w:szCs w:val="18"/>
                <w:color w:val="auto"/>
              </w:rPr>
              <w:t>-25-</w:t>
            </w:r>
          </w:p>
        </w:tc>
      </w:tr>
      <w:tr>
        <w:trPr>
          <w:trHeight w:val="162"/>
        </w:trPr>
        <w:tc>
          <w:tcPr>
            <w:tcW w:w="2540" w:type="dxa"/>
            <w:vAlign w:val="bottom"/>
          </w:tcPr>
          <w:p>
            <w:pPr>
              <w:spacing w:after="0"/>
              <w:rPr>
                <w:sz w:val="14"/>
                <w:szCs w:val="14"/>
                <w:color w:val="auto"/>
              </w:rPr>
            </w:pPr>
          </w:p>
        </w:tc>
        <w:tc>
          <w:tcPr>
            <w:tcW w:w="7020" w:type="dxa"/>
            <w:vAlign w:val="bottom"/>
          </w:tcPr>
          <w:p>
            <w:pPr>
              <w:spacing w:after="0"/>
              <w:rPr>
                <w:sz w:val="14"/>
                <w:szCs w:val="14"/>
                <w:color w:val="auto"/>
              </w:rPr>
            </w:pPr>
          </w:p>
        </w:tc>
      </w:tr>
      <w:tr>
        <w:trPr>
          <w:trHeight w:val="68"/>
        </w:trPr>
        <w:tc>
          <w:tcPr>
            <w:tcW w:w="2540" w:type="dxa"/>
            <w:vAlign w:val="bottom"/>
            <w:shd w:val="clear" w:color="auto" w:fill="000000"/>
          </w:tcPr>
          <w:p>
            <w:pPr>
              <w:spacing w:after="0"/>
              <w:rPr>
                <w:sz w:val="5"/>
                <w:szCs w:val="5"/>
                <w:color w:val="auto"/>
              </w:rPr>
            </w:pPr>
          </w:p>
        </w:tc>
        <w:tc>
          <w:tcPr>
            <w:tcW w:w="702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Principal Elements of Pay: Total Direct Compensation (TDC)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philosophy is supported by the following principal pay elements:</w:t>
      </w:r>
    </w:p>
    <w:p>
      <w:pPr>
        <w:spacing w:after="0" w:line="3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340" w:type="dxa"/>
            <w:vAlign w:val="bottom"/>
            <w:tcBorders>
              <w:top w:val="single" w:sz="8" w:color="auto"/>
              <w:left w:val="single" w:sz="8" w:color="auto"/>
            </w:tcBorders>
            <w:shd w:val="clear" w:color="auto" w:fill="8C8C8C"/>
          </w:tcPr>
          <w:p>
            <w:pPr>
              <w:spacing w:after="0"/>
              <w:rPr>
                <w:sz w:val="17"/>
                <w:szCs w:val="17"/>
                <w:color w:val="auto"/>
              </w:rPr>
            </w:pPr>
          </w:p>
        </w:tc>
        <w:tc>
          <w:tcPr>
            <w:tcW w:w="320" w:type="dxa"/>
            <w:vAlign w:val="bottom"/>
            <w:tcBorders>
              <w:top w:val="single" w:sz="8" w:color="auto"/>
              <w:right w:val="single" w:sz="8" w:color="auto"/>
            </w:tcBorders>
            <w:shd w:val="clear" w:color="auto" w:fill="8C8C8C"/>
          </w:tcPr>
          <w:p>
            <w:pPr>
              <w:spacing w:after="0"/>
              <w:rPr>
                <w:sz w:val="17"/>
                <w:szCs w:val="17"/>
                <w:color w:val="auto"/>
              </w:rPr>
            </w:pPr>
          </w:p>
        </w:tc>
        <w:tc>
          <w:tcPr>
            <w:tcW w:w="80" w:type="dxa"/>
            <w:vAlign w:val="bottom"/>
            <w:tcBorders>
              <w:top w:val="single" w:sz="8" w:color="auto"/>
            </w:tcBorders>
            <w:shd w:val="clear" w:color="auto" w:fill="8C8C8C"/>
          </w:tcPr>
          <w:p>
            <w:pPr>
              <w:spacing w:after="0"/>
              <w:rPr>
                <w:sz w:val="17"/>
                <w:szCs w:val="17"/>
                <w:color w:val="auto"/>
              </w:rPr>
            </w:pPr>
          </w:p>
        </w:tc>
        <w:tc>
          <w:tcPr>
            <w:tcW w:w="1060" w:type="dxa"/>
            <w:vAlign w:val="bottom"/>
            <w:tcBorders>
              <w:top w:val="single" w:sz="8" w:color="auto"/>
              <w:right w:val="single" w:sz="8" w:color="auto"/>
            </w:tcBorders>
            <w:shd w:val="clear" w:color="auto" w:fill="8C8C8C"/>
          </w:tcPr>
          <w:p>
            <w:pPr>
              <w:ind w:left="20"/>
              <w:spacing w:after="0"/>
              <w:rPr>
                <w:sz w:val="20"/>
                <w:szCs w:val="20"/>
                <w:color w:val="auto"/>
              </w:rPr>
            </w:pPr>
            <w:r>
              <w:rPr>
                <w:rFonts w:ascii="Arial" w:cs="Arial" w:eastAsia="Arial" w:hAnsi="Arial"/>
                <w:sz w:val="18"/>
                <w:szCs w:val="18"/>
                <w:b w:val="1"/>
                <w:bCs w:val="1"/>
                <w:color w:val="FFFFFF"/>
              </w:rPr>
              <w:t>How It’s</w:t>
            </w:r>
          </w:p>
        </w:tc>
        <w:tc>
          <w:tcPr>
            <w:tcW w:w="3060" w:type="dxa"/>
            <w:vAlign w:val="bottom"/>
            <w:tcBorders>
              <w:top w:val="single" w:sz="8" w:color="auto"/>
              <w:right w:val="single" w:sz="8" w:color="auto"/>
            </w:tcBorders>
            <w:shd w:val="clear" w:color="auto" w:fill="8C8C8C"/>
          </w:tcPr>
          <w:p>
            <w:pPr>
              <w:spacing w:after="0"/>
              <w:rPr>
                <w:sz w:val="17"/>
                <w:szCs w:val="17"/>
                <w:color w:val="auto"/>
              </w:rPr>
            </w:pPr>
          </w:p>
        </w:tc>
        <w:tc>
          <w:tcPr>
            <w:tcW w:w="300" w:type="dxa"/>
            <w:vAlign w:val="bottom"/>
            <w:tcBorders>
              <w:top w:val="single" w:sz="8" w:color="auto"/>
            </w:tcBorders>
            <w:shd w:val="clear" w:color="auto" w:fill="8C8C8C"/>
          </w:tcPr>
          <w:p>
            <w:pPr>
              <w:spacing w:after="0"/>
              <w:rPr>
                <w:sz w:val="17"/>
                <w:szCs w:val="17"/>
                <w:color w:val="auto"/>
              </w:rPr>
            </w:pPr>
          </w:p>
        </w:tc>
        <w:tc>
          <w:tcPr>
            <w:tcW w:w="380" w:type="dxa"/>
            <w:vAlign w:val="bottom"/>
            <w:tcBorders>
              <w:top w:val="single" w:sz="8" w:color="auto"/>
            </w:tcBorders>
            <w:shd w:val="clear" w:color="auto" w:fill="8C8C8C"/>
          </w:tcPr>
          <w:p>
            <w:pPr>
              <w:spacing w:after="0"/>
              <w:rPr>
                <w:sz w:val="17"/>
                <w:szCs w:val="17"/>
                <w:color w:val="auto"/>
              </w:rPr>
            </w:pPr>
          </w:p>
        </w:tc>
        <w:tc>
          <w:tcPr>
            <w:tcW w:w="3020" w:type="dxa"/>
            <w:vAlign w:val="bottom"/>
            <w:tcBorders>
              <w:top w:val="single" w:sz="8" w:color="auto"/>
              <w:right w:val="single" w:sz="8" w:color="auto"/>
            </w:tcBorders>
            <w:shd w:val="clear" w:color="auto" w:fill="8C8C8C"/>
          </w:tcPr>
          <w:p>
            <w:pPr>
              <w:spacing w:after="0"/>
              <w:rPr>
                <w:sz w:val="17"/>
                <w:szCs w:val="17"/>
                <w:color w:val="auto"/>
              </w:rPr>
            </w:pPr>
          </w:p>
        </w:tc>
      </w:tr>
      <w:tr>
        <w:trPr>
          <w:trHeight w:val="239"/>
        </w:trPr>
        <w:tc>
          <w:tcPr>
            <w:tcW w:w="1660" w:type="dxa"/>
            <w:vAlign w:val="bottom"/>
            <w:tcBorders>
              <w:left w:val="single" w:sz="8" w:color="auto"/>
              <w:bottom w:val="single" w:sz="8" w:color="auto"/>
              <w:right w:val="single" w:sz="8" w:color="auto"/>
            </w:tcBorders>
            <w:gridSpan w:val="2"/>
            <w:shd w:val="clear" w:color="auto" w:fill="8C8C8C"/>
          </w:tcPr>
          <w:p>
            <w:pPr>
              <w:ind w:left="80"/>
              <w:spacing w:after="0"/>
              <w:rPr>
                <w:sz w:val="20"/>
                <w:szCs w:val="20"/>
                <w:color w:val="auto"/>
              </w:rPr>
            </w:pPr>
            <w:r>
              <w:rPr>
                <w:rFonts w:ascii="Arial" w:cs="Arial" w:eastAsia="Arial" w:hAnsi="Arial"/>
                <w:sz w:val="18"/>
                <w:szCs w:val="18"/>
                <w:b w:val="1"/>
                <w:bCs w:val="1"/>
                <w:color w:val="FFFFFF"/>
              </w:rPr>
              <w:t>Pay Element</w:t>
            </w:r>
          </w:p>
        </w:tc>
        <w:tc>
          <w:tcPr>
            <w:tcW w:w="80" w:type="dxa"/>
            <w:vAlign w:val="bottom"/>
            <w:tcBorders>
              <w:bottom w:val="single" w:sz="8" w:color="auto"/>
            </w:tcBorders>
            <w:shd w:val="clear" w:color="auto" w:fill="8C8C8C"/>
          </w:tcPr>
          <w:p>
            <w:pPr>
              <w:spacing w:after="0"/>
              <w:rPr>
                <w:sz w:val="20"/>
                <w:szCs w:val="20"/>
                <w:color w:val="auto"/>
              </w:rPr>
            </w:pPr>
          </w:p>
        </w:tc>
        <w:tc>
          <w:tcPr>
            <w:tcW w:w="1060" w:type="dxa"/>
            <w:vAlign w:val="bottom"/>
            <w:tcBorders>
              <w:bottom w:val="single" w:sz="8" w:color="auto"/>
              <w:right w:val="single" w:sz="8" w:color="auto"/>
            </w:tcBorders>
            <w:shd w:val="clear" w:color="auto" w:fill="8C8C8C"/>
          </w:tcPr>
          <w:p>
            <w:pPr>
              <w:ind w:left="20"/>
              <w:spacing w:after="0"/>
              <w:rPr>
                <w:sz w:val="20"/>
                <w:szCs w:val="20"/>
                <w:color w:val="auto"/>
              </w:rPr>
            </w:pPr>
            <w:r>
              <w:rPr>
                <w:rFonts w:ascii="Arial" w:cs="Arial" w:eastAsia="Arial" w:hAnsi="Arial"/>
                <w:sz w:val="18"/>
                <w:szCs w:val="18"/>
                <w:b w:val="1"/>
                <w:bCs w:val="1"/>
                <w:color w:val="FFFFFF"/>
              </w:rPr>
              <w:t>Paid</w:t>
            </w:r>
          </w:p>
        </w:tc>
        <w:tc>
          <w:tcPr>
            <w:tcW w:w="3060" w:type="dxa"/>
            <w:vAlign w:val="bottom"/>
            <w:tcBorders>
              <w:bottom w:val="single" w:sz="8" w:color="auto"/>
              <w:right w:val="single" w:sz="8" w:color="auto"/>
            </w:tcBorders>
            <w:shd w:val="clear" w:color="auto" w:fill="8C8C8C"/>
          </w:tcPr>
          <w:p>
            <w:pPr>
              <w:ind w:left="100"/>
              <w:spacing w:after="0"/>
              <w:rPr>
                <w:sz w:val="20"/>
                <w:szCs w:val="20"/>
                <w:color w:val="auto"/>
              </w:rPr>
            </w:pPr>
            <w:r>
              <w:rPr>
                <w:rFonts w:ascii="Arial" w:cs="Arial" w:eastAsia="Arial" w:hAnsi="Arial"/>
                <w:sz w:val="18"/>
                <w:szCs w:val="18"/>
                <w:b w:val="1"/>
                <w:bCs w:val="1"/>
                <w:color w:val="FFFFFF"/>
              </w:rPr>
              <w:t>What It Does</w:t>
            </w:r>
          </w:p>
        </w:tc>
        <w:tc>
          <w:tcPr>
            <w:tcW w:w="3700" w:type="dxa"/>
            <w:vAlign w:val="bottom"/>
            <w:tcBorders>
              <w:bottom w:val="single" w:sz="8" w:color="auto"/>
              <w:right w:val="single" w:sz="8" w:color="auto"/>
            </w:tcBorders>
            <w:gridSpan w:val="3"/>
            <w:shd w:val="clear" w:color="auto" w:fill="8C8C8C"/>
          </w:tcPr>
          <w:p>
            <w:pPr>
              <w:ind w:left="100"/>
              <w:spacing w:after="0"/>
              <w:rPr>
                <w:sz w:val="20"/>
                <w:szCs w:val="20"/>
                <w:color w:val="auto"/>
              </w:rPr>
            </w:pPr>
            <w:r>
              <w:rPr>
                <w:rFonts w:ascii="Arial" w:cs="Arial" w:eastAsia="Arial" w:hAnsi="Arial"/>
                <w:sz w:val="18"/>
                <w:szCs w:val="18"/>
                <w:b w:val="1"/>
                <w:bCs w:val="1"/>
                <w:color w:val="FFFFFF"/>
              </w:rPr>
              <w:t>How It Links to Performance</w:t>
            </w:r>
          </w:p>
        </w:tc>
      </w:tr>
      <w:tr>
        <w:trPr>
          <w:trHeight w:val="187"/>
        </w:trPr>
        <w:tc>
          <w:tcPr>
            <w:tcW w:w="1660" w:type="dxa"/>
            <w:vAlign w:val="bottom"/>
            <w:tcBorders>
              <w:left w:val="single" w:sz="8" w:color="auto"/>
              <w:right w:val="single" w:sz="8" w:color="auto"/>
            </w:tcBorders>
            <w:gridSpan w:val="2"/>
            <w:shd w:val="clear" w:color="auto" w:fill="D8D8D8"/>
          </w:tcPr>
          <w:p>
            <w:pPr>
              <w:ind w:left="80"/>
              <w:spacing w:after="0" w:line="187" w:lineRule="exact"/>
              <w:rPr>
                <w:sz w:val="20"/>
                <w:szCs w:val="20"/>
                <w:color w:val="auto"/>
              </w:rPr>
            </w:pPr>
            <w:r>
              <w:rPr>
                <w:rFonts w:ascii="Arial" w:cs="Arial" w:eastAsia="Arial" w:hAnsi="Arial"/>
                <w:sz w:val="18"/>
                <w:szCs w:val="18"/>
                <w:b w:val="1"/>
                <w:bCs w:val="1"/>
                <w:color w:val="auto"/>
              </w:rPr>
              <w:t>Base Salary</w:t>
            </w:r>
          </w:p>
        </w:tc>
        <w:tc>
          <w:tcPr>
            <w:tcW w:w="80" w:type="dxa"/>
            <w:vAlign w:val="bottom"/>
            <w:shd w:val="clear" w:color="auto" w:fill="D8D8D8"/>
          </w:tcPr>
          <w:p>
            <w:pPr>
              <w:spacing w:after="0"/>
              <w:rPr>
                <w:sz w:val="16"/>
                <w:szCs w:val="16"/>
                <w:color w:val="auto"/>
              </w:rPr>
            </w:pPr>
          </w:p>
        </w:tc>
        <w:tc>
          <w:tcPr>
            <w:tcW w:w="1060" w:type="dxa"/>
            <w:vAlign w:val="bottom"/>
            <w:tcBorders>
              <w:right w:val="single" w:sz="8" w:color="auto"/>
            </w:tcBorders>
            <w:shd w:val="clear" w:color="auto" w:fill="D8D8D8"/>
          </w:tcPr>
          <w:p>
            <w:pPr>
              <w:ind w:left="20"/>
              <w:spacing w:after="0" w:line="187" w:lineRule="exact"/>
              <w:rPr>
                <w:sz w:val="20"/>
                <w:szCs w:val="20"/>
                <w:color w:val="auto"/>
              </w:rPr>
            </w:pPr>
            <w:r>
              <w:rPr>
                <w:rFonts w:ascii="Arial" w:cs="Arial" w:eastAsia="Arial" w:hAnsi="Arial"/>
                <w:sz w:val="18"/>
                <w:szCs w:val="18"/>
                <w:b w:val="1"/>
                <w:bCs w:val="1"/>
                <w:color w:val="auto"/>
              </w:rPr>
              <w:t>Cash</w:t>
            </w:r>
          </w:p>
        </w:tc>
        <w:tc>
          <w:tcPr>
            <w:tcW w:w="3060" w:type="dxa"/>
            <w:vAlign w:val="bottom"/>
            <w:tcBorders>
              <w:right w:val="single" w:sz="8" w:color="auto"/>
            </w:tcBorders>
          </w:tcPr>
          <w:p>
            <w:pPr>
              <w:ind w:left="100"/>
              <w:spacing w:after="0" w:line="187" w:lineRule="exact"/>
              <w:rPr>
                <w:sz w:val="20"/>
                <w:szCs w:val="20"/>
                <w:color w:val="auto"/>
              </w:rPr>
            </w:pPr>
            <w:r>
              <w:rPr>
                <w:rFonts w:ascii="Arial" w:cs="Arial" w:eastAsia="Arial" w:hAnsi="Arial"/>
                <w:sz w:val="18"/>
                <w:szCs w:val="18"/>
                <w:color w:val="auto"/>
              </w:rPr>
              <w:t>Provides a competitive fixed rate of</w:t>
            </w:r>
          </w:p>
        </w:tc>
        <w:tc>
          <w:tcPr>
            <w:tcW w:w="3700" w:type="dxa"/>
            <w:vAlign w:val="bottom"/>
            <w:tcBorders>
              <w:right w:val="single" w:sz="8" w:color="auto"/>
            </w:tcBorders>
            <w:gridSpan w:val="3"/>
          </w:tcPr>
          <w:p>
            <w:pPr>
              <w:ind w:left="100"/>
              <w:spacing w:after="0" w:line="187" w:lineRule="exact"/>
              <w:rPr>
                <w:sz w:val="20"/>
                <w:szCs w:val="20"/>
                <w:color w:val="auto"/>
              </w:rPr>
            </w:pPr>
            <w:r>
              <w:rPr>
                <w:rFonts w:ascii="Arial" w:cs="Arial" w:eastAsia="Arial" w:hAnsi="Arial"/>
                <w:sz w:val="18"/>
                <w:szCs w:val="18"/>
                <w:color w:val="auto"/>
              </w:rPr>
              <w:t>Based on job scope, level of responsibilities,</w:t>
            </w:r>
          </w:p>
        </w:tc>
      </w:tr>
      <w:tr>
        <w:trPr>
          <w:trHeight w:val="224"/>
        </w:trPr>
        <w:tc>
          <w:tcPr>
            <w:tcW w:w="1340" w:type="dxa"/>
            <w:vAlign w:val="bottom"/>
            <w:tcBorders>
              <w:left w:val="single" w:sz="8" w:color="auto"/>
            </w:tcBorders>
            <w:shd w:val="clear" w:color="auto" w:fill="D8D8D8"/>
          </w:tcPr>
          <w:p>
            <w:pPr>
              <w:spacing w:after="0"/>
              <w:rPr>
                <w:sz w:val="19"/>
                <w:szCs w:val="19"/>
                <w:color w:val="auto"/>
              </w:rPr>
            </w:pPr>
          </w:p>
        </w:tc>
        <w:tc>
          <w:tcPr>
            <w:tcW w:w="320" w:type="dxa"/>
            <w:vAlign w:val="bottom"/>
            <w:tcBorders>
              <w:right w:val="single" w:sz="8" w:color="auto"/>
            </w:tcBorders>
            <w:shd w:val="clear" w:color="auto" w:fill="D8D8D8"/>
          </w:tcPr>
          <w:p>
            <w:pPr>
              <w:spacing w:after="0"/>
              <w:rPr>
                <w:sz w:val="19"/>
                <w:szCs w:val="19"/>
                <w:color w:val="auto"/>
              </w:rPr>
            </w:pPr>
          </w:p>
        </w:tc>
        <w:tc>
          <w:tcPr>
            <w:tcW w:w="80" w:type="dxa"/>
            <w:vAlign w:val="bottom"/>
            <w:shd w:val="clear" w:color="auto" w:fill="D8D8D8"/>
          </w:tcPr>
          <w:p>
            <w:pPr>
              <w:spacing w:after="0"/>
              <w:rPr>
                <w:sz w:val="19"/>
                <w:szCs w:val="19"/>
                <w:color w:val="auto"/>
              </w:rPr>
            </w:pPr>
          </w:p>
        </w:tc>
        <w:tc>
          <w:tcPr>
            <w:tcW w:w="1060" w:type="dxa"/>
            <w:vAlign w:val="bottom"/>
            <w:tcBorders>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(Fixed)</w:t>
            </w:r>
          </w:p>
        </w:tc>
        <w:tc>
          <w:tcPr>
            <w:tcW w:w="3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pay relative to similar positions in</w:t>
            </w:r>
          </w:p>
        </w:tc>
        <w:tc>
          <w:tcPr>
            <w:tcW w:w="37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individual performance, experience, and</w:t>
            </w:r>
          </w:p>
        </w:tc>
      </w:tr>
      <w:tr>
        <w:trPr>
          <w:trHeight w:val="203"/>
        </w:trPr>
        <w:tc>
          <w:tcPr>
            <w:tcW w:w="1340" w:type="dxa"/>
            <w:vAlign w:val="bottom"/>
            <w:tcBorders>
              <w:left w:val="single" w:sz="8" w:color="auto"/>
            </w:tcBorders>
            <w:shd w:val="clear" w:color="auto" w:fill="D8D8D8"/>
          </w:tcPr>
          <w:p>
            <w:pPr>
              <w:spacing w:after="0"/>
              <w:rPr>
                <w:sz w:val="17"/>
                <w:szCs w:val="17"/>
                <w:color w:val="auto"/>
              </w:rPr>
            </w:pPr>
          </w:p>
        </w:tc>
        <w:tc>
          <w:tcPr>
            <w:tcW w:w="320" w:type="dxa"/>
            <w:vAlign w:val="bottom"/>
            <w:tcBorders>
              <w:right w:val="single" w:sz="8" w:color="auto"/>
            </w:tcBorders>
            <w:shd w:val="clear" w:color="auto" w:fill="D8D8D8"/>
          </w:tcPr>
          <w:p>
            <w:pPr>
              <w:spacing w:after="0"/>
              <w:rPr>
                <w:sz w:val="17"/>
                <w:szCs w:val="17"/>
                <w:color w:val="auto"/>
              </w:rPr>
            </w:pPr>
          </w:p>
        </w:tc>
        <w:tc>
          <w:tcPr>
            <w:tcW w:w="80" w:type="dxa"/>
            <w:vAlign w:val="bottom"/>
            <w:shd w:val="clear" w:color="auto" w:fill="D8D8D8"/>
          </w:tcPr>
          <w:p>
            <w:pPr>
              <w:spacing w:after="0"/>
              <w:rPr>
                <w:sz w:val="17"/>
                <w:szCs w:val="17"/>
                <w:color w:val="auto"/>
              </w:rPr>
            </w:pPr>
          </w:p>
        </w:tc>
        <w:tc>
          <w:tcPr>
            <w:tcW w:w="1060" w:type="dxa"/>
            <w:vAlign w:val="bottom"/>
            <w:tcBorders>
              <w:right w:val="single" w:sz="8" w:color="auto"/>
            </w:tcBorders>
            <w:shd w:val="clear" w:color="auto" w:fill="D8D8D8"/>
          </w:tcPr>
          <w:p>
            <w:pPr>
              <w:spacing w:after="0"/>
              <w:rPr>
                <w:sz w:val="17"/>
                <w:szCs w:val="17"/>
                <w:color w:val="auto"/>
              </w:rPr>
            </w:pPr>
          </w:p>
        </w:tc>
        <w:tc>
          <w:tcPr>
            <w:tcW w:w="306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market, and enables the</w:t>
            </w:r>
          </w:p>
        </w:tc>
        <w:tc>
          <w:tcPr>
            <w:tcW w:w="3700" w:type="dxa"/>
            <w:vAlign w:val="bottom"/>
            <w:tcBorders>
              <w:right w:val="single" w:sz="8" w:color="auto"/>
            </w:tcBorders>
            <w:gridSpan w:val="3"/>
          </w:tcPr>
          <w:p>
            <w:pPr>
              <w:ind w:left="100"/>
              <w:spacing w:after="0" w:line="202" w:lineRule="exact"/>
              <w:rPr>
                <w:sz w:val="20"/>
                <w:szCs w:val="20"/>
                <w:color w:val="auto"/>
              </w:rPr>
            </w:pPr>
            <w:r>
              <w:rPr>
                <w:rFonts w:ascii="Arial" w:cs="Arial" w:eastAsia="Arial" w:hAnsi="Arial"/>
                <w:sz w:val="18"/>
                <w:szCs w:val="18"/>
                <w:color w:val="auto"/>
              </w:rPr>
              <w:t>market levels</w:t>
            </w:r>
          </w:p>
        </w:tc>
      </w:tr>
      <w:tr>
        <w:trPr>
          <w:trHeight w:val="203"/>
        </w:trPr>
        <w:tc>
          <w:tcPr>
            <w:tcW w:w="1340" w:type="dxa"/>
            <w:vAlign w:val="bottom"/>
            <w:tcBorders>
              <w:left w:val="single" w:sz="8" w:color="auto"/>
            </w:tcBorders>
            <w:shd w:val="clear" w:color="auto" w:fill="D8D8D8"/>
          </w:tcPr>
          <w:p>
            <w:pPr>
              <w:spacing w:after="0"/>
              <w:rPr>
                <w:sz w:val="17"/>
                <w:szCs w:val="17"/>
                <w:color w:val="auto"/>
              </w:rPr>
            </w:pPr>
          </w:p>
        </w:tc>
        <w:tc>
          <w:tcPr>
            <w:tcW w:w="320" w:type="dxa"/>
            <w:vAlign w:val="bottom"/>
            <w:tcBorders>
              <w:right w:val="single" w:sz="8" w:color="auto"/>
            </w:tcBorders>
            <w:shd w:val="clear" w:color="auto" w:fill="D8D8D8"/>
          </w:tcPr>
          <w:p>
            <w:pPr>
              <w:spacing w:after="0"/>
              <w:rPr>
                <w:sz w:val="17"/>
                <w:szCs w:val="17"/>
                <w:color w:val="auto"/>
              </w:rPr>
            </w:pPr>
          </w:p>
        </w:tc>
        <w:tc>
          <w:tcPr>
            <w:tcW w:w="80" w:type="dxa"/>
            <w:vAlign w:val="bottom"/>
            <w:shd w:val="clear" w:color="auto" w:fill="D8D8D8"/>
          </w:tcPr>
          <w:p>
            <w:pPr>
              <w:spacing w:after="0"/>
              <w:rPr>
                <w:sz w:val="17"/>
                <w:szCs w:val="17"/>
                <w:color w:val="auto"/>
              </w:rPr>
            </w:pPr>
          </w:p>
        </w:tc>
        <w:tc>
          <w:tcPr>
            <w:tcW w:w="1060" w:type="dxa"/>
            <w:vAlign w:val="bottom"/>
            <w:tcBorders>
              <w:right w:val="single" w:sz="8" w:color="auto"/>
            </w:tcBorders>
            <w:shd w:val="clear" w:color="auto" w:fill="D8D8D8"/>
          </w:tcPr>
          <w:p>
            <w:pPr>
              <w:spacing w:after="0"/>
              <w:rPr>
                <w:sz w:val="17"/>
                <w:szCs w:val="17"/>
                <w:color w:val="auto"/>
              </w:rPr>
            </w:pPr>
          </w:p>
        </w:tc>
        <w:tc>
          <w:tcPr>
            <w:tcW w:w="306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 to attract and retain</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Borders>
              <w:right w:val="single" w:sz="8" w:color="auto"/>
            </w:tcBorders>
          </w:tcPr>
          <w:p>
            <w:pPr>
              <w:spacing w:after="0"/>
              <w:rPr>
                <w:sz w:val="17"/>
                <w:szCs w:val="17"/>
                <w:color w:val="auto"/>
              </w:rPr>
            </w:pPr>
          </w:p>
        </w:tc>
      </w:tr>
      <w:tr>
        <w:trPr>
          <w:trHeight w:val="217"/>
        </w:trPr>
        <w:tc>
          <w:tcPr>
            <w:tcW w:w="1340" w:type="dxa"/>
            <w:vAlign w:val="bottom"/>
            <w:tcBorders>
              <w:left w:val="single" w:sz="8" w:color="auto"/>
              <w:bottom w:val="single" w:sz="8" w:color="auto"/>
            </w:tcBorders>
            <w:shd w:val="clear" w:color="auto" w:fill="D8D8D8"/>
          </w:tcPr>
          <w:p>
            <w:pPr>
              <w:spacing w:after="0"/>
              <w:rPr>
                <w:sz w:val="18"/>
                <w:szCs w:val="18"/>
                <w:color w:val="auto"/>
              </w:rPr>
            </w:pPr>
          </w:p>
        </w:tc>
        <w:tc>
          <w:tcPr>
            <w:tcW w:w="320" w:type="dxa"/>
            <w:vAlign w:val="bottom"/>
            <w:tcBorders>
              <w:bottom w:val="single" w:sz="8" w:color="auto"/>
              <w:right w:val="single" w:sz="8" w:color="auto"/>
            </w:tcBorders>
            <w:shd w:val="clear" w:color="auto" w:fill="D8D8D8"/>
          </w:tcPr>
          <w:p>
            <w:pPr>
              <w:spacing w:after="0"/>
              <w:rPr>
                <w:sz w:val="18"/>
                <w:szCs w:val="18"/>
                <w:color w:val="auto"/>
              </w:rPr>
            </w:pPr>
          </w:p>
        </w:tc>
        <w:tc>
          <w:tcPr>
            <w:tcW w:w="80" w:type="dxa"/>
            <w:vAlign w:val="bottom"/>
            <w:tcBorders>
              <w:bottom w:val="single" w:sz="8" w:color="auto"/>
            </w:tcBorders>
            <w:shd w:val="clear" w:color="auto" w:fill="D8D8D8"/>
          </w:tcPr>
          <w:p>
            <w:pPr>
              <w:spacing w:after="0"/>
              <w:rPr>
                <w:sz w:val="18"/>
                <w:szCs w:val="18"/>
                <w:color w:val="auto"/>
              </w:rPr>
            </w:pPr>
          </w:p>
        </w:tc>
        <w:tc>
          <w:tcPr>
            <w:tcW w:w="1060" w:type="dxa"/>
            <w:vAlign w:val="bottom"/>
            <w:tcBorders>
              <w:bottom w:val="single" w:sz="8" w:color="auto"/>
              <w:right w:val="single" w:sz="8" w:color="auto"/>
            </w:tcBorders>
            <w:shd w:val="clear" w:color="auto" w:fill="D8D8D8"/>
          </w:tcPr>
          <w:p>
            <w:pPr>
              <w:spacing w:after="0"/>
              <w:rPr>
                <w:sz w:val="18"/>
                <w:szCs w:val="18"/>
                <w:color w:val="auto"/>
              </w:rPr>
            </w:pPr>
          </w:p>
        </w:tc>
        <w:tc>
          <w:tcPr>
            <w:tcW w:w="30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critical executive talent</w:t>
            </w:r>
          </w:p>
        </w:tc>
        <w:tc>
          <w:tcPr>
            <w:tcW w:w="3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20" w:type="dxa"/>
            <w:vAlign w:val="bottom"/>
            <w:tcBorders>
              <w:bottom w:val="single" w:sz="8" w:color="auto"/>
              <w:right w:val="single" w:sz="8" w:color="auto"/>
            </w:tcBorders>
          </w:tcPr>
          <w:p>
            <w:pPr>
              <w:spacing w:after="0"/>
              <w:rPr>
                <w:sz w:val="18"/>
                <w:szCs w:val="18"/>
                <w:color w:val="auto"/>
              </w:rPr>
            </w:pPr>
          </w:p>
        </w:tc>
      </w:tr>
      <w:tr>
        <w:trPr>
          <w:trHeight w:val="187"/>
        </w:trPr>
        <w:tc>
          <w:tcPr>
            <w:tcW w:w="1660" w:type="dxa"/>
            <w:vAlign w:val="bottom"/>
            <w:tcBorders>
              <w:left w:val="single" w:sz="8" w:color="auto"/>
              <w:right w:val="single" w:sz="8" w:color="auto"/>
            </w:tcBorders>
            <w:gridSpan w:val="2"/>
            <w:shd w:val="clear" w:color="auto" w:fill="D8D8D8"/>
          </w:tcPr>
          <w:p>
            <w:pPr>
              <w:ind w:left="80"/>
              <w:spacing w:after="0" w:line="187" w:lineRule="exact"/>
              <w:rPr>
                <w:sz w:val="20"/>
                <w:szCs w:val="20"/>
                <w:color w:val="auto"/>
              </w:rPr>
            </w:pPr>
            <w:r>
              <w:rPr>
                <w:rFonts w:ascii="Arial" w:cs="Arial" w:eastAsia="Arial" w:hAnsi="Arial"/>
                <w:sz w:val="18"/>
                <w:szCs w:val="18"/>
                <w:b w:val="1"/>
                <w:bCs w:val="1"/>
                <w:color w:val="auto"/>
              </w:rPr>
              <w:t>Annual Cash</w:t>
            </w:r>
          </w:p>
        </w:tc>
        <w:tc>
          <w:tcPr>
            <w:tcW w:w="80" w:type="dxa"/>
            <w:vAlign w:val="bottom"/>
            <w:shd w:val="clear" w:color="auto" w:fill="D8D8D8"/>
          </w:tcPr>
          <w:p>
            <w:pPr>
              <w:spacing w:after="0"/>
              <w:rPr>
                <w:sz w:val="16"/>
                <w:szCs w:val="16"/>
                <w:color w:val="auto"/>
              </w:rPr>
            </w:pPr>
          </w:p>
        </w:tc>
        <w:tc>
          <w:tcPr>
            <w:tcW w:w="1060" w:type="dxa"/>
            <w:vAlign w:val="bottom"/>
            <w:tcBorders>
              <w:right w:val="single" w:sz="8" w:color="auto"/>
            </w:tcBorders>
            <w:shd w:val="clear" w:color="auto" w:fill="D8D8D8"/>
          </w:tcPr>
          <w:p>
            <w:pPr>
              <w:ind w:left="20"/>
              <w:spacing w:after="0" w:line="187" w:lineRule="exact"/>
              <w:rPr>
                <w:sz w:val="20"/>
                <w:szCs w:val="20"/>
                <w:color w:val="auto"/>
              </w:rPr>
            </w:pPr>
            <w:r>
              <w:rPr>
                <w:rFonts w:ascii="Arial" w:cs="Arial" w:eastAsia="Arial" w:hAnsi="Arial"/>
                <w:sz w:val="18"/>
                <w:szCs w:val="18"/>
                <w:b w:val="1"/>
                <w:bCs w:val="1"/>
                <w:color w:val="auto"/>
              </w:rPr>
              <w:t>Cash</w:t>
            </w:r>
          </w:p>
        </w:tc>
        <w:tc>
          <w:tcPr>
            <w:tcW w:w="3060" w:type="dxa"/>
            <w:vAlign w:val="bottom"/>
            <w:tcBorders>
              <w:right w:val="single" w:sz="8" w:color="auto"/>
            </w:tcBorders>
          </w:tcPr>
          <w:p>
            <w:pPr>
              <w:ind w:left="100"/>
              <w:spacing w:after="0" w:line="187" w:lineRule="exact"/>
              <w:rPr>
                <w:sz w:val="20"/>
                <w:szCs w:val="20"/>
                <w:color w:val="auto"/>
              </w:rPr>
            </w:pPr>
            <w:r>
              <w:rPr>
                <w:rFonts w:ascii="Arial" w:cs="Arial" w:eastAsia="Arial" w:hAnsi="Arial"/>
                <w:sz w:val="18"/>
                <w:szCs w:val="18"/>
                <w:color w:val="auto"/>
              </w:rPr>
              <w:t>Focuses executives on achieving</w:t>
            </w:r>
          </w:p>
        </w:tc>
        <w:tc>
          <w:tcPr>
            <w:tcW w:w="300" w:type="dxa"/>
            <w:vAlign w:val="bottom"/>
          </w:tcPr>
          <w:p>
            <w:pPr>
              <w:ind w:left="100"/>
              <w:spacing w:after="0" w:line="187" w:lineRule="exact"/>
              <w:rPr>
                <w:sz w:val="20"/>
                <w:szCs w:val="20"/>
                <w:color w:val="auto"/>
              </w:rPr>
            </w:pPr>
            <w:r>
              <w:rPr>
                <w:rFonts w:ascii="Arial" w:cs="Arial" w:eastAsia="Arial" w:hAnsi="Arial"/>
                <w:sz w:val="18"/>
                <w:szCs w:val="18"/>
                <w:color w:val="auto"/>
              </w:rPr>
              <w:t>•</w:t>
            </w:r>
          </w:p>
        </w:tc>
        <w:tc>
          <w:tcPr>
            <w:tcW w:w="3400" w:type="dxa"/>
            <w:vAlign w:val="bottom"/>
            <w:tcBorders>
              <w:right w:val="single" w:sz="8" w:color="auto"/>
            </w:tcBorders>
            <w:gridSpan w:val="2"/>
          </w:tcPr>
          <w:p>
            <w:pPr>
              <w:ind w:left="160"/>
              <w:spacing w:after="0" w:line="187" w:lineRule="exact"/>
              <w:rPr>
                <w:sz w:val="20"/>
                <w:szCs w:val="20"/>
                <w:color w:val="auto"/>
              </w:rPr>
            </w:pPr>
            <w:r>
              <w:rPr>
                <w:rFonts w:ascii="Arial" w:cs="Arial" w:eastAsia="Arial" w:hAnsi="Arial"/>
                <w:sz w:val="18"/>
                <w:szCs w:val="18"/>
                <w:color w:val="auto"/>
              </w:rPr>
              <w:t>Payouts: 0% to 200%* of target based</w:t>
            </w:r>
          </w:p>
        </w:tc>
      </w:tr>
      <w:tr>
        <w:trPr>
          <w:trHeight w:val="224"/>
        </w:trPr>
        <w:tc>
          <w:tcPr>
            <w:tcW w:w="1660" w:type="dxa"/>
            <w:vAlign w:val="bottom"/>
            <w:tcBorders>
              <w:left w:val="single" w:sz="8" w:color="auto"/>
              <w:right w:val="single" w:sz="8" w:color="auto"/>
            </w:tcBorders>
            <w:gridSpan w:val="2"/>
            <w:shd w:val="clear" w:color="auto" w:fill="D8D8D8"/>
          </w:tcPr>
          <w:p>
            <w:pPr>
              <w:ind w:left="80"/>
              <w:spacing w:after="0"/>
              <w:rPr>
                <w:sz w:val="20"/>
                <w:szCs w:val="20"/>
                <w:color w:val="auto"/>
              </w:rPr>
            </w:pPr>
            <w:r>
              <w:rPr>
                <w:rFonts w:ascii="Arial" w:cs="Arial" w:eastAsia="Arial" w:hAnsi="Arial"/>
                <w:sz w:val="18"/>
                <w:szCs w:val="18"/>
                <w:b w:val="1"/>
                <w:bCs w:val="1"/>
                <w:color w:val="auto"/>
              </w:rPr>
              <w:t>Incentive (EMIP)</w:t>
            </w:r>
          </w:p>
        </w:tc>
        <w:tc>
          <w:tcPr>
            <w:tcW w:w="80" w:type="dxa"/>
            <w:vAlign w:val="bottom"/>
            <w:shd w:val="clear" w:color="auto" w:fill="D8D8D8"/>
          </w:tcPr>
          <w:p>
            <w:pPr>
              <w:spacing w:after="0"/>
              <w:rPr>
                <w:sz w:val="19"/>
                <w:szCs w:val="19"/>
                <w:color w:val="auto"/>
              </w:rPr>
            </w:pPr>
          </w:p>
        </w:tc>
        <w:tc>
          <w:tcPr>
            <w:tcW w:w="1060" w:type="dxa"/>
            <w:vAlign w:val="bottom"/>
            <w:tcBorders>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(Variable)</w:t>
            </w:r>
          </w:p>
        </w:tc>
        <w:tc>
          <w:tcPr>
            <w:tcW w:w="3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annual financial goals that drive</w:t>
            </w:r>
          </w:p>
        </w:tc>
        <w:tc>
          <w:tcPr>
            <w:tcW w:w="300" w:type="dxa"/>
            <w:vAlign w:val="bottom"/>
          </w:tcPr>
          <w:p>
            <w:pPr>
              <w:spacing w:after="0"/>
              <w:rPr>
                <w:sz w:val="19"/>
                <w:szCs w:val="19"/>
                <w:color w:val="auto"/>
              </w:rPr>
            </w:pPr>
          </w:p>
        </w:tc>
        <w:tc>
          <w:tcPr>
            <w:tcW w:w="340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on financial performance attainment</w:t>
            </w:r>
          </w:p>
        </w:tc>
      </w:tr>
      <w:tr>
        <w:trPr>
          <w:trHeight w:val="203"/>
        </w:trPr>
        <w:tc>
          <w:tcPr>
            <w:tcW w:w="1340" w:type="dxa"/>
            <w:vAlign w:val="bottom"/>
            <w:tcBorders>
              <w:left w:val="single" w:sz="8" w:color="auto"/>
            </w:tcBorders>
            <w:shd w:val="clear" w:color="auto" w:fill="D8D8D8"/>
          </w:tcPr>
          <w:p>
            <w:pPr>
              <w:spacing w:after="0"/>
              <w:rPr>
                <w:sz w:val="17"/>
                <w:szCs w:val="17"/>
                <w:color w:val="auto"/>
              </w:rPr>
            </w:pPr>
          </w:p>
        </w:tc>
        <w:tc>
          <w:tcPr>
            <w:tcW w:w="320" w:type="dxa"/>
            <w:vAlign w:val="bottom"/>
            <w:tcBorders>
              <w:right w:val="single" w:sz="8" w:color="auto"/>
            </w:tcBorders>
            <w:shd w:val="clear" w:color="auto" w:fill="D8D8D8"/>
          </w:tcPr>
          <w:p>
            <w:pPr>
              <w:spacing w:after="0"/>
              <w:rPr>
                <w:sz w:val="17"/>
                <w:szCs w:val="17"/>
                <w:color w:val="auto"/>
              </w:rPr>
            </w:pPr>
          </w:p>
        </w:tc>
        <w:tc>
          <w:tcPr>
            <w:tcW w:w="80" w:type="dxa"/>
            <w:vAlign w:val="bottom"/>
            <w:shd w:val="clear" w:color="auto" w:fill="D8D8D8"/>
          </w:tcPr>
          <w:p>
            <w:pPr>
              <w:spacing w:after="0"/>
              <w:rPr>
                <w:sz w:val="17"/>
                <w:szCs w:val="17"/>
                <w:color w:val="auto"/>
              </w:rPr>
            </w:pPr>
          </w:p>
        </w:tc>
        <w:tc>
          <w:tcPr>
            <w:tcW w:w="1060" w:type="dxa"/>
            <w:vAlign w:val="bottom"/>
            <w:tcBorders>
              <w:right w:val="single" w:sz="8" w:color="auto"/>
            </w:tcBorders>
            <w:shd w:val="clear" w:color="auto" w:fill="D8D8D8"/>
          </w:tcPr>
          <w:p>
            <w:pPr>
              <w:spacing w:after="0"/>
              <w:rPr>
                <w:sz w:val="17"/>
                <w:szCs w:val="17"/>
                <w:color w:val="auto"/>
              </w:rPr>
            </w:pPr>
          </w:p>
        </w:tc>
        <w:tc>
          <w:tcPr>
            <w:tcW w:w="306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long-term shareholder value</w:t>
            </w:r>
          </w:p>
        </w:tc>
        <w:tc>
          <w:tcPr>
            <w:tcW w:w="300" w:type="dxa"/>
            <w:vAlign w:val="bottom"/>
          </w:tcPr>
          <w:p>
            <w:pPr>
              <w:spacing w:after="0"/>
              <w:rPr>
                <w:sz w:val="17"/>
                <w:szCs w:val="17"/>
                <w:color w:val="auto"/>
              </w:rPr>
            </w:pPr>
          </w:p>
        </w:tc>
        <w:tc>
          <w:tcPr>
            <w:tcW w:w="3400" w:type="dxa"/>
            <w:vAlign w:val="bottom"/>
            <w:tcBorders>
              <w:right w:val="single" w:sz="8" w:color="auto"/>
            </w:tcBorders>
            <w:gridSpan w:val="2"/>
          </w:tcPr>
          <w:p>
            <w:pPr>
              <w:ind w:left="160"/>
              <w:spacing w:after="0" w:line="202" w:lineRule="exact"/>
              <w:rPr>
                <w:sz w:val="20"/>
                <w:szCs w:val="20"/>
                <w:color w:val="auto"/>
              </w:rPr>
            </w:pPr>
            <w:r>
              <w:rPr>
                <w:rFonts w:ascii="Arial" w:cs="Arial" w:eastAsia="Arial" w:hAnsi="Arial"/>
                <w:sz w:val="18"/>
                <w:szCs w:val="18"/>
                <w:color w:val="auto"/>
              </w:rPr>
              <w:t>against pre-established goals, subject</w:t>
            </w:r>
          </w:p>
        </w:tc>
      </w:tr>
      <w:tr>
        <w:trPr>
          <w:trHeight w:val="203"/>
        </w:trPr>
        <w:tc>
          <w:tcPr>
            <w:tcW w:w="1340" w:type="dxa"/>
            <w:vAlign w:val="bottom"/>
            <w:tcBorders>
              <w:left w:val="single" w:sz="8" w:color="auto"/>
            </w:tcBorders>
            <w:shd w:val="clear" w:color="auto" w:fill="D8D8D8"/>
          </w:tcPr>
          <w:p>
            <w:pPr>
              <w:spacing w:after="0"/>
              <w:rPr>
                <w:sz w:val="17"/>
                <w:szCs w:val="17"/>
                <w:color w:val="auto"/>
              </w:rPr>
            </w:pPr>
          </w:p>
        </w:tc>
        <w:tc>
          <w:tcPr>
            <w:tcW w:w="320" w:type="dxa"/>
            <w:vAlign w:val="bottom"/>
            <w:tcBorders>
              <w:right w:val="single" w:sz="8" w:color="auto"/>
            </w:tcBorders>
            <w:shd w:val="clear" w:color="auto" w:fill="D8D8D8"/>
          </w:tcPr>
          <w:p>
            <w:pPr>
              <w:spacing w:after="0"/>
              <w:rPr>
                <w:sz w:val="17"/>
                <w:szCs w:val="17"/>
                <w:color w:val="auto"/>
              </w:rPr>
            </w:pPr>
          </w:p>
        </w:tc>
        <w:tc>
          <w:tcPr>
            <w:tcW w:w="80" w:type="dxa"/>
            <w:vAlign w:val="bottom"/>
            <w:shd w:val="clear" w:color="auto" w:fill="D8D8D8"/>
          </w:tcPr>
          <w:p>
            <w:pPr>
              <w:spacing w:after="0"/>
              <w:rPr>
                <w:sz w:val="17"/>
                <w:szCs w:val="17"/>
                <w:color w:val="auto"/>
              </w:rPr>
            </w:pPr>
          </w:p>
        </w:tc>
        <w:tc>
          <w:tcPr>
            <w:tcW w:w="1060" w:type="dxa"/>
            <w:vAlign w:val="bottom"/>
            <w:tcBorders>
              <w:right w:val="single" w:sz="8" w:color="auto"/>
            </w:tcBorders>
            <w:shd w:val="clear" w:color="auto" w:fill="D8D8D8"/>
          </w:tcPr>
          <w:p>
            <w:pPr>
              <w:spacing w:after="0"/>
              <w:rPr>
                <w:sz w:val="17"/>
                <w:szCs w:val="17"/>
                <w:color w:val="auto"/>
              </w:rPr>
            </w:pPr>
          </w:p>
        </w:tc>
        <w:tc>
          <w:tcPr>
            <w:tcW w:w="306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400" w:type="dxa"/>
            <w:vAlign w:val="bottom"/>
            <w:tcBorders>
              <w:right w:val="single" w:sz="8" w:color="auto"/>
            </w:tcBorders>
            <w:gridSpan w:val="2"/>
          </w:tcPr>
          <w:p>
            <w:pPr>
              <w:ind w:left="160"/>
              <w:spacing w:after="0" w:line="202" w:lineRule="exact"/>
              <w:rPr>
                <w:sz w:val="20"/>
                <w:szCs w:val="20"/>
                <w:color w:val="auto"/>
              </w:rPr>
            </w:pPr>
            <w:r>
              <w:rPr>
                <w:rFonts w:ascii="Arial" w:cs="Arial" w:eastAsia="Arial" w:hAnsi="Arial"/>
                <w:sz w:val="18"/>
                <w:szCs w:val="18"/>
                <w:color w:val="auto"/>
              </w:rPr>
              <w:t>to the achievement of a threshold</w:t>
            </w:r>
          </w:p>
        </w:tc>
      </w:tr>
      <w:tr>
        <w:trPr>
          <w:trHeight w:val="217"/>
        </w:trPr>
        <w:tc>
          <w:tcPr>
            <w:tcW w:w="1340" w:type="dxa"/>
            <w:vAlign w:val="bottom"/>
            <w:tcBorders>
              <w:left w:val="single" w:sz="8" w:color="auto"/>
            </w:tcBorders>
            <w:shd w:val="clear" w:color="auto" w:fill="D8D8D8"/>
          </w:tcPr>
          <w:p>
            <w:pPr>
              <w:spacing w:after="0"/>
              <w:rPr>
                <w:sz w:val="18"/>
                <w:szCs w:val="18"/>
                <w:color w:val="auto"/>
              </w:rPr>
            </w:pPr>
          </w:p>
        </w:tc>
        <w:tc>
          <w:tcPr>
            <w:tcW w:w="320" w:type="dxa"/>
            <w:vAlign w:val="bottom"/>
            <w:tcBorders>
              <w:right w:val="single" w:sz="8" w:color="auto"/>
            </w:tcBorders>
            <w:shd w:val="clear" w:color="auto" w:fill="D8D8D8"/>
          </w:tcPr>
          <w:p>
            <w:pPr>
              <w:spacing w:after="0"/>
              <w:rPr>
                <w:sz w:val="18"/>
                <w:szCs w:val="18"/>
                <w:color w:val="auto"/>
              </w:rPr>
            </w:pPr>
          </w:p>
        </w:tc>
        <w:tc>
          <w:tcPr>
            <w:tcW w:w="80" w:type="dxa"/>
            <w:vAlign w:val="bottom"/>
            <w:shd w:val="clear" w:color="auto" w:fill="D8D8D8"/>
          </w:tcPr>
          <w:p>
            <w:pPr>
              <w:spacing w:after="0"/>
              <w:rPr>
                <w:sz w:val="18"/>
                <w:szCs w:val="18"/>
                <w:color w:val="auto"/>
              </w:rPr>
            </w:pPr>
          </w:p>
        </w:tc>
        <w:tc>
          <w:tcPr>
            <w:tcW w:w="1060" w:type="dxa"/>
            <w:vAlign w:val="bottom"/>
            <w:tcBorders>
              <w:right w:val="single" w:sz="8" w:color="auto"/>
            </w:tcBorders>
            <w:shd w:val="clear" w:color="auto" w:fill="D8D8D8"/>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Adjusted EBITDA goal</w:t>
            </w:r>
          </w:p>
        </w:tc>
      </w:tr>
      <w:tr>
        <w:trPr>
          <w:trHeight w:val="215"/>
        </w:trPr>
        <w:tc>
          <w:tcPr>
            <w:tcW w:w="1340" w:type="dxa"/>
            <w:vAlign w:val="bottom"/>
            <w:tcBorders>
              <w:left w:val="single" w:sz="8" w:color="auto"/>
            </w:tcBorders>
            <w:shd w:val="clear" w:color="auto" w:fill="D8D8D8"/>
          </w:tcPr>
          <w:p>
            <w:pPr>
              <w:spacing w:after="0"/>
              <w:rPr>
                <w:sz w:val="18"/>
                <w:szCs w:val="18"/>
                <w:color w:val="auto"/>
              </w:rPr>
            </w:pPr>
          </w:p>
        </w:tc>
        <w:tc>
          <w:tcPr>
            <w:tcW w:w="320" w:type="dxa"/>
            <w:vAlign w:val="bottom"/>
            <w:tcBorders>
              <w:right w:val="single" w:sz="8" w:color="auto"/>
            </w:tcBorders>
            <w:shd w:val="clear" w:color="auto" w:fill="D8D8D8"/>
          </w:tcPr>
          <w:p>
            <w:pPr>
              <w:spacing w:after="0"/>
              <w:rPr>
                <w:sz w:val="18"/>
                <w:szCs w:val="18"/>
                <w:color w:val="auto"/>
              </w:rPr>
            </w:pPr>
          </w:p>
        </w:tc>
        <w:tc>
          <w:tcPr>
            <w:tcW w:w="80" w:type="dxa"/>
            <w:vAlign w:val="bottom"/>
            <w:shd w:val="clear" w:color="auto" w:fill="D8D8D8"/>
          </w:tcPr>
          <w:p>
            <w:pPr>
              <w:spacing w:after="0"/>
              <w:rPr>
                <w:sz w:val="18"/>
                <w:szCs w:val="18"/>
                <w:color w:val="auto"/>
              </w:rPr>
            </w:pPr>
          </w:p>
        </w:tc>
        <w:tc>
          <w:tcPr>
            <w:tcW w:w="1060" w:type="dxa"/>
            <w:vAlign w:val="bottom"/>
            <w:tcBorders>
              <w:right w:val="single" w:sz="8" w:color="auto"/>
            </w:tcBorders>
            <w:shd w:val="clear" w:color="auto" w:fill="D8D8D8"/>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30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If the threshold Adjusted EBITDA</w:t>
            </w:r>
          </w:p>
        </w:tc>
      </w:tr>
      <w:tr>
        <w:trPr>
          <w:trHeight w:val="203"/>
        </w:trPr>
        <w:tc>
          <w:tcPr>
            <w:tcW w:w="1340" w:type="dxa"/>
            <w:vAlign w:val="bottom"/>
            <w:tcBorders>
              <w:left w:val="single" w:sz="8" w:color="auto"/>
            </w:tcBorders>
            <w:shd w:val="clear" w:color="auto" w:fill="D8D8D8"/>
          </w:tcPr>
          <w:p>
            <w:pPr>
              <w:spacing w:after="0"/>
              <w:rPr>
                <w:sz w:val="17"/>
                <w:szCs w:val="17"/>
                <w:color w:val="auto"/>
              </w:rPr>
            </w:pPr>
          </w:p>
        </w:tc>
        <w:tc>
          <w:tcPr>
            <w:tcW w:w="320" w:type="dxa"/>
            <w:vAlign w:val="bottom"/>
            <w:tcBorders>
              <w:right w:val="single" w:sz="8" w:color="auto"/>
            </w:tcBorders>
            <w:shd w:val="clear" w:color="auto" w:fill="D8D8D8"/>
          </w:tcPr>
          <w:p>
            <w:pPr>
              <w:spacing w:after="0"/>
              <w:rPr>
                <w:sz w:val="17"/>
                <w:szCs w:val="17"/>
                <w:color w:val="auto"/>
              </w:rPr>
            </w:pPr>
          </w:p>
        </w:tc>
        <w:tc>
          <w:tcPr>
            <w:tcW w:w="80" w:type="dxa"/>
            <w:vAlign w:val="bottom"/>
            <w:shd w:val="clear" w:color="auto" w:fill="D8D8D8"/>
          </w:tcPr>
          <w:p>
            <w:pPr>
              <w:spacing w:after="0"/>
              <w:rPr>
                <w:sz w:val="17"/>
                <w:szCs w:val="17"/>
                <w:color w:val="auto"/>
              </w:rPr>
            </w:pPr>
          </w:p>
        </w:tc>
        <w:tc>
          <w:tcPr>
            <w:tcW w:w="1060" w:type="dxa"/>
            <w:vAlign w:val="bottom"/>
            <w:tcBorders>
              <w:right w:val="single" w:sz="8" w:color="auto"/>
            </w:tcBorders>
            <w:shd w:val="clear" w:color="auto" w:fill="D8D8D8"/>
          </w:tcPr>
          <w:p>
            <w:pPr>
              <w:spacing w:after="0"/>
              <w:rPr>
                <w:sz w:val="17"/>
                <w:szCs w:val="17"/>
                <w:color w:val="auto"/>
              </w:rPr>
            </w:pPr>
          </w:p>
        </w:tc>
        <w:tc>
          <w:tcPr>
            <w:tcW w:w="306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goal is not achieved, no portion of</w:t>
            </w:r>
          </w:p>
        </w:tc>
      </w:tr>
      <w:tr>
        <w:trPr>
          <w:trHeight w:val="217"/>
        </w:trPr>
        <w:tc>
          <w:tcPr>
            <w:tcW w:w="1340" w:type="dxa"/>
            <w:vAlign w:val="bottom"/>
            <w:tcBorders>
              <w:left w:val="single" w:sz="8" w:color="auto"/>
            </w:tcBorders>
            <w:shd w:val="clear" w:color="auto" w:fill="D8D8D8"/>
          </w:tcPr>
          <w:p>
            <w:pPr>
              <w:spacing w:after="0"/>
              <w:rPr>
                <w:sz w:val="18"/>
                <w:szCs w:val="18"/>
                <w:color w:val="auto"/>
              </w:rPr>
            </w:pPr>
          </w:p>
        </w:tc>
        <w:tc>
          <w:tcPr>
            <w:tcW w:w="320" w:type="dxa"/>
            <w:vAlign w:val="bottom"/>
            <w:tcBorders>
              <w:right w:val="single" w:sz="8" w:color="auto"/>
            </w:tcBorders>
            <w:shd w:val="clear" w:color="auto" w:fill="D8D8D8"/>
          </w:tcPr>
          <w:p>
            <w:pPr>
              <w:spacing w:after="0"/>
              <w:rPr>
                <w:sz w:val="18"/>
                <w:szCs w:val="18"/>
                <w:color w:val="auto"/>
              </w:rPr>
            </w:pPr>
          </w:p>
        </w:tc>
        <w:tc>
          <w:tcPr>
            <w:tcW w:w="80" w:type="dxa"/>
            <w:vAlign w:val="bottom"/>
            <w:shd w:val="clear" w:color="auto" w:fill="D8D8D8"/>
          </w:tcPr>
          <w:p>
            <w:pPr>
              <w:spacing w:after="0"/>
              <w:rPr>
                <w:sz w:val="18"/>
                <w:szCs w:val="18"/>
                <w:color w:val="auto"/>
              </w:rPr>
            </w:pPr>
          </w:p>
        </w:tc>
        <w:tc>
          <w:tcPr>
            <w:tcW w:w="1060" w:type="dxa"/>
            <w:vAlign w:val="bottom"/>
            <w:tcBorders>
              <w:right w:val="single" w:sz="8" w:color="auto"/>
            </w:tcBorders>
            <w:shd w:val="clear" w:color="auto" w:fill="D8D8D8"/>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the EMIP award will be paid</w:t>
            </w:r>
          </w:p>
        </w:tc>
      </w:tr>
      <w:tr>
        <w:trPr>
          <w:trHeight w:val="215"/>
        </w:trPr>
        <w:tc>
          <w:tcPr>
            <w:tcW w:w="1340" w:type="dxa"/>
            <w:vAlign w:val="bottom"/>
            <w:tcBorders>
              <w:left w:val="single" w:sz="8" w:color="auto"/>
            </w:tcBorders>
            <w:shd w:val="clear" w:color="auto" w:fill="D8D8D8"/>
          </w:tcPr>
          <w:p>
            <w:pPr>
              <w:spacing w:after="0"/>
              <w:rPr>
                <w:sz w:val="18"/>
                <w:szCs w:val="18"/>
                <w:color w:val="auto"/>
              </w:rPr>
            </w:pPr>
          </w:p>
        </w:tc>
        <w:tc>
          <w:tcPr>
            <w:tcW w:w="320" w:type="dxa"/>
            <w:vAlign w:val="bottom"/>
            <w:tcBorders>
              <w:right w:val="single" w:sz="8" w:color="auto"/>
            </w:tcBorders>
            <w:shd w:val="clear" w:color="auto" w:fill="D8D8D8"/>
          </w:tcPr>
          <w:p>
            <w:pPr>
              <w:spacing w:after="0"/>
              <w:rPr>
                <w:sz w:val="18"/>
                <w:szCs w:val="18"/>
                <w:color w:val="auto"/>
              </w:rPr>
            </w:pPr>
          </w:p>
        </w:tc>
        <w:tc>
          <w:tcPr>
            <w:tcW w:w="80" w:type="dxa"/>
            <w:vAlign w:val="bottom"/>
            <w:shd w:val="clear" w:color="auto" w:fill="D8D8D8"/>
          </w:tcPr>
          <w:p>
            <w:pPr>
              <w:spacing w:after="0"/>
              <w:rPr>
                <w:sz w:val="18"/>
                <w:szCs w:val="18"/>
                <w:color w:val="auto"/>
              </w:rPr>
            </w:pPr>
          </w:p>
        </w:tc>
        <w:tc>
          <w:tcPr>
            <w:tcW w:w="1060" w:type="dxa"/>
            <w:vAlign w:val="bottom"/>
            <w:tcBorders>
              <w:right w:val="single" w:sz="8" w:color="auto"/>
            </w:tcBorders>
            <w:shd w:val="clear" w:color="auto" w:fill="D8D8D8"/>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340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Financial metrics: Adjusted EBITDA,</w:t>
            </w:r>
          </w:p>
        </w:tc>
      </w:tr>
      <w:tr>
        <w:trPr>
          <w:trHeight w:val="217"/>
        </w:trPr>
        <w:tc>
          <w:tcPr>
            <w:tcW w:w="1340" w:type="dxa"/>
            <w:vAlign w:val="bottom"/>
            <w:tcBorders>
              <w:left w:val="single" w:sz="8" w:color="auto"/>
            </w:tcBorders>
            <w:shd w:val="clear" w:color="auto" w:fill="D8D8D8"/>
          </w:tcPr>
          <w:p>
            <w:pPr>
              <w:spacing w:after="0"/>
              <w:rPr>
                <w:sz w:val="18"/>
                <w:szCs w:val="18"/>
                <w:color w:val="auto"/>
              </w:rPr>
            </w:pPr>
          </w:p>
        </w:tc>
        <w:tc>
          <w:tcPr>
            <w:tcW w:w="320" w:type="dxa"/>
            <w:vAlign w:val="bottom"/>
            <w:tcBorders>
              <w:right w:val="single" w:sz="8" w:color="auto"/>
            </w:tcBorders>
            <w:shd w:val="clear" w:color="auto" w:fill="D8D8D8"/>
          </w:tcPr>
          <w:p>
            <w:pPr>
              <w:spacing w:after="0"/>
              <w:rPr>
                <w:sz w:val="18"/>
                <w:szCs w:val="18"/>
                <w:color w:val="auto"/>
              </w:rPr>
            </w:pPr>
          </w:p>
        </w:tc>
        <w:tc>
          <w:tcPr>
            <w:tcW w:w="80" w:type="dxa"/>
            <w:vAlign w:val="bottom"/>
            <w:shd w:val="clear" w:color="auto" w:fill="D8D8D8"/>
          </w:tcPr>
          <w:p>
            <w:pPr>
              <w:spacing w:after="0"/>
              <w:rPr>
                <w:sz w:val="18"/>
                <w:szCs w:val="18"/>
                <w:color w:val="auto"/>
              </w:rPr>
            </w:pPr>
          </w:p>
        </w:tc>
        <w:tc>
          <w:tcPr>
            <w:tcW w:w="1060" w:type="dxa"/>
            <w:vAlign w:val="bottom"/>
            <w:tcBorders>
              <w:right w:val="single" w:sz="8" w:color="auto"/>
            </w:tcBorders>
            <w:shd w:val="clear" w:color="auto" w:fill="D8D8D8"/>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Revenue, and Free Cash Flow</w:t>
            </w:r>
          </w:p>
        </w:tc>
      </w:tr>
      <w:tr>
        <w:trPr>
          <w:trHeight w:val="215"/>
        </w:trPr>
        <w:tc>
          <w:tcPr>
            <w:tcW w:w="1340" w:type="dxa"/>
            <w:vAlign w:val="bottom"/>
            <w:tcBorders>
              <w:left w:val="single" w:sz="8" w:color="auto"/>
            </w:tcBorders>
            <w:shd w:val="clear" w:color="auto" w:fill="D8D8D8"/>
          </w:tcPr>
          <w:p>
            <w:pPr>
              <w:spacing w:after="0"/>
              <w:rPr>
                <w:sz w:val="18"/>
                <w:szCs w:val="18"/>
                <w:color w:val="auto"/>
              </w:rPr>
            </w:pPr>
          </w:p>
        </w:tc>
        <w:tc>
          <w:tcPr>
            <w:tcW w:w="320" w:type="dxa"/>
            <w:vAlign w:val="bottom"/>
            <w:tcBorders>
              <w:right w:val="single" w:sz="8" w:color="auto"/>
            </w:tcBorders>
            <w:shd w:val="clear" w:color="auto" w:fill="D8D8D8"/>
          </w:tcPr>
          <w:p>
            <w:pPr>
              <w:spacing w:after="0"/>
              <w:rPr>
                <w:sz w:val="18"/>
                <w:szCs w:val="18"/>
                <w:color w:val="auto"/>
              </w:rPr>
            </w:pPr>
          </w:p>
        </w:tc>
        <w:tc>
          <w:tcPr>
            <w:tcW w:w="80" w:type="dxa"/>
            <w:vAlign w:val="bottom"/>
            <w:shd w:val="clear" w:color="auto" w:fill="D8D8D8"/>
          </w:tcPr>
          <w:p>
            <w:pPr>
              <w:spacing w:after="0"/>
              <w:rPr>
                <w:sz w:val="18"/>
                <w:szCs w:val="18"/>
                <w:color w:val="auto"/>
              </w:rPr>
            </w:pPr>
          </w:p>
        </w:tc>
        <w:tc>
          <w:tcPr>
            <w:tcW w:w="1060" w:type="dxa"/>
            <w:vAlign w:val="bottom"/>
            <w:tcBorders>
              <w:right w:val="single" w:sz="8" w:color="auto"/>
            </w:tcBorders>
            <w:shd w:val="clear" w:color="auto" w:fill="D8D8D8"/>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340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The Committee retains discretion to</w:t>
            </w:r>
          </w:p>
        </w:tc>
      </w:tr>
      <w:tr>
        <w:trPr>
          <w:trHeight w:val="203"/>
        </w:trPr>
        <w:tc>
          <w:tcPr>
            <w:tcW w:w="1340" w:type="dxa"/>
            <w:vAlign w:val="bottom"/>
            <w:tcBorders>
              <w:left w:val="single" w:sz="8" w:color="auto"/>
            </w:tcBorders>
            <w:shd w:val="clear" w:color="auto" w:fill="D8D8D8"/>
          </w:tcPr>
          <w:p>
            <w:pPr>
              <w:spacing w:after="0"/>
              <w:rPr>
                <w:sz w:val="17"/>
                <w:szCs w:val="17"/>
                <w:color w:val="auto"/>
              </w:rPr>
            </w:pPr>
          </w:p>
        </w:tc>
        <w:tc>
          <w:tcPr>
            <w:tcW w:w="320" w:type="dxa"/>
            <w:vAlign w:val="bottom"/>
            <w:tcBorders>
              <w:right w:val="single" w:sz="8" w:color="auto"/>
            </w:tcBorders>
            <w:shd w:val="clear" w:color="auto" w:fill="D8D8D8"/>
          </w:tcPr>
          <w:p>
            <w:pPr>
              <w:spacing w:after="0"/>
              <w:rPr>
                <w:sz w:val="17"/>
                <w:szCs w:val="17"/>
                <w:color w:val="auto"/>
              </w:rPr>
            </w:pPr>
          </w:p>
        </w:tc>
        <w:tc>
          <w:tcPr>
            <w:tcW w:w="80" w:type="dxa"/>
            <w:vAlign w:val="bottom"/>
            <w:shd w:val="clear" w:color="auto" w:fill="D8D8D8"/>
          </w:tcPr>
          <w:p>
            <w:pPr>
              <w:spacing w:after="0"/>
              <w:rPr>
                <w:sz w:val="17"/>
                <w:szCs w:val="17"/>
                <w:color w:val="auto"/>
              </w:rPr>
            </w:pPr>
          </w:p>
        </w:tc>
        <w:tc>
          <w:tcPr>
            <w:tcW w:w="1060" w:type="dxa"/>
            <w:vAlign w:val="bottom"/>
            <w:tcBorders>
              <w:right w:val="single" w:sz="8" w:color="auto"/>
            </w:tcBorders>
            <w:shd w:val="clear" w:color="auto" w:fill="D8D8D8"/>
          </w:tcPr>
          <w:p>
            <w:pPr>
              <w:spacing w:after="0"/>
              <w:rPr>
                <w:sz w:val="17"/>
                <w:szCs w:val="17"/>
                <w:color w:val="auto"/>
              </w:rPr>
            </w:pPr>
          </w:p>
        </w:tc>
        <w:tc>
          <w:tcPr>
            <w:tcW w:w="306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400" w:type="dxa"/>
            <w:vAlign w:val="bottom"/>
            <w:tcBorders>
              <w:right w:val="single" w:sz="8" w:color="auto"/>
            </w:tcBorders>
            <w:gridSpan w:val="2"/>
          </w:tcPr>
          <w:p>
            <w:pPr>
              <w:ind w:left="160"/>
              <w:spacing w:after="0" w:line="202" w:lineRule="exact"/>
              <w:rPr>
                <w:sz w:val="20"/>
                <w:szCs w:val="20"/>
                <w:color w:val="auto"/>
              </w:rPr>
            </w:pPr>
            <w:r>
              <w:rPr>
                <w:rFonts w:ascii="Arial" w:cs="Arial" w:eastAsia="Arial" w:hAnsi="Arial"/>
                <w:sz w:val="18"/>
                <w:szCs w:val="18"/>
                <w:color w:val="auto"/>
              </w:rPr>
              <w:t>further adjust the award upward or</w:t>
            </w:r>
          </w:p>
        </w:tc>
      </w:tr>
      <w:tr>
        <w:trPr>
          <w:trHeight w:val="203"/>
        </w:trPr>
        <w:tc>
          <w:tcPr>
            <w:tcW w:w="1340" w:type="dxa"/>
            <w:vAlign w:val="bottom"/>
            <w:tcBorders>
              <w:left w:val="single" w:sz="8" w:color="auto"/>
            </w:tcBorders>
            <w:shd w:val="clear" w:color="auto" w:fill="D8D8D8"/>
          </w:tcPr>
          <w:p>
            <w:pPr>
              <w:spacing w:after="0"/>
              <w:rPr>
                <w:sz w:val="17"/>
                <w:szCs w:val="17"/>
                <w:color w:val="auto"/>
              </w:rPr>
            </w:pPr>
          </w:p>
        </w:tc>
        <w:tc>
          <w:tcPr>
            <w:tcW w:w="320" w:type="dxa"/>
            <w:vAlign w:val="bottom"/>
            <w:tcBorders>
              <w:right w:val="single" w:sz="8" w:color="auto"/>
            </w:tcBorders>
            <w:shd w:val="clear" w:color="auto" w:fill="D8D8D8"/>
          </w:tcPr>
          <w:p>
            <w:pPr>
              <w:spacing w:after="0"/>
              <w:rPr>
                <w:sz w:val="17"/>
                <w:szCs w:val="17"/>
                <w:color w:val="auto"/>
              </w:rPr>
            </w:pPr>
          </w:p>
        </w:tc>
        <w:tc>
          <w:tcPr>
            <w:tcW w:w="80" w:type="dxa"/>
            <w:vAlign w:val="bottom"/>
            <w:shd w:val="clear" w:color="auto" w:fill="D8D8D8"/>
          </w:tcPr>
          <w:p>
            <w:pPr>
              <w:spacing w:after="0"/>
              <w:rPr>
                <w:sz w:val="17"/>
                <w:szCs w:val="17"/>
                <w:color w:val="auto"/>
              </w:rPr>
            </w:pPr>
          </w:p>
        </w:tc>
        <w:tc>
          <w:tcPr>
            <w:tcW w:w="1060" w:type="dxa"/>
            <w:vAlign w:val="bottom"/>
            <w:tcBorders>
              <w:right w:val="single" w:sz="8" w:color="auto"/>
            </w:tcBorders>
            <w:shd w:val="clear" w:color="auto" w:fill="D8D8D8"/>
          </w:tcPr>
          <w:p>
            <w:pPr>
              <w:spacing w:after="0"/>
              <w:rPr>
                <w:sz w:val="17"/>
                <w:szCs w:val="17"/>
                <w:color w:val="auto"/>
              </w:rPr>
            </w:pPr>
          </w:p>
        </w:tc>
        <w:tc>
          <w:tcPr>
            <w:tcW w:w="306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400" w:type="dxa"/>
            <w:vAlign w:val="bottom"/>
            <w:tcBorders>
              <w:right w:val="single" w:sz="8" w:color="auto"/>
            </w:tcBorders>
            <w:gridSpan w:val="2"/>
          </w:tcPr>
          <w:p>
            <w:pPr>
              <w:ind w:left="160"/>
              <w:spacing w:after="0" w:line="202" w:lineRule="exact"/>
              <w:rPr>
                <w:sz w:val="20"/>
                <w:szCs w:val="20"/>
                <w:color w:val="auto"/>
              </w:rPr>
            </w:pPr>
            <w:r>
              <w:rPr>
                <w:rFonts w:ascii="Arial" w:cs="Arial" w:eastAsia="Arial" w:hAnsi="Arial"/>
                <w:sz w:val="18"/>
                <w:szCs w:val="18"/>
                <w:color w:val="auto"/>
              </w:rPr>
              <w:t>downward based on its assessment of</w:t>
            </w:r>
          </w:p>
        </w:tc>
      </w:tr>
      <w:tr>
        <w:trPr>
          <w:trHeight w:val="217"/>
        </w:trPr>
        <w:tc>
          <w:tcPr>
            <w:tcW w:w="1340" w:type="dxa"/>
            <w:vAlign w:val="bottom"/>
            <w:tcBorders>
              <w:left w:val="single" w:sz="8" w:color="auto"/>
              <w:bottom w:val="single" w:sz="8" w:color="auto"/>
            </w:tcBorders>
            <w:shd w:val="clear" w:color="auto" w:fill="D8D8D8"/>
          </w:tcPr>
          <w:p>
            <w:pPr>
              <w:spacing w:after="0"/>
              <w:rPr>
                <w:sz w:val="18"/>
                <w:szCs w:val="18"/>
                <w:color w:val="auto"/>
              </w:rPr>
            </w:pPr>
          </w:p>
        </w:tc>
        <w:tc>
          <w:tcPr>
            <w:tcW w:w="320" w:type="dxa"/>
            <w:vAlign w:val="bottom"/>
            <w:tcBorders>
              <w:bottom w:val="single" w:sz="8" w:color="auto"/>
              <w:right w:val="single" w:sz="8" w:color="auto"/>
            </w:tcBorders>
            <w:shd w:val="clear" w:color="auto" w:fill="D8D8D8"/>
          </w:tcPr>
          <w:p>
            <w:pPr>
              <w:spacing w:after="0"/>
              <w:rPr>
                <w:sz w:val="18"/>
                <w:szCs w:val="18"/>
                <w:color w:val="auto"/>
              </w:rPr>
            </w:pPr>
          </w:p>
        </w:tc>
        <w:tc>
          <w:tcPr>
            <w:tcW w:w="80" w:type="dxa"/>
            <w:vAlign w:val="bottom"/>
            <w:tcBorders>
              <w:bottom w:val="single" w:sz="8" w:color="auto"/>
            </w:tcBorders>
            <w:shd w:val="clear" w:color="auto" w:fill="D8D8D8"/>
          </w:tcPr>
          <w:p>
            <w:pPr>
              <w:spacing w:after="0"/>
              <w:rPr>
                <w:sz w:val="18"/>
                <w:szCs w:val="18"/>
                <w:color w:val="auto"/>
              </w:rPr>
            </w:pPr>
          </w:p>
        </w:tc>
        <w:tc>
          <w:tcPr>
            <w:tcW w:w="1060" w:type="dxa"/>
            <w:vAlign w:val="bottom"/>
            <w:tcBorders>
              <w:bottom w:val="single" w:sz="8" w:color="auto"/>
              <w:right w:val="single" w:sz="8" w:color="auto"/>
            </w:tcBorders>
            <w:shd w:val="clear" w:color="auto" w:fill="D8D8D8"/>
          </w:tcPr>
          <w:p>
            <w:pPr>
              <w:spacing w:after="0"/>
              <w:rPr>
                <w:sz w:val="18"/>
                <w:szCs w:val="18"/>
                <w:color w:val="auto"/>
              </w:rPr>
            </w:pPr>
          </w:p>
        </w:tc>
        <w:tc>
          <w:tcPr>
            <w:tcW w:w="306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400" w:type="dxa"/>
            <w:vAlign w:val="bottom"/>
            <w:tcBorders>
              <w:bottom w:val="single" w:sz="8" w:color="auto"/>
              <w:right w:val="single" w:sz="8" w:color="auto"/>
            </w:tcBorders>
            <w:gridSpan w:val="2"/>
          </w:tcPr>
          <w:p>
            <w:pPr>
              <w:ind w:left="160"/>
              <w:spacing w:after="0"/>
              <w:rPr>
                <w:sz w:val="20"/>
                <w:szCs w:val="20"/>
                <w:color w:val="auto"/>
              </w:rPr>
            </w:pPr>
            <w:r>
              <w:rPr>
                <w:rFonts w:ascii="Arial" w:cs="Arial" w:eastAsia="Arial" w:hAnsi="Arial"/>
                <w:sz w:val="18"/>
                <w:szCs w:val="18"/>
                <w:color w:val="auto"/>
              </w:rPr>
              <w:t>individual performance</w:t>
            </w:r>
          </w:p>
        </w:tc>
      </w:tr>
      <w:tr>
        <w:trPr>
          <w:trHeight w:val="187"/>
        </w:trPr>
        <w:tc>
          <w:tcPr>
            <w:tcW w:w="1660" w:type="dxa"/>
            <w:vAlign w:val="bottom"/>
            <w:tcBorders>
              <w:left w:val="single" w:sz="8" w:color="auto"/>
              <w:right w:val="single" w:sz="8" w:color="auto"/>
            </w:tcBorders>
            <w:gridSpan w:val="2"/>
            <w:shd w:val="clear" w:color="auto" w:fill="D8D8D8"/>
          </w:tcPr>
          <w:p>
            <w:pPr>
              <w:ind w:left="80"/>
              <w:spacing w:after="0" w:line="187" w:lineRule="exact"/>
              <w:rPr>
                <w:sz w:val="20"/>
                <w:szCs w:val="20"/>
                <w:color w:val="auto"/>
              </w:rPr>
            </w:pPr>
            <w:r>
              <w:rPr>
                <w:rFonts w:ascii="Arial" w:cs="Arial" w:eastAsia="Arial" w:hAnsi="Arial"/>
                <w:sz w:val="18"/>
                <w:szCs w:val="18"/>
                <w:b w:val="1"/>
                <w:bCs w:val="1"/>
                <w:color w:val="auto"/>
              </w:rPr>
              <w:t>Long-Term</w:t>
            </w:r>
          </w:p>
        </w:tc>
        <w:tc>
          <w:tcPr>
            <w:tcW w:w="80" w:type="dxa"/>
            <w:vAlign w:val="bottom"/>
            <w:shd w:val="clear" w:color="auto" w:fill="D8D8D8"/>
          </w:tcPr>
          <w:p>
            <w:pPr>
              <w:spacing w:after="0"/>
              <w:rPr>
                <w:sz w:val="16"/>
                <w:szCs w:val="16"/>
                <w:color w:val="auto"/>
              </w:rPr>
            </w:pPr>
          </w:p>
        </w:tc>
        <w:tc>
          <w:tcPr>
            <w:tcW w:w="1060" w:type="dxa"/>
            <w:vAlign w:val="bottom"/>
            <w:tcBorders>
              <w:right w:val="single" w:sz="8" w:color="auto"/>
            </w:tcBorders>
            <w:shd w:val="clear" w:color="auto" w:fill="D8D8D8"/>
          </w:tcPr>
          <w:p>
            <w:pPr>
              <w:ind w:left="20"/>
              <w:spacing w:after="0" w:line="187" w:lineRule="exact"/>
              <w:rPr>
                <w:sz w:val="20"/>
                <w:szCs w:val="20"/>
                <w:color w:val="auto"/>
              </w:rPr>
            </w:pPr>
            <w:r>
              <w:rPr>
                <w:rFonts w:ascii="Arial" w:cs="Arial" w:eastAsia="Arial" w:hAnsi="Arial"/>
                <w:sz w:val="18"/>
                <w:szCs w:val="18"/>
                <w:b w:val="1"/>
                <w:bCs w:val="1"/>
                <w:color w:val="auto"/>
              </w:rPr>
              <w:t>Equity</w:t>
            </w:r>
          </w:p>
        </w:tc>
        <w:tc>
          <w:tcPr>
            <w:tcW w:w="3060" w:type="dxa"/>
            <w:vAlign w:val="bottom"/>
            <w:tcBorders>
              <w:right w:val="single" w:sz="8" w:color="auto"/>
            </w:tcBorders>
          </w:tcPr>
          <w:p>
            <w:pPr>
              <w:ind w:left="100"/>
              <w:spacing w:after="0" w:line="187" w:lineRule="exact"/>
              <w:rPr>
                <w:sz w:val="20"/>
                <w:szCs w:val="20"/>
                <w:color w:val="auto"/>
              </w:rPr>
            </w:pPr>
            <w:r>
              <w:rPr>
                <w:rFonts w:ascii="Arial" w:cs="Arial" w:eastAsia="Arial" w:hAnsi="Arial"/>
                <w:sz w:val="18"/>
                <w:szCs w:val="18"/>
                <w:color w:val="auto"/>
              </w:rPr>
              <w:t>Provides incentives for executives</w:t>
            </w:r>
          </w:p>
        </w:tc>
        <w:tc>
          <w:tcPr>
            <w:tcW w:w="3700" w:type="dxa"/>
            <w:vAlign w:val="bottom"/>
            <w:tcBorders>
              <w:right w:val="single" w:sz="8" w:color="auto"/>
            </w:tcBorders>
            <w:gridSpan w:val="3"/>
          </w:tcPr>
          <w:p>
            <w:pPr>
              <w:ind w:left="100"/>
              <w:spacing w:after="0" w:line="187" w:lineRule="exact"/>
              <w:rPr>
                <w:sz w:val="20"/>
                <w:szCs w:val="20"/>
                <w:color w:val="auto"/>
              </w:rPr>
            </w:pPr>
            <w:r>
              <w:rPr>
                <w:rFonts w:ascii="Arial" w:cs="Arial" w:eastAsia="Arial" w:hAnsi="Arial"/>
                <w:sz w:val="18"/>
                <w:szCs w:val="18"/>
                <w:i w:val="1"/>
                <w:iCs w:val="1"/>
                <w:color w:val="auto"/>
              </w:rPr>
              <w:t>See below</w:t>
            </w:r>
          </w:p>
        </w:tc>
      </w:tr>
      <w:tr>
        <w:trPr>
          <w:trHeight w:val="203"/>
        </w:trPr>
        <w:tc>
          <w:tcPr>
            <w:tcW w:w="1660" w:type="dxa"/>
            <w:vAlign w:val="bottom"/>
            <w:tcBorders>
              <w:left w:val="single" w:sz="8" w:color="auto"/>
              <w:right w:val="single" w:sz="8" w:color="auto"/>
            </w:tcBorders>
            <w:gridSpan w:val="2"/>
            <w:shd w:val="clear" w:color="auto" w:fill="D8D8D8"/>
          </w:tcPr>
          <w:p>
            <w:pPr>
              <w:ind w:left="80"/>
              <w:spacing w:after="0" w:line="202" w:lineRule="exact"/>
              <w:rPr>
                <w:sz w:val="20"/>
                <w:szCs w:val="20"/>
                <w:color w:val="auto"/>
              </w:rPr>
            </w:pPr>
            <w:r>
              <w:rPr>
                <w:rFonts w:ascii="Arial" w:cs="Arial" w:eastAsia="Arial" w:hAnsi="Arial"/>
                <w:sz w:val="18"/>
                <w:szCs w:val="18"/>
                <w:b w:val="1"/>
                <w:bCs w:val="1"/>
                <w:color w:val="auto"/>
              </w:rPr>
              <w:t>Incentive Plan</w:t>
            </w:r>
          </w:p>
        </w:tc>
        <w:tc>
          <w:tcPr>
            <w:tcW w:w="80" w:type="dxa"/>
            <w:vAlign w:val="bottom"/>
            <w:shd w:val="clear" w:color="auto" w:fill="D8D8D8"/>
          </w:tcPr>
          <w:p>
            <w:pPr>
              <w:spacing w:after="0"/>
              <w:rPr>
                <w:sz w:val="17"/>
                <w:szCs w:val="17"/>
                <w:color w:val="auto"/>
              </w:rPr>
            </w:pPr>
          </w:p>
        </w:tc>
        <w:tc>
          <w:tcPr>
            <w:tcW w:w="1060" w:type="dxa"/>
            <w:vAlign w:val="bottom"/>
            <w:tcBorders>
              <w:right w:val="single" w:sz="8" w:color="auto"/>
            </w:tcBorders>
            <w:shd w:val="clear" w:color="auto" w:fill="D8D8D8"/>
          </w:tcPr>
          <w:p>
            <w:pPr>
              <w:ind w:left="20"/>
              <w:spacing w:after="0" w:line="202" w:lineRule="exact"/>
              <w:rPr>
                <w:sz w:val="20"/>
                <w:szCs w:val="20"/>
                <w:color w:val="auto"/>
              </w:rPr>
            </w:pPr>
            <w:r>
              <w:rPr>
                <w:rFonts w:ascii="Arial" w:cs="Arial" w:eastAsia="Arial" w:hAnsi="Arial"/>
                <w:sz w:val="18"/>
                <w:szCs w:val="18"/>
                <w:b w:val="1"/>
                <w:bCs w:val="1"/>
                <w:color w:val="auto"/>
              </w:rPr>
              <w:t>(Variable)</w:t>
            </w:r>
          </w:p>
        </w:tc>
        <w:tc>
          <w:tcPr>
            <w:tcW w:w="306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to execute on longer-term</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Borders>
              <w:right w:val="single" w:sz="8" w:color="auto"/>
            </w:tcBorders>
          </w:tcPr>
          <w:p>
            <w:pPr>
              <w:spacing w:after="0"/>
              <w:rPr>
                <w:sz w:val="17"/>
                <w:szCs w:val="17"/>
                <w:color w:val="auto"/>
              </w:rPr>
            </w:pPr>
          </w:p>
        </w:tc>
      </w:tr>
      <w:tr>
        <w:trPr>
          <w:trHeight w:val="224"/>
        </w:trPr>
        <w:tc>
          <w:tcPr>
            <w:tcW w:w="1660" w:type="dxa"/>
            <w:vAlign w:val="bottom"/>
            <w:tcBorders>
              <w:left w:val="single" w:sz="8" w:color="auto"/>
              <w:right w:val="single" w:sz="8" w:color="auto"/>
            </w:tcBorders>
            <w:gridSpan w:val="2"/>
            <w:shd w:val="clear" w:color="auto" w:fill="D8D8D8"/>
          </w:tcPr>
          <w:p>
            <w:pPr>
              <w:ind w:left="80"/>
              <w:spacing w:after="0"/>
              <w:rPr>
                <w:sz w:val="20"/>
                <w:szCs w:val="20"/>
                <w:color w:val="auto"/>
              </w:rPr>
            </w:pPr>
            <w:r>
              <w:rPr>
                <w:rFonts w:ascii="Arial" w:cs="Arial" w:eastAsia="Arial" w:hAnsi="Arial"/>
                <w:sz w:val="18"/>
                <w:szCs w:val="18"/>
                <w:b w:val="1"/>
                <w:bCs w:val="1"/>
                <w:color w:val="auto"/>
              </w:rPr>
              <w:t>(LTIP)**</w:t>
            </w:r>
          </w:p>
        </w:tc>
        <w:tc>
          <w:tcPr>
            <w:tcW w:w="80" w:type="dxa"/>
            <w:vAlign w:val="bottom"/>
            <w:shd w:val="clear" w:color="auto" w:fill="D8D8D8"/>
          </w:tcPr>
          <w:p>
            <w:pPr>
              <w:spacing w:after="0"/>
              <w:rPr>
                <w:sz w:val="19"/>
                <w:szCs w:val="19"/>
                <w:color w:val="auto"/>
              </w:rPr>
            </w:pPr>
          </w:p>
        </w:tc>
        <w:tc>
          <w:tcPr>
            <w:tcW w:w="1060" w:type="dxa"/>
            <w:vAlign w:val="bottom"/>
            <w:tcBorders>
              <w:right w:val="single" w:sz="8" w:color="auto"/>
            </w:tcBorders>
            <w:shd w:val="clear" w:color="auto" w:fill="D8D8D8"/>
          </w:tcPr>
          <w:p>
            <w:pPr>
              <w:spacing w:after="0"/>
              <w:rPr>
                <w:sz w:val="19"/>
                <w:szCs w:val="19"/>
                <w:color w:val="auto"/>
              </w:rPr>
            </w:pPr>
          </w:p>
        </w:tc>
        <w:tc>
          <w:tcPr>
            <w:tcW w:w="3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financial/strategic growth goals that</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20" w:type="dxa"/>
            <w:vAlign w:val="bottom"/>
            <w:tcBorders>
              <w:right w:val="single" w:sz="8" w:color="auto"/>
            </w:tcBorders>
          </w:tcPr>
          <w:p>
            <w:pPr>
              <w:spacing w:after="0"/>
              <w:rPr>
                <w:sz w:val="19"/>
                <w:szCs w:val="19"/>
                <w:color w:val="auto"/>
              </w:rPr>
            </w:pPr>
          </w:p>
        </w:tc>
      </w:tr>
      <w:tr>
        <w:trPr>
          <w:trHeight w:val="203"/>
        </w:trPr>
        <w:tc>
          <w:tcPr>
            <w:tcW w:w="1340" w:type="dxa"/>
            <w:vAlign w:val="bottom"/>
            <w:tcBorders>
              <w:left w:val="single" w:sz="8" w:color="auto"/>
            </w:tcBorders>
            <w:shd w:val="clear" w:color="auto" w:fill="D8D8D8"/>
          </w:tcPr>
          <w:p>
            <w:pPr>
              <w:spacing w:after="0"/>
              <w:rPr>
                <w:sz w:val="17"/>
                <w:szCs w:val="17"/>
                <w:color w:val="auto"/>
              </w:rPr>
            </w:pPr>
          </w:p>
        </w:tc>
        <w:tc>
          <w:tcPr>
            <w:tcW w:w="320" w:type="dxa"/>
            <w:vAlign w:val="bottom"/>
            <w:tcBorders>
              <w:right w:val="single" w:sz="8" w:color="auto"/>
            </w:tcBorders>
            <w:shd w:val="clear" w:color="auto" w:fill="D8D8D8"/>
          </w:tcPr>
          <w:p>
            <w:pPr>
              <w:spacing w:after="0"/>
              <w:rPr>
                <w:sz w:val="17"/>
                <w:szCs w:val="17"/>
                <w:color w:val="auto"/>
              </w:rPr>
            </w:pPr>
          </w:p>
        </w:tc>
        <w:tc>
          <w:tcPr>
            <w:tcW w:w="80" w:type="dxa"/>
            <w:vAlign w:val="bottom"/>
            <w:shd w:val="clear" w:color="auto" w:fill="D8D8D8"/>
          </w:tcPr>
          <w:p>
            <w:pPr>
              <w:spacing w:after="0"/>
              <w:rPr>
                <w:sz w:val="17"/>
                <w:szCs w:val="17"/>
                <w:color w:val="auto"/>
              </w:rPr>
            </w:pPr>
          </w:p>
        </w:tc>
        <w:tc>
          <w:tcPr>
            <w:tcW w:w="1060" w:type="dxa"/>
            <w:vAlign w:val="bottom"/>
            <w:tcBorders>
              <w:right w:val="single" w:sz="8" w:color="auto"/>
            </w:tcBorders>
            <w:shd w:val="clear" w:color="auto" w:fill="D8D8D8"/>
          </w:tcPr>
          <w:p>
            <w:pPr>
              <w:spacing w:after="0"/>
              <w:rPr>
                <w:sz w:val="17"/>
                <w:szCs w:val="17"/>
                <w:color w:val="auto"/>
              </w:rPr>
            </w:pPr>
          </w:p>
        </w:tc>
        <w:tc>
          <w:tcPr>
            <w:tcW w:w="306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drive shareholder value creation</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Borders>
              <w:right w:val="single" w:sz="8" w:color="auto"/>
            </w:tcBorders>
          </w:tcPr>
          <w:p>
            <w:pPr>
              <w:spacing w:after="0"/>
              <w:rPr>
                <w:sz w:val="17"/>
                <w:szCs w:val="17"/>
                <w:color w:val="auto"/>
              </w:rPr>
            </w:pPr>
          </w:p>
        </w:tc>
      </w:tr>
      <w:tr>
        <w:trPr>
          <w:trHeight w:val="203"/>
        </w:trPr>
        <w:tc>
          <w:tcPr>
            <w:tcW w:w="1340" w:type="dxa"/>
            <w:vAlign w:val="bottom"/>
            <w:tcBorders>
              <w:left w:val="single" w:sz="8" w:color="auto"/>
            </w:tcBorders>
            <w:shd w:val="clear" w:color="auto" w:fill="D8D8D8"/>
          </w:tcPr>
          <w:p>
            <w:pPr>
              <w:spacing w:after="0"/>
              <w:rPr>
                <w:sz w:val="17"/>
                <w:szCs w:val="17"/>
                <w:color w:val="auto"/>
              </w:rPr>
            </w:pPr>
          </w:p>
        </w:tc>
        <w:tc>
          <w:tcPr>
            <w:tcW w:w="320" w:type="dxa"/>
            <w:vAlign w:val="bottom"/>
            <w:tcBorders>
              <w:right w:val="single" w:sz="8" w:color="auto"/>
            </w:tcBorders>
            <w:shd w:val="clear" w:color="auto" w:fill="D8D8D8"/>
          </w:tcPr>
          <w:p>
            <w:pPr>
              <w:spacing w:after="0"/>
              <w:rPr>
                <w:sz w:val="17"/>
                <w:szCs w:val="17"/>
                <w:color w:val="auto"/>
              </w:rPr>
            </w:pPr>
          </w:p>
        </w:tc>
        <w:tc>
          <w:tcPr>
            <w:tcW w:w="80" w:type="dxa"/>
            <w:vAlign w:val="bottom"/>
            <w:shd w:val="clear" w:color="auto" w:fill="D8D8D8"/>
          </w:tcPr>
          <w:p>
            <w:pPr>
              <w:spacing w:after="0"/>
              <w:rPr>
                <w:sz w:val="17"/>
                <w:szCs w:val="17"/>
                <w:color w:val="auto"/>
              </w:rPr>
            </w:pPr>
          </w:p>
        </w:tc>
        <w:tc>
          <w:tcPr>
            <w:tcW w:w="1060" w:type="dxa"/>
            <w:vAlign w:val="bottom"/>
            <w:tcBorders>
              <w:right w:val="single" w:sz="8" w:color="auto"/>
            </w:tcBorders>
            <w:shd w:val="clear" w:color="auto" w:fill="D8D8D8"/>
          </w:tcPr>
          <w:p>
            <w:pPr>
              <w:spacing w:after="0"/>
              <w:rPr>
                <w:sz w:val="17"/>
                <w:szCs w:val="17"/>
                <w:color w:val="auto"/>
              </w:rPr>
            </w:pPr>
          </w:p>
        </w:tc>
        <w:tc>
          <w:tcPr>
            <w:tcW w:w="306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and support the Company’s</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Borders>
              <w:right w:val="single" w:sz="8" w:color="auto"/>
            </w:tcBorders>
          </w:tcPr>
          <w:p>
            <w:pPr>
              <w:spacing w:after="0"/>
              <w:rPr>
                <w:sz w:val="17"/>
                <w:szCs w:val="17"/>
                <w:color w:val="auto"/>
              </w:rPr>
            </w:pPr>
          </w:p>
        </w:tc>
      </w:tr>
      <w:tr>
        <w:trPr>
          <w:trHeight w:val="217"/>
        </w:trPr>
        <w:tc>
          <w:tcPr>
            <w:tcW w:w="1340" w:type="dxa"/>
            <w:vAlign w:val="bottom"/>
            <w:tcBorders>
              <w:left w:val="single" w:sz="8" w:color="auto"/>
              <w:bottom w:val="single" w:sz="8" w:color="auto"/>
            </w:tcBorders>
            <w:shd w:val="clear" w:color="auto" w:fill="D8D8D8"/>
          </w:tcPr>
          <w:p>
            <w:pPr>
              <w:spacing w:after="0"/>
              <w:rPr>
                <w:sz w:val="18"/>
                <w:szCs w:val="18"/>
                <w:color w:val="auto"/>
              </w:rPr>
            </w:pPr>
          </w:p>
        </w:tc>
        <w:tc>
          <w:tcPr>
            <w:tcW w:w="320" w:type="dxa"/>
            <w:vAlign w:val="bottom"/>
            <w:tcBorders>
              <w:bottom w:val="single" w:sz="8" w:color="auto"/>
              <w:right w:val="single" w:sz="8" w:color="auto"/>
            </w:tcBorders>
            <w:shd w:val="clear" w:color="auto" w:fill="D8D8D8"/>
          </w:tcPr>
          <w:p>
            <w:pPr>
              <w:spacing w:after="0"/>
              <w:rPr>
                <w:sz w:val="18"/>
                <w:szCs w:val="18"/>
                <w:color w:val="auto"/>
              </w:rPr>
            </w:pPr>
          </w:p>
        </w:tc>
        <w:tc>
          <w:tcPr>
            <w:tcW w:w="80" w:type="dxa"/>
            <w:vAlign w:val="bottom"/>
            <w:tcBorders>
              <w:bottom w:val="single" w:sz="8" w:color="auto"/>
            </w:tcBorders>
            <w:shd w:val="clear" w:color="auto" w:fill="D8D8D8"/>
          </w:tcPr>
          <w:p>
            <w:pPr>
              <w:spacing w:after="0"/>
              <w:rPr>
                <w:sz w:val="18"/>
                <w:szCs w:val="18"/>
                <w:color w:val="auto"/>
              </w:rPr>
            </w:pPr>
          </w:p>
        </w:tc>
        <w:tc>
          <w:tcPr>
            <w:tcW w:w="1060" w:type="dxa"/>
            <w:vAlign w:val="bottom"/>
            <w:tcBorders>
              <w:bottom w:val="single" w:sz="8" w:color="auto"/>
              <w:right w:val="single" w:sz="8" w:color="auto"/>
            </w:tcBorders>
            <w:shd w:val="clear" w:color="auto" w:fill="D8D8D8"/>
          </w:tcPr>
          <w:p>
            <w:pPr>
              <w:spacing w:after="0"/>
              <w:rPr>
                <w:sz w:val="18"/>
                <w:szCs w:val="18"/>
                <w:color w:val="auto"/>
              </w:rPr>
            </w:pPr>
          </w:p>
        </w:tc>
        <w:tc>
          <w:tcPr>
            <w:tcW w:w="30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retention strategy</w:t>
            </w:r>
          </w:p>
        </w:tc>
        <w:tc>
          <w:tcPr>
            <w:tcW w:w="3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20" w:type="dxa"/>
            <w:vAlign w:val="bottom"/>
            <w:tcBorders>
              <w:bottom w:val="single" w:sz="8" w:color="auto"/>
              <w:right w:val="single" w:sz="8" w:color="auto"/>
            </w:tcBorders>
          </w:tcPr>
          <w:p>
            <w:pPr>
              <w:spacing w:after="0"/>
              <w:rPr>
                <w:sz w:val="18"/>
                <w:szCs w:val="18"/>
                <w:color w:val="auto"/>
              </w:rPr>
            </w:pPr>
          </w:p>
        </w:tc>
      </w:tr>
      <w:tr>
        <w:trPr>
          <w:trHeight w:val="191"/>
        </w:trPr>
        <w:tc>
          <w:tcPr>
            <w:tcW w:w="2800" w:type="dxa"/>
            <w:vAlign w:val="bottom"/>
            <w:tcBorders>
              <w:left w:val="single" w:sz="8" w:color="auto"/>
              <w:right w:val="single" w:sz="8" w:color="auto"/>
            </w:tcBorders>
            <w:gridSpan w:val="4"/>
            <w:shd w:val="clear" w:color="auto" w:fill="D8D8D8"/>
          </w:tcPr>
          <w:p>
            <w:pPr>
              <w:ind w:left="80"/>
              <w:spacing w:after="0" w:line="191" w:lineRule="exact"/>
              <w:rPr>
                <w:sz w:val="20"/>
                <w:szCs w:val="20"/>
                <w:color w:val="auto"/>
              </w:rPr>
            </w:pPr>
            <w:r>
              <w:rPr>
                <w:rFonts w:ascii="Arial" w:cs="Arial" w:eastAsia="Arial" w:hAnsi="Arial"/>
                <w:sz w:val="18"/>
                <w:szCs w:val="18"/>
                <w:i w:val="1"/>
                <w:iCs w:val="1"/>
                <w:color w:val="auto"/>
              </w:rPr>
              <w:t>Performance-Based Restricted</w:t>
            </w:r>
          </w:p>
        </w:tc>
        <w:tc>
          <w:tcPr>
            <w:tcW w:w="3060" w:type="dxa"/>
            <w:vAlign w:val="bottom"/>
            <w:tcBorders>
              <w:right w:val="single" w:sz="8" w:color="auto"/>
            </w:tcBorders>
          </w:tcPr>
          <w:p>
            <w:pPr>
              <w:ind w:left="100"/>
              <w:spacing w:after="0" w:line="191" w:lineRule="exact"/>
              <w:rPr>
                <w:sz w:val="20"/>
                <w:szCs w:val="20"/>
                <w:color w:val="auto"/>
              </w:rPr>
            </w:pPr>
            <w:r>
              <w:rPr>
                <w:rFonts w:ascii="Arial" w:cs="Arial" w:eastAsia="Arial" w:hAnsi="Arial"/>
                <w:sz w:val="18"/>
                <w:szCs w:val="18"/>
                <w:color w:val="auto"/>
              </w:rPr>
              <w:t>Rewards achievement of financial</w:t>
            </w:r>
          </w:p>
        </w:tc>
        <w:tc>
          <w:tcPr>
            <w:tcW w:w="300" w:type="dxa"/>
            <w:vAlign w:val="bottom"/>
          </w:tcPr>
          <w:p>
            <w:pPr>
              <w:ind w:left="100"/>
              <w:spacing w:after="0" w:line="191" w:lineRule="exact"/>
              <w:rPr>
                <w:sz w:val="20"/>
                <w:szCs w:val="20"/>
                <w:color w:val="auto"/>
              </w:rPr>
            </w:pPr>
            <w:r>
              <w:rPr>
                <w:rFonts w:ascii="Arial" w:cs="Arial" w:eastAsia="Arial" w:hAnsi="Arial"/>
                <w:sz w:val="18"/>
                <w:szCs w:val="18"/>
                <w:color w:val="auto"/>
              </w:rPr>
              <w:t>•</w:t>
            </w:r>
          </w:p>
        </w:tc>
        <w:tc>
          <w:tcPr>
            <w:tcW w:w="3400" w:type="dxa"/>
            <w:vAlign w:val="bottom"/>
            <w:tcBorders>
              <w:right w:val="single" w:sz="8" w:color="auto"/>
            </w:tcBorders>
            <w:gridSpan w:val="2"/>
          </w:tcPr>
          <w:p>
            <w:pPr>
              <w:ind w:left="160"/>
              <w:spacing w:after="0" w:line="191" w:lineRule="exact"/>
              <w:rPr>
                <w:sz w:val="20"/>
                <w:szCs w:val="20"/>
                <w:color w:val="auto"/>
              </w:rPr>
            </w:pPr>
            <w:r>
              <w:rPr>
                <w:rFonts w:ascii="Arial" w:cs="Arial" w:eastAsia="Arial" w:hAnsi="Arial"/>
                <w:sz w:val="18"/>
                <w:szCs w:val="18"/>
                <w:color w:val="auto"/>
              </w:rPr>
              <w:t>Payouts: 0% to 200% of a target based</w:t>
            </w:r>
          </w:p>
        </w:tc>
      </w:tr>
      <w:tr>
        <w:trPr>
          <w:trHeight w:val="220"/>
        </w:trPr>
        <w:tc>
          <w:tcPr>
            <w:tcW w:w="1740" w:type="dxa"/>
            <w:vAlign w:val="bottom"/>
            <w:tcBorders>
              <w:left w:val="single" w:sz="8" w:color="auto"/>
            </w:tcBorders>
            <w:gridSpan w:val="3"/>
            <w:shd w:val="clear" w:color="auto" w:fill="D8D8D8"/>
          </w:tcPr>
          <w:p>
            <w:pPr>
              <w:ind w:left="80"/>
              <w:spacing w:after="0"/>
              <w:rPr>
                <w:sz w:val="20"/>
                <w:szCs w:val="20"/>
                <w:color w:val="auto"/>
              </w:rPr>
            </w:pPr>
            <w:r>
              <w:rPr>
                <w:rFonts w:ascii="Arial" w:cs="Arial" w:eastAsia="Arial" w:hAnsi="Arial"/>
                <w:sz w:val="18"/>
                <w:szCs w:val="18"/>
                <w:i w:val="1"/>
                <w:iCs w:val="1"/>
                <w:color w:val="auto"/>
                <w:w w:val="98"/>
              </w:rPr>
              <w:t>Stock Units (PRSUs)</w:t>
            </w:r>
          </w:p>
        </w:tc>
        <w:tc>
          <w:tcPr>
            <w:tcW w:w="1060" w:type="dxa"/>
            <w:vAlign w:val="bottom"/>
            <w:tcBorders>
              <w:right w:val="single" w:sz="8" w:color="auto"/>
            </w:tcBorders>
            <w:shd w:val="clear" w:color="auto" w:fill="D8D8D8"/>
          </w:tcPr>
          <w:p>
            <w:pPr>
              <w:spacing w:after="0"/>
              <w:rPr>
                <w:sz w:val="19"/>
                <w:szCs w:val="19"/>
                <w:color w:val="auto"/>
              </w:rPr>
            </w:pPr>
          </w:p>
        </w:tc>
        <w:tc>
          <w:tcPr>
            <w:tcW w:w="3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goals measured over a three-year</w:t>
            </w:r>
          </w:p>
        </w:tc>
        <w:tc>
          <w:tcPr>
            <w:tcW w:w="300" w:type="dxa"/>
            <w:vAlign w:val="bottom"/>
          </w:tcPr>
          <w:p>
            <w:pPr>
              <w:spacing w:after="0"/>
              <w:rPr>
                <w:sz w:val="19"/>
                <w:szCs w:val="19"/>
                <w:color w:val="auto"/>
              </w:rPr>
            </w:pPr>
          </w:p>
        </w:tc>
        <w:tc>
          <w:tcPr>
            <w:tcW w:w="340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on results against pre-established</w:t>
            </w:r>
          </w:p>
        </w:tc>
      </w:tr>
      <w:tr>
        <w:trPr>
          <w:trHeight w:val="203"/>
        </w:trPr>
        <w:tc>
          <w:tcPr>
            <w:tcW w:w="1340" w:type="dxa"/>
            <w:vAlign w:val="bottom"/>
            <w:tcBorders>
              <w:left w:val="single" w:sz="8" w:color="auto"/>
            </w:tcBorders>
            <w:shd w:val="clear" w:color="auto" w:fill="D8D8D8"/>
          </w:tcPr>
          <w:p>
            <w:pPr>
              <w:spacing w:after="0"/>
              <w:rPr>
                <w:sz w:val="17"/>
                <w:szCs w:val="17"/>
                <w:color w:val="auto"/>
              </w:rPr>
            </w:pPr>
          </w:p>
        </w:tc>
        <w:tc>
          <w:tcPr>
            <w:tcW w:w="320" w:type="dxa"/>
            <w:vAlign w:val="bottom"/>
            <w:tcBorders>
              <w:right w:val="single" w:sz="8" w:color="D8D8D8"/>
            </w:tcBorders>
            <w:shd w:val="clear" w:color="auto" w:fill="D8D8D8"/>
          </w:tcPr>
          <w:p>
            <w:pPr>
              <w:spacing w:after="0"/>
              <w:rPr>
                <w:sz w:val="17"/>
                <w:szCs w:val="17"/>
                <w:color w:val="auto"/>
              </w:rPr>
            </w:pPr>
          </w:p>
        </w:tc>
        <w:tc>
          <w:tcPr>
            <w:tcW w:w="80" w:type="dxa"/>
            <w:vAlign w:val="bottom"/>
            <w:shd w:val="clear" w:color="auto" w:fill="D8D8D8"/>
          </w:tcPr>
          <w:p>
            <w:pPr>
              <w:spacing w:after="0"/>
              <w:rPr>
                <w:sz w:val="17"/>
                <w:szCs w:val="17"/>
                <w:color w:val="auto"/>
              </w:rPr>
            </w:pPr>
          </w:p>
        </w:tc>
        <w:tc>
          <w:tcPr>
            <w:tcW w:w="1060" w:type="dxa"/>
            <w:vAlign w:val="bottom"/>
            <w:tcBorders>
              <w:right w:val="single" w:sz="8" w:color="auto"/>
            </w:tcBorders>
            <w:shd w:val="clear" w:color="auto" w:fill="D8D8D8"/>
          </w:tcPr>
          <w:p>
            <w:pPr>
              <w:spacing w:after="0"/>
              <w:rPr>
                <w:sz w:val="17"/>
                <w:szCs w:val="17"/>
                <w:color w:val="auto"/>
              </w:rPr>
            </w:pPr>
          </w:p>
        </w:tc>
        <w:tc>
          <w:tcPr>
            <w:tcW w:w="306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performance period</w:t>
            </w:r>
          </w:p>
        </w:tc>
        <w:tc>
          <w:tcPr>
            <w:tcW w:w="300" w:type="dxa"/>
            <w:vAlign w:val="bottom"/>
          </w:tcPr>
          <w:p>
            <w:pPr>
              <w:spacing w:after="0"/>
              <w:rPr>
                <w:sz w:val="17"/>
                <w:szCs w:val="17"/>
                <w:color w:val="auto"/>
              </w:rPr>
            </w:pPr>
          </w:p>
        </w:tc>
        <w:tc>
          <w:tcPr>
            <w:tcW w:w="3400" w:type="dxa"/>
            <w:vAlign w:val="bottom"/>
            <w:tcBorders>
              <w:right w:val="single" w:sz="8" w:color="auto"/>
            </w:tcBorders>
            <w:gridSpan w:val="2"/>
          </w:tcPr>
          <w:p>
            <w:pPr>
              <w:ind w:left="160"/>
              <w:spacing w:after="0" w:line="202" w:lineRule="exact"/>
              <w:rPr>
                <w:sz w:val="20"/>
                <w:szCs w:val="20"/>
                <w:color w:val="auto"/>
              </w:rPr>
            </w:pPr>
            <w:r>
              <w:rPr>
                <w:rFonts w:ascii="Arial" w:cs="Arial" w:eastAsia="Arial" w:hAnsi="Arial"/>
                <w:sz w:val="18"/>
                <w:szCs w:val="18"/>
                <w:color w:val="auto"/>
              </w:rPr>
              <w:t>financial goals and relative TSR</w:t>
            </w:r>
          </w:p>
        </w:tc>
      </w:tr>
      <w:tr>
        <w:trPr>
          <w:trHeight w:val="217"/>
        </w:trPr>
        <w:tc>
          <w:tcPr>
            <w:tcW w:w="1340" w:type="dxa"/>
            <w:vAlign w:val="bottom"/>
            <w:tcBorders>
              <w:left w:val="single" w:sz="8" w:color="auto"/>
            </w:tcBorders>
            <w:shd w:val="clear" w:color="auto" w:fill="D8D8D8"/>
          </w:tcPr>
          <w:p>
            <w:pPr>
              <w:spacing w:after="0"/>
              <w:rPr>
                <w:sz w:val="18"/>
                <w:szCs w:val="18"/>
                <w:color w:val="auto"/>
              </w:rPr>
            </w:pPr>
          </w:p>
        </w:tc>
        <w:tc>
          <w:tcPr>
            <w:tcW w:w="320" w:type="dxa"/>
            <w:vAlign w:val="bottom"/>
            <w:tcBorders>
              <w:right w:val="single" w:sz="8" w:color="D8D8D8"/>
            </w:tcBorders>
            <w:shd w:val="clear" w:color="auto" w:fill="D8D8D8"/>
          </w:tcPr>
          <w:p>
            <w:pPr>
              <w:spacing w:after="0"/>
              <w:rPr>
                <w:sz w:val="18"/>
                <w:szCs w:val="18"/>
                <w:color w:val="auto"/>
              </w:rPr>
            </w:pPr>
          </w:p>
        </w:tc>
        <w:tc>
          <w:tcPr>
            <w:tcW w:w="80" w:type="dxa"/>
            <w:vAlign w:val="bottom"/>
            <w:shd w:val="clear" w:color="auto" w:fill="D8D8D8"/>
          </w:tcPr>
          <w:p>
            <w:pPr>
              <w:spacing w:after="0"/>
              <w:rPr>
                <w:sz w:val="18"/>
                <w:szCs w:val="18"/>
                <w:color w:val="auto"/>
              </w:rPr>
            </w:pPr>
          </w:p>
        </w:tc>
        <w:tc>
          <w:tcPr>
            <w:tcW w:w="1060" w:type="dxa"/>
            <w:vAlign w:val="bottom"/>
            <w:tcBorders>
              <w:right w:val="single" w:sz="8" w:color="auto"/>
            </w:tcBorders>
            <w:shd w:val="clear" w:color="auto" w:fill="D8D8D8"/>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performance</w:t>
            </w:r>
          </w:p>
        </w:tc>
      </w:tr>
      <w:tr>
        <w:trPr>
          <w:trHeight w:val="215"/>
        </w:trPr>
        <w:tc>
          <w:tcPr>
            <w:tcW w:w="1340" w:type="dxa"/>
            <w:vAlign w:val="bottom"/>
            <w:tcBorders>
              <w:left w:val="single" w:sz="8" w:color="auto"/>
            </w:tcBorders>
            <w:shd w:val="clear" w:color="auto" w:fill="D8D8D8"/>
          </w:tcPr>
          <w:p>
            <w:pPr>
              <w:spacing w:after="0"/>
              <w:rPr>
                <w:sz w:val="18"/>
                <w:szCs w:val="18"/>
                <w:color w:val="auto"/>
              </w:rPr>
            </w:pPr>
          </w:p>
        </w:tc>
        <w:tc>
          <w:tcPr>
            <w:tcW w:w="320" w:type="dxa"/>
            <w:vAlign w:val="bottom"/>
            <w:tcBorders>
              <w:right w:val="single" w:sz="8" w:color="D8D8D8"/>
            </w:tcBorders>
            <w:shd w:val="clear" w:color="auto" w:fill="D8D8D8"/>
          </w:tcPr>
          <w:p>
            <w:pPr>
              <w:spacing w:after="0"/>
              <w:rPr>
                <w:sz w:val="18"/>
                <w:szCs w:val="18"/>
                <w:color w:val="auto"/>
              </w:rPr>
            </w:pPr>
          </w:p>
        </w:tc>
        <w:tc>
          <w:tcPr>
            <w:tcW w:w="80" w:type="dxa"/>
            <w:vAlign w:val="bottom"/>
            <w:shd w:val="clear" w:color="auto" w:fill="D8D8D8"/>
          </w:tcPr>
          <w:p>
            <w:pPr>
              <w:spacing w:after="0"/>
              <w:rPr>
                <w:sz w:val="18"/>
                <w:szCs w:val="18"/>
                <w:color w:val="auto"/>
              </w:rPr>
            </w:pPr>
          </w:p>
        </w:tc>
        <w:tc>
          <w:tcPr>
            <w:tcW w:w="1060" w:type="dxa"/>
            <w:vAlign w:val="bottom"/>
            <w:tcBorders>
              <w:right w:val="single" w:sz="8" w:color="auto"/>
            </w:tcBorders>
            <w:shd w:val="clear" w:color="auto" w:fill="D8D8D8"/>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340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Financial metrics: Non-GAAP EPS and</w:t>
            </w:r>
          </w:p>
        </w:tc>
      </w:tr>
      <w:tr>
        <w:trPr>
          <w:trHeight w:val="217"/>
        </w:trPr>
        <w:tc>
          <w:tcPr>
            <w:tcW w:w="1340" w:type="dxa"/>
            <w:vAlign w:val="bottom"/>
            <w:tcBorders>
              <w:left w:val="single" w:sz="8" w:color="auto"/>
              <w:bottom w:val="single" w:sz="8" w:color="auto"/>
            </w:tcBorders>
            <w:shd w:val="clear" w:color="auto" w:fill="D8D8D8"/>
          </w:tcPr>
          <w:p>
            <w:pPr>
              <w:spacing w:after="0"/>
              <w:rPr>
                <w:sz w:val="18"/>
                <w:szCs w:val="18"/>
                <w:color w:val="auto"/>
              </w:rPr>
            </w:pPr>
          </w:p>
        </w:tc>
        <w:tc>
          <w:tcPr>
            <w:tcW w:w="320" w:type="dxa"/>
            <w:vAlign w:val="bottom"/>
            <w:tcBorders>
              <w:bottom w:val="single" w:sz="8" w:color="auto"/>
              <w:right w:val="single" w:sz="8" w:color="D8D8D8"/>
            </w:tcBorders>
            <w:shd w:val="clear" w:color="auto" w:fill="D8D8D8"/>
          </w:tcPr>
          <w:p>
            <w:pPr>
              <w:spacing w:after="0"/>
              <w:rPr>
                <w:sz w:val="18"/>
                <w:szCs w:val="18"/>
                <w:color w:val="auto"/>
              </w:rPr>
            </w:pPr>
          </w:p>
        </w:tc>
        <w:tc>
          <w:tcPr>
            <w:tcW w:w="80" w:type="dxa"/>
            <w:vAlign w:val="bottom"/>
            <w:tcBorders>
              <w:bottom w:val="single" w:sz="8" w:color="auto"/>
            </w:tcBorders>
            <w:shd w:val="clear" w:color="auto" w:fill="D8D8D8"/>
          </w:tcPr>
          <w:p>
            <w:pPr>
              <w:spacing w:after="0"/>
              <w:rPr>
                <w:sz w:val="18"/>
                <w:szCs w:val="18"/>
                <w:color w:val="auto"/>
              </w:rPr>
            </w:pPr>
          </w:p>
        </w:tc>
        <w:tc>
          <w:tcPr>
            <w:tcW w:w="1060" w:type="dxa"/>
            <w:vAlign w:val="bottom"/>
            <w:tcBorders>
              <w:bottom w:val="single" w:sz="8" w:color="auto"/>
              <w:right w:val="single" w:sz="8" w:color="auto"/>
            </w:tcBorders>
            <w:shd w:val="clear" w:color="auto" w:fill="D8D8D8"/>
          </w:tcPr>
          <w:p>
            <w:pPr>
              <w:spacing w:after="0"/>
              <w:rPr>
                <w:sz w:val="18"/>
                <w:szCs w:val="18"/>
                <w:color w:val="auto"/>
              </w:rPr>
            </w:pPr>
          </w:p>
        </w:tc>
        <w:tc>
          <w:tcPr>
            <w:tcW w:w="306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400" w:type="dxa"/>
            <w:vAlign w:val="bottom"/>
            <w:tcBorders>
              <w:bottom w:val="single" w:sz="8" w:color="auto"/>
              <w:right w:val="single" w:sz="8" w:color="auto"/>
            </w:tcBorders>
            <w:gridSpan w:val="2"/>
          </w:tcPr>
          <w:p>
            <w:pPr>
              <w:ind w:left="160"/>
              <w:spacing w:after="0"/>
              <w:rPr>
                <w:sz w:val="20"/>
                <w:szCs w:val="20"/>
                <w:color w:val="auto"/>
              </w:rPr>
            </w:pPr>
            <w:r>
              <w:rPr>
                <w:rFonts w:ascii="Arial" w:cs="Arial" w:eastAsia="Arial" w:hAnsi="Arial"/>
                <w:sz w:val="18"/>
                <w:szCs w:val="18"/>
                <w:color w:val="auto"/>
              </w:rPr>
              <w:t>relative TSR</w:t>
            </w:r>
          </w:p>
        </w:tc>
      </w:tr>
      <w:tr>
        <w:trPr>
          <w:trHeight w:val="209"/>
        </w:trPr>
        <w:tc>
          <w:tcPr>
            <w:tcW w:w="1740" w:type="dxa"/>
            <w:vAlign w:val="bottom"/>
            <w:tcBorders>
              <w:left w:val="single" w:sz="8" w:color="auto"/>
            </w:tcBorders>
            <w:gridSpan w:val="3"/>
            <w:shd w:val="clear" w:color="auto" w:fill="D8D8D8"/>
          </w:tcPr>
          <w:p>
            <w:pPr>
              <w:ind w:left="80"/>
              <w:spacing w:after="0"/>
              <w:rPr>
                <w:sz w:val="20"/>
                <w:szCs w:val="20"/>
                <w:color w:val="auto"/>
              </w:rPr>
            </w:pPr>
            <w:r>
              <w:rPr>
                <w:rFonts w:ascii="Arial" w:cs="Arial" w:eastAsia="Arial" w:hAnsi="Arial"/>
                <w:sz w:val="18"/>
                <w:szCs w:val="18"/>
                <w:i w:val="1"/>
                <w:iCs w:val="1"/>
                <w:color w:val="auto"/>
              </w:rPr>
              <w:t>Stock Options***</w:t>
            </w:r>
          </w:p>
        </w:tc>
        <w:tc>
          <w:tcPr>
            <w:tcW w:w="1060" w:type="dxa"/>
            <w:vAlign w:val="bottom"/>
            <w:tcBorders>
              <w:right w:val="single" w:sz="8" w:color="auto"/>
            </w:tcBorders>
            <w:shd w:val="clear" w:color="auto" w:fill="D8D8D8"/>
          </w:tcPr>
          <w:p>
            <w:pPr>
              <w:spacing w:after="0"/>
              <w:rPr>
                <w:sz w:val="18"/>
                <w:szCs w:val="18"/>
                <w:color w:val="auto"/>
              </w:rPr>
            </w:pPr>
          </w:p>
        </w:tc>
        <w:tc>
          <w:tcPr>
            <w:tcW w:w="3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Rewards for stock price</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340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Exercise price: 100% of fair market</w:t>
            </w:r>
          </w:p>
        </w:tc>
      </w:tr>
      <w:tr>
        <w:trPr>
          <w:trHeight w:val="217"/>
        </w:trPr>
        <w:tc>
          <w:tcPr>
            <w:tcW w:w="1340" w:type="dxa"/>
            <w:vAlign w:val="bottom"/>
            <w:tcBorders>
              <w:left w:val="single" w:sz="8" w:color="auto"/>
            </w:tcBorders>
            <w:shd w:val="clear" w:color="auto" w:fill="D8D8D8"/>
          </w:tcPr>
          <w:p>
            <w:pPr>
              <w:spacing w:after="0"/>
              <w:rPr>
                <w:sz w:val="18"/>
                <w:szCs w:val="18"/>
                <w:color w:val="auto"/>
              </w:rPr>
            </w:pPr>
          </w:p>
        </w:tc>
        <w:tc>
          <w:tcPr>
            <w:tcW w:w="320" w:type="dxa"/>
            <w:vAlign w:val="bottom"/>
            <w:tcBorders>
              <w:right w:val="single" w:sz="8" w:color="D8D8D8"/>
            </w:tcBorders>
            <w:shd w:val="clear" w:color="auto" w:fill="D8D8D8"/>
          </w:tcPr>
          <w:p>
            <w:pPr>
              <w:spacing w:after="0"/>
              <w:rPr>
                <w:sz w:val="18"/>
                <w:szCs w:val="18"/>
                <w:color w:val="auto"/>
              </w:rPr>
            </w:pPr>
          </w:p>
        </w:tc>
        <w:tc>
          <w:tcPr>
            <w:tcW w:w="80" w:type="dxa"/>
            <w:vAlign w:val="bottom"/>
            <w:shd w:val="clear" w:color="auto" w:fill="D8D8D8"/>
          </w:tcPr>
          <w:p>
            <w:pPr>
              <w:spacing w:after="0"/>
              <w:rPr>
                <w:sz w:val="18"/>
                <w:szCs w:val="18"/>
                <w:color w:val="auto"/>
              </w:rPr>
            </w:pPr>
          </w:p>
        </w:tc>
        <w:tc>
          <w:tcPr>
            <w:tcW w:w="1060" w:type="dxa"/>
            <w:vAlign w:val="bottom"/>
            <w:tcBorders>
              <w:right w:val="single" w:sz="8" w:color="auto"/>
            </w:tcBorders>
            <w:shd w:val="clear" w:color="auto" w:fill="D8D8D8"/>
          </w:tcPr>
          <w:p>
            <w:pPr>
              <w:spacing w:after="0"/>
              <w:rPr>
                <w:sz w:val="18"/>
                <w:szCs w:val="18"/>
                <w:color w:val="auto"/>
              </w:rPr>
            </w:pPr>
          </w:p>
        </w:tc>
        <w:tc>
          <w:tcPr>
            <w:tcW w:w="3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appreciation</w:t>
            </w:r>
          </w:p>
        </w:tc>
        <w:tc>
          <w:tcPr>
            <w:tcW w:w="300" w:type="dxa"/>
            <w:vAlign w:val="bottom"/>
          </w:tcPr>
          <w:p>
            <w:pPr>
              <w:spacing w:after="0"/>
              <w:rPr>
                <w:sz w:val="18"/>
                <w:szCs w:val="18"/>
                <w:color w:val="auto"/>
              </w:rPr>
            </w:pPr>
          </w:p>
        </w:tc>
        <w:tc>
          <w:tcPr>
            <w:tcW w:w="340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value on the grant date</w:t>
            </w:r>
          </w:p>
        </w:tc>
      </w:tr>
      <w:tr>
        <w:trPr>
          <w:trHeight w:val="215"/>
        </w:trPr>
        <w:tc>
          <w:tcPr>
            <w:tcW w:w="1340" w:type="dxa"/>
            <w:vAlign w:val="bottom"/>
            <w:tcBorders>
              <w:left w:val="single" w:sz="8" w:color="auto"/>
            </w:tcBorders>
            <w:shd w:val="clear" w:color="auto" w:fill="D8D8D8"/>
          </w:tcPr>
          <w:p>
            <w:pPr>
              <w:spacing w:after="0"/>
              <w:rPr>
                <w:sz w:val="18"/>
                <w:szCs w:val="18"/>
                <w:color w:val="auto"/>
              </w:rPr>
            </w:pPr>
          </w:p>
        </w:tc>
        <w:tc>
          <w:tcPr>
            <w:tcW w:w="320" w:type="dxa"/>
            <w:vAlign w:val="bottom"/>
            <w:tcBorders>
              <w:right w:val="single" w:sz="8" w:color="D8D8D8"/>
            </w:tcBorders>
            <w:shd w:val="clear" w:color="auto" w:fill="D8D8D8"/>
          </w:tcPr>
          <w:p>
            <w:pPr>
              <w:spacing w:after="0"/>
              <w:rPr>
                <w:sz w:val="18"/>
                <w:szCs w:val="18"/>
                <w:color w:val="auto"/>
              </w:rPr>
            </w:pPr>
          </w:p>
        </w:tc>
        <w:tc>
          <w:tcPr>
            <w:tcW w:w="80" w:type="dxa"/>
            <w:vAlign w:val="bottom"/>
            <w:shd w:val="clear" w:color="auto" w:fill="D8D8D8"/>
          </w:tcPr>
          <w:p>
            <w:pPr>
              <w:spacing w:after="0"/>
              <w:rPr>
                <w:sz w:val="18"/>
                <w:szCs w:val="18"/>
                <w:color w:val="auto"/>
              </w:rPr>
            </w:pPr>
          </w:p>
        </w:tc>
        <w:tc>
          <w:tcPr>
            <w:tcW w:w="1060" w:type="dxa"/>
            <w:vAlign w:val="bottom"/>
            <w:tcBorders>
              <w:right w:val="single" w:sz="8" w:color="auto"/>
            </w:tcBorders>
            <w:shd w:val="clear" w:color="auto" w:fill="D8D8D8"/>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340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Vesting: 1/3 per year on the</w:t>
            </w:r>
          </w:p>
        </w:tc>
      </w:tr>
      <w:tr>
        <w:trPr>
          <w:trHeight w:val="217"/>
        </w:trPr>
        <w:tc>
          <w:tcPr>
            <w:tcW w:w="1340" w:type="dxa"/>
            <w:vAlign w:val="bottom"/>
            <w:tcBorders>
              <w:left w:val="single" w:sz="8" w:color="auto"/>
            </w:tcBorders>
            <w:shd w:val="clear" w:color="auto" w:fill="D8D8D8"/>
          </w:tcPr>
          <w:p>
            <w:pPr>
              <w:spacing w:after="0"/>
              <w:rPr>
                <w:sz w:val="18"/>
                <w:szCs w:val="18"/>
                <w:color w:val="auto"/>
              </w:rPr>
            </w:pPr>
          </w:p>
        </w:tc>
        <w:tc>
          <w:tcPr>
            <w:tcW w:w="320" w:type="dxa"/>
            <w:vAlign w:val="bottom"/>
            <w:tcBorders>
              <w:right w:val="single" w:sz="8" w:color="D8D8D8"/>
            </w:tcBorders>
            <w:shd w:val="clear" w:color="auto" w:fill="D8D8D8"/>
          </w:tcPr>
          <w:p>
            <w:pPr>
              <w:spacing w:after="0"/>
              <w:rPr>
                <w:sz w:val="18"/>
                <w:szCs w:val="18"/>
                <w:color w:val="auto"/>
              </w:rPr>
            </w:pPr>
          </w:p>
        </w:tc>
        <w:tc>
          <w:tcPr>
            <w:tcW w:w="80" w:type="dxa"/>
            <w:vAlign w:val="bottom"/>
            <w:shd w:val="clear" w:color="auto" w:fill="D8D8D8"/>
          </w:tcPr>
          <w:p>
            <w:pPr>
              <w:spacing w:after="0"/>
              <w:rPr>
                <w:sz w:val="18"/>
                <w:szCs w:val="18"/>
                <w:color w:val="auto"/>
              </w:rPr>
            </w:pPr>
          </w:p>
        </w:tc>
        <w:tc>
          <w:tcPr>
            <w:tcW w:w="1060" w:type="dxa"/>
            <w:vAlign w:val="bottom"/>
            <w:tcBorders>
              <w:right w:val="single" w:sz="8" w:color="auto"/>
            </w:tcBorders>
            <w:shd w:val="clear" w:color="auto" w:fill="D8D8D8"/>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anniversary of the grant date</w:t>
            </w:r>
          </w:p>
        </w:tc>
      </w:tr>
      <w:tr>
        <w:trPr>
          <w:trHeight w:val="230"/>
        </w:trPr>
        <w:tc>
          <w:tcPr>
            <w:tcW w:w="1340" w:type="dxa"/>
            <w:vAlign w:val="bottom"/>
            <w:tcBorders>
              <w:left w:val="single" w:sz="8" w:color="auto"/>
              <w:bottom w:val="single" w:sz="8" w:color="auto"/>
            </w:tcBorders>
            <w:shd w:val="clear" w:color="auto" w:fill="D8D8D8"/>
          </w:tcPr>
          <w:p>
            <w:pPr>
              <w:spacing w:after="0"/>
              <w:rPr>
                <w:sz w:val="19"/>
                <w:szCs w:val="19"/>
                <w:color w:val="auto"/>
              </w:rPr>
            </w:pPr>
          </w:p>
        </w:tc>
        <w:tc>
          <w:tcPr>
            <w:tcW w:w="320" w:type="dxa"/>
            <w:vAlign w:val="bottom"/>
            <w:tcBorders>
              <w:bottom w:val="single" w:sz="8" w:color="auto"/>
              <w:right w:val="single" w:sz="8" w:color="D8D8D8"/>
            </w:tcBorders>
            <w:shd w:val="clear" w:color="auto" w:fill="D8D8D8"/>
          </w:tcPr>
          <w:p>
            <w:pPr>
              <w:spacing w:after="0"/>
              <w:rPr>
                <w:sz w:val="19"/>
                <w:szCs w:val="19"/>
                <w:color w:val="auto"/>
              </w:rPr>
            </w:pPr>
          </w:p>
        </w:tc>
        <w:tc>
          <w:tcPr>
            <w:tcW w:w="80" w:type="dxa"/>
            <w:vAlign w:val="bottom"/>
            <w:tcBorders>
              <w:bottom w:val="single" w:sz="8" w:color="auto"/>
            </w:tcBorders>
            <w:shd w:val="clear" w:color="auto" w:fill="D8D8D8"/>
          </w:tcPr>
          <w:p>
            <w:pPr>
              <w:spacing w:after="0"/>
              <w:rPr>
                <w:sz w:val="19"/>
                <w:szCs w:val="19"/>
                <w:color w:val="auto"/>
              </w:rPr>
            </w:pPr>
          </w:p>
        </w:tc>
        <w:tc>
          <w:tcPr>
            <w:tcW w:w="1060" w:type="dxa"/>
            <w:vAlign w:val="bottom"/>
            <w:tcBorders>
              <w:bottom w:val="single" w:sz="8" w:color="auto"/>
              <w:right w:val="single" w:sz="8" w:color="auto"/>
            </w:tcBorders>
            <w:shd w:val="clear" w:color="auto" w:fill="D8D8D8"/>
          </w:tcPr>
          <w:p>
            <w:pPr>
              <w:spacing w:after="0"/>
              <w:rPr>
                <w:sz w:val="19"/>
                <w:szCs w:val="19"/>
                <w:color w:val="auto"/>
              </w:rPr>
            </w:pPr>
          </w:p>
        </w:tc>
        <w:tc>
          <w:tcPr>
            <w:tcW w:w="306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400" w:type="dxa"/>
            <w:vAlign w:val="bottom"/>
            <w:tcBorders>
              <w:bottom w:val="single" w:sz="8" w:color="auto"/>
              <w:right w:val="single" w:sz="8" w:color="auto"/>
            </w:tcBorders>
            <w:gridSpan w:val="2"/>
          </w:tcPr>
          <w:p>
            <w:pPr>
              <w:ind w:left="160"/>
              <w:spacing w:after="0"/>
              <w:rPr>
                <w:sz w:val="20"/>
                <w:szCs w:val="20"/>
                <w:color w:val="auto"/>
              </w:rPr>
            </w:pPr>
            <w:r>
              <w:rPr>
                <w:rFonts w:ascii="Arial" w:cs="Arial" w:eastAsia="Arial" w:hAnsi="Arial"/>
                <w:sz w:val="18"/>
                <w:szCs w:val="18"/>
                <w:color w:val="auto"/>
              </w:rPr>
              <w:t>Exercise term: 10 years</w:t>
            </w:r>
          </w:p>
        </w:tc>
      </w:tr>
      <w:tr>
        <w:trPr>
          <w:trHeight w:val="191"/>
        </w:trPr>
        <w:tc>
          <w:tcPr>
            <w:tcW w:w="2800" w:type="dxa"/>
            <w:vAlign w:val="bottom"/>
            <w:tcBorders>
              <w:left w:val="single" w:sz="8" w:color="auto"/>
              <w:right w:val="single" w:sz="8" w:color="auto"/>
            </w:tcBorders>
            <w:gridSpan w:val="4"/>
            <w:shd w:val="clear" w:color="auto" w:fill="D8D8D8"/>
          </w:tcPr>
          <w:p>
            <w:pPr>
              <w:ind w:left="80"/>
              <w:spacing w:after="0" w:line="191" w:lineRule="exact"/>
              <w:rPr>
                <w:sz w:val="20"/>
                <w:szCs w:val="20"/>
                <w:color w:val="auto"/>
              </w:rPr>
            </w:pPr>
            <w:r>
              <w:rPr>
                <w:rFonts w:ascii="Arial" w:cs="Arial" w:eastAsia="Arial" w:hAnsi="Arial"/>
                <w:sz w:val="18"/>
                <w:szCs w:val="18"/>
                <w:i w:val="1"/>
                <w:iCs w:val="1"/>
                <w:color w:val="auto"/>
              </w:rPr>
              <w:t>Time-Vested Restricted Stock</w:t>
            </w:r>
          </w:p>
        </w:tc>
        <w:tc>
          <w:tcPr>
            <w:tcW w:w="3060" w:type="dxa"/>
            <w:vAlign w:val="bottom"/>
            <w:tcBorders>
              <w:right w:val="single" w:sz="8" w:color="auto"/>
            </w:tcBorders>
          </w:tcPr>
          <w:p>
            <w:pPr>
              <w:ind w:left="100"/>
              <w:spacing w:after="0" w:line="191" w:lineRule="exact"/>
              <w:rPr>
                <w:sz w:val="20"/>
                <w:szCs w:val="20"/>
                <w:color w:val="auto"/>
              </w:rPr>
            </w:pPr>
            <w:r>
              <w:rPr>
                <w:rFonts w:ascii="Arial" w:cs="Arial" w:eastAsia="Arial" w:hAnsi="Arial"/>
                <w:sz w:val="18"/>
                <w:szCs w:val="18"/>
                <w:color w:val="auto"/>
              </w:rPr>
              <w:t>Supports retention</w:t>
            </w:r>
          </w:p>
        </w:tc>
        <w:tc>
          <w:tcPr>
            <w:tcW w:w="300" w:type="dxa"/>
            <w:vAlign w:val="bottom"/>
          </w:tcPr>
          <w:p>
            <w:pPr>
              <w:ind w:left="100"/>
              <w:spacing w:after="0" w:line="191" w:lineRule="exact"/>
              <w:rPr>
                <w:sz w:val="20"/>
                <w:szCs w:val="20"/>
                <w:color w:val="auto"/>
              </w:rPr>
            </w:pPr>
            <w:r>
              <w:rPr>
                <w:rFonts w:ascii="Arial" w:cs="Arial" w:eastAsia="Arial" w:hAnsi="Arial"/>
                <w:sz w:val="18"/>
                <w:szCs w:val="18"/>
                <w:color w:val="auto"/>
              </w:rPr>
              <w:t>•</w:t>
            </w:r>
          </w:p>
        </w:tc>
        <w:tc>
          <w:tcPr>
            <w:tcW w:w="3400" w:type="dxa"/>
            <w:vAlign w:val="bottom"/>
            <w:tcBorders>
              <w:right w:val="single" w:sz="8" w:color="auto"/>
            </w:tcBorders>
            <w:gridSpan w:val="2"/>
          </w:tcPr>
          <w:p>
            <w:pPr>
              <w:ind w:left="160"/>
              <w:spacing w:after="0" w:line="191" w:lineRule="exact"/>
              <w:rPr>
                <w:sz w:val="20"/>
                <w:szCs w:val="20"/>
                <w:color w:val="auto"/>
              </w:rPr>
            </w:pPr>
            <w:r>
              <w:rPr>
                <w:rFonts w:ascii="Arial" w:cs="Arial" w:eastAsia="Arial" w:hAnsi="Arial"/>
                <w:sz w:val="18"/>
                <w:szCs w:val="18"/>
                <w:color w:val="auto"/>
              </w:rPr>
              <w:t>Vesting: 1/3 per year on the</w:t>
            </w:r>
          </w:p>
        </w:tc>
      </w:tr>
      <w:tr>
        <w:trPr>
          <w:trHeight w:val="235"/>
        </w:trPr>
        <w:tc>
          <w:tcPr>
            <w:tcW w:w="1740" w:type="dxa"/>
            <w:vAlign w:val="bottom"/>
            <w:tcBorders>
              <w:left w:val="single" w:sz="8" w:color="auto"/>
            </w:tcBorders>
            <w:gridSpan w:val="3"/>
            <w:shd w:val="clear" w:color="auto" w:fill="D8D8D8"/>
          </w:tcPr>
          <w:p>
            <w:pPr>
              <w:ind w:left="80"/>
              <w:spacing w:after="0"/>
              <w:rPr>
                <w:sz w:val="20"/>
                <w:szCs w:val="20"/>
                <w:color w:val="auto"/>
              </w:rPr>
            </w:pPr>
            <w:r>
              <w:rPr>
                <w:rFonts w:ascii="Arial" w:cs="Arial" w:eastAsia="Arial" w:hAnsi="Arial"/>
                <w:sz w:val="18"/>
                <w:szCs w:val="18"/>
                <w:i w:val="1"/>
                <w:iCs w:val="1"/>
                <w:color w:val="auto"/>
              </w:rPr>
              <w:t>Units (RSUs)</w:t>
            </w:r>
          </w:p>
        </w:tc>
        <w:tc>
          <w:tcPr>
            <w:tcW w:w="1060" w:type="dxa"/>
            <w:vAlign w:val="bottom"/>
            <w:tcBorders>
              <w:right w:val="single" w:sz="8" w:color="auto"/>
            </w:tcBorders>
            <w:shd w:val="clear" w:color="auto" w:fill="D8D8D8"/>
          </w:tcPr>
          <w:p>
            <w:pPr>
              <w:spacing w:after="0"/>
              <w:rPr>
                <w:sz w:val="20"/>
                <w:szCs w:val="20"/>
                <w:color w:val="auto"/>
              </w:rPr>
            </w:pPr>
          </w:p>
        </w:tc>
        <w:tc>
          <w:tcPr>
            <w:tcW w:w="306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40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anniversary of the grant date</w:t>
            </w:r>
          </w:p>
        </w:tc>
      </w:tr>
      <w:tr>
        <w:trPr>
          <w:trHeight w:val="230"/>
        </w:trPr>
        <w:tc>
          <w:tcPr>
            <w:tcW w:w="1340" w:type="dxa"/>
            <w:vAlign w:val="bottom"/>
            <w:tcBorders>
              <w:left w:val="single" w:sz="8" w:color="auto"/>
              <w:bottom w:val="single" w:sz="8" w:color="auto"/>
            </w:tcBorders>
            <w:shd w:val="clear" w:color="auto" w:fill="D8D8D8"/>
          </w:tcPr>
          <w:p>
            <w:pPr>
              <w:spacing w:after="0"/>
              <w:rPr>
                <w:sz w:val="19"/>
                <w:szCs w:val="19"/>
                <w:color w:val="auto"/>
              </w:rPr>
            </w:pPr>
          </w:p>
        </w:tc>
        <w:tc>
          <w:tcPr>
            <w:tcW w:w="320" w:type="dxa"/>
            <w:vAlign w:val="bottom"/>
            <w:tcBorders>
              <w:bottom w:val="single" w:sz="8" w:color="auto"/>
              <w:right w:val="single" w:sz="8" w:color="D8D8D8"/>
            </w:tcBorders>
            <w:shd w:val="clear" w:color="auto" w:fill="D8D8D8"/>
          </w:tcPr>
          <w:p>
            <w:pPr>
              <w:spacing w:after="0"/>
              <w:rPr>
                <w:sz w:val="19"/>
                <w:szCs w:val="19"/>
                <w:color w:val="auto"/>
              </w:rPr>
            </w:pPr>
          </w:p>
        </w:tc>
        <w:tc>
          <w:tcPr>
            <w:tcW w:w="80" w:type="dxa"/>
            <w:vAlign w:val="bottom"/>
            <w:tcBorders>
              <w:bottom w:val="single" w:sz="8" w:color="auto"/>
            </w:tcBorders>
            <w:shd w:val="clear" w:color="auto" w:fill="D8D8D8"/>
          </w:tcPr>
          <w:p>
            <w:pPr>
              <w:spacing w:after="0"/>
              <w:rPr>
                <w:sz w:val="19"/>
                <w:szCs w:val="19"/>
                <w:color w:val="auto"/>
              </w:rPr>
            </w:pPr>
          </w:p>
        </w:tc>
        <w:tc>
          <w:tcPr>
            <w:tcW w:w="1060" w:type="dxa"/>
            <w:vAlign w:val="bottom"/>
            <w:tcBorders>
              <w:bottom w:val="single" w:sz="8" w:color="auto"/>
              <w:right w:val="single" w:sz="8" w:color="auto"/>
            </w:tcBorders>
            <w:shd w:val="clear" w:color="auto" w:fill="D8D8D8"/>
          </w:tcPr>
          <w:p>
            <w:pPr>
              <w:spacing w:after="0"/>
              <w:rPr>
                <w:sz w:val="19"/>
                <w:szCs w:val="19"/>
                <w:color w:val="auto"/>
              </w:rPr>
            </w:pPr>
          </w:p>
        </w:tc>
        <w:tc>
          <w:tcPr>
            <w:tcW w:w="306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400" w:type="dxa"/>
            <w:vAlign w:val="bottom"/>
            <w:tcBorders>
              <w:bottom w:val="single" w:sz="8" w:color="auto"/>
              <w:right w:val="single" w:sz="8" w:color="auto"/>
            </w:tcBorders>
            <w:gridSpan w:val="2"/>
          </w:tcPr>
          <w:p>
            <w:pPr>
              <w:ind w:left="160"/>
              <w:spacing w:after="0"/>
              <w:rPr>
                <w:sz w:val="20"/>
                <w:szCs w:val="20"/>
                <w:color w:val="auto"/>
              </w:rPr>
            </w:pPr>
            <w:r>
              <w:rPr>
                <w:rFonts w:ascii="Arial" w:cs="Arial" w:eastAsia="Arial" w:hAnsi="Arial"/>
                <w:sz w:val="18"/>
                <w:szCs w:val="18"/>
                <w:color w:val="auto"/>
              </w:rPr>
              <w:t>Paid in Itron shares at vesting</w:t>
            </w:r>
          </w:p>
        </w:tc>
      </w:tr>
      <w:tr>
        <w:trPr>
          <w:trHeight w:val="183"/>
        </w:trPr>
        <w:tc>
          <w:tcPr>
            <w:tcW w:w="13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20" w:type="dxa"/>
            <w:vAlign w:val="bottom"/>
          </w:tcPr>
          <w:p>
            <w:pPr>
              <w:spacing w:after="0"/>
              <w:rPr>
                <w:sz w:val="15"/>
                <w:szCs w:val="15"/>
                <w:color w:val="auto"/>
              </w:rPr>
            </w:pPr>
          </w:p>
        </w:tc>
      </w:tr>
    </w:tbl>
    <w:p>
      <w:pPr>
        <w:spacing w:after="0" w:line="113" w:lineRule="exact"/>
        <w:rPr>
          <w:sz w:val="20"/>
          <w:szCs w:val="20"/>
          <w:color w:val="auto"/>
        </w:rPr>
      </w:pPr>
    </w:p>
    <w:p>
      <w:pPr>
        <w:ind w:right="3300" w:firstLine="5"/>
        <w:spacing w:after="0" w:line="402" w:lineRule="auto"/>
        <w:tabs>
          <w:tab w:leader="none" w:pos="351" w:val="left"/>
        </w:tabs>
        <w:numPr>
          <w:ilvl w:val="0"/>
          <w:numId w:val="43"/>
        </w:numPr>
        <w:rPr>
          <w:rFonts w:ascii="Arial" w:cs="Arial" w:eastAsia="Arial" w:hAnsi="Arial"/>
          <w:sz w:val="14"/>
          <w:szCs w:val="14"/>
          <w:color w:val="auto"/>
        </w:rPr>
      </w:pPr>
      <w:r>
        <w:rPr>
          <w:rFonts w:ascii="Arial" w:cs="Arial" w:eastAsia="Arial" w:hAnsi="Arial"/>
          <w:sz w:val="14"/>
          <w:szCs w:val="14"/>
          <w:color w:val="auto"/>
        </w:rPr>
        <w:t>Plan design allows for 200%; for fiscal 2019, the maximum payout was set at 150% of target. ** Mr. Mezey, due to his pending retirement, did not receive an annual LTIP grant in 2019.</w:t>
      </w:r>
    </w:p>
    <w:p>
      <w:pPr>
        <w:spacing w:after="0" w:line="1" w:lineRule="exact"/>
        <w:rPr>
          <w:sz w:val="20"/>
          <w:szCs w:val="20"/>
          <w:color w:val="auto"/>
        </w:rPr>
      </w:pPr>
    </w:p>
    <w:p>
      <w:pPr>
        <w:ind w:left="360" w:right="380" w:hanging="355"/>
        <w:spacing w:after="0" w:line="258" w:lineRule="auto"/>
        <w:tabs>
          <w:tab w:leader="none" w:pos="3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As described on page </w:t>
      </w:r>
      <w:hyperlink w:anchor="page25">
        <w:r>
          <w:rPr>
            <w:rFonts w:ascii="Arial" w:cs="Arial" w:eastAsia="Arial" w:hAnsi="Arial"/>
            <w:sz w:val="14"/>
            <w:szCs w:val="14"/>
            <w:u w:val="single" w:color="auto"/>
            <w:color w:val="0000EE"/>
          </w:rPr>
          <w:t>21</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this CD&amp;A, none of the NEOs received stock option grants for 2019, except for Mr. Deitrich who received stock options upon his promotion to President and CEO.</w:t>
      </w:r>
    </w:p>
    <w:p>
      <w:pPr>
        <w:spacing w:after="0" w:line="202"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Mix</w:t>
      </w:r>
    </w:p>
    <w:p>
      <w:pPr>
        <w:spacing w:after="0" w:line="193"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The charts below show the target annual TDC of our CEO, Mr. Deitrich, and our other NEOs for fiscal 2019. These charts illustrate that a majority of NEO TDC is variable (75% for our CEO and an average of 66% for our other NEOs).These charts do not include any one-time equity grants or awards outside of target annual TDC.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111760</wp:posOffset>
            </wp:positionV>
            <wp:extent cx="4928870" cy="18942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92887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Decision-Making Process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Role of the Compensation Committee</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The Compensation Committee oversees the executive compensation program for our NEOs. The Committee is comprised of independent, non-employee members of the Board. The Committee works very closely with its independent consultant and management to examine the effectiveness of the Company’s executive compensation program throughout the year. Details of the Committee’s authority and responsibilities are specified in the Compensation Committee’s charter, which may be accessed at our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“Investors,” and then “Corporate Governance.”</w:t>
      </w:r>
    </w:p>
    <w:p>
      <w:pPr>
        <w:spacing w:after="0" w:line="16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Committee makes all final compensation and equity award decisions regarding our NEOs, except for the CEO, whose compensation is determined by the independent members of the full Board, based upon recommendations of the Committee.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Role of Management</w:t>
      </w:r>
    </w:p>
    <w:p>
      <w:pPr>
        <w:spacing w:after="0" w:line="207"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Members of our management team attend regular meetings where executive compensation, Company and individual performance, and competitive compensation levels and practices are discussed and evaluated. Only the Committee members can vote on decisions regarding NEO compensation.</w:t>
      </w:r>
    </w:p>
    <w:p>
      <w:pPr>
        <w:spacing w:after="0" w:line="161"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The CEO reviews his recommendations pertaining to the compensation of other non-NEO executive officers with the Committee providing management input, transparency, and oversight. Approvals of non-NEO executive officer compensation are made by the Committee. The CEO does not participate in the deliberations of the Committee regarding his own compensation. Independent members of the Board make all final determinations regarding CEO compensation.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Role of the Independent Consultant</w:t>
      </w:r>
    </w:p>
    <w:p>
      <w:pPr>
        <w:spacing w:after="0" w:line="20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Committee engages an independent compensation consultant to provide expertise on competitive pay practices, program design, and an objective assessment of any inherent risks of any programs. Pursuant to authority granted to it under its charter, the Committee has hired F.W. Cook as its independent consultant. F.W. Cook reports directly to the Committee and does not provide any additional services to management. The Committee has conducted an independence assessment of F.W. Cook in accordance with SEC rules.</w:t>
      </w:r>
    </w:p>
    <w:p>
      <w:pPr>
        <w:spacing w:after="0" w:line="219"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Role of Peer Companies</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For some of our direct competitors who are not publicly held, or are smaller business units within a conglomerate, there is limited compensation information available. As a result, our peer companies for purposes of benchmarking executive compensation (Peer Companies) generally consist of direct competitors for which public information is available, who are part of the same broad Standard &amp; Poor’s (S&amp;P) industry classifications of technology hardware and equipment or in software and services, and who are similar in size and scope of global operations as Itron. The Committee reviews the Peer Companies on an annual basis.</w:t>
      </w:r>
    </w:p>
    <w:p>
      <w:pPr>
        <w:spacing w:after="0" w:line="18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As disclosed in last year’s proxy statement, the Committee approved significant changes to the Peer Companies for setting compensation during 2018. Given the extensive review during that time, and with the support of F.W. Cook, the Committee determined that no changes to the Peer Companies were necessary for the purposes of setting 2019 compensation. The 2019 Peer Companies are listed below:</w:t>
      </w:r>
    </w:p>
    <w:p>
      <w:pPr>
        <w:sectPr>
          <w:pgSz w:w="11900" w:h="16838" w:orient="portrait"/>
          <w:cols w:equalWidth="0" w:num="1">
            <w:col w:w="9540"/>
          </w:cols>
          <w:pgMar w:left="1160" w:top="279" w:right="1199" w:bottom="1440" w:gutter="0" w:footer="0" w:header="0"/>
        </w:sectPr>
      </w:pPr>
    </w:p>
    <w:p>
      <w:pPr>
        <w:spacing w:after="0" w:line="33"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Peer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11430</wp:posOffset>
            </wp:positionV>
            <wp:extent cx="28632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70" w:lineRule="exact"/>
        <w:rPr>
          <w:sz w:val="20"/>
          <w:szCs w:val="20"/>
          <w:color w:val="auto"/>
        </w:rPr>
      </w:pPr>
    </w:p>
    <w:p>
      <w:pPr>
        <w:ind w:left="80"/>
        <w:spacing w:after="0"/>
        <w:tabs>
          <w:tab w:leader="none" w:pos="2320" w:val="left"/>
        </w:tabs>
        <w:rPr>
          <w:sz w:val="20"/>
          <w:szCs w:val="20"/>
          <w:color w:val="auto"/>
        </w:rPr>
      </w:pPr>
      <w:r>
        <w:rPr>
          <w:rFonts w:ascii="Arial" w:cs="Arial" w:eastAsia="Arial" w:hAnsi="Arial"/>
          <w:sz w:val="16"/>
          <w:szCs w:val="16"/>
          <w:color w:val="auto"/>
        </w:rPr>
        <w:t>Diebold Nixdorf, Inc.*</w:t>
      </w:r>
      <w:r>
        <w:rPr>
          <w:sz w:val="20"/>
          <w:szCs w:val="20"/>
          <w:color w:val="auto"/>
        </w:rPr>
        <w:tab/>
      </w:r>
      <w:r>
        <w:rPr>
          <w:rFonts w:ascii="Arial" w:cs="Arial" w:eastAsia="Arial" w:hAnsi="Arial"/>
          <w:sz w:val="16"/>
          <w:szCs w:val="16"/>
          <w:color w:val="auto"/>
        </w:rPr>
        <w:t>PTC Inc.</w:t>
      </w:r>
    </w:p>
    <w:p>
      <w:pPr>
        <w:spacing w:after="0" w:line="32" w:lineRule="exact"/>
        <w:rPr>
          <w:sz w:val="20"/>
          <w:szCs w:val="20"/>
          <w:color w:val="auto"/>
        </w:rPr>
      </w:pPr>
    </w:p>
    <w:p>
      <w:pPr>
        <w:ind w:left="80"/>
        <w:spacing w:after="0"/>
        <w:tabs>
          <w:tab w:leader="none" w:pos="2320" w:val="left"/>
        </w:tabs>
        <w:rPr>
          <w:sz w:val="20"/>
          <w:szCs w:val="20"/>
          <w:color w:val="auto"/>
        </w:rPr>
      </w:pPr>
      <w:r>
        <w:rPr>
          <w:rFonts w:ascii="Arial" w:cs="Arial" w:eastAsia="Arial" w:hAnsi="Arial"/>
          <w:sz w:val="16"/>
          <w:szCs w:val="16"/>
          <w:color w:val="auto"/>
        </w:rPr>
        <w:t>EPAM Systems, Inc.*</w:t>
      </w:r>
      <w:r>
        <w:rPr>
          <w:sz w:val="20"/>
          <w:szCs w:val="20"/>
          <w:color w:val="auto"/>
        </w:rPr>
        <w:tab/>
      </w:r>
      <w:r>
        <w:rPr>
          <w:rFonts w:ascii="Arial" w:cs="Arial" w:eastAsia="Arial" w:hAnsi="Arial"/>
          <w:sz w:val="16"/>
          <w:szCs w:val="16"/>
          <w:color w:val="auto"/>
        </w:rPr>
        <w:t>Roper Technologies Inc.*</w:t>
      </w:r>
    </w:p>
    <w:p>
      <w:pPr>
        <w:spacing w:after="0" w:line="32" w:lineRule="exact"/>
        <w:rPr>
          <w:sz w:val="20"/>
          <w:szCs w:val="20"/>
          <w:color w:val="auto"/>
        </w:rPr>
      </w:pPr>
    </w:p>
    <w:p>
      <w:pPr>
        <w:ind w:left="80"/>
        <w:spacing w:after="0"/>
        <w:tabs>
          <w:tab w:leader="none" w:pos="2320" w:val="left"/>
        </w:tabs>
        <w:rPr>
          <w:sz w:val="20"/>
          <w:szCs w:val="20"/>
          <w:color w:val="auto"/>
        </w:rPr>
      </w:pPr>
      <w:r>
        <w:rPr>
          <w:rFonts w:ascii="Arial" w:cs="Arial" w:eastAsia="Arial" w:hAnsi="Arial"/>
          <w:sz w:val="16"/>
          <w:szCs w:val="16"/>
          <w:color w:val="auto"/>
        </w:rPr>
        <w:t>F5 Networks, Inc.*</w:t>
      </w:r>
      <w:r>
        <w:rPr>
          <w:sz w:val="20"/>
          <w:szCs w:val="20"/>
          <w:color w:val="auto"/>
        </w:rPr>
        <w:tab/>
      </w:r>
      <w:r>
        <w:rPr>
          <w:rFonts w:ascii="Arial" w:cs="Arial" w:eastAsia="Arial" w:hAnsi="Arial"/>
          <w:sz w:val="16"/>
          <w:szCs w:val="16"/>
          <w:color w:val="auto"/>
        </w:rPr>
        <w:t>Teradyne Inc.</w:t>
      </w:r>
    </w:p>
    <w:p>
      <w:pPr>
        <w:spacing w:after="0" w:line="32" w:lineRule="exact"/>
        <w:rPr>
          <w:sz w:val="20"/>
          <w:szCs w:val="20"/>
          <w:color w:val="auto"/>
        </w:rPr>
      </w:pPr>
    </w:p>
    <w:p>
      <w:pPr>
        <w:ind w:left="80"/>
        <w:spacing w:after="0"/>
        <w:tabs>
          <w:tab w:leader="none" w:pos="2320" w:val="left"/>
        </w:tabs>
        <w:rPr>
          <w:sz w:val="20"/>
          <w:szCs w:val="20"/>
          <w:color w:val="auto"/>
        </w:rPr>
      </w:pPr>
      <w:r>
        <w:rPr>
          <w:rFonts w:ascii="Arial" w:cs="Arial" w:eastAsia="Arial" w:hAnsi="Arial"/>
          <w:sz w:val="16"/>
          <w:szCs w:val="16"/>
          <w:color w:val="auto"/>
        </w:rPr>
        <w:t>FLIR Systems, Inc.</w:t>
      </w:r>
      <w:r>
        <w:rPr>
          <w:sz w:val="20"/>
          <w:szCs w:val="20"/>
          <w:color w:val="auto"/>
        </w:rPr>
        <w:tab/>
      </w:r>
      <w:r>
        <w:rPr>
          <w:rFonts w:ascii="Arial" w:cs="Arial" w:eastAsia="Arial" w:hAnsi="Arial"/>
          <w:sz w:val="16"/>
          <w:szCs w:val="16"/>
          <w:color w:val="auto"/>
        </w:rPr>
        <w:t>Trimble Inc.*</w:t>
      </w:r>
    </w:p>
    <w:p>
      <w:pPr>
        <w:spacing w:after="0" w:line="32" w:lineRule="exact"/>
        <w:rPr>
          <w:sz w:val="20"/>
          <w:szCs w:val="20"/>
          <w:color w:val="auto"/>
        </w:rPr>
      </w:pPr>
    </w:p>
    <w:p>
      <w:pPr>
        <w:ind w:left="80"/>
        <w:spacing w:after="0"/>
        <w:tabs>
          <w:tab w:leader="none" w:pos="2320" w:val="left"/>
        </w:tabs>
        <w:rPr>
          <w:sz w:val="20"/>
          <w:szCs w:val="20"/>
          <w:color w:val="auto"/>
        </w:rPr>
      </w:pPr>
      <w:r>
        <w:rPr>
          <w:rFonts w:ascii="Arial" w:cs="Arial" w:eastAsia="Arial" w:hAnsi="Arial"/>
          <w:sz w:val="16"/>
          <w:szCs w:val="16"/>
          <w:color w:val="auto"/>
        </w:rPr>
        <w:t>ITT Inc.</w:t>
      </w:r>
      <w:r>
        <w:rPr>
          <w:sz w:val="20"/>
          <w:szCs w:val="20"/>
          <w:color w:val="auto"/>
        </w:rPr>
        <w:tab/>
      </w:r>
      <w:r>
        <w:rPr>
          <w:rFonts w:ascii="Arial" w:cs="Arial" w:eastAsia="Arial" w:hAnsi="Arial"/>
          <w:sz w:val="16"/>
          <w:szCs w:val="16"/>
          <w:color w:val="auto"/>
        </w:rPr>
        <w:t>Unisys Corporation*</w:t>
      </w:r>
    </w:p>
    <w:p>
      <w:pPr>
        <w:spacing w:after="0" w:line="32" w:lineRule="exact"/>
        <w:rPr>
          <w:sz w:val="20"/>
          <w:szCs w:val="20"/>
          <w:color w:val="auto"/>
        </w:rPr>
      </w:pPr>
    </w:p>
    <w:p>
      <w:pPr>
        <w:ind w:left="80"/>
        <w:spacing w:after="0" w:line="281" w:lineRule="auto"/>
        <w:rPr>
          <w:sz w:val="20"/>
          <w:szCs w:val="20"/>
          <w:color w:val="auto"/>
        </w:rPr>
      </w:pPr>
      <w:r>
        <w:rPr>
          <w:rFonts w:ascii="Arial" w:cs="Arial" w:eastAsia="Arial" w:hAnsi="Arial"/>
          <w:sz w:val="16"/>
          <w:szCs w:val="16"/>
          <w:color w:val="auto"/>
        </w:rPr>
        <w:t>Keysight Technologies, Inc.* Watts Water Technologies, Inc Mueller Water Products, Inc. Xylem Inc.</w:t>
      </w:r>
    </w:p>
    <w:p>
      <w:pPr>
        <w:spacing w:after="0" w:line="1" w:lineRule="exact"/>
        <w:rPr>
          <w:sz w:val="20"/>
          <w:szCs w:val="20"/>
          <w:color w:val="auto"/>
        </w:rPr>
      </w:pPr>
    </w:p>
    <w:p>
      <w:pPr>
        <w:ind w:left="80"/>
        <w:spacing w:after="0"/>
        <w:tabs>
          <w:tab w:leader="none" w:pos="2320" w:val="left"/>
        </w:tabs>
        <w:rPr>
          <w:sz w:val="20"/>
          <w:szCs w:val="20"/>
          <w:color w:val="auto"/>
        </w:rPr>
      </w:pPr>
      <w:r>
        <w:rPr>
          <w:rFonts w:ascii="Arial" w:cs="Arial" w:eastAsia="Arial" w:hAnsi="Arial"/>
          <w:sz w:val="16"/>
          <w:szCs w:val="16"/>
          <w:color w:val="auto"/>
        </w:rPr>
        <w:t>NetScout Systems, Inc.*</w:t>
      </w:r>
      <w:r>
        <w:rPr>
          <w:sz w:val="20"/>
          <w:szCs w:val="20"/>
          <w:color w:val="auto"/>
        </w:rPr>
        <w:tab/>
      </w:r>
      <w:r>
        <w:rPr>
          <w:rFonts w:ascii="Arial" w:cs="Arial" w:eastAsia="Arial" w:hAnsi="Arial"/>
          <w:sz w:val="16"/>
          <w:szCs w:val="16"/>
          <w:color w:val="auto"/>
        </w:rPr>
        <w:t>Zebra Technologies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8483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Peer Data as of 12-31-2018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-133350</wp:posOffset>
            </wp:positionV>
            <wp:extent cx="2785745" cy="13970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85745" cy="1397000"/>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$Millions</w:t>
            </w:r>
          </w:p>
        </w:tc>
        <w:tc>
          <w:tcPr>
            <w:tcW w:w="1020" w:type="dxa"/>
            <w:vAlign w:val="bottom"/>
            <w:vMerge w:val="restart"/>
          </w:tcPr>
          <w:p>
            <w:pPr>
              <w:jc w:val="right"/>
              <w:ind w:right="379"/>
              <w:spacing w:after="0"/>
              <w:rPr>
                <w:sz w:val="20"/>
                <w:szCs w:val="20"/>
                <w:color w:val="auto"/>
              </w:rPr>
            </w:pPr>
            <w:r>
              <w:rPr>
                <w:rFonts w:ascii="Arial" w:cs="Arial" w:eastAsia="Arial" w:hAnsi="Arial"/>
                <w:sz w:val="16"/>
                <w:szCs w:val="16"/>
                <w:i w:val="1"/>
                <w:iCs w:val="1"/>
                <w:color w:val="auto"/>
              </w:rPr>
              <w:t>Market</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360" w:type="dxa"/>
            <w:vAlign w:val="bottom"/>
          </w:tcPr>
          <w:p>
            <w:pPr>
              <w:ind w:left="300"/>
              <w:spacing w:after="0"/>
              <w:rPr>
                <w:sz w:val="20"/>
                <w:szCs w:val="20"/>
                <w:color w:val="auto"/>
              </w:rPr>
            </w:pPr>
            <w:r>
              <w:rPr>
                <w:rFonts w:ascii="Arial" w:cs="Arial" w:eastAsia="Arial" w:hAnsi="Arial"/>
                <w:sz w:val="16"/>
                <w:szCs w:val="16"/>
                <w:i w:val="1"/>
                <w:iCs w:val="1"/>
                <w:color w:val="auto"/>
              </w:rPr>
              <w:t>Percentile</w:t>
            </w:r>
          </w:p>
        </w:tc>
        <w:tc>
          <w:tcPr>
            <w:tcW w:w="340" w:type="dxa"/>
            <w:vAlign w:val="bottom"/>
          </w:tcPr>
          <w:p>
            <w:pPr>
              <w:spacing w:after="0"/>
              <w:rPr>
                <w:sz w:val="18"/>
                <w:szCs w:val="18"/>
                <w:color w:val="auto"/>
              </w:rPr>
            </w:pPr>
          </w:p>
        </w:tc>
        <w:tc>
          <w:tcPr>
            <w:tcW w:w="1260" w:type="dxa"/>
            <w:vAlign w:val="bottom"/>
          </w:tcPr>
          <w:p>
            <w:pPr>
              <w:jc w:val="right"/>
              <w:ind w:right="418"/>
              <w:spacing w:after="0"/>
              <w:rPr>
                <w:sz w:val="20"/>
                <w:szCs w:val="20"/>
                <w:color w:val="auto"/>
              </w:rPr>
            </w:pPr>
            <w:r>
              <w:rPr>
                <w:rFonts w:ascii="Arial" w:cs="Arial" w:eastAsia="Arial" w:hAnsi="Arial"/>
                <w:sz w:val="16"/>
                <w:szCs w:val="16"/>
                <w:i w:val="1"/>
                <w:iCs w:val="1"/>
                <w:color w:val="auto"/>
              </w:rPr>
              <w:t>Revenue</w:t>
            </w:r>
          </w:p>
        </w:tc>
        <w:tc>
          <w:tcPr>
            <w:tcW w:w="400" w:type="dxa"/>
            <w:vAlign w:val="bottom"/>
          </w:tcPr>
          <w:p>
            <w:pPr>
              <w:spacing w:after="0"/>
              <w:rPr>
                <w:sz w:val="18"/>
                <w:szCs w:val="18"/>
                <w:color w:val="auto"/>
              </w:rPr>
            </w:pPr>
          </w:p>
        </w:tc>
        <w:tc>
          <w:tcPr>
            <w:tcW w:w="1020" w:type="dxa"/>
            <w:vAlign w:val="bottom"/>
          </w:tcPr>
          <w:p>
            <w:pPr>
              <w:jc w:val="right"/>
              <w:ind w:right="479"/>
              <w:spacing w:after="0"/>
              <w:rPr>
                <w:sz w:val="20"/>
                <w:szCs w:val="20"/>
                <w:color w:val="auto"/>
              </w:rPr>
            </w:pPr>
            <w:r>
              <w:rPr>
                <w:rFonts w:ascii="Arial" w:cs="Arial" w:eastAsia="Arial" w:hAnsi="Arial"/>
                <w:sz w:val="16"/>
                <w:szCs w:val="16"/>
                <w:i w:val="1"/>
                <w:iCs w:val="1"/>
                <w:color w:val="auto"/>
              </w:rPr>
              <w:t>Cap</w:t>
            </w:r>
          </w:p>
        </w:tc>
        <w:tc>
          <w:tcPr>
            <w:tcW w:w="0" w:type="dxa"/>
            <w:vAlign w:val="bottom"/>
          </w:tcPr>
          <w:p>
            <w:pPr>
              <w:spacing w:after="0"/>
              <w:rPr>
                <w:sz w:val="1"/>
                <w:szCs w:val="1"/>
                <w:color w:val="auto"/>
              </w:rPr>
            </w:pPr>
          </w:p>
        </w:tc>
      </w:tr>
      <w:tr>
        <w:trPr>
          <w:trHeight w:val="219"/>
        </w:trPr>
        <w:tc>
          <w:tcPr>
            <w:tcW w:w="1360" w:type="dxa"/>
            <w:vAlign w:val="bottom"/>
            <w:shd w:val="clear" w:color="auto" w:fill="CCCCCC"/>
          </w:tcPr>
          <w:p>
            <w:pPr>
              <w:ind w:left="80"/>
              <w:spacing w:after="0" w:line="218" w:lineRule="exact"/>
              <w:rPr>
                <w:sz w:val="20"/>
                <w:szCs w:val="20"/>
                <w:color w:val="auto"/>
              </w:rPr>
            </w:pPr>
            <w:r>
              <w:rPr>
                <w:rFonts w:ascii="Arial" w:cs="Arial" w:eastAsia="Arial" w:hAnsi="Arial"/>
                <w:sz w:val="25"/>
                <w:szCs w:val="25"/>
                <w:i w:val="1"/>
                <w:iCs w:val="1"/>
                <w:color w:val="auto"/>
                <w:vertAlign w:val="subscript"/>
              </w:rPr>
              <w:t>25</w:t>
            </w:r>
            <w:r>
              <w:rPr>
                <w:rFonts w:ascii="Arial" w:cs="Arial" w:eastAsia="Arial" w:hAnsi="Arial"/>
                <w:sz w:val="12"/>
                <w:szCs w:val="12"/>
                <w:i w:val="1"/>
                <w:iCs w:val="1"/>
                <w:color w:val="auto"/>
              </w:rPr>
              <w:t>th</w:t>
            </w:r>
          </w:p>
        </w:tc>
        <w:tc>
          <w:tcPr>
            <w:tcW w:w="34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CCCC"/>
          </w:tcPr>
          <w:p>
            <w:pPr>
              <w:jc w:val="right"/>
              <w:ind w:right="138"/>
              <w:spacing w:after="0"/>
              <w:rPr>
                <w:sz w:val="20"/>
                <w:szCs w:val="20"/>
                <w:color w:val="auto"/>
              </w:rPr>
            </w:pPr>
            <w:r>
              <w:rPr>
                <w:rFonts w:ascii="Arial" w:cs="Arial" w:eastAsia="Arial" w:hAnsi="Arial"/>
                <w:sz w:val="16"/>
                <w:szCs w:val="16"/>
                <w:color w:val="auto"/>
              </w:rPr>
              <w:t>1,723</w:t>
            </w:r>
          </w:p>
        </w:tc>
        <w:tc>
          <w:tcPr>
            <w:tcW w:w="400" w:type="dxa"/>
            <w:vAlign w:val="bottom"/>
            <w:shd w:val="clear" w:color="auto" w:fill="CCCCCC"/>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CCCC"/>
          </w:tcPr>
          <w:p>
            <w:pPr>
              <w:jc w:val="right"/>
              <w:ind w:right="99"/>
              <w:spacing w:after="0"/>
              <w:rPr>
                <w:sz w:val="20"/>
                <w:szCs w:val="20"/>
                <w:color w:val="auto"/>
              </w:rPr>
            </w:pPr>
            <w:r>
              <w:rPr>
                <w:rFonts w:ascii="Arial" w:cs="Arial" w:eastAsia="Arial" w:hAnsi="Arial"/>
                <w:sz w:val="16"/>
                <w:szCs w:val="16"/>
                <w:color w:val="auto"/>
              </w:rPr>
              <w:t>2,109</w:t>
            </w:r>
          </w:p>
        </w:tc>
        <w:tc>
          <w:tcPr>
            <w:tcW w:w="0" w:type="dxa"/>
            <w:vAlign w:val="bottom"/>
          </w:tcPr>
          <w:p>
            <w:pPr>
              <w:spacing w:after="0"/>
              <w:rPr>
                <w:sz w:val="1"/>
                <w:szCs w:val="1"/>
                <w:color w:val="auto"/>
              </w:rPr>
            </w:pPr>
          </w:p>
        </w:tc>
      </w:tr>
      <w:tr>
        <w:trPr>
          <w:trHeight w:val="216"/>
        </w:trPr>
        <w:tc>
          <w:tcPr>
            <w:tcW w:w="1360" w:type="dxa"/>
            <w:vAlign w:val="bottom"/>
          </w:tcPr>
          <w:p>
            <w:pPr>
              <w:ind w:left="80"/>
              <w:spacing w:after="0" w:line="216" w:lineRule="exact"/>
              <w:rPr>
                <w:sz w:val="20"/>
                <w:szCs w:val="20"/>
                <w:color w:val="auto"/>
              </w:rPr>
            </w:pPr>
            <w:r>
              <w:rPr>
                <w:rFonts w:ascii="Arial" w:cs="Arial" w:eastAsia="Arial" w:hAnsi="Arial"/>
                <w:sz w:val="16"/>
                <w:szCs w:val="16"/>
                <w:i w:val="1"/>
                <w:iCs w:val="1"/>
                <w:color w:val="auto"/>
              </w:rPr>
              <w:t>50</w:t>
            </w:r>
            <w:r>
              <w:rPr>
                <w:rFonts w:ascii="Arial" w:cs="Arial" w:eastAsia="Arial" w:hAnsi="Arial"/>
                <w:sz w:val="25"/>
                <w:szCs w:val="25"/>
                <w:i w:val="1"/>
                <w:iCs w:val="1"/>
                <w:color w:val="auto"/>
                <w:vertAlign w:val="superscript"/>
              </w:rPr>
              <w:t>th</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38"/>
              <w:spacing w:after="0"/>
              <w:rPr>
                <w:sz w:val="20"/>
                <w:szCs w:val="20"/>
                <w:color w:val="auto"/>
              </w:rPr>
            </w:pPr>
            <w:r>
              <w:rPr>
                <w:rFonts w:ascii="Arial" w:cs="Arial" w:eastAsia="Arial" w:hAnsi="Arial"/>
                <w:sz w:val="16"/>
                <w:szCs w:val="16"/>
                <w:color w:val="auto"/>
              </w:rPr>
              <w:t>2,464</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6,145</w:t>
            </w:r>
          </w:p>
        </w:tc>
        <w:tc>
          <w:tcPr>
            <w:tcW w:w="0" w:type="dxa"/>
            <w:vAlign w:val="bottom"/>
          </w:tcPr>
          <w:p>
            <w:pPr>
              <w:spacing w:after="0"/>
              <w:rPr>
                <w:sz w:val="1"/>
                <w:szCs w:val="1"/>
                <w:color w:val="auto"/>
              </w:rPr>
            </w:pPr>
          </w:p>
        </w:tc>
      </w:tr>
      <w:tr>
        <w:trPr>
          <w:trHeight w:val="216"/>
        </w:trPr>
        <w:tc>
          <w:tcPr>
            <w:tcW w:w="1360" w:type="dxa"/>
            <w:vAlign w:val="bottom"/>
            <w:shd w:val="clear" w:color="auto" w:fill="CCCCCC"/>
          </w:tcPr>
          <w:p>
            <w:pPr>
              <w:ind w:left="80"/>
              <w:spacing w:after="0" w:line="216" w:lineRule="exact"/>
              <w:rPr>
                <w:sz w:val="20"/>
                <w:szCs w:val="20"/>
                <w:color w:val="auto"/>
              </w:rPr>
            </w:pPr>
            <w:r>
              <w:rPr>
                <w:rFonts w:ascii="Arial" w:cs="Arial" w:eastAsia="Arial" w:hAnsi="Arial"/>
                <w:sz w:val="16"/>
                <w:szCs w:val="16"/>
                <w:i w:val="1"/>
                <w:iCs w:val="1"/>
                <w:color w:val="auto"/>
              </w:rPr>
              <w:t>75</w:t>
            </w:r>
            <w:r>
              <w:rPr>
                <w:rFonts w:ascii="Arial" w:cs="Arial" w:eastAsia="Arial" w:hAnsi="Arial"/>
                <w:sz w:val="25"/>
                <w:szCs w:val="25"/>
                <w:i w:val="1"/>
                <w:iCs w:val="1"/>
                <w:color w:val="auto"/>
                <w:vertAlign w:val="superscript"/>
              </w:rPr>
              <w:t>th</w:t>
            </w:r>
          </w:p>
        </w:tc>
        <w:tc>
          <w:tcPr>
            <w:tcW w:w="34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CCCC"/>
          </w:tcPr>
          <w:p>
            <w:pPr>
              <w:jc w:val="right"/>
              <w:ind w:right="138"/>
              <w:spacing w:after="0"/>
              <w:rPr>
                <w:sz w:val="20"/>
                <w:szCs w:val="20"/>
                <w:color w:val="auto"/>
              </w:rPr>
            </w:pPr>
            <w:r>
              <w:rPr>
                <w:rFonts w:ascii="Arial" w:cs="Arial" w:eastAsia="Arial" w:hAnsi="Arial"/>
                <w:sz w:val="16"/>
                <w:szCs w:val="16"/>
                <w:color w:val="auto"/>
              </w:rPr>
              <w:t>3,963</w:t>
            </w:r>
          </w:p>
        </w:tc>
        <w:tc>
          <w:tcPr>
            <w:tcW w:w="400" w:type="dxa"/>
            <w:vAlign w:val="bottom"/>
            <w:shd w:val="clear" w:color="auto" w:fill="CCCCCC"/>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CCCC"/>
          </w:tcPr>
          <w:p>
            <w:pPr>
              <w:jc w:val="right"/>
              <w:ind w:right="99"/>
              <w:spacing w:after="0"/>
              <w:rPr>
                <w:sz w:val="20"/>
                <w:szCs w:val="20"/>
                <w:color w:val="auto"/>
              </w:rPr>
            </w:pPr>
            <w:r>
              <w:rPr>
                <w:rFonts w:ascii="Arial" w:cs="Arial" w:eastAsia="Arial" w:hAnsi="Arial"/>
                <w:sz w:val="16"/>
                <w:szCs w:val="16"/>
                <w:color w:val="auto"/>
              </w:rPr>
              <w:t>9,827</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CCCC"/>
          </w:tcPr>
          <w:p>
            <w:pPr>
              <w:ind w:left="80"/>
              <w:spacing w:after="0"/>
              <w:rPr>
                <w:sz w:val="20"/>
                <w:szCs w:val="20"/>
                <w:color w:val="auto"/>
              </w:rPr>
            </w:pPr>
            <w:r>
              <w:rPr>
                <w:rFonts w:ascii="Arial" w:cs="Arial" w:eastAsia="Arial" w:hAnsi="Arial"/>
                <w:sz w:val="16"/>
                <w:szCs w:val="16"/>
                <w:color w:val="auto"/>
              </w:rPr>
              <w:t>Itron</w:t>
            </w:r>
          </w:p>
        </w:tc>
        <w:tc>
          <w:tcPr>
            <w:tcW w:w="34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CCCC"/>
          </w:tcPr>
          <w:p>
            <w:pPr>
              <w:jc w:val="right"/>
              <w:ind w:right="138"/>
              <w:spacing w:after="0"/>
              <w:rPr>
                <w:sz w:val="20"/>
                <w:szCs w:val="20"/>
                <w:color w:val="auto"/>
              </w:rPr>
            </w:pPr>
            <w:r>
              <w:rPr>
                <w:rFonts w:ascii="Arial" w:cs="Arial" w:eastAsia="Arial" w:hAnsi="Arial"/>
                <w:sz w:val="16"/>
                <w:szCs w:val="16"/>
                <w:color w:val="auto"/>
              </w:rPr>
              <w:t>2,376</w:t>
            </w:r>
          </w:p>
        </w:tc>
        <w:tc>
          <w:tcPr>
            <w:tcW w:w="400" w:type="dxa"/>
            <w:vAlign w:val="bottom"/>
            <w:shd w:val="clear" w:color="auto" w:fill="CCCCCC"/>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CCCC"/>
          </w:tcPr>
          <w:p>
            <w:pPr>
              <w:jc w:val="right"/>
              <w:ind w:right="99"/>
              <w:spacing w:after="0"/>
              <w:rPr>
                <w:sz w:val="20"/>
                <w:szCs w:val="20"/>
                <w:color w:val="auto"/>
              </w:rPr>
            </w:pPr>
            <w:r>
              <w:rPr>
                <w:rFonts w:ascii="Arial" w:cs="Arial" w:eastAsia="Arial" w:hAnsi="Arial"/>
                <w:sz w:val="16"/>
                <w:szCs w:val="16"/>
                <w:color w:val="auto"/>
              </w:rPr>
              <w:t>1,864</w:t>
            </w:r>
          </w:p>
        </w:tc>
        <w:tc>
          <w:tcPr>
            <w:tcW w:w="0" w:type="dxa"/>
            <w:vAlign w:val="bottom"/>
          </w:tcPr>
          <w:p>
            <w:pPr>
              <w:spacing w:after="0"/>
              <w:rPr>
                <w:sz w:val="1"/>
                <w:szCs w:val="1"/>
                <w:color w:val="auto"/>
              </w:rPr>
            </w:pPr>
          </w:p>
        </w:tc>
      </w:tr>
      <w:tr>
        <w:trPr>
          <w:trHeight w:val="210"/>
        </w:trPr>
        <w:tc>
          <w:tcPr>
            <w:tcW w:w="1360" w:type="dxa"/>
            <w:vAlign w:val="bottom"/>
          </w:tcPr>
          <w:p>
            <w:pPr>
              <w:ind w:left="80"/>
              <w:spacing w:after="0"/>
              <w:rPr>
                <w:sz w:val="20"/>
                <w:szCs w:val="20"/>
                <w:color w:val="auto"/>
              </w:rPr>
            </w:pPr>
            <w:r>
              <w:rPr>
                <w:rFonts w:ascii="Arial" w:cs="Arial" w:eastAsia="Arial" w:hAnsi="Arial"/>
                <w:sz w:val="16"/>
                <w:szCs w:val="16"/>
                <w:color w:val="auto"/>
              </w:rPr>
              <w:t>Percentile Rank</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bl>
    <w:p>
      <w:pPr>
        <w:spacing w:after="0" w:line="202" w:lineRule="exact"/>
        <w:rPr>
          <w:sz w:val="20"/>
          <w:szCs w:val="20"/>
          <w:color w:val="auto"/>
        </w:rPr>
      </w:pPr>
    </w:p>
    <w:p>
      <w:pPr>
        <w:sectPr>
          <w:pgSz w:w="11900" w:h="16838" w:orient="portrait"/>
          <w:cols w:equalWidth="0" w:num="2">
            <w:col w:w="4520" w:space="640"/>
            <w:col w:w="4380"/>
          </w:cols>
          <w:pgMar w:left="1160" w:top="279" w:right="1199" w:bottom="1440" w:gutter="0" w:footer="0" w:header="0"/>
          <w:type w:val="continuous"/>
        </w:sectPr>
      </w:pPr>
    </w:p>
    <w:p>
      <w:pPr>
        <w:spacing w:after="0" w:line="118" w:lineRule="exact"/>
        <w:rPr>
          <w:sz w:val="20"/>
          <w:szCs w:val="20"/>
          <w:color w:val="auto"/>
        </w:rPr>
      </w:pPr>
    </w:p>
    <w:p>
      <w:pPr>
        <w:ind w:left="360" w:hanging="355"/>
        <w:spacing w:after="0"/>
        <w:tabs>
          <w:tab w:leader="none" w:pos="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Software and services included in their business mix.</w:t>
      </w:r>
    </w:p>
    <w:p>
      <w:pPr>
        <w:spacing w:after="0" w:line="18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For each of the Peer Companies, data regarding base salaries, annual incentives, and long-term incentives was obtained from their annual proxy statements. This data was supplemented with survey data prepared by Radford Survey &amp; Consulting (Radford Survey), which provides compensation market information on more than 700 technology companies, aggregated and presented anonymously. The Radford Survey data was narrowed to those technology companies with revenues between $1 billion and $3 billion, similar to Itron.</w:t>
      </w:r>
    </w:p>
    <w:p>
      <w:pPr>
        <w:spacing w:after="0" w:line="16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With the support of F.W. Cook, the Committee evaluates this data for informational purposes when establishing a range of competitive compensation for our NEOs. For each NEO, the Committee determines the salary range, annual incentive target, and long-term incentive taking into consideration market data for the position being evaluated. However, market data is not the sole determinant of the Company’s practices or executive compensation levels. The Committee also considers the experience, performance, responsibilities, and contributions to the Company by each NEO when making its decisions. For the CEO, the Committee makes a recommendation to the full Board, and the independent members of the Board review and approve the CEO’s compensation.</w:t>
      </w:r>
    </w:p>
    <w:p>
      <w:pPr>
        <w:spacing w:after="0" w:line="220"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type w:val="continuous"/>
        </w:sectPr>
      </w:pPr>
    </w:p>
    <w:bookmarkStart w:id="32" w:name="page33"/>
    <w:bookmarkEnd w:id="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2019 Executive Compensation Program in Detail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Base salary represents annual fixed compensation and is a standard element of compensation necessary to attract and retain executive leadership talent. In making base salary decisions, the Committee considers the CEO’s recommendations, as well as each NEO’s position and level of responsibility within the Company. The Committee considers factors such as relevant market data as well as individual performance and contributions. The Committee recommended approval of a base salary increase for Mr. Deitrich in connection with his promotion to President and CEO, and the independent members of the Board approved his annual base salary rate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29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r>
      <w:tr>
        <w:trPr>
          <w:trHeight w:val="189"/>
        </w:trPr>
        <w:tc>
          <w:tcPr>
            <w:tcW w:w="5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NEO</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center"/>
              <w:ind w:left="15"/>
              <w:spacing w:after="0"/>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6"/>
                <w:szCs w:val="16"/>
                <w:color w:val="auto"/>
              </w:rPr>
            </w:pPr>
          </w:p>
        </w:tc>
      </w:tr>
      <w:tr>
        <w:trPr>
          <w:trHeight w:val="223"/>
        </w:trPr>
        <w:tc>
          <w:tcPr>
            <w:tcW w:w="5800" w:type="dxa"/>
            <w:vAlign w:val="bottom"/>
            <w:shd w:val="clear" w:color="auto" w:fill="B2B2B2"/>
          </w:tcPr>
          <w:p>
            <w:pPr>
              <w:ind w:left="40"/>
              <w:spacing w:after="0"/>
              <w:rPr>
                <w:sz w:val="20"/>
                <w:szCs w:val="20"/>
                <w:color w:val="auto"/>
              </w:rPr>
            </w:pPr>
            <w:r>
              <w:rPr>
                <w:rFonts w:ascii="Arial" w:cs="Arial" w:eastAsia="Arial" w:hAnsi="Arial"/>
                <w:sz w:val="18"/>
                <w:szCs w:val="18"/>
                <w:color w:val="auto"/>
              </w:rPr>
              <w:t>Thomas L. Deitrich*</w:t>
            </w:r>
          </w:p>
        </w:tc>
        <w:tc>
          <w:tcPr>
            <w:tcW w:w="42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550,000</w:t>
            </w:r>
          </w:p>
        </w:tc>
        <w:tc>
          <w:tcPr>
            <w:tcW w:w="320" w:type="dxa"/>
            <w:vAlign w:val="bottom"/>
            <w:gridSpan w:val="2"/>
            <w:shd w:val="clear" w:color="auto" w:fill="B2B2B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B2B2B2"/>
          </w:tcPr>
          <w:p>
            <w:pPr>
              <w:jc w:val="right"/>
              <w:ind w:right="200"/>
              <w:spacing w:after="0"/>
              <w:rPr>
                <w:sz w:val="20"/>
                <w:szCs w:val="20"/>
                <w:color w:val="auto"/>
              </w:rPr>
            </w:pPr>
            <w:r>
              <w:rPr>
                <w:rFonts w:ascii="Arial" w:cs="Arial" w:eastAsia="Arial" w:hAnsi="Arial"/>
                <w:sz w:val="18"/>
                <w:szCs w:val="18"/>
                <w:color w:val="auto"/>
              </w:rPr>
              <w:t>800,000</w:t>
            </w:r>
          </w:p>
        </w:tc>
        <w:tc>
          <w:tcPr>
            <w:tcW w:w="110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5800" w:type="dxa"/>
            <w:vAlign w:val="bottom"/>
          </w:tcPr>
          <w:p>
            <w:pPr>
              <w:ind w:left="40"/>
              <w:spacing w:after="0"/>
              <w:rPr>
                <w:sz w:val="20"/>
                <w:szCs w:val="20"/>
                <w:color w:val="auto"/>
              </w:rPr>
            </w:pPr>
            <w:r>
              <w:rPr>
                <w:rFonts w:ascii="Arial" w:cs="Arial" w:eastAsia="Arial" w:hAnsi="Arial"/>
                <w:sz w:val="18"/>
                <w:szCs w:val="18"/>
                <w:color w:val="auto"/>
              </w:rPr>
              <w:t>Joan S. Hooper</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485,000</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485,000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29"/>
        </w:trPr>
        <w:tc>
          <w:tcPr>
            <w:tcW w:w="5800" w:type="dxa"/>
            <w:vAlign w:val="bottom"/>
            <w:shd w:val="clear" w:color="auto" w:fill="B2B2B2"/>
          </w:tcPr>
          <w:p>
            <w:pPr>
              <w:ind w:left="40"/>
              <w:spacing w:after="0"/>
              <w:rPr>
                <w:sz w:val="20"/>
                <w:szCs w:val="20"/>
                <w:color w:val="auto"/>
              </w:rPr>
            </w:pPr>
            <w:r>
              <w:rPr>
                <w:rFonts w:ascii="Arial" w:cs="Arial" w:eastAsia="Arial" w:hAnsi="Arial"/>
                <w:sz w:val="18"/>
                <w:szCs w:val="18"/>
                <w:color w:val="auto"/>
              </w:rPr>
              <w:t>Sarah E. Hlavinka</w:t>
            </w:r>
          </w:p>
        </w:tc>
        <w:tc>
          <w:tcPr>
            <w:tcW w:w="42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475,000</w:t>
            </w:r>
          </w:p>
        </w:tc>
        <w:tc>
          <w:tcPr>
            <w:tcW w:w="320" w:type="dxa"/>
            <w:vAlign w:val="bottom"/>
            <w:gridSpan w:val="2"/>
            <w:shd w:val="clear" w:color="auto" w:fill="B2B2B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B2B2B2"/>
          </w:tcPr>
          <w:p>
            <w:pPr>
              <w:jc w:val="right"/>
              <w:ind w:right="200"/>
              <w:spacing w:after="0"/>
              <w:rPr>
                <w:sz w:val="20"/>
                <w:szCs w:val="20"/>
                <w:color w:val="auto"/>
              </w:rPr>
            </w:pPr>
            <w:r>
              <w:rPr>
                <w:rFonts w:ascii="Arial" w:cs="Arial" w:eastAsia="Arial" w:hAnsi="Arial"/>
                <w:sz w:val="18"/>
                <w:szCs w:val="18"/>
                <w:color w:val="auto"/>
              </w:rPr>
              <w:t>475,000</w:t>
            </w:r>
          </w:p>
        </w:tc>
        <w:tc>
          <w:tcPr>
            <w:tcW w:w="110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5800" w:type="dxa"/>
            <w:vAlign w:val="bottom"/>
          </w:tcPr>
          <w:p>
            <w:pPr>
              <w:ind w:left="40"/>
              <w:spacing w:after="0"/>
              <w:rPr>
                <w:sz w:val="20"/>
                <w:szCs w:val="20"/>
                <w:color w:val="auto"/>
              </w:rPr>
            </w:pPr>
            <w:r>
              <w:rPr>
                <w:rFonts w:ascii="Arial" w:cs="Arial" w:eastAsia="Arial" w:hAnsi="Arial"/>
                <w:sz w:val="18"/>
                <w:szCs w:val="18"/>
                <w:color w:val="auto"/>
              </w:rPr>
              <w:t>Michel C. Cadieux</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400,000</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400,000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29"/>
        </w:trPr>
        <w:tc>
          <w:tcPr>
            <w:tcW w:w="5800" w:type="dxa"/>
            <w:vAlign w:val="bottom"/>
            <w:shd w:val="clear" w:color="auto" w:fill="B2B2B2"/>
          </w:tcPr>
          <w:p>
            <w:pPr>
              <w:ind w:left="40"/>
              <w:spacing w:after="0"/>
              <w:rPr>
                <w:sz w:val="20"/>
                <w:szCs w:val="20"/>
                <w:color w:val="auto"/>
              </w:rPr>
            </w:pPr>
            <w:r>
              <w:rPr>
                <w:rFonts w:ascii="Arial" w:cs="Arial" w:eastAsia="Arial" w:hAnsi="Arial"/>
                <w:sz w:val="18"/>
                <w:szCs w:val="18"/>
                <w:color w:val="auto"/>
              </w:rPr>
              <w:t>Donald L. Reeves III**</w:t>
            </w:r>
          </w:p>
        </w:tc>
        <w:tc>
          <w:tcPr>
            <w:tcW w:w="42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B2B2B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B2B2B2"/>
          </w:tcPr>
          <w:p>
            <w:pPr>
              <w:jc w:val="right"/>
              <w:ind w:right="200"/>
              <w:spacing w:after="0"/>
              <w:rPr>
                <w:sz w:val="20"/>
                <w:szCs w:val="20"/>
                <w:color w:val="auto"/>
              </w:rPr>
            </w:pPr>
            <w:r>
              <w:rPr>
                <w:rFonts w:ascii="Arial" w:cs="Arial" w:eastAsia="Arial" w:hAnsi="Arial"/>
                <w:sz w:val="18"/>
                <w:szCs w:val="18"/>
                <w:color w:val="auto"/>
              </w:rPr>
              <w:t>425,000</w:t>
            </w:r>
          </w:p>
        </w:tc>
        <w:tc>
          <w:tcPr>
            <w:tcW w:w="110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tcPr>
          <w:p>
            <w:pPr>
              <w:ind w:left="40"/>
              <w:spacing w:after="0"/>
              <w:rPr>
                <w:sz w:val="20"/>
                <w:szCs w:val="20"/>
                <w:color w:val="auto"/>
              </w:rPr>
            </w:pPr>
            <w:r>
              <w:rPr>
                <w:rFonts w:ascii="Arial" w:cs="Arial" w:eastAsia="Arial" w:hAnsi="Arial"/>
                <w:sz w:val="18"/>
                <w:szCs w:val="18"/>
                <w:color w:val="auto"/>
              </w:rPr>
              <w:t>Philip C. Mezey***</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825,000</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825,000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8483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295" w:lineRule="exact"/>
        <w:rPr>
          <w:sz w:val="20"/>
          <w:szCs w:val="20"/>
          <w:color w:val="auto"/>
        </w:rPr>
      </w:pPr>
    </w:p>
    <w:p>
      <w:pPr>
        <w:ind w:left="360" w:hanging="355"/>
        <w:spacing w:after="0"/>
        <w:tabs>
          <w:tab w:leader="none" w:pos="3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Mr. Deitrich’s annual salary as President and CEO was set at $800,000 when he was promoted in August 2019.</w:t>
      </w:r>
    </w:p>
    <w:p>
      <w:pPr>
        <w:spacing w:after="0" w:line="109" w:lineRule="exact"/>
        <w:rPr>
          <w:sz w:val="20"/>
          <w:szCs w:val="20"/>
          <w:color w:val="auto"/>
        </w:rPr>
      </w:pPr>
    </w:p>
    <w:p>
      <w:pPr>
        <w:ind w:left="360" w:right="240" w:hanging="355"/>
        <w:spacing w:after="0" w:line="258" w:lineRule="auto"/>
        <w:tabs>
          <w:tab w:leader="none" w:pos="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Mr. Reeves’ was not an NEO prior to the Board’s determination of his status as an executive officer on December 12, 2019, so his 2018 base salary is not disclosed.</w:t>
      </w:r>
    </w:p>
    <w:p>
      <w:pPr>
        <w:spacing w:after="0" w:line="85" w:lineRule="exact"/>
        <w:rPr>
          <w:rFonts w:ascii="Arial" w:cs="Arial" w:eastAsia="Arial" w:hAnsi="Arial"/>
          <w:sz w:val="14"/>
          <w:szCs w:val="14"/>
          <w:color w:val="auto"/>
        </w:rPr>
      </w:pPr>
    </w:p>
    <w:p>
      <w:pPr>
        <w:ind w:left="360" w:right="380" w:hanging="355"/>
        <w:spacing w:after="0" w:line="249" w:lineRule="auto"/>
        <w:tabs>
          <w:tab w:leader="none" w:pos="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 xml:space="preserve">Mr. Mezey was paid his base salary rate as an Itron employee through August 31, 2019 and received his monthly non-employee consulting retainer from September 1, 2019 through December 31, 2019. Please refer to </w:t>
      </w:r>
      <w:r>
        <w:rPr>
          <w:rFonts w:ascii="Arial" w:cs="Arial" w:eastAsia="Arial" w:hAnsi="Arial"/>
          <w:sz w:val="14"/>
          <w:szCs w:val="14"/>
          <w:i w:val="1"/>
          <w:iCs w:val="1"/>
          <w:color w:val="auto"/>
        </w:rPr>
        <w:t>“EXECUTIVE COMPENSATION TABLES—</w:t>
      </w:r>
      <w:r>
        <w:rPr>
          <w:rFonts w:ascii="Arial" w:cs="Arial" w:eastAsia="Arial" w:hAnsi="Arial"/>
          <w:sz w:val="14"/>
          <w:szCs w:val="14"/>
          <w:color w:val="auto"/>
        </w:rPr>
        <w:t>Summary Compensation Table” for details.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Cash Incentives: The Executive Management Incentive Plan (EMIP)</w:t>
      </w:r>
    </w:p>
    <w:p>
      <w:pPr>
        <w:spacing w:after="0" w:line="2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2019 EMIP provided our NEOs the opportunity to earn a performance-based annual cash bonus. Actual bonus payouts depend on the achievement of pre-established financial performance objectives and can range from 0% to 150% of target award amounts. Target annual bonus opportunities are expressed as a percentage of base salary and were established by the NEO’s level of responsibility and his or her ability to impact overall results. The Committee also considers market data in setting target award amounts. Other than an increase from 100% of base salary to 125% of base salary for Mr. Dietrich in connection with his promotion, 2019 target award opportunities remained unchanged from 2018 target award opportunities and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Target EMIP</w:t>
            </w:r>
          </w:p>
        </w:tc>
      </w:tr>
      <w:tr>
        <w:trPr>
          <w:trHeight w:val="162"/>
        </w:trPr>
        <w:tc>
          <w:tcPr>
            <w:tcW w:w="7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 a % of</w:t>
            </w:r>
          </w:p>
        </w:tc>
      </w:tr>
      <w:tr>
        <w:trPr>
          <w:trHeight w:val="182"/>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NEO</w:t>
            </w:r>
          </w:p>
        </w:tc>
        <w:tc>
          <w:tcPr>
            <w:tcW w:w="180" w:type="dxa"/>
            <w:vAlign w:val="bottom"/>
          </w:tcPr>
          <w:p>
            <w:pPr>
              <w:spacing w:after="0"/>
              <w:rPr>
                <w:sz w:val="15"/>
                <w:szCs w:val="15"/>
                <w:color w:val="auto"/>
              </w:rPr>
            </w:pPr>
          </w:p>
        </w:tc>
        <w:tc>
          <w:tcPr>
            <w:tcW w:w="150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rPr>
              <w:t>Base Salary)</w:t>
            </w:r>
          </w:p>
        </w:tc>
        <w:tc>
          <w:tcPr>
            <w:tcW w:w="100" w:type="dxa"/>
            <w:vAlign w:val="bottom"/>
          </w:tcPr>
          <w:p>
            <w:pPr>
              <w:spacing w:after="0"/>
              <w:rPr>
                <w:sz w:val="15"/>
                <w:szCs w:val="15"/>
                <w:color w:val="auto"/>
              </w:rPr>
            </w:pPr>
          </w:p>
        </w:tc>
      </w:tr>
      <w:tr>
        <w:trPr>
          <w:trHeight w:val="230"/>
        </w:trPr>
        <w:tc>
          <w:tcPr>
            <w:tcW w:w="7780" w:type="dxa"/>
            <w:vAlign w:val="bottom"/>
            <w:shd w:val="clear" w:color="auto" w:fill="B2B2B2"/>
          </w:tcPr>
          <w:p>
            <w:pPr>
              <w:ind w:left="40"/>
              <w:spacing w:after="0"/>
              <w:rPr>
                <w:sz w:val="20"/>
                <w:szCs w:val="20"/>
                <w:color w:val="auto"/>
              </w:rPr>
            </w:pPr>
            <w:r>
              <w:rPr>
                <w:rFonts w:ascii="Arial" w:cs="Arial" w:eastAsia="Arial" w:hAnsi="Arial"/>
                <w:sz w:val="18"/>
                <w:szCs w:val="18"/>
                <w:color w:val="auto"/>
              </w:rPr>
              <w:t>Thomas L. Deitrich*</w:t>
            </w:r>
          </w:p>
        </w:tc>
        <w:tc>
          <w:tcPr>
            <w:tcW w:w="1780" w:type="dxa"/>
            <w:vAlign w:val="bottom"/>
            <w:gridSpan w:val="3"/>
            <w:shd w:val="clear" w:color="auto" w:fill="B2B2B2"/>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7780" w:type="dxa"/>
            <w:vAlign w:val="bottom"/>
          </w:tcPr>
          <w:p>
            <w:pPr>
              <w:ind w:left="40"/>
              <w:spacing w:after="0"/>
              <w:rPr>
                <w:sz w:val="20"/>
                <w:szCs w:val="20"/>
                <w:color w:val="auto"/>
              </w:rPr>
            </w:pPr>
            <w:r>
              <w:rPr>
                <w:rFonts w:ascii="Arial" w:cs="Arial" w:eastAsia="Arial" w:hAnsi="Arial"/>
                <w:sz w:val="18"/>
                <w:szCs w:val="18"/>
                <w:color w:val="auto"/>
              </w:rPr>
              <w:t>Joan S. Hooper</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7780" w:type="dxa"/>
            <w:vAlign w:val="bottom"/>
            <w:shd w:val="clear" w:color="auto" w:fill="B2B2B2"/>
          </w:tcPr>
          <w:p>
            <w:pPr>
              <w:ind w:left="40"/>
              <w:spacing w:after="0"/>
              <w:rPr>
                <w:sz w:val="20"/>
                <w:szCs w:val="20"/>
                <w:color w:val="auto"/>
              </w:rPr>
            </w:pPr>
            <w:r>
              <w:rPr>
                <w:rFonts w:ascii="Arial" w:cs="Arial" w:eastAsia="Arial" w:hAnsi="Arial"/>
                <w:sz w:val="18"/>
                <w:szCs w:val="18"/>
                <w:color w:val="auto"/>
              </w:rPr>
              <w:t>Sarah E. Hlavinka</w:t>
            </w:r>
          </w:p>
        </w:tc>
        <w:tc>
          <w:tcPr>
            <w:tcW w:w="1780" w:type="dxa"/>
            <w:vAlign w:val="bottom"/>
            <w:gridSpan w:val="3"/>
            <w:shd w:val="clear" w:color="auto" w:fill="B2B2B2"/>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7780" w:type="dxa"/>
            <w:vAlign w:val="bottom"/>
          </w:tcPr>
          <w:p>
            <w:pPr>
              <w:ind w:left="40"/>
              <w:spacing w:after="0"/>
              <w:rPr>
                <w:sz w:val="20"/>
                <w:szCs w:val="20"/>
                <w:color w:val="auto"/>
              </w:rPr>
            </w:pPr>
            <w:r>
              <w:rPr>
                <w:rFonts w:ascii="Arial" w:cs="Arial" w:eastAsia="Arial" w:hAnsi="Arial"/>
                <w:sz w:val="18"/>
                <w:szCs w:val="18"/>
                <w:color w:val="auto"/>
              </w:rPr>
              <w:t>Michel C. Cadieux</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7780" w:type="dxa"/>
            <w:vAlign w:val="bottom"/>
            <w:shd w:val="clear" w:color="auto" w:fill="B2B2B2"/>
          </w:tcPr>
          <w:p>
            <w:pPr>
              <w:ind w:left="40"/>
              <w:spacing w:after="0"/>
              <w:rPr>
                <w:sz w:val="20"/>
                <w:szCs w:val="20"/>
                <w:color w:val="auto"/>
              </w:rPr>
            </w:pPr>
            <w:r>
              <w:rPr>
                <w:rFonts w:ascii="Arial" w:cs="Arial" w:eastAsia="Arial" w:hAnsi="Arial"/>
                <w:sz w:val="18"/>
                <w:szCs w:val="18"/>
                <w:color w:val="auto"/>
              </w:rPr>
              <w:t>Donald L. Reeves III</w:t>
            </w:r>
          </w:p>
        </w:tc>
        <w:tc>
          <w:tcPr>
            <w:tcW w:w="1780" w:type="dxa"/>
            <w:vAlign w:val="bottom"/>
            <w:gridSpan w:val="3"/>
            <w:shd w:val="clear" w:color="auto" w:fill="B2B2B2"/>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7780" w:type="dxa"/>
            <w:vAlign w:val="bottom"/>
          </w:tcPr>
          <w:p>
            <w:pPr>
              <w:ind w:left="40"/>
              <w:spacing w:after="0"/>
              <w:rPr>
                <w:sz w:val="20"/>
                <w:szCs w:val="20"/>
                <w:color w:val="auto"/>
              </w:rPr>
            </w:pPr>
            <w:r>
              <w:rPr>
                <w:rFonts w:ascii="Arial" w:cs="Arial" w:eastAsia="Arial" w:hAnsi="Arial"/>
                <w:sz w:val="18"/>
                <w:szCs w:val="18"/>
                <w:color w:val="auto"/>
              </w:rPr>
              <w:t>Philip C. Mezey**</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8483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282" w:lineRule="exact"/>
        <w:rPr>
          <w:sz w:val="20"/>
          <w:szCs w:val="20"/>
          <w:color w:val="auto"/>
        </w:rPr>
      </w:pPr>
    </w:p>
    <w:p>
      <w:pPr>
        <w:ind w:left="360" w:right="40" w:hanging="355"/>
        <w:spacing w:after="0" w:line="258" w:lineRule="auto"/>
        <w:tabs>
          <w:tab w:leader="none" w:pos="3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Mr. Deitrich’s 2019 EMIP award was earned on a prorated basis ─ 100% on base salary from January 1, 2019 through August 5, 2019 and, as a result of his promotion to President and CEO, 125% on base salary from August 6, 2019 through December 31, 2019.</w:t>
      </w:r>
    </w:p>
    <w:p>
      <w:pPr>
        <w:spacing w:after="0" w:line="86" w:lineRule="exact"/>
        <w:rPr>
          <w:sz w:val="20"/>
          <w:szCs w:val="20"/>
          <w:color w:val="auto"/>
        </w:rPr>
      </w:pPr>
    </w:p>
    <w:p>
      <w:pPr>
        <w:ind w:left="360" w:right="100" w:hanging="355"/>
        <w:spacing w:after="0" w:line="258" w:lineRule="auto"/>
        <w:tabs>
          <w:tab w:leader="none" w:pos="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Pursuant to his Transition Agreement, Mr. Mezey was eligible to receive a pro-rated annual cash incentive award for fiscal 2019. His award was based on his base salary through August 31, 2019.</w:t>
      </w:r>
    </w:p>
    <w:p>
      <w:pPr>
        <w:spacing w:after="0" w:line="202"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2019 Financial Performance Objectives. </w:t>
      </w:r>
      <w:r>
        <w:rPr>
          <w:rFonts w:ascii="Arial" w:cs="Arial" w:eastAsia="Arial" w:hAnsi="Arial"/>
          <w:sz w:val="18"/>
          <w:szCs w:val="18"/>
          <w:color w:val="auto"/>
        </w:rPr>
        <w:t>An individual NEO’s EMIP award is based on a mix of financial objectives.</w:t>
      </w:r>
    </w:p>
    <w:p>
      <w:pPr>
        <w:spacing w:after="0" w:line="48"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340" w:type="dxa"/>
            <w:vAlign w:val="bottom"/>
            <w:tcBorders>
              <w:top w:val="single" w:sz="8" w:color="auto"/>
              <w:left w:val="single" w:sz="8" w:color="auto"/>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9"/>
              </w:rPr>
              <w:t>Performance</w:t>
            </w:r>
          </w:p>
        </w:tc>
        <w:tc>
          <w:tcPr>
            <w:tcW w:w="4720" w:type="dxa"/>
            <w:vAlign w:val="bottom"/>
            <w:tcBorders>
              <w:top w:val="single" w:sz="8" w:color="auto"/>
              <w:right w:val="single" w:sz="8" w:color="auto"/>
            </w:tcBorders>
          </w:tcPr>
          <w:p>
            <w:pPr>
              <w:spacing w:after="0"/>
              <w:rPr>
                <w:sz w:val="17"/>
                <w:szCs w:val="17"/>
                <w:color w:val="auto"/>
              </w:rPr>
            </w:pPr>
          </w:p>
        </w:tc>
        <w:tc>
          <w:tcPr>
            <w:tcW w:w="2500" w:type="dxa"/>
            <w:vAlign w:val="bottom"/>
            <w:tcBorders>
              <w:top w:val="single" w:sz="8" w:color="auto"/>
              <w:right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99"/>
              </w:rPr>
              <w:t>EMIP</w:t>
            </w:r>
          </w:p>
        </w:tc>
      </w:tr>
      <w:tr>
        <w:trPr>
          <w:trHeight w:val="239"/>
        </w:trPr>
        <w:tc>
          <w:tcPr>
            <w:tcW w:w="2340" w:type="dxa"/>
            <w:vAlign w:val="bottom"/>
            <w:tcBorders>
              <w:left w:val="single" w:sz="8" w:color="auto"/>
              <w:bottom w:val="single" w:sz="8" w:color="auto"/>
              <w:right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rPr>
              <w:t>Objectives</w:t>
            </w:r>
          </w:p>
        </w:tc>
        <w:tc>
          <w:tcPr>
            <w:tcW w:w="472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8"/>
                <w:szCs w:val="18"/>
                <w:b w:val="1"/>
                <w:bCs w:val="1"/>
                <w:color w:val="auto"/>
              </w:rPr>
              <w:t>Performance Metrics &amp; Weightings</w:t>
            </w:r>
          </w:p>
        </w:tc>
        <w:tc>
          <w:tcPr>
            <w:tcW w:w="2500" w:type="dxa"/>
            <w:vAlign w:val="bottom"/>
            <w:tcBorders>
              <w:bottom w:val="single" w:sz="8" w:color="auto"/>
              <w:right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8"/>
              </w:rPr>
              <w:t>Weighting</w:t>
            </w:r>
          </w:p>
        </w:tc>
      </w:tr>
      <w:tr>
        <w:trPr>
          <w:trHeight w:val="223"/>
        </w:trPr>
        <w:tc>
          <w:tcPr>
            <w:tcW w:w="23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Financial (100%)</w:t>
            </w:r>
          </w:p>
        </w:tc>
        <w:tc>
          <w:tcPr>
            <w:tcW w:w="47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Adjusted EBITDA*</w:t>
            </w:r>
          </w:p>
        </w:tc>
        <w:tc>
          <w:tcPr>
            <w:tcW w:w="2500" w:type="dxa"/>
            <w:vAlign w:val="bottom"/>
            <w:tcBorders>
              <w:bottom w:val="single" w:sz="8" w:color="auto"/>
              <w:right w:val="single" w:sz="8" w:color="auto"/>
            </w:tcBorders>
          </w:tcPr>
          <w:p>
            <w:pPr>
              <w:jc w:val="center"/>
              <w:ind w:left="170"/>
              <w:spacing w:after="0"/>
              <w:rPr>
                <w:sz w:val="20"/>
                <w:szCs w:val="20"/>
                <w:color w:val="auto"/>
              </w:rPr>
            </w:pPr>
            <w:r>
              <w:rPr>
                <w:rFonts w:ascii="Arial" w:cs="Arial" w:eastAsia="Arial" w:hAnsi="Arial"/>
                <w:sz w:val="18"/>
                <w:szCs w:val="18"/>
                <w:color w:val="auto"/>
                <w:w w:val="99"/>
              </w:rPr>
              <w:t>60%</w:t>
            </w:r>
          </w:p>
        </w:tc>
      </w:tr>
      <w:tr>
        <w:trPr>
          <w:trHeight w:val="223"/>
        </w:trPr>
        <w:tc>
          <w:tcPr>
            <w:tcW w:w="1340" w:type="dxa"/>
            <w:vAlign w:val="bottom"/>
            <w:tcBorders>
              <w:lef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47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Revenue</w:t>
            </w:r>
          </w:p>
        </w:tc>
        <w:tc>
          <w:tcPr>
            <w:tcW w:w="2500" w:type="dxa"/>
            <w:vAlign w:val="bottom"/>
            <w:tcBorders>
              <w:bottom w:val="single" w:sz="8" w:color="auto"/>
              <w:right w:val="single" w:sz="8" w:color="auto"/>
            </w:tcBorders>
          </w:tcPr>
          <w:p>
            <w:pPr>
              <w:jc w:val="center"/>
              <w:ind w:left="170"/>
              <w:spacing w:after="0"/>
              <w:rPr>
                <w:sz w:val="20"/>
                <w:szCs w:val="20"/>
                <w:color w:val="auto"/>
              </w:rPr>
            </w:pPr>
            <w:r>
              <w:rPr>
                <w:rFonts w:ascii="Arial" w:cs="Arial" w:eastAsia="Arial" w:hAnsi="Arial"/>
                <w:sz w:val="18"/>
                <w:szCs w:val="18"/>
                <w:color w:val="auto"/>
                <w:w w:val="99"/>
              </w:rPr>
              <w:t>30%</w:t>
            </w:r>
          </w:p>
        </w:tc>
      </w:tr>
      <w:tr>
        <w:trPr>
          <w:trHeight w:val="223"/>
        </w:trPr>
        <w:tc>
          <w:tcPr>
            <w:tcW w:w="1340" w:type="dxa"/>
            <w:vAlign w:val="bottom"/>
            <w:tcBorders>
              <w:left w:val="single" w:sz="8" w:color="auto"/>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47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Free Cash Flow</w:t>
            </w:r>
          </w:p>
        </w:tc>
        <w:tc>
          <w:tcPr>
            <w:tcW w:w="2500" w:type="dxa"/>
            <w:vAlign w:val="bottom"/>
            <w:tcBorders>
              <w:bottom w:val="single" w:sz="8" w:color="auto"/>
              <w:right w:val="single" w:sz="8" w:color="auto"/>
            </w:tcBorders>
          </w:tcPr>
          <w:p>
            <w:pPr>
              <w:jc w:val="center"/>
              <w:ind w:left="170"/>
              <w:spacing w:after="0"/>
              <w:rPr>
                <w:sz w:val="20"/>
                <w:szCs w:val="20"/>
                <w:color w:val="auto"/>
              </w:rPr>
            </w:pPr>
            <w:r>
              <w:rPr>
                <w:rFonts w:ascii="Arial" w:cs="Arial" w:eastAsia="Arial" w:hAnsi="Arial"/>
                <w:sz w:val="18"/>
                <w:szCs w:val="18"/>
                <w:color w:val="auto"/>
                <w:w w:val="99"/>
              </w:rPr>
              <w:t>10%</w:t>
            </w:r>
          </w:p>
        </w:tc>
      </w:tr>
      <w:tr>
        <w:trPr>
          <w:trHeight w:val="223"/>
        </w:trPr>
        <w:tc>
          <w:tcPr>
            <w:tcW w:w="23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Total</w:t>
            </w:r>
          </w:p>
        </w:tc>
        <w:tc>
          <w:tcPr>
            <w:tcW w:w="4720" w:type="dxa"/>
            <w:vAlign w:val="bottom"/>
            <w:tcBorders>
              <w:bottom w:val="single" w:sz="8" w:color="auto"/>
              <w:right w:val="single" w:sz="8" w:color="auto"/>
            </w:tcBorders>
          </w:tcPr>
          <w:p>
            <w:pPr>
              <w:spacing w:after="0"/>
              <w:rPr>
                <w:sz w:val="19"/>
                <w:szCs w:val="19"/>
                <w:color w:val="auto"/>
              </w:rPr>
            </w:pPr>
          </w:p>
        </w:tc>
        <w:tc>
          <w:tcPr>
            <w:tcW w:w="2500" w:type="dxa"/>
            <w:vAlign w:val="bottom"/>
            <w:tcBorders>
              <w:bottom w:val="single" w:sz="8" w:color="auto"/>
              <w:right w:val="single" w:sz="8" w:color="auto"/>
            </w:tcBorders>
          </w:tcPr>
          <w:p>
            <w:pPr>
              <w:jc w:val="center"/>
              <w:ind w:left="150"/>
              <w:spacing w:after="0"/>
              <w:rPr>
                <w:sz w:val="20"/>
                <w:szCs w:val="20"/>
                <w:color w:val="auto"/>
              </w:rPr>
            </w:pPr>
            <w:r>
              <w:rPr>
                <w:rFonts w:ascii="Arial" w:cs="Arial" w:eastAsia="Arial" w:hAnsi="Arial"/>
                <w:sz w:val="18"/>
                <w:szCs w:val="18"/>
                <w:color w:val="auto"/>
                <w:w w:val="99"/>
              </w:rPr>
              <w:t>100%</w:t>
            </w:r>
          </w:p>
        </w:tc>
      </w:tr>
      <w:tr>
        <w:trPr>
          <w:trHeight w:val="183"/>
        </w:trPr>
        <w:tc>
          <w:tcPr>
            <w:tcW w:w="1340" w:type="dxa"/>
            <w:vAlign w:val="bottom"/>
            <w:tcBorders>
              <w:bottom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500" w:type="dxa"/>
            <w:vAlign w:val="bottom"/>
          </w:tcPr>
          <w:p>
            <w:pPr>
              <w:spacing w:after="0"/>
              <w:rPr>
                <w:sz w:val="15"/>
                <w:szCs w:val="15"/>
                <w:color w:val="auto"/>
              </w:rPr>
            </w:pPr>
          </w:p>
        </w:tc>
      </w:tr>
    </w:tbl>
    <w:p>
      <w:pPr>
        <w:spacing w:after="0" w:line="113" w:lineRule="exact"/>
        <w:rPr>
          <w:sz w:val="20"/>
          <w:szCs w:val="20"/>
          <w:color w:val="auto"/>
        </w:rPr>
      </w:pPr>
    </w:p>
    <w:p>
      <w:pPr>
        <w:ind w:left="360" w:hanging="355"/>
        <w:spacing w:after="0"/>
        <w:tabs>
          <w:tab w:leader="none" w:pos="3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If the threshold Adjusted EBITDA goal shown on the table below is not achieved, no portion of the EMIP award will be paid.</w:t>
      </w:r>
    </w:p>
    <w:p>
      <w:pPr>
        <w:spacing w:after="0" w:line="171"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In 2019, we used Adjusted EBITDA, Revenue and Free Cash Flow as the financial performance metrics in the EMIP because we believe it is important to focus on top line growth, as well as profitability and cash generation. Adjusted EBITDA provides a more useful illustration of our financial performance and the ongoing operations of our business, since the adjustments exclude certain expenses that are not indicative of our recurring core operating results. This facilitates better comparisons to our historical performance and our competitors’ operating results.</w:t>
      </w:r>
    </w:p>
    <w:p>
      <w:pPr>
        <w:spacing w:after="0" w:line="16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Each year, the Committee reviews the financial performance and considers adjustments for items that are not reflective of normal operating performance for that year. These adjustments are items that the Committee believes are fair to both participants and shareholders, encourage appropriate actions that foster the long-term health of the business, and are consistent with the objectives underlying our predetermined performance goals. Such exclusions may consist of the costs and financial effects of restructuring, acquisitions and dispositions, selected legal costs and settlements, and the effects of foreign currency translation. No adjustments were made in 2019.</w:t>
      </w:r>
    </w:p>
    <w:p>
      <w:pPr>
        <w:spacing w:after="0" w:line="163"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i w:val="1"/>
          <w:iCs w:val="1"/>
          <w:color w:val="auto"/>
        </w:rPr>
        <w:t xml:space="preserve">2019 Financial Performance Levels &amp; Results. </w:t>
      </w:r>
      <w:r>
        <w:rPr>
          <w:rFonts w:ascii="Arial" w:cs="Arial" w:eastAsia="Arial" w:hAnsi="Arial"/>
          <w:sz w:val="18"/>
          <w:szCs w:val="18"/>
          <w:color w:val="auto"/>
        </w:rPr>
        <w:t>The following table shows the financial performance necessary to</w:t>
      </w:r>
      <w:r>
        <w:rPr>
          <w:rFonts w:ascii="Arial" w:cs="Arial" w:eastAsia="Arial" w:hAnsi="Arial"/>
          <w:sz w:val="18"/>
          <w:szCs w:val="18"/>
          <w:i w:val="1"/>
          <w:iCs w:val="1"/>
          <w:color w:val="auto"/>
        </w:rPr>
        <w:t xml:space="preserve"> </w:t>
      </w:r>
      <w:r>
        <w:rPr>
          <w:rFonts w:ascii="Arial" w:cs="Arial" w:eastAsia="Arial" w:hAnsi="Arial"/>
          <w:sz w:val="18"/>
          <w:szCs w:val="18"/>
          <w:color w:val="auto"/>
        </w:rPr>
        <w:t>achieve threshold and maximum bonus payout amounts, along with actual results for 2019:</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Threshold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Actual</w:t>
            </w:r>
          </w:p>
        </w:tc>
      </w:tr>
      <w:tr>
        <w:trPr>
          <w:trHeight w:val="182"/>
        </w:trPr>
        <w:tc>
          <w:tcPr>
            <w:tcW w:w="1340" w:type="dxa"/>
            <w:vAlign w:val="bottom"/>
            <w:tcBorders>
              <w:bottom w:val="single" w:sz="8" w:color="auto"/>
            </w:tcBorders>
          </w:tcPr>
          <w:p>
            <w:pPr>
              <w:spacing w:after="0"/>
              <w:rPr>
                <w:sz w:val="15"/>
                <w:szCs w:val="15"/>
                <w:color w:val="auto"/>
              </w:rPr>
            </w:pPr>
          </w:p>
        </w:tc>
        <w:tc>
          <w:tcPr>
            <w:tcW w:w="40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($M)</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($M)</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Results ($M)</w:t>
            </w:r>
          </w:p>
        </w:tc>
        <w:tc>
          <w:tcPr>
            <w:tcW w:w="100" w:type="dxa"/>
            <w:vAlign w:val="bottom"/>
          </w:tcPr>
          <w:p>
            <w:pPr>
              <w:spacing w:after="0"/>
              <w:rPr>
                <w:sz w:val="15"/>
                <w:szCs w:val="15"/>
                <w:color w:val="auto"/>
              </w:rPr>
            </w:pPr>
          </w:p>
        </w:tc>
      </w:tr>
      <w:tr>
        <w:trPr>
          <w:trHeight w:val="229"/>
        </w:trPr>
        <w:tc>
          <w:tcPr>
            <w:tcW w:w="5360" w:type="dxa"/>
            <w:vAlign w:val="bottom"/>
            <w:gridSpan w:val="2"/>
            <w:shd w:val="clear" w:color="auto" w:fill="B2B2B2"/>
          </w:tcPr>
          <w:p>
            <w:pPr>
              <w:ind w:left="40"/>
              <w:spacing w:after="0"/>
              <w:rPr>
                <w:sz w:val="20"/>
                <w:szCs w:val="20"/>
                <w:color w:val="auto"/>
              </w:rPr>
            </w:pPr>
            <w:r>
              <w:rPr>
                <w:rFonts w:ascii="Arial" w:cs="Arial" w:eastAsia="Arial" w:hAnsi="Arial"/>
                <w:sz w:val="18"/>
                <w:szCs w:val="18"/>
                <w:color w:val="auto"/>
              </w:rPr>
              <w:t>Adjusted EBITDA</w:t>
            </w:r>
          </w:p>
        </w:tc>
        <w:tc>
          <w:tcPr>
            <w:tcW w:w="36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B2B2B2"/>
          </w:tcPr>
          <w:p>
            <w:pPr>
              <w:jc w:val="right"/>
              <w:ind w:right="80"/>
              <w:spacing w:after="0"/>
              <w:rPr>
                <w:sz w:val="20"/>
                <w:szCs w:val="20"/>
                <w:color w:val="auto"/>
              </w:rPr>
            </w:pPr>
            <w:r>
              <w:rPr>
                <w:rFonts w:ascii="Arial" w:cs="Arial" w:eastAsia="Arial" w:hAnsi="Arial"/>
                <w:sz w:val="18"/>
                <w:szCs w:val="18"/>
                <w:color w:val="auto"/>
              </w:rPr>
              <w:t>239</w:t>
            </w:r>
          </w:p>
        </w:tc>
        <w:tc>
          <w:tcPr>
            <w:tcW w:w="24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350</w:t>
            </w:r>
          </w:p>
        </w:tc>
        <w:tc>
          <w:tcPr>
            <w:tcW w:w="28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270.0</w:t>
            </w:r>
          </w:p>
        </w:tc>
      </w:tr>
      <w:tr>
        <w:trPr>
          <w:trHeight w:val="230"/>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2,318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2,659</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2,502.5</w:t>
            </w:r>
          </w:p>
        </w:tc>
      </w:tr>
      <w:tr>
        <w:trPr>
          <w:trHeight w:val="230"/>
        </w:trPr>
        <w:tc>
          <w:tcPr>
            <w:tcW w:w="5360" w:type="dxa"/>
            <w:vAlign w:val="bottom"/>
            <w:gridSpan w:val="2"/>
            <w:shd w:val="clear" w:color="auto" w:fill="B2B2B2"/>
          </w:tcPr>
          <w:p>
            <w:pPr>
              <w:ind w:left="40"/>
              <w:spacing w:after="0"/>
              <w:rPr>
                <w:sz w:val="20"/>
                <w:szCs w:val="20"/>
                <w:color w:val="auto"/>
              </w:rPr>
            </w:pPr>
            <w:r>
              <w:rPr>
                <w:rFonts w:ascii="Arial" w:cs="Arial" w:eastAsia="Arial" w:hAnsi="Arial"/>
                <w:sz w:val="18"/>
                <w:szCs w:val="18"/>
                <w:color w:val="auto"/>
              </w:rPr>
              <w:t>Free Cash Flow</w:t>
            </w:r>
          </w:p>
        </w:tc>
        <w:tc>
          <w:tcPr>
            <w:tcW w:w="36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B2B2B2"/>
          </w:tcPr>
          <w:p>
            <w:pPr>
              <w:jc w:val="right"/>
              <w:ind w:right="8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B2B2B2"/>
          </w:tcPr>
          <w:p>
            <w:pPr>
              <w:spacing w:after="0"/>
              <w:rPr>
                <w:sz w:val="19"/>
                <w:szCs w:val="19"/>
                <w:color w:val="auto"/>
              </w:rPr>
            </w:pPr>
          </w:p>
        </w:tc>
        <w:tc>
          <w:tcPr>
            <w:tcW w:w="140" w:type="dxa"/>
            <w:vAlign w:val="bottom"/>
            <w:shd w:val="clear" w:color="auto" w:fill="B2B2B2"/>
          </w:tcPr>
          <w:p>
            <w:pPr>
              <w:spacing w:after="0"/>
              <w:rPr>
                <w:sz w:val="19"/>
                <w:szCs w:val="19"/>
                <w:color w:val="auto"/>
              </w:rPr>
            </w:pPr>
          </w:p>
        </w:tc>
        <w:tc>
          <w:tcPr>
            <w:tcW w:w="100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135</w:t>
            </w:r>
          </w:p>
        </w:tc>
        <w:tc>
          <w:tcPr>
            <w:tcW w:w="28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112.5</w:t>
            </w:r>
          </w:p>
        </w:tc>
      </w:tr>
      <w:tr>
        <w:trPr>
          <w:trHeight w:val="175"/>
        </w:trPr>
        <w:tc>
          <w:tcPr>
            <w:tcW w:w="1340" w:type="dxa"/>
            <w:vAlign w:val="bottom"/>
            <w:tcBorders>
              <w:bottom w:val="single" w:sz="8" w:color="auto"/>
            </w:tcBorders>
          </w:tcPr>
          <w:p>
            <w:pPr>
              <w:spacing w:after="0"/>
              <w:rPr>
                <w:sz w:val="15"/>
                <w:szCs w:val="15"/>
                <w:color w:val="auto"/>
              </w:rPr>
            </w:pPr>
          </w:p>
        </w:tc>
        <w:tc>
          <w:tcPr>
            <w:tcW w:w="4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Note: Payouts are linearly interpolated for performance between threshold and maximum.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2019 EMIP Results and Payouts. </w:t>
      </w:r>
      <w:r>
        <w:rPr>
          <w:rFonts w:ascii="Arial" w:cs="Arial" w:eastAsia="Arial" w:hAnsi="Arial"/>
          <w:sz w:val="18"/>
          <w:szCs w:val="18"/>
          <w:color w:val="auto"/>
        </w:rPr>
        <w:t>The following table summarizes the financial performance results for 2019:</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Overall</w:t>
            </w:r>
          </w:p>
        </w:tc>
      </w:tr>
      <w:tr>
        <w:trPr>
          <w:trHeight w:val="162"/>
        </w:trPr>
        <w:tc>
          <w:tcPr>
            <w:tcW w:w="30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 of</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82"/>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Performance Objectives</w:t>
            </w:r>
          </w:p>
        </w:tc>
        <w:tc>
          <w:tcPr>
            <w:tcW w:w="21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Weighting</w:t>
            </w:r>
          </w:p>
        </w:tc>
        <w:tc>
          <w:tcPr>
            <w:tcW w:w="20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Attainment</w:t>
            </w:r>
          </w:p>
        </w:tc>
        <w:tc>
          <w:tcPr>
            <w:tcW w:w="180" w:type="dxa"/>
            <w:vAlign w:val="bottom"/>
          </w:tcPr>
          <w:p>
            <w:pPr>
              <w:spacing w:after="0"/>
              <w:rPr>
                <w:sz w:val="15"/>
                <w:szCs w:val="15"/>
                <w:color w:val="auto"/>
              </w:rPr>
            </w:pPr>
          </w:p>
        </w:tc>
        <w:tc>
          <w:tcPr>
            <w:tcW w:w="120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Attainment</w:t>
            </w:r>
          </w:p>
        </w:tc>
        <w:tc>
          <w:tcPr>
            <w:tcW w:w="100" w:type="dxa"/>
            <w:vAlign w:val="bottom"/>
          </w:tcPr>
          <w:p>
            <w:pPr>
              <w:spacing w:after="0"/>
              <w:rPr>
                <w:sz w:val="15"/>
                <w:szCs w:val="15"/>
                <w:color w:val="auto"/>
              </w:rPr>
            </w:pPr>
          </w:p>
        </w:tc>
      </w:tr>
      <w:tr>
        <w:trPr>
          <w:trHeight w:val="230"/>
        </w:trPr>
        <w:tc>
          <w:tcPr>
            <w:tcW w:w="3080" w:type="dxa"/>
            <w:vAlign w:val="bottom"/>
            <w:shd w:val="clear" w:color="auto" w:fill="B2B2B2"/>
          </w:tcPr>
          <w:p>
            <w:pPr>
              <w:ind w:left="40"/>
              <w:spacing w:after="0"/>
              <w:rPr>
                <w:sz w:val="20"/>
                <w:szCs w:val="20"/>
                <w:color w:val="auto"/>
              </w:rPr>
            </w:pPr>
            <w:r>
              <w:rPr>
                <w:rFonts w:ascii="Arial" w:cs="Arial" w:eastAsia="Arial" w:hAnsi="Arial"/>
                <w:sz w:val="18"/>
                <w:szCs w:val="18"/>
                <w:color w:val="auto"/>
              </w:rPr>
              <w:t>Adjusted EBITDA</w:t>
            </w:r>
          </w:p>
        </w:tc>
        <w:tc>
          <w:tcPr>
            <w:tcW w:w="3600" w:type="dxa"/>
            <w:vAlign w:val="bottom"/>
            <w:gridSpan w:val="4"/>
            <w:shd w:val="clear" w:color="auto" w:fill="B2B2B2"/>
          </w:tcPr>
          <w:p>
            <w:pPr>
              <w:jc w:val="right"/>
              <w:ind w:right="100"/>
              <w:spacing w:after="0"/>
              <w:rPr>
                <w:sz w:val="20"/>
                <w:szCs w:val="20"/>
                <w:color w:val="auto"/>
              </w:rPr>
            </w:pPr>
            <w:r>
              <w:rPr>
                <w:rFonts w:ascii="Arial" w:cs="Arial" w:eastAsia="Arial" w:hAnsi="Arial"/>
                <w:sz w:val="18"/>
                <w:szCs w:val="18"/>
                <w:color w:val="auto"/>
              </w:rPr>
              <w:t>60%</w:t>
            </w:r>
          </w:p>
        </w:tc>
        <w:tc>
          <w:tcPr>
            <w:tcW w:w="1580" w:type="dxa"/>
            <w:vAlign w:val="bottom"/>
            <w:gridSpan w:val="2"/>
            <w:shd w:val="clear" w:color="auto" w:fill="B2B2B2"/>
          </w:tcPr>
          <w:p>
            <w:pPr>
              <w:jc w:val="right"/>
              <w:ind w:right="80"/>
              <w:spacing w:after="0"/>
              <w:rPr>
                <w:sz w:val="20"/>
                <w:szCs w:val="20"/>
                <w:color w:val="auto"/>
              </w:rPr>
            </w:pPr>
            <w:r>
              <w:rPr>
                <w:rFonts w:ascii="Arial" w:cs="Arial" w:eastAsia="Arial" w:hAnsi="Arial"/>
                <w:sz w:val="18"/>
                <w:szCs w:val="18"/>
                <w:color w:val="auto"/>
              </w:rPr>
              <w:t>60.4%</w:t>
            </w:r>
          </w:p>
        </w:tc>
        <w:tc>
          <w:tcPr>
            <w:tcW w:w="130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36.3%</w:t>
            </w:r>
          </w:p>
        </w:tc>
      </w:tr>
      <w:tr>
        <w:trPr>
          <w:trHeight w:val="230"/>
        </w:trPr>
        <w:tc>
          <w:tcPr>
            <w:tcW w:w="3080" w:type="dxa"/>
            <w:vAlign w:val="bottom"/>
          </w:tcPr>
          <w:p>
            <w:pPr>
              <w:ind w:left="40"/>
              <w:spacing w:after="0"/>
              <w:rPr>
                <w:sz w:val="20"/>
                <w:szCs w:val="20"/>
                <w:color w:val="auto"/>
              </w:rPr>
            </w:pPr>
            <w:r>
              <w:rPr>
                <w:rFonts w:ascii="Arial" w:cs="Arial" w:eastAsia="Arial" w:hAnsi="Arial"/>
                <w:sz w:val="18"/>
                <w:szCs w:val="18"/>
                <w:color w:val="auto"/>
              </w:rPr>
              <w:t>Revenue</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30%</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102.6%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30.8%</w:t>
            </w:r>
          </w:p>
        </w:tc>
      </w:tr>
      <w:tr>
        <w:trPr>
          <w:trHeight w:val="229"/>
        </w:trPr>
        <w:tc>
          <w:tcPr>
            <w:tcW w:w="3080" w:type="dxa"/>
            <w:vAlign w:val="bottom"/>
            <w:shd w:val="clear" w:color="auto" w:fill="B2B2B2"/>
          </w:tcPr>
          <w:p>
            <w:pPr>
              <w:ind w:left="40"/>
              <w:spacing w:after="0"/>
              <w:rPr>
                <w:sz w:val="20"/>
                <w:szCs w:val="20"/>
                <w:color w:val="auto"/>
              </w:rPr>
            </w:pPr>
            <w:r>
              <w:rPr>
                <w:rFonts w:ascii="Arial" w:cs="Arial" w:eastAsia="Arial" w:hAnsi="Arial"/>
                <w:sz w:val="18"/>
                <w:szCs w:val="18"/>
                <w:color w:val="auto"/>
              </w:rPr>
              <w:t>Free Cash Flow</w:t>
            </w:r>
          </w:p>
        </w:tc>
        <w:tc>
          <w:tcPr>
            <w:tcW w:w="3600" w:type="dxa"/>
            <w:vAlign w:val="bottom"/>
            <w:gridSpan w:val="4"/>
            <w:shd w:val="clear" w:color="auto" w:fill="B2B2B2"/>
          </w:tcPr>
          <w:p>
            <w:pPr>
              <w:jc w:val="right"/>
              <w:ind w:right="100"/>
              <w:spacing w:after="0"/>
              <w:rPr>
                <w:sz w:val="20"/>
                <w:szCs w:val="20"/>
                <w:color w:val="auto"/>
              </w:rPr>
            </w:pPr>
            <w:r>
              <w:rPr>
                <w:rFonts w:ascii="Arial" w:cs="Arial" w:eastAsia="Arial" w:hAnsi="Arial"/>
                <w:sz w:val="18"/>
                <w:szCs w:val="18"/>
                <w:color w:val="auto"/>
              </w:rPr>
              <w:t>10%</w:t>
            </w:r>
          </w:p>
        </w:tc>
        <w:tc>
          <w:tcPr>
            <w:tcW w:w="1580" w:type="dxa"/>
            <w:vAlign w:val="bottom"/>
            <w:gridSpan w:val="2"/>
            <w:shd w:val="clear" w:color="auto" w:fill="B2B2B2"/>
          </w:tcPr>
          <w:p>
            <w:pPr>
              <w:jc w:val="right"/>
              <w:ind w:right="80"/>
              <w:spacing w:after="0"/>
              <w:rPr>
                <w:sz w:val="20"/>
                <w:szCs w:val="20"/>
                <w:color w:val="auto"/>
              </w:rPr>
            </w:pPr>
            <w:r>
              <w:rPr>
                <w:rFonts w:ascii="Arial" w:cs="Arial" w:eastAsia="Arial" w:hAnsi="Arial"/>
                <w:sz w:val="18"/>
                <w:szCs w:val="18"/>
                <w:color w:val="auto"/>
              </w:rPr>
              <w:t>105.0%</w:t>
            </w:r>
          </w:p>
        </w:tc>
        <w:tc>
          <w:tcPr>
            <w:tcW w:w="130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3080" w:type="dxa"/>
            <w:vAlign w:val="bottom"/>
          </w:tcPr>
          <w:p>
            <w:pPr>
              <w:ind w:left="40"/>
              <w:spacing w:after="0"/>
              <w:rPr>
                <w:sz w:val="20"/>
                <w:szCs w:val="20"/>
                <w:color w:val="auto"/>
              </w:rPr>
            </w:pPr>
            <w:r>
              <w:rPr>
                <w:rFonts w:ascii="Arial" w:cs="Arial" w:eastAsia="Arial" w:hAnsi="Arial"/>
                <w:sz w:val="18"/>
                <w:szCs w:val="18"/>
                <w:color w:val="auto"/>
              </w:rPr>
              <w:t>Total:</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100%</w:t>
            </w: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77.5%</w:t>
            </w:r>
          </w:p>
        </w:tc>
      </w:tr>
      <w:tr>
        <w:trPr>
          <w:trHeight w:val="445"/>
        </w:trPr>
        <w:tc>
          <w:tcPr>
            <w:tcW w:w="3080" w:type="dxa"/>
            <w:vAlign w:val="bottom"/>
          </w:tcPr>
          <w:p>
            <w:pPr>
              <w:spacing w:after="0"/>
              <w:rPr>
                <w:sz w:val="24"/>
                <w:szCs w:val="24"/>
                <w:color w:val="auto"/>
              </w:rPr>
            </w:pPr>
          </w:p>
        </w:tc>
        <w:tc>
          <w:tcPr>
            <w:tcW w:w="2100" w:type="dxa"/>
            <w:vAlign w:val="bottom"/>
          </w:tcPr>
          <w:p>
            <w:pPr>
              <w:jc w:val="right"/>
              <w:ind w:right="29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0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68"/>
        </w:trPr>
        <w:tc>
          <w:tcPr>
            <w:tcW w:w="3080" w:type="dxa"/>
            <w:vAlign w:val="bottom"/>
            <w:shd w:val="clear" w:color="auto" w:fill="000000"/>
          </w:tcPr>
          <w:p>
            <w:pPr>
              <w:spacing w:after="0"/>
              <w:rPr>
                <w:sz w:val="5"/>
                <w:szCs w:val="5"/>
                <w:color w:val="auto"/>
              </w:rPr>
            </w:pPr>
          </w:p>
        </w:tc>
        <w:tc>
          <w:tcPr>
            <w:tcW w:w="21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Based on the above financial performance results, the funding of the EMIP was set at 77.5% of each NEO’s applicable target. The Committee retains discretion to further adjust the award upward or downward based on its assessment of individual performance. The following table lists the actual awards and bonuses earned by the NEOs in 2019 (and paid in 2020):</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Target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Target EMIP Payout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Actual Cash Payout*</w:t>
            </w:r>
          </w:p>
        </w:tc>
      </w:tr>
      <w:tr>
        <w:trPr>
          <w:trHeight w:val="182"/>
        </w:trPr>
        <w:tc>
          <w:tcPr>
            <w:tcW w:w="394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NEO</w:t>
            </w:r>
          </w:p>
        </w:tc>
        <w:tc>
          <w:tcPr>
            <w:tcW w:w="200" w:type="dxa"/>
            <w:vAlign w:val="bottom"/>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 a % of Base Salary)</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r>
      <w:tr>
        <w:trPr>
          <w:trHeight w:val="229"/>
        </w:trPr>
        <w:tc>
          <w:tcPr>
            <w:tcW w:w="3940" w:type="dxa"/>
            <w:vAlign w:val="bottom"/>
            <w:shd w:val="clear" w:color="auto" w:fill="B2B2B2"/>
          </w:tcPr>
          <w:p>
            <w:pPr>
              <w:ind w:left="40"/>
              <w:spacing w:after="0"/>
              <w:rPr>
                <w:sz w:val="20"/>
                <w:szCs w:val="20"/>
                <w:color w:val="auto"/>
              </w:rPr>
            </w:pPr>
            <w:r>
              <w:rPr>
                <w:rFonts w:ascii="Arial" w:cs="Arial" w:eastAsia="Arial" w:hAnsi="Arial"/>
                <w:sz w:val="18"/>
                <w:szCs w:val="18"/>
                <w:color w:val="auto"/>
              </w:rPr>
              <w:t>Thomas L. Deitrich**</w:t>
            </w:r>
          </w:p>
        </w:tc>
        <w:tc>
          <w:tcPr>
            <w:tcW w:w="2200" w:type="dxa"/>
            <w:vAlign w:val="bottom"/>
            <w:gridSpan w:val="3"/>
            <w:shd w:val="clear" w:color="auto" w:fill="B2B2B2"/>
          </w:tcPr>
          <w:p>
            <w:pPr>
              <w:jc w:val="right"/>
              <w:ind w:right="40"/>
              <w:spacing w:after="0"/>
              <w:rPr>
                <w:sz w:val="20"/>
                <w:szCs w:val="20"/>
                <w:color w:val="auto"/>
              </w:rPr>
            </w:pPr>
            <w:r>
              <w:rPr>
                <w:rFonts w:ascii="Arial" w:cs="Arial" w:eastAsia="Arial" w:hAnsi="Arial"/>
                <w:sz w:val="18"/>
                <w:szCs w:val="18"/>
                <w:color w:val="auto"/>
              </w:rPr>
              <w:t>125%</w:t>
            </w:r>
          </w:p>
        </w:tc>
        <w:tc>
          <w:tcPr>
            <w:tcW w:w="14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B2B2B2"/>
          </w:tcPr>
          <w:p>
            <w:pPr>
              <w:jc w:val="right"/>
              <w:ind w:right="80"/>
              <w:spacing w:after="0"/>
              <w:rPr>
                <w:sz w:val="20"/>
                <w:szCs w:val="20"/>
                <w:color w:val="auto"/>
              </w:rPr>
            </w:pPr>
            <w:r>
              <w:rPr>
                <w:rFonts w:ascii="Arial" w:cs="Arial" w:eastAsia="Arial" w:hAnsi="Arial"/>
                <w:sz w:val="18"/>
                <w:szCs w:val="18"/>
                <w:color w:val="auto"/>
              </w:rPr>
              <w:t>732,475</w:t>
            </w:r>
          </w:p>
        </w:tc>
        <w:tc>
          <w:tcPr>
            <w:tcW w:w="20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567,668</w:t>
            </w:r>
          </w:p>
        </w:tc>
      </w:tr>
      <w:tr>
        <w:trPr>
          <w:trHeight w:val="230"/>
        </w:trPr>
        <w:tc>
          <w:tcPr>
            <w:tcW w:w="3940" w:type="dxa"/>
            <w:vAlign w:val="bottom"/>
          </w:tcPr>
          <w:p>
            <w:pPr>
              <w:ind w:left="40"/>
              <w:spacing w:after="0"/>
              <w:rPr>
                <w:sz w:val="20"/>
                <w:szCs w:val="20"/>
                <w:color w:val="auto"/>
              </w:rPr>
            </w:pPr>
            <w:r>
              <w:rPr>
                <w:rFonts w:ascii="Arial" w:cs="Arial" w:eastAsia="Arial" w:hAnsi="Arial"/>
                <w:sz w:val="18"/>
                <w:szCs w:val="18"/>
                <w:color w:val="auto"/>
              </w:rPr>
              <w:t>Joan S. Hooper</w:t>
            </w:r>
          </w:p>
        </w:tc>
        <w:tc>
          <w:tcPr>
            <w:tcW w:w="2200" w:type="dxa"/>
            <w:vAlign w:val="bottom"/>
            <w:gridSpan w:val="3"/>
          </w:tcPr>
          <w:p>
            <w:pPr>
              <w:jc w:val="right"/>
              <w:ind w:right="40"/>
              <w:spacing w:after="0"/>
              <w:rPr>
                <w:sz w:val="20"/>
                <w:szCs w:val="20"/>
                <w:color w:val="auto"/>
              </w:rPr>
            </w:pPr>
            <w:r>
              <w:rPr>
                <w:rFonts w:ascii="Arial" w:cs="Arial" w:eastAsia="Arial" w:hAnsi="Arial"/>
                <w:sz w:val="18"/>
                <w:szCs w:val="18"/>
                <w:color w:val="auto"/>
              </w:rPr>
              <w:t>75%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363,750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310,097</w:t>
            </w:r>
          </w:p>
        </w:tc>
      </w:tr>
      <w:tr>
        <w:trPr>
          <w:trHeight w:val="229"/>
        </w:trPr>
        <w:tc>
          <w:tcPr>
            <w:tcW w:w="3940" w:type="dxa"/>
            <w:vAlign w:val="bottom"/>
            <w:shd w:val="clear" w:color="auto" w:fill="B2B2B2"/>
          </w:tcPr>
          <w:p>
            <w:pPr>
              <w:ind w:left="40"/>
              <w:spacing w:after="0"/>
              <w:rPr>
                <w:sz w:val="20"/>
                <w:szCs w:val="20"/>
                <w:color w:val="auto"/>
              </w:rPr>
            </w:pPr>
            <w:r>
              <w:rPr>
                <w:rFonts w:ascii="Arial" w:cs="Arial" w:eastAsia="Arial" w:hAnsi="Arial"/>
                <w:sz w:val="18"/>
                <w:szCs w:val="18"/>
                <w:color w:val="auto"/>
              </w:rPr>
              <w:t>Sarah E. Hlavinka</w:t>
            </w:r>
          </w:p>
        </w:tc>
        <w:tc>
          <w:tcPr>
            <w:tcW w:w="2200" w:type="dxa"/>
            <w:vAlign w:val="bottom"/>
            <w:gridSpan w:val="3"/>
            <w:shd w:val="clear" w:color="auto" w:fill="B2B2B2"/>
          </w:tcPr>
          <w:p>
            <w:pPr>
              <w:jc w:val="right"/>
              <w:ind w:right="40"/>
              <w:spacing w:after="0"/>
              <w:rPr>
                <w:sz w:val="20"/>
                <w:szCs w:val="20"/>
                <w:color w:val="auto"/>
              </w:rPr>
            </w:pPr>
            <w:r>
              <w:rPr>
                <w:rFonts w:ascii="Arial" w:cs="Arial" w:eastAsia="Arial" w:hAnsi="Arial"/>
                <w:sz w:val="18"/>
                <w:szCs w:val="18"/>
                <w:color w:val="auto"/>
              </w:rPr>
              <w:t>75%</w:t>
            </w:r>
          </w:p>
        </w:tc>
        <w:tc>
          <w:tcPr>
            <w:tcW w:w="14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B2B2B2"/>
          </w:tcPr>
          <w:p>
            <w:pPr>
              <w:jc w:val="right"/>
              <w:ind w:right="80"/>
              <w:spacing w:after="0"/>
              <w:rPr>
                <w:sz w:val="20"/>
                <w:szCs w:val="20"/>
                <w:color w:val="auto"/>
              </w:rPr>
            </w:pPr>
            <w:r>
              <w:rPr>
                <w:rFonts w:ascii="Arial" w:cs="Arial" w:eastAsia="Arial" w:hAnsi="Arial"/>
                <w:sz w:val="18"/>
                <w:szCs w:val="18"/>
                <w:color w:val="auto"/>
              </w:rPr>
              <w:t>356,250</w:t>
            </w:r>
          </w:p>
        </w:tc>
        <w:tc>
          <w:tcPr>
            <w:tcW w:w="20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248,484</w:t>
            </w:r>
          </w:p>
        </w:tc>
      </w:tr>
      <w:tr>
        <w:trPr>
          <w:trHeight w:val="230"/>
        </w:trPr>
        <w:tc>
          <w:tcPr>
            <w:tcW w:w="3940" w:type="dxa"/>
            <w:vAlign w:val="bottom"/>
          </w:tcPr>
          <w:p>
            <w:pPr>
              <w:ind w:left="40"/>
              <w:spacing w:after="0"/>
              <w:rPr>
                <w:sz w:val="20"/>
                <w:szCs w:val="20"/>
                <w:color w:val="auto"/>
              </w:rPr>
            </w:pPr>
            <w:r>
              <w:rPr>
                <w:rFonts w:ascii="Arial" w:cs="Arial" w:eastAsia="Arial" w:hAnsi="Arial"/>
                <w:sz w:val="18"/>
                <w:szCs w:val="18"/>
                <w:color w:val="auto"/>
              </w:rPr>
              <w:t>Michel C. Cadieux</w:t>
            </w:r>
          </w:p>
        </w:tc>
        <w:tc>
          <w:tcPr>
            <w:tcW w:w="2200" w:type="dxa"/>
            <w:vAlign w:val="bottom"/>
            <w:gridSpan w:val="3"/>
          </w:tcPr>
          <w:p>
            <w:pPr>
              <w:jc w:val="right"/>
              <w:ind w:right="40"/>
              <w:spacing w:after="0"/>
              <w:rPr>
                <w:sz w:val="20"/>
                <w:szCs w:val="20"/>
                <w:color w:val="auto"/>
              </w:rPr>
            </w:pPr>
            <w:r>
              <w:rPr>
                <w:rFonts w:ascii="Arial" w:cs="Arial" w:eastAsia="Arial" w:hAnsi="Arial"/>
                <w:sz w:val="18"/>
                <w:szCs w:val="18"/>
                <w:color w:val="auto"/>
              </w:rPr>
              <w:t>75%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232,500</w:t>
            </w:r>
          </w:p>
        </w:tc>
      </w:tr>
      <w:tr>
        <w:trPr>
          <w:trHeight w:val="229"/>
        </w:trPr>
        <w:tc>
          <w:tcPr>
            <w:tcW w:w="3940" w:type="dxa"/>
            <w:vAlign w:val="bottom"/>
            <w:shd w:val="clear" w:color="auto" w:fill="B2B2B2"/>
          </w:tcPr>
          <w:p>
            <w:pPr>
              <w:ind w:left="40"/>
              <w:spacing w:after="0"/>
              <w:rPr>
                <w:sz w:val="20"/>
                <w:szCs w:val="20"/>
                <w:color w:val="auto"/>
              </w:rPr>
            </w:pPr>
            <w:r>
              <w:rPr>
                <w:rFonts w:ascii="Arial" w:cs="Arial" w:eastAsia="Arial" w:hAnsi="Arial"/>
                <w:sz w:val="18"/>
                <w:szCs w:val="18"/>
                <w:color w:val="auto"/>
              </w:rPr>
              <w:t>Donald L. Reeves III</w:t>
            </w:r>
          </w:p>
        </w:tc>
        <w:tc>
          <w:tcPr>
            <w:tcW w:w="2200" w:type="dxa"/>
            <w:vAlign w:val="bottom"/>
            <w:gridSpan w:val="3"/>
            <w:shd w:val="clear" w:color="auto" w:fill="B2B2B2"/>
          </w:tcPr>
          <w:p>
            <w:pPr>
              <w:jc w:val="right"/>
              <w:ind w:right="40"/>
              <w:spacing w:after="0"/>
              <w:rPr>
                <w:sz w:val="20"/>
                <w:szCs w:val="20"/>
                <w:color w:val="auto"/>
              </w:rPr>
            </w:pPr>
            <w:r>
              <w:rPr>
                <w:rFonts w:ascii="Arial" w:cs="Arial" w:eastAsia="Arial" w:hAnsi="Arial"/>
                <w:sz w:val="18"/>
                <w:szCs w:val="18"/>
                <w:color w:val="auto"/>
              </w:rPr>
              <w:t>50%</w:t>
            </w:r>
          </w:p>
        </w:tc>
        <w:tc>
          <w:tcPr>
            <w:tcW w:w="14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B2B2B2"/>
          </w:tcPr>
          <w:p>
            <w:pPr>
              <w:jc w:val="right"/>
              <w:ind w:right="80"/>
              <w:spacing w:after="0"/>
              <w:rPr>
                <w:sz w:val="20"/>
                <w:szCs w:val="20"/>
                <w:color w:val="auto"/>
              </w:rPr>
            </w:pPr>
            <w:r>
              <w:rPr>
                <w:rFonts w:ascii="Arial" w:cs="Arial" w:eastAsia="Arial" w:hAnsi="Arial"/>
                <w:sz w:val="18"/>
                <w:szCs w:val="18"/>
                <w:color w:val="auto"/>
              </w:rPr>
              <w:t>212,500</w:t>
            </w:r>
          </w:p>
        </w:tc>
        <w:tc>
          <w:tcPr>
            <w:tcW w:w="20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164,688</w:t>
            </w:r>
          </w:p>
        </w:tc>
      </w:tr>
      <w:tr>
        <w:trPr>
          <w:trHeight w:val="229"/>
        </w:trPr>
        <w:tc>
          <w:tcPr>
            <w:tcW w:w="3940" w:type="dxa"/>
            <w:vAlign w:val="bottom"/>
          </w:tcPr>
          <w:p>
            <w:pPr>
              <w:ind w:left="40"/>
              <w:spacing w:after="0"/>
              <w:rPr>
                <w:sz w:val="20"/>
                <w:szCs w:val="20"/>
                <w:color w:val="auto"/>
              </w:rPr>
            </w:pPr>
            <w:r>
              <w:rPr>
                <w:rFonts w:ascii="Arial" w:cs="Arial" w:eastAsia="Arial" w:hAnsi="Arial"/>
                <w:sz w:val="18"/>
                <w:szCs w:val="18"/>
                <w:color w:val="auto"/>
              </w:rPr>
              <w:t>Philip C. Mezey***</w:t>
            </w:r>
          </w:p>
        </w:tc>
        <w:tc>
          <w:tcPr>
            <w:tcW w:w="2200" w:type="dxa"/>
            <w:vAlign w:val="bottom"/>
            <w:gridSpan w:val="3"/>
          </w:tcPr>
          <w:p>
            <w:pPr>
              <w:jc w:val="right"/>
              <w:ind w:right="40"/>
              <w:spacing w:after="0"/>
              <w:rPr>
                <w:sz w:val="20"/>
                <w:szCs w:val="20"/>
                <w:color w:val="auto"/>
              </w:rPr>
            </w:pPr>
            <w:r>
              <w:rPr>
                <w:rFonts w:ascii="Arial" w:cs="Arial" w:eastAsia="Arial" w:hAnsi="Arial"/>
                <w:sz w:val="18"/>
                <w:szCs w:val="18"/>
                <w:color w:val="auto"/>
              </w:rPr>
              <w:t>125%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686,606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532,120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8483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295" w:lineRule="exact"/>
        <w:rPr>
          <w:sz w:val="20"/>
          <w:szCs w:val="20"/>
          <w:color w:val="auto"/>
        </w:rPr>
      </w:pPr>
    </w:p>
    <w:p>
      <w:pPr>
        <w:ind w:left="360" w:hanging="355"/>
        <w:spacing w:after="0"/>
        <w:tabs>
          <w:tab w:leader="none" w:pos="3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As adjusted based on Company performance and individual performance factors.</w:t>
      </w:r>
    </w:p>
    <w:p>
      <w:pPr>
        <w:spacing w:after="0" w:line="109" w:lineRule="exact"/>
        <w:rPr>
          <w:sz w:val="20"/>
          <w:szCs w:val="20"/>
          <w:color w:val="auto"/>
        </w:rPr>
      </w:pPr>
    </w:p>
    <w:p>
      <w:pPr>
        <w:ind w:left="360" w:right="80" w:hanging="355"/>
        <w:spacing w:after="0" w:line="247" w:lineRule="auto"/>
        <w:tabs>
          <w:tab w:leader="none" w:pos="3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Mr. Deitrich’s 2019 EMIP award was earned on a prorated basis ─ 100% on base salary from January 1, 2019 through August 5, 2019, which results in a prorated Target EMIP Payout of $326,975 and an Actual Cash Payout of $253,406 for this period and, as a result of his promotion to President and CEO, 125% on base salary from August 6, 2019 through December 31, 2019, which results in a prorated Target EMIP Payout of $405,500 and an Actual Cash Payout of $314,262 for this period.</w:t>
      </w:r>
    </w:p>
    <w:p>
      <w:pPr>
        <w:spacing w:after="0" w:line="93" w:lineRule="exact"/>
        <w:rPr>
          <w:rFonts w:ascii="Arial" w:cs="Arial" w:eastAsia="Arial" w:hAnsi="Arial"/>
          <w:sz w:val="14"/>
          <w:szCs w:val="14"/>
          <w:color w:val="auto"/>
        </w:rPr>
      </w:pPr>
    </w:p>
    <w:p>
      <w:pPr>
        <w:ind w:left="360" w:right="100" w:hanging="355"/>
        <w:spacing w:after="0" w:line="258" w:lineRule="auto"/>
        <w:tabs>
          <w:tab w:leader="none" w:pos="3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Pursuant to his Transition Agreement, Mr. Mezey was eligible to receive a pro-rated annual cash incentive award for fiscal 2019. His award was based on his base salary through August 31,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Incentives</w:t>
      </w:r>
    </w:p>
    <w:p>
      <w:pPr>
        <w:spacing w:after="0" w:line="1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NEOs are eligible for long-term incentives, all of which were issued under the terms of our Second A&amp;R 2010 Plan. The Committee considers a mix of equity vehicles when granting long-term incentives and has historically granted awards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1537335</wp:posOffset>
            </wp:positionH>
            <wp:positionV relativeFrom="paragraph">
              <wp:posOffset>111760</wp:posOffset>
            </wp:positionV>
            <wp:extent cx="2983230" cy="15347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98323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However, in February 2019, after a challenging fiscal 2018, the Compensation Committee took several important actions when setting 2019 LTIP award values:</w:t>
      </w:r>
    </w:p>
    <w:p>
      <w:pPr>
        <w:spacing w:after="0" w:line="90" w:lineRule="exact"/>
        <w:rPr>
          <w:sz w:val="20"/>
          <w:szCs w:val="20"/>
          <w:color w:val="auto"/>
        </w:rPr>
      </w:pPr>
    </w:p>
    <w:p>
      <w:pPr>
        <w:ind w:left="700" w:hanging="344"/>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Reduced the overall value of the regular annual LTIP awards by 25%;</w:t>
      </w:r>
    </w:p>
    <w:p>
      <w:pPr>
        <w:spacing w:after="0" w:line="103" w:lineRule="exact"/>
        <w:rPr>
          <w:rFonts w:ascii="Arial" w:cs="Arial" w:eastAsia="Arial" w:hAnsi="Arial"/>
          <w:sz w:val="18"/>
          <w:szCs w:val="18"/>
          <w:color w:val="auto"/>
        </w:rPr>
      </w:pPr>
    </w:p>
    <w:p>
      <w:pPr>
        <w:ind w:left="700" w:hanging="344"/>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Did not grant stock options as part of the regular annual LTIP awards;</w:t>
      </w:r>
    </w:p>
    <w:p>
      <w:pPr>
        <w:spacing w:after="0" w:line="103" w:lineRule="exact"/>
        <w:rPr>
          <w:rFonts w:ascii="Arial" w:cs="Arial" w:eastAsia="Arial" w:hAnsi="Arial"/>
          <w:sz w:val="18"/>
          <w:szCs w:val="18"/>
          <w:color w:val="auto"/>
        </w:rPr>
      </w:pPr>
    </w:p>
    <w:p>
      <w:pPr>
        <w:ind w:left="700" w:hanging="344"/>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Reduced the number of target performance-based restricted stock units (PRSUs) by 50%.</w:t>
      </w:r>
    </w:p>
    <w:p>
      <w:pPr>
        <w:spacing w:after="0" w:line="17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Compensation Committee believes that these 2019 actions appropriately recognized the performance results from fiscal 2018, while balancing its leadership stability and retention objectives during a time of uncertainty and transition. For fiscal 2020, the Compensation Committee approved target long-term incentives using its historic mix of 50% PRSUs, 25% stock options and 25% RSUs.</w:t>
      </w:r>
    </w:p>
    <w:p>
      <w:pPr>
        <w:spacing w:after="0" w:line="217"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i w:val="1"/>
          <w:iCs w:val="1"/>
          <w:color w:val="auto"/>
        </w:rPr>
        <w:t xml:space="preserve">2019 Target Long-Term Incentive Award Grants. </w:t>
      </w:r>
      <w:r>
        <w:rPr>
          <w:rFonts w:ascii="Arial" w:cs="Arial" w:eastAsia="Arial" w:hAnsi="Arial"/>
          <w:sz w:val="18"/>
          <w:szCs w:val="18"/>
          <w:color w:val="auto"/>
        </w:rPr>
        <w:t>The table below shows the target annual long-term incentive award</w:t>
      </w:r>
      <w:r>
        <w:rPr>
          <w:rFonts w:ascii="Arial" w:cs="Arial" w:eastAsia="Arial" w:hAnsi="Arial"/>
          <w:sz w:val="18"/>
          <w:szCs w:val="18"/>
          <w:i w:val="1"/>
          <w:iCs w:val="1"/>
          <w:color w:val="auto"/>
        </w:rPr>
        <w:t xml:space="preserve"> </w:t>
      </w:r>
      <w:r>
        <w:rPr>
          <w:rFonts w:ascii="Arial" w:cs="Arial" w:eastAsia="Arial" w:hAnsi="Arial"/>
          <w:sz w:val="18"/>
          <w:szCs w:val="18"/>
          <w:color w:val="auto"/>
        </w:rPr>
        <w:t>values granted for fiscal 2019 for each of the NEOs: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95"/>
              <w:spacing w:after="0"/>
              <w:rPr>
                <w:sz w:val="20"/>
                <w:szCs w:val="20"/>
                <w:color w:val="auto"/>
              </w:rPr>
            </w:pPr>
            <w:r>
              <w:rPr>
                <w:rFonts w:ascii="Arial" w:cs="Arial" w:eastAsia="Arial" w:hAnsi="Arial"/>
                <w:sz w:val="14"/>
                <w:szCs w:val="14"/>
                <w:b w:val="1"/>
                <w:bCs w:val="1"/>
                <w:color w:val="auto"/>
              </w:rPr>
              <w:t>PRSUs*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2"/>
        </w:trPr>
        <w:tc>
          <w:tcPr>
            <w:tcW w:w="536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NEO</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(at Target)</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RSUs*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Total Value</w:t>
            </w:r>
          </w:p>
        </w:tc>
        <w:tc>
          <w:tcPr>
            <w:tcW w:w="100" w:type="dxa"/>
            <w:vAlign w:val="bottom"/>
          </w:tcPr>
          <w:p>
            <w:pPr>
              <w:spacing w:after="0"/>
              <w:rPr>
                <w:sz w:val="15"/>
                <w:szCs w:val="15"/>
                <w:color w:val="auto"/>
              </w:rPr>
            </w:pPr>
          </w:p>
        </w:tc>
      </w:tr>
      <w:tr>
        <w:trPr>
          <w:trHeight w:val="229"/>
        </w:trPr>
        <w:tc>
          <w:tcPr>
            <w:tcW w:w="5360" w:type="dxa"/>
            <w:vAlign w:val="bottom"/>
            <w:shd w:val="clear" w:color="auto" w:fill="B2B2B2"/>
          </w:tcPr>
          <w:p>
            <w:pPr>
              <w:ind w:left="40"/>
              <w:spacing w:after="0"/>
              <w:rPr>
                <w:sz w:val="20"/>
                <w:szCs w:val="20"/>
                <w:color w:val="auto"/>
              </w:rPr>
            </w:pPr>
            <w:r>
              <w:rPr>
                <w:rFonts w:ascii="Arial" w:cs="Arial" w:eastAsia="Arial" w:hAnsi="Arial"/>
                <w:sz w:val="18"/>
                <w:szCs w:val="18"/>
                <w:color w:val="auto"/>
              </w:rPr>
              <w:t>Thomas L. Deitrich</w:t>
            </w:r>
          </w:p>
        </w:tc>
        <w:tc>
          <w:tcPr>
            <w:tcW w:w="34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500,000</w:t>
            </w:r>
          </w:p>
        </w:tc>
        <w:tc>
          <w:tcPr>
            <w:tcW w:w="420" w:type="dxa"/>
            <w:vAlign w:val="bottom"/>
            <w:gridSpan w:val="2"/>
            <w:shd w:val="clear" w:color="auto" w:fill="B2B2B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B2B2B2"/>
          </w:tcPr>
          <w:p>
            <w:pPr>
              <w:jc w:val="right"/>
              <w:ind w:right="80"/>
              <w:spacing w:after="0"/>
              <w:rPr>
                <w:sz w:val="20"/>
                <w:szCs w:val="20"/>
                <w:color w:val="auto"/>
              </w:rPr>
            </w:pPr>
            <w:r>
              <w:rPr>
                <w:rFonts w:ascii="Arial" w:cs="Arial" w:eastAsia="Arial" w:hAnsi="Arial"/>
                <w:sz w:val="18"/>
                <w:szCs w:val="18"/>
                <w:color w:val="auto"/>
              </w:rPr>
              <w:t>1,000,000</w:t>
            </w:r>
          </w:p>
        </w:tc>
        <w:tc>
          <w:tcPr>
            <w:tcW w:w="280" w:type="dxa"/>
            <w:vAlign w:val="bottom"/>
            <w:gridSpan w:val="2"/>
            <w:shd w:val="clear" w:color="auto" w:fill="B2B2B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1,500,000</w:t>
            </w:r>
          </w:p>
        </w:tc>
      </w:tr>
      <w:tr>
        <w:trPr>
          <w:trHeight w:val="229"/>
        </w:trPr>
        <w:tc>
          <w:tcPr>
            <w:tcW w:w="5360" w:type="dxa"/>
            <w:vAlign w:val="bottom"/>
          </w:tcPr>
          <w:p>
            <w:pPr>
              <w:ind w:left="40"/>
              <w:spacing w:after="0"/>
              <w:rPr>
                <w:sz w:val="20"/>
                <w:szCs w:val="20"/>
                <w:color w:val="auto"/>
              </w:rPr>
            </w:pPr>
            <w:r>
              <w:rPr>
                <w:rFonts w:ascii="Arial" w:cs="Arial" w:eastAsia="Arial" w:hAnsi="Arial"/>
                <w:sz w:val="18"/>
                <w:szCs w:val="18"/>
                <w:color w:val="auto"/>
              </w:rPr>
              <w:t>Joan S. Hooper</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312,500</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625,000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937,500</w:t>
            </w:r>
          </w:p>
        </w:tc>
      </w:tr>
      <w:tr>
        <w:trPr>
          <w:trHeight w:val="230"/>
        </w:trPr>
        <w:tc>
          <w:tcPr>
            <w:tcW w:w="5360" w:type="dxa"/>
            <w:vAlign w:val="bottom"/>
            <w:shd w:val="clear" w:color="auto" w:fill="B2B2B2"/>
          </w:tcPr>
          <w:p>
            <w:pPr>
              <w:ind w:left="40"/>
              <w:spacing w:after="0"/>
              <w:rPr>
                <w:sz w:val="20"/>
                <w:szCs w:val="20"/>
                <w:color w:val="auto"/>
              </w:rPr>
            </w:pPr>
            <w:r>
              <w:rPr>
                <w:rFonts w:ascii="Arial" w:cs="Arial" w:eastAsia="Arial" w:hAnsi="Arial"/>
                <w:sz w:val="18"/>
                <w:szCs w:val="18"/>
                <w:color w:val="auto"/>
              </w:rPr>
              <w:t>Sarah E. Hlavinka</w:t>
            </w:r>
          </w:p>
        </w:tc>
        <w:tc>
          <w:tcPr>
            <w:tcW w:w="34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200,000</w:t>
            </w:r>
          </w:p>
        </w:tc>
        <w:tc>
          <w:tcPr>
            <w:tcW w:w="420" w:type="dxa"/>
            <w:vAlign w:val="bottom"/>
            <w:gridSpan w:val="2"/>
            <w:shd w:val="clear" w:color="auto" w:fill="B2B2B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B2B2B2"/>
          </w:tcPr>
          <w:p>
            <w:pPr>
              <w:jc w:val="right"/>
              <w:ind w:right="80"/>
              <w:spacing w:after="0"/>
              <w:rPr>
                <w:sz w:val="20"/>
                <w:szCs w:val="20"/>
                <w:color w:val="auto"/>
              </w:rPr>
            </w:pPr>
            <w:r>
              <w:rPr>
                <w:rFonts w:ascii="Arial" w:cs="Arial" w:eastAsia="Arial" w:hAnsi="Arial"/>
                <w:sz w:val="18"/>
                <w:szCs w:val="18"/>
                <w:color w:val="auto"/>
              </w:rPr>
              <w:t>400,000</w:t>
            </w:r>
          </w:p>
        </w:tc>
        <w:tc>
          <w:tcPr>
            <w:tcW w:w="280" w:type="dxa"/>
            <w:vAlign w:val="bottom"/>
            <w:gridSpan w:val="2"/>
            <w:shd w:val="clear" w:color="auto" w:fill="B2B2B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600,000</w:t>
            </w:r>
          </w:p>
        </w:tc>
      </w:tr>
      <w:tr>
        <w:trPr>
          <w:trHeight w:val="229"/>
        </w:trPr>
        <w:tc>
          <w:tcPr>
            <w:tcW w:w="5360" w:type="dxa"/>
            <w:vAlign w:val="bottom"/>
          </w:tcPr>
          <w:p>
            <w:pPr>
              <w:ind w:left="40"/>
              <w:spacing w:after="0"/>
              <w:rPr>
                <w:sz w:val="20"/>
                <w:szCs w:val="20"/>
                <w:color w:val="auto"/>
              </w:rPr>
            </w:pPr>
            <w:r>
              <w:rPr>
                <w:rFonts w:ascii="Arial" w:cs="Arial" w:eastAsia="Arial" w:hAnsi="Arial"/>
                <w:sz w:val="18"/>
                <w:szCs w:val="18"/>
                <w:color w:val="auto"/>
              </w:rPr>
              <w:t>Michel C. Cadieux</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200,000</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400,000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600,000</w:t>
            </w:r>
          </w:p>
        </w:tc>
      </w:tr>
      <w:tr>
        <w:trPr>
          <w:trHeight w:val="230"/>
        </w:trPr>
        <w:tc>
          <w:tcPr>
            <w:tcW w:w="5360" w:type="dxa"/>
            <w:vAlign w:val="bottom"/>
            <w:shd w:val="clear" w:color="auto" w:fill="B2B2B2"/>
          </w:tcPr>
          <w:p>
            <w:pPr>
              <w:ind w:left="40"/>
              <w:spacing w:after="0"/>
              <w:rPr>
                <w:sz w:val="20"/>
                <w:szCs w:val="20"/>
                <w:color w:val="auto"/>
              </w:rPr>
            </w:pPr>
            <w:r>
              <w:rPr>
                <w:rFonts w:ascii="Arial" w:cs="Arial" w:eastAsia="Arial" w:hAnsi="Arial"/>
                <w:sz w:val="18"/>
                <w:szCs w:val="18"/>
                <w:color w:val="auto"/>
              </w:rPr>
              <w:t>Donald L. Reeves III</w:t>
            </w:r>
          </w:p>
        </w:tc>
        <w:tc>
          <w:tcPr>
            <w:tcW w:w="34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106,212</w:t>
            </w:r>
          </w:p>
        </w:tc>
        <w:tc>
          <w:tcPr>
            <w:tcW w:w="420" w:type="dxa"/>
            <w:vAlign w:val="bottom"/>
            <w:gridSpan w:val="2"/>
            <w:shd w:val="clear" w:color="auto" w:fill="B2B2B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B2B2B2"/>
          </w:tcPr>
          <w:p>
            <w:pPr>
              <w:jc w:val="right"/>
              <w:ind w:right="80"/>
              <w:spacing w:after="0"/>
              <w:rPr>
                <w:sz w:val="20"/>
                <w:szCs w:val="20"/>
                <w:color w:val="auto"/>
              </w:rPr>
            </w:pPr>
            <w:r>
              <w:rPr>
                <w:rFonts w:ascii="Arial" w:cs="Arial" w:eastAsia="Arial" w:hAnsi="Arial"/>
                <w:sz w:val="18"/>
                <w:szCs w:val="18"/>
                <w:color w:val="auto"/>
              </w:rPr>
              <w:t>212,488</w:t>
            </w:r>
          </w:p>
        </w:tc>
        <w:tc>
          <w:tcPr>
            <w:tcW w:w="280" w:type="dxa"/>
            <w:vAlign w:val="bottom"/>
            <w:gridSpan w:val="2"/>
            <w:shd w:val="clear" w:color="auto" w:fill="B2B2B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318,700</w:t>
            </w:r>
          </w:p>
        </w:tc>
      </w:tr>
      <w:tr>
        <w:trPr>
          <w:trHeight w:val="383"/>
        </w:trPr>
        <w:tc>
          <w:tcPr>
            <w:tcW w:w="5360" w:type="dxa"/>
            <w:vAlign w:val="bottom"/>
          </w:tcPr>
          <w:p>
            <w:pPr>
              <w:ind w:left="40"/>
              <w:spacing w:after="0"/>
              <w:rPr>
                <w:sz w:val="20"/>
                <w:szCs w:val="20"/>
                <w:color w:val="auto"/>
              </w:rPr>
            </w:pPr>
            <w:r>
              <w:rPr>
                <w:rFonts w:ascii="Arial" w:cs="Arial" w:eastAsia="Arial" w:hAnsi="Arial"/>
                <w:sz w:val="18"/>
                <w:szCs w:val="18"/>
                <w:color w:val="auto"/>
              </w:rPr>
              <w:t>Philip C. Mezey</w:t>
            </w:r>
            <w:r>
              <w:rPr>
                <w:rFonts w:ascii="Arial" w:cs="Arial" w:eastAsia="Arial" w:hAnsi="Arial"/>
                <w:sz w:val="29"/>
                <w:szCs w:val="29"/>
                <w:color w:val="auto"/>
                <w:vertAlign w:val="superscript"/>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8483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142" w:lineRule="exact"/>
        <w:rPr>
          <w:sz w:val="20"/>
          <w:szCs w:val="20"/>
          <w:color w:val="auto"/>
        </w:rPr>
      </w:pPr>
    </w:p>
    <w:p>
      <w:pPr>
        <w:ind w:left="360" w:right="400" w:hanging="355"/>
        <w:spacing w:after="0" w:line="249" w:lineRule="auto"/>
        <w:tabs>
          <w:tab w:leader="none" w:pos="3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Award amounts for PRSUs and RSUs were determined based on the closing price of our common stock on the date of grant on February 21,2019 for all other NEOs, which was $60.91, except that award values for Mr. Reeves were determined based on the closing price of our common stock on July 1, 2019, which was $63.60.</w:t>
      </w:r>
    </w:p>
    <w:p>
      <w:pPr>
        <w:spacing w:after="0" w:line="93" w:lineRule="exact"/>
        <w:rPr>
          <w:sz w:val="20"/>
          <w:szCs w:val="20"/>
          <w:color w:val="auto"/>
        </w:rPr>
      </w:pPr>
    </w:p>
    <w:p>
      <w:pPr>
        <w:ind w:left="360" w:hanging="355"/>
        <w:spacing w:after="0"/>
        <w:tabs>
          <w:tab w:leader="none" w:pos="3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Mr. Mezey, due to his pending retirement, did not receive an annual LTIP grant in 2019.</w:t>
      </w:r>
    </w:p>
    <w:p>
      <w:pPr>
        <w:spacing w:after="0" w:line="15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Additional Long-Term Incentive Awards. </w:t>
      </w:r>
      <w:r>
        <w:rPr>
          <w:rFonts w:ascii="Arial" w:cs="Arial" w:eastAsia="Arial" w:hAnsi="Arial"/>
          <w:sz w:val="18"/>
          <w:szCs w:val="18"/>
          <w:color w:val="auto"/>
        </w:rPr>
        <w:t>To align her compensation based on her performance and market</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competitiveness, Ms. Hooper received an additional equity grant of RSUs on May 17, 2019 with a grant date fair value of $250,000 determined based on the closing price of our common stock on the date of the grant. Ms. Hooper’s award will vest ratably over three years beginning on the first anniversary of the date of grant. In conjunction with Mr. Deitrich’s promotion to President and CEO, he received a one-time equity grant of RSUs with a grant date fair value of $1,500,000, and a stock option grant with a grant date fair value of $2,000,000. Mr. Deitrich’s RSU award value was determined based on the closing price of our common stock on the date of the grant on September 19, 2019 and the RSUs will vest ratably over three years beginning on the first anniversary of the date of grant. Mr. Deitrich’s stock option was calculated based on a Black-Scholes value, has a three-year ratable vesting period, and is subject to a ten-year term, with an exercise price equal to the market price on the date of the grant, which was $76.55 per share.</w:t>
      </w:r>
    </w:p>
    <w:p>
      <w:pPr>
        <w:spacing w:after="0" w:line="14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 xml:space="preserve">A Closer Look at Performance-Based Restricted Stock Units (PRSUs). </w:t>
      </w:r>
      <w:r>
        <w:rPr>
          <w:rFonts w:ascii="Arial" w:cs="Arial" w:eastAsia="Arial" w:hAnsi="Arial"/>
          <w:sz w:val="18"/>
          <w:szCs w:val="18"/>
          <w:color w:val="auto"/>
        </w:rPr>
        <w:t>The actual number of PRSUs that are earned</w:t>
      </w:r>
      <w:r>
        <w:rPr>
          <w:rFonts w:ascii="Arial" w:cs="Arial" w:eastAsia="Arial" w:hAnsi="Arial"/>
          <w:sz w:val="18"/>
          <w:szCs w:val="18"/>
          <w:i w:val="1"/>
          <w:iCs w:val="1"/>
          <w:color w:val="auto"/>
        </w:rPr>
        <w:t xml:space="preserve"> </w:t>
      </w:r>
      <w:r>
        <w:rPr>
          <w:rFonts w:ascii="Arial" w:cs="Arial" w:eastAsia="Arial" w:hAnsi="Arial"/>
          <w:sz w:val="18"/>
          <w:szCs w:val="18"/>
          <w:color w:val="auto"/>
        </w:rPr>
        <w:t>and vested are based on the achievement of specific financial performance goals and relative TSR results. Specifically, actual awards are linked to a three-year performance period that consists of three annual performance cycles. The performance result used to determine the actual award earned is calculated at the end of the three-year performance period by averaging the results of the three annual performance cycles, then is adjusted based on performance relative to TSR as compared to the Russell 3000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1529080</wp:posOffset>
            </wp:positionH>
            <wp:positionV relativeFrom="paragraph">
              <wp:posOffset>113665</wp:posOffset>
            </wp:positionV>
            <wp:extent cx="2991485" cy="1525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99148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i w:val="1"/>
          <w:iCs w:val="1"/>
          <w:color w:val="auto"/>
        </w:rPr>
        <w:t xml:space="preserve">2019 Performance Metrics: Non-GAAP EPS &amp; Relative TSR. </w:t>
      </w:r>
      <w:r>
        <w:rPr>
          <w:rFonts w:ascii="Arial" w:cs="Arial" w:eastAsia="Arial" w:hAnsi="Arial"/>
          <w:sz w:val="18"/>
          <w:szCs w:val="18"/>
          <w:color w:val="auto"/>
        </w:rPr>
        <w:t>PRSUs are driven by the achievement of non-GAAP EPS</w:t>
      </w:r>
      <w:r>
        <w:rPr>
          <w:rFonts w:ascii="Arial" w:cs="Arial" w:eastAsia="Arial" w:hAnsi="Arial"/>
          <w:sz w:val="18"/>
          <w:szCs w:val="18"/>
          <w:i w:val="1"/>
          <w:iCs w:val="1"/>
          <w:color w:val="auto"/>
        </w:rPr>
        <w:t xml:space="preserve"> </w:t>
      </w:r>
      <w:r>
        <w:rPr>
          <w:rFonts w:ascii="Arial" w:cs="Arial" w:eastAsia="Arial" w:hAnsi="Arial"/>
          <w:sz w:val="18"/>
          <w:szCs w:val="18"/>
          <w:color w:val="auto"/>
        </w:rPr>
        <w:t>and relative TSR performance targets.</w:t>
      </w:r>
    </w:p>
    <w:p>
      <w:pPr>
        <w:spacing w:after="0" w:line="50" w:lineRule="exact"/>
        <w:rPr>
          <w:sz w:val="20"/>
          <w:szCs w:val="20"/>
          <w:color w:val="auto"/>
        </w:rPr>
      </w:pPr>
    </w:p>
    <w:p>
      <w:pPr>
        <w:ind w:left="700" w:right="720" w:hanging="344"/>
        <w:spacing w:after="0" w:line="301" w:lineRule="auto"/>
        <w:tabs>
          <w:tab w:leader="none" w:pos="700" w:val="left"/>
        </w:tabs>
        <w:numPr>
          <w:ilvl w:val="0"/>
          <w:numId w:val="58"/>
        </w:numPr>
        <w:rPr>
          <w:rFonts w:ascii="Arial" w:cs="Arial" w:eastAsia="Arial" w:hAnsi="Arial"/>
          <w:sz w:val="17"/>
          <w:szCs w:val="17"/>
          <w:color w:val="auto"/>
        </w:rPr>
      </w:pPr>
      <w:r>
        <w:rPr>
          <w:rFonts w:ascii="Arial" w:cs="Arial" w:eastAsia="Arial" w:hAnsi="Arial"/>
          <w:sz w:val="17"/>
          <w:szCs w:val="17"/>
          <w:b w:val="1"/>
          <w:bCs w:val="1"/>
          <w:color w:val="auto"/>
        </w:rPr>
        <w:t xml:space="preserve">Non-GAAP EPS: </w:t>
      </w:r>
      <w:r>
        <w:rPr>
          <w:rFonts w:ascii="Arial" w:cs="Arial" w:eastAsia="Arial" w:hAnsi="Arial"/>
          <w:sz w:val="17"/>
          <w:szCs w:val="17"/>
          <w:color w:val="auto"/>
        </w:rPr>
        <w:t>Non-GAAP EPS targets are set by the Committee at the beginning of each annual</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cycle. Payout levels can range from 50% to 160% of target for the performance cycle. No</w:t>
      </w:r>
    </w:p>
    <w:p>
      <w:pPr>
        <w:spacing w:after="0" w:line="166"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720" w:right="60"/>
        <w:spacing w:after="0" w:line="256" w:lineRule="auto"/>
        <w:rPr>
          <w:sz w:val="20"/>
          <w:szCs w:val="20"/>
          <w:color w:val="auto"/>
        </w:rPr>
      </w:pPr>
      <w:r>
        <w:rPr>
          <w:rFonts w:ascii="Arial" w:cs="Arial" w:eastAsia="Arial" w:hAnsi="Arial"/>
          <w:sz w:val="18"/>
          <w:szCs w:val="18"/>
          <w:color w:val="auto"/>
        </w:rPr>
        <w:t>PSRUs are earned for performance below the threshold. The following table shows the thresholds, targets and maximums for non-GAAP EPS set by the Committee at the beginning of each annual performance cycle and our actual non-GAAP EPS results used for calculating PRSUs earned for 2017, 2018 and 2019:</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Threshold</w:t>
            </w:r>
          </w:p>
        </w:tc>
        <w:tc>
          <w:tcPr>
            <w:tcW w:w="100" w:type="dxa"/>
            <w:vAlign w:val="bottom"/>
          </w:tcPr>
          <w:p>
            <w:pPr>
              <w:spacing w:after="0"/>
              <w:rPr>
                <w:sz w:val="14"/>
                <w:szCs w:val="14"/>
                <w:color w:val="auto"/>
              </w:rPr>
            </w:pPr>
          </w:p>
        </w:tc>
        <w:tc>
          <w:tcPr>
            <w:tcW w:w="660" w:type="dxa"/>
            <w:vAlign w:val="bottom"/>
            <w:gridSpan w:val="3"/>
          </w:tcPr>
          <w:p>
            <w:pPr>
              <w:ind w:left="80"/>
              <w:spacing w:after="0"/>
              <w:rPr>
                <w:sz w:val="20"/>
                <w:szCs w:val="20"/>
                <w:color w:val="auto"/>
              </w:rPr>
            </w:pPr>
            <w:r>
              <w:rPr>
                <w:rFonts w:ascii="Arial" w:cs="Arial" w:eastAsia="Arial" w:hAnsi="Arial"/>
                <w:sz w:val="14"/>
                <w:szCs w:val="14"/>
                <w:b w:val="1"/>
                <w:bCs w:val="1"/>
                <w:color w:val="auto"/>
              </w:rPr>
              <w:t>Target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5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50%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100%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160%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Results</w:t>
            </w:r>
          </w:p>
        </w:tc>
        <w:tc>
          <w:tcPr>
            <w:tcW w:w="100" w:type="dxa"/>
            <w:vAlign w:val="bottom"/>
          </w:tcPr>
          <w:p>
            <w:pPr>
              <w:spacing w:after="0"/>
              <w:rPr>
                <w:sz w:val="16"/>
                <w:szCs w:val="16"/>
                <w:color w:val="auto"/>
              </w:rPr>
            </w:pPr>
          </w:p>
        </w:tc>
      </w:tr>
      <w:tr>
        <w:trPr>
          <w:trHeight w:val="223"/>
        </w:trPr>
        <w:tc>
          <w:tcPr>
            <w:tcW w:w="5800" w:type="dxa"/>
            <w:vAlign w:val="bottom"/>
            <w:shd w:val="clear" w:color="auto" w:fill="B2B2B2"/>
          </w:tcPr>
          <w:p>
            <w:pPr>
              <w:ind w:left="40"/>
              <w:spacing w:after="0"/>
              <w:rPr>
                <w:sz w:val="20"/>
                <w:szCs w:val="20"/>
                <w:color w:val="auto"/>
              </w:rPr>
            </w:pPr>
            <w:r>
              <w:rPr>
                <w:rFonts w:ascii="Arial" w:cs="Arial" w:eastAsia="Arial" w:hAnsi="Arial"/>
                <w:sz w:val="18"/>
                <w:szCs w:val="18"/>
                <w:color w:val="auto"/>
              </w:rPr>
              <w:t>2017</w:t>
            </w:r>
          </w:p>
        </w:tc>
        <w:tc>
          <w:tcPr>
            <w:tcW w:w="380" w:type="dxa"/>
            <w:vAlign w:val="bottom"/>
            <w:gridSpan w:val="2"/>
            <w:shd w:val="clear" w:color="auto" w:fill="B2B2B2"/>
          </w:tcPr>
          <w:p>
            <w:pPr>
              <w:jc w:val="right"/>
              <w:ind w:right="28"/>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B2B2B2"/>
          </w:tcPr>
          <w:p>
            <w:pPr>
              <w:jc w:val="right"/>
              <w:ind w:right="80"/>
              <w:spacing w:after="0"/>
              <w:rPr>
                <w:sz w:val="20"/>
                <w:szCs w:val="20"/>
                <w:color w:val="auto"/>
              </w:rPr>
            </w:pPr>
            <w:r>
              <w:rPr>
                <w:rFonts w:ascii="Arial" w:cs="Arial" w:eastAsia="Arial" w:hAnsi="Arial"/>
                <w:sz w:val="18"/>
                <w:szCs w:val="18"/>
                <w:color w:val="auto"/>
              </w:rPr>
              <w:t>2.58</w:t>
            </w:r>
          </w:p>
        </w:tc>
        <w:tc>
          <w:tcPr>
            <w:tcW w:w="20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B2B2B2"/>
          </w:tcPr>
          <w:p>
            <w:pPr>
              <w:jc w:val="right"/>
              <w:ind w:right="80"/>
              <w:spacing w:after="0"/>
              <w:rPr>
                <w:sz w:val="20"/>
                <w:szCs w:val="20"/>
                <w:color w:val="auto"/>
              </w:rPr>
            </w:pPr>
            <w:r>
              <w:rPr>
                <w:rFonts w:ascii="Arial" w:cs="Arial" w:eastAsia="Arial" w:hAnsi="Arial"/>
                <w:sz w:val="18"/>
                <w:szCs w:val="18"/>
                <w:color w:val="auto"/>
              </w:rPr>
              <w:t>3.00</w:t>
            </w:r>
          </w:p>
        </w:tc>
        <w:tc>
          <w:tcPr>
            <w:tcW w:w="20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B2B2B2"/>
          </w:tcPr>
          <w:p>
            <w:pPr>
              <w:jc w:val="right"/>
              <w:ind w:right="80"/>
              <w:spacing w:after="0"/>
              <w:rPr>
                <w:sz w:val="20"/>
                <w:szCs w:val="20"/>
                <w:color w:val="auto"/>
              </w:rPr>
            </w:pPr>
            <w:r>
              <w:rPr>
                <w:rFonts w:ascii="Arial" w:cs="Arial" w:eastAsia="Arial" w:hAnsi="Arial"/>
                <w:sz w:val="18"/>
                <w:szCs w:val="18"/>
                <w:color w:val="auto"/>
              </w:rPr>
              <w:t>3.30</w:t>
            </w:r>
          </w:p>
        </w:tc>
        <w:tc>
          <w:tcPr>
            <w:tcW w:w="300" w:type="dxa"/>
            <w:vAlign w:val="bottom"/>
            <w:gridSpan w:val="2"/>
            <w:shd w:val="clear" w:color="auto" w:fill="B2B2B2"/>
          </w:tcPr>
          <w:p>
            <w:pPr>
              <w:jc w:val="right"/>
              <w:ind w:right="28"/>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B2B2B2"/>
          </w:tcPr>
          <w:p>
            <w:pPr>
              <w:jc w:val="right"/>
              <w:ind w:right="80"/>
              <w:spacing w:after="0"/>
              <w:rPr>
                <w:sz w:val="20"/>
                <w:szCs w:val="20"/>
                <w:color w:val="auto"/>
              </w:rPr>
            </w:pPr>
            <w:r>
              <w:rPr>
                <w:rFonts w:ascii="Arial" w:cs="Arial" w:eastAsia="Arial" w:hAnsi="Arial"/>
                <w:sz w:val="18"/>
                <w:szCs w:val="18"/>
                <w:color w:val="auto"/>
              </w:rPr>
              <w:t>3.06</w:t>
            </w:r>
          </w:p>
        </w:tc>
      </w:tr>
      <w:tr>
        <w:trPr>
          <w:trHeight w:val="229"/>
        </w:trPr>
        <w:tc>
          <w:tcPr>
            <w:tcW w:w="5800" w:type="dxa"/>
            <w:vAlign w:val="bottom"/>
          </w:tcPr>
          <w:p>
            <w:pPr>
              <w:ind w:left="40"/>
              <w:spacing w:after="0"/>
              <w:rPr>
                <w:sz w:val="20"/>
                <w:szCs w:val="20"/>
                <w:color w:val="auto"/>
              </w:rPr>
            </w:pPr>
            <w:r>
              <w:rPr>
                <w:rFonts w:ascii="Arial" w:cs="Arial" w:eastAsia="Arial" w:hAnsi="Arial"/>
                <w:sz w:val="18"/>
                <w:szCs w:val="18"/>
                <w:color w:val="auto"/>
              </w:rPr>
              <w:t>2018</w:t>
            </w:r>
          </w:p>
        </w:tc>
        <w:tc>
          <w:tcPr>
            <w:tcW w:w="3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2.86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3.33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3.66</w:t>
            </w:r>
          </w:p>
        </w:tc>
        <w:tc>
          <w:tcPr>
            <w:tcW w:w="3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2.65</w:t>
            </w:r>
          </w:p>
        </w:tc>
      </w:tr>
      <w:tr>
        <w:trPr>
          <w:trHeight w:val="230"/>
        </w:trPr>
        <w:tc>
          <w:tcPr>
            <w:tcW w:w="5800" w:type="dxa"/>
            <w:vAlign w:val="bottom"/>
            <w:shd w:val="clear" w:color="auto" w:fill="B2B2B2"/>
          </w:tcPr>
          <w:p>
            <w:pPr>
              <w:ind w:left="40"/>
              <w:spacing w:after="0"/>
              <w:rPr>
                <w:sz w:val="20"/>
                <w:szCs w:val="20"/>
                <w:color w:val="auto"/>
              </w:rPr>
            </w:pPr>
            <w:r>
              <w:rPr>
                <w:rFonts w:ascii="Arial" w:cs="Arial" w:eastAsia="Arial" w:hAnsi="Arial"/>
                <w:sz w:val="18"/>
                <w:szCs w:val="18"/>
                <w:color w:val="auto"/>
              </w:rPr>
              <w:t>2019</w:t>
            </w:r>
          </w:p>
        </w:tc>
        <w:tc>
          <w:tcPr>
            <w:tcW w:w="380" w:type="dxa"/>
            <w:vAlign w:val="bottom"/>
            <w:gridSpan w:val="2"/>
            <w:shd w:val="clear" w:color="auto" w:fill="B2B2B2"/>
          </w:tcPr>
          <w:p>
            <w:pPr>
              <w:jc w:val="right"/>
              <w:ind w:right="28"/>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B2B2B2"/>
          </w:tcPr>
          <w:p>
            <w:pPr>
              <w:jc w:val="right"/>
              <w:ind w:right="80"/>
              <w:spacing w:after="0"/>
              <w:rPr>
                <w:sz w:val="20"/>
                <w:szCs w:val="20"/>
                <w:color w:val="auto"/>
              </w:rPr>
            </w:pPr>
            <w:r>
              <w:rPr>
                <w:rFonts w:ascii="Arial" w:cs="Arial" w:eastAsia="Arial" w:hAnsi="Arial"/>
                <w:sz w:val="18"/>
                <w:szCs w:val="18"/>
                <w:color w:val="auto"/>
              </w:rPr>
              <w:t>2.46</w:t>
            </w:r>
          </w:p>
        </w:tc>
        <w:tc>
          <w:tcPr>
            <w:tcW w:w="20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B2B2B2"/>
          </w:tcPr>
          <w:p>
            <w:pPr>
              <w:jc w:val="right"/>
              <w:ind w:right="80"/>
              <w:spacing w:after="0"/>
              <w:rPr>
                <w:sz w:val="20"/>
                <w:szCs w:val="20"/>
                <w:color w:val="auto"/>
              </w:rPr>
            </w:pPr>
            <w:r>
              <w:rPr>
                <w:rFonts w:ascii="Arial" w:cs="Arial" w:eastAsia="Arial" w:hAnsi="Arial"/>
                <w:sz w:val="18"/>
                <w:szCs w:val="18"/>
                <w:color w:val="auto"/>
              </w:rPr>
              <w:t>2.74</w:t>
            </w:r>
          </w:p>
        </w:tc>
        <w:tc>
          <w:tcPr>
            <w:tcW w:w="20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B2B2B2"/>
          </w:tcPr>
          <w:p>
            <w:pPr>
              <w:jc w:val="right"/>
              <w:ind w:right="80"/>
              <w:spacing w:after="0"/>
              <w:rPr>
                <w:sz w:val="20"/>
                <w:szCs w:val="20"/>
                <w:color w:val="auto"/>
              </w:rPr>
            </w:pPr>
            <w:r>
              <w:rPr>
                <w:rFonts w:ascii="Arial" w:cs="Arial" w:eastAsia="Arial" w:hAnsi="Arial"/>
                <w:sz w:val="18"/>
                <w:szCs w:val="18"/>
                <w:color w:val="auto"/>
              </w:rPr>
              <w:t>3.58</w:t>
            </w:r>
          </w:p>
        </w:tc>
        <w:tc>
          <w:tcPr>
            <w:tcW w:w="300" w:type="dxa"/>
            <w:vAlign w:val="bottom"/>
            <w:gridSpan w:val="2"/>
            <w:shd w:val="clear" w:color="auto" w:fill="B2B2B2"/>
          </w:tcPr>
          <w:p>
            <w:pPr>
              <w:jc w:val="right"/>
              <w:ind w:right="28"/>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B2B2B2"/>
          </w:tcPr>
          <w:p>
            <w:pPr>
              <w:jc w:val="right"/>
              <w:ind w:right="80"/>
              <w:spacing w:after="0"/>
              <w:rPr>
                <w:sz w:val="20"/>
                <w:szCs w:val="20"/>
                <w:color w:val="auto"/>
              </w:rPr>
            </w:pPr>
            <w:r>
              <w:rPr>
                <w:rFonts w:ascii="Arial" w:cs="Arial" w:eastAsia="Arial" w:hAnsi="Arial"/>
                <w:sz w:val="18"/>
                <w:szCs w:val="18"/>
                <w:color w:val="auto"/>
              </w:rPr>
              <w:t>3.32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8483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295" w:lineRule="exact"/>
        <w:rPr>
          <w:sz w:val="20"/>
          <w:szCs w:val="20"/>
          <w:color w:val="auto"/>
        </w:rPr>
      </w:pPr>
    </w:p>
    <w:p>
      <w:pPr>
        <w:ind w:right="240"/>
        <w:spacing w:after="0" w:line="249" w:lineRule="auto"/>
        <w:rPr>
          <w:sz w:val="20"/>
          <w:szCs w:val="20"/>
          <w:color w:val="auto"/>
        </w:rPr>
      </w:pPr>
      <w:r>
        <w:rPr>
          <w:rFonts w:ascii="Arial" w:cs="Arial" w:eastAsia="Arial" w:hAnsi="Arial"/>
          <w:sz w:val="14"/>
          <w:szCs w:val="14"/>
          <w:color w:val="auto"/>
        </w:rPr>
        <w:t>Note: The non-GAAP EPS results shown are based on financial results as reported for 2017, 2018, and 2019 (as reported in our Annual Report on Form 10-K for the year ended December 31, 2019). Performance for levels achieved between threshold, target, and maximum are linearly interpolated.</w:t>
      </w:r>
    </w:p>
    <w:p>
      <w:pPr>
        <w:spacing w:after="0" w:line="65" w:lineRule="exact"/>
        <w:rPr>
          <w:sz w:val="20"/>
          <w:szCs w:val="20"/>
          <w:color w:val="auto"/>
        </w:rPr>
      </w:pPr>
    </w:p>
    <w:p>
      <w:pPr>
        <w:ind w:left="700" w:right="180" w:hanging="344"/>
        <w:spacing w:after="0" w:line="247"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Relative TSR: </w:t>
      </w:r>
      <w:r>
        <w:rPr>
          <w:rFonts w:ascii="Arial" w:cs="Arial" w:eastAsia="Arial" w:hAnsi="Arial"/>
          <w:sz w:val="18"/>
          <w:szCs w:val="18"/>
          <w:color w:val="auto"/>
        </w:rPr>
        <w:t>At the end of the three-year performance period, the non-GAAP EPS results for each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annual performance cycles are averaged. The average non-GAAP EPS is then adjusted based on the achievement by the Company of TSR relative to the Russell 3000 index for the same three-year performance cycle as follows:</w:t>
      </w:r>
    </w:p>
    <w:p>
      <w:pPr>
        <w:spacing w:after="0" w:line="29"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If relative TSR attainment is</w:t>
            </w:r>
          </w:p>
        </w:tc>
        <w:tc>
          <w:tcPr>
            <w:tcW w:w="120" w:type="dxa"/>
            <w:vAlign w:val="bottom"/>
          </w:tcPr>
          <w:p>
            <w:pPr>
              <w:spacing w:after="0"/>
              <w:rPr>
                <w:sz w:val="19"/>
                <w:szCs w:val="19"/>
                <w:color w:val="auto"/>
              </w:rPr>
            </w:pPr>
          </w:p>
        </w:tc>
        <w:tc>
          <w:tcPr>
            <w:tcW w:w="474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Then the average EPS attainment is</w:t>
            </w:r>
          </w:p>
        </w:tc>
      </w:tr>
      <w:tr>
        <w:trPr>
          <w:trHeight w:val="236"/>
        </w:trPr>
        <w:tc>
          <w:tcPr>
            <w:tcW w:w="4620" w:type="dxa"/>
            <w:vAlign w:val="bottom"/>
          </w:tcPr>
          <w:p>
            <w:pPr>
              <w:ind w:left="40"/>
              <w:spacing w:after="0" w:line="236" w:lineRule="exact"/>
              <w:rPr>
                <w:sz w:val="20"/>
                <w:szCs w:val="20"/>
                <w:color w:val="auto"/>
              </w:rPr>
            </w:pPr>
            <w:r>
              <w:rPr>
                <w:rFonts w:ascii="Arial" w:cs="Arial" w:eastAsia="Arial" w:hAnsi="Arial"/>
                <w:sz w:val="17"/>
                <w:szCs w:val="17"/>
                <w:color w:val="auto"/>
              </w:rPr>
              <w:t>At or below the 25</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percentile</w:t>
            </w:r>
          </w:p>
        </w:tc>
        <w:tc>
          <w:tcPr>
            <w:tcW w:w="120" w:type="dxa"/>
            <w:vAlign w:val="bottom"/>
          </w:tcPr>
          <w:p>
            <w:pPr>
              <w:spacing w:after="0"/>
              <w:rPr>
                <w:sz w:val="20"/>
                <w:szCs w:val="20"/>
                <w:color w:val="auto"/>
              </w:rPr>
            </w:pPr>
          </w:p>
        </w:tc>
        <w:tc>
          <w:tcPr>
            <w:tcW w:w="4740" w:type="dxa"/>
            <w:vAlign w:val="bottom"/>
          </w:tcPr>
          <w:p>
            <w:pPr>
              <w:ind w:left="40"/>
              <w:spacing w:after="0"/>
              <w:rPr>
                <w:sz w:val="20"/>
                <w:szCs w:val="20"/>
                <w:color w:val="auto"/>
              </w:rPr>
            </w:pPr>
            <w:r>
              <w:rPr>
                <w:rFonts w:ascii="Arial" w:cs="Arial" w:eastAsia="Arial" w:hAnsi="Arial"/>
                <w:sz w:val="18"/>
                <w:szCs w:val="18"/>
                <w:color w:val="auto"/>
              </w:rPr>
              <w:t>Adjusted down by 25%</w:t>
            </w:r>
          </w:p>
        </w:tc>
      </w:tr>
      <w:tr>
        <w:trPr>
          <w:trHeight w:val="230"/>
        </w:trPr>
        <w:tc>
          <w:tcPr>
            <w:tcW w:w="4620" w:type="dxa"/>
            <w:vAlign w:val="bottom"/>
          </w:tcPr>
          <w:p>
            <w:pPr>
              <w:ind w:left="40"/>
              <w:spacing w:after="0" w:line="230" w:lineRule="exact"/>
              <w:rPr>
                <w:sz w:val="20"/>
                <w:szCs w:val="20"/>
                <w:color w:val="auto"/>
              </w:rPr>
            </w:pPr>
            <w:r>
              <w:rPr>
                <w:rFonts w:ascii="Arial" w:cs="Arial" w:eastAsia="Arial" w:hAnsi="Arial"/>
                <w:sz w:val="16"/>
                <w:szCs w:val="16"/>
                <w:color w:val="auto"/>
              </w:rPr>
              <w:t>At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120" w:type="dxa"/>
            <w:vAlign w:val="bottom"/>
          </w:tcPr>
          <w:p>
            <w:pPr>
              <w:spacing w:after="0"/>
              <w:rPr>
                <w:sz w:val="19"/>
                <w:szCs w:val="19"/>
                <w:color w:val="auto"/>
              </w:rPr>
            </w:pPr>
          </w:p>
        </w:tc>
        <w:tc>
          <w:tcPr>
            <w:tcW w:w="4740" w:type="dxa"/>
            <w:vAlign w:val="bottom"/>
          </w:tcPr>
          <w:p>
            <w:pPr>
              <w:ind w:left="40"/>
              <w:spacing w:after="0"/>
              <w:rPr>
                <w:sz w:val="20"/>
                <w:szCs w:val="20"/>
                <w:color w:val="auto"/>
              </w:rPr>
            </w:pPr>
            <w:r>
              <w:rPr>
                <w:rFonts w:ascii="Arial" w:cs="Arial" w:eastAsia="Arial" w:hAnsi="Arial"/>
                <w:sz w:val="18"/>
                <w:szCs w:val="18"/>
                <w:color w:val="auto"/>
              </w:rPr>
              <w:t>No adjustment</w:t>
            </w:r>
          </w:p>
        </w:tc>
      </w:tr>
      <w:tr>
        <w:trPr>
          <w:trHeight w:val="383"/>
        </w:trPr>
        <w:tc>
          <w:tcPr>
            <w:tcW w:w="4620" w:type="dxa"/>
            <w:vAlign w:val="bottom"/>
          </w:tcPr>
          <w:p>
            <w:pPr>
              <w:ind w:left="40"/>
              <w:spacing w:after="0"/>
              <w:rPr>
                <w:sz w:val="20"/>
                <w:szCs w:val="20"/>
                <w:color w:val="auto"/>
              </w:rPr>
            </w:pPr>
            <w:r>
              <w:rPr>
                <w:rFonts w:ascii="Arial" w:cs="Arial" w:eastAsia="Arial" w:hAnsi="Arial"/>
                <w:sz w:val="18"/>
                <w:szCs w:val="18"/>
                <w:color w:val="auto"/>
              </w:rPr>
              <w:t>At or above the 75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w:t>
            </w:r>
          </w:p>
        </w:tc>
        <w:tc>
          <w:tcPr>
            <w:tcW w:w="120" w:type="dxa"/>
            <w:vAlign w:val="bottom"/>
          </w:tcPr>
          <w:p>
            <w:pPr>
              <w:spacing w:after="0"/>
              <w:rPr>
                <w:sz w:val="24"/>
                <w:szCs w:val="24"/>
                <w:color w:val="auto"/>
              </w:rPr>
            </w:pPr>
          </w:p>
        </w:tc>
        <w:tc>
          <w:tcPr>
            <w:tcW w:w="4740" w:type="dxa"/>
            <w:vAlign w:val="bottom"/>
          </w:tcPr>
          <w:p>
            <w:pPr>
              <w:ind w:left="40"/>
              <w:spacing w:after="0"/>
              <w:rPr>
                <w:sz w:val="20"/>
                <w:szCs w:val="20"/>
                <w:color w:val="auto"/>
              </w:rPr>
            </w:pPr>
            <w:r>
              <w:rPr>
                <w:rFonts w:ascii="Arial" w:cs="Arial" w:eastAsia="Arial" w:hAnsi="Arial"/>
                <w:sz w:val="18"/>
                <w:szCs w:val="18"/>
                <w:color w:val="auto"/>
              </w:rPr>
              <w:t>Increased by 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8483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Note: Adjustments for levels achieved between the 25</w:t>
      </w:r>
      <w:r>
        <w:rPr>
          <w:rFonts w:ascii="Arial" w:cs="Arial" w:eastAsia="Arial" w:hAnsi="Arial"/>
          <w:sz w:val="24"/>
          <w:szCs w:val="24"/>
          <w:color w:val="auto"/>
          <w:vertAlign w:val="superscript"/>
        </w:rPr>
        <w:t>th</w:t>
      </w:r>
      <w:r>
        <w:rPr>
          <w:rFonts w:ascii="Arial" w:cs="Arial" w:eastAsia="Arial" w:hAnsi="Arial"/>
          <w:sz w:val="14"/>
          <w:szCs w:val="14"/>
          <w:color w:val="auto"/>
        </w:rPr>
        <w:t>, 50</w:t>
      </w:r>
      <w:r>
        <w:rPr>
          <w:rFonts w:ascii="Arial" w:cs="Arial" w:eastAsia="Arial" w:hAnsi="Arial"/>
          <w:sz w:val="24"/>
          <w:szCs w:val="24"/>
          <w:color w:val="auto"/>
          <w:vertAlign w:val="superscript"/>
        </w:rPr>
        <w:t>th</w:t>
      </w:r>
      <w:r>
        <w:rPr>
          <w:rFonts w:ascii="Arial" w:cs="Arial" w:eastAsia="Arial" w:hAnsi="Arial"/>
          <w:sz w:val="14"/>
          <w:szCs w:val="14"/>
          <w:color w:val="auto"/>
        </w:rPr>
        <w:t>, and 75</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percentiles are linearly interpolated.</w:t>
      </w:r>
    </w:p>
    <w:p>
      <w:pPr>
        <w:spacing w:after="0" w:line="75"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For the 2019 PRSUs, the TSR targets and point multipliers were all established in February 2019 by the Committee and by the independent members of the full Board for the CEO.</w:t>
      </w:r>
    </w:p>
    <w:p>
      <w:pPr>
        <w:spacing w:after="0" w:line="13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i w:val="1"/>
          <w:iCs w:val="1"/>
          <w:color w:val="auto"/>
        </w:rPr>
        <w:t xml:space="preserve">PRSUs Earned and Vested In 2019 (1/1/2017 –12/31/2019). </w:t>
      </w:r>
      <w:r>
        <w:rPr>
          <w:rFonts w:ascii="Arial" w:cs="Arial" w:eastAsia="Arial" w:hAnsi="Arial"/>
          <w:sz w:val="18"/>
          <w:szCs w:val="18"/>
          <w:color w:val="auto"/>
        </w:rPr>
        <w:t>In 2017, the NEOs at that time were granted their target</w:t>
      </w:r>
      <w:r>
        <w:rPr>
          <w:rFonts w:ascii="Arial" w:cs="Arial" w:eastAsia="Arial" w:hAnsi="Arial"/>
          <w:sz w:val="18"/>
          <w:szCs w:val="18"/>
          <w:i w:val="1"/>
          <w:iCs w:val="1"/>
          <w:color w:val="auto"/>
        </w:rPr>
        <w:t xml:space="preserve"> </w:t>
      </w:r>
      <w:r>
        <w:rPr>
          <w:rFonts w:ascii="Arial" w:cs="Arial" w:eastAsia="Arial" w:hAnsi="Arial"/>
          <w:sz w:val="18"/>
          <w:szCs w:val="18"/>
          <w:color w:val="auto"/>
        </w:rPr>
        <w:t>PRSUs with vesting based on achievement of the non-GAAP EPS and relative TSR performance targets for 2017, 2018, and 2019 as outlined above. The actual award earned was calculated at the end of the three-year performance period by averaging the results of the three annual performance cycles: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Percentage</w:t>
            </w:r>
          </w:p>
        </w:tc>
      </w:tr>
      <w:tr>
        <w:trPr>
          <w:trHeight w:val="162"/>
        </w:trPr>
        <w:tc>
          <w:tcPr>
            <w:tcW w:w="7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of</w:t>
            </w:r>
          </w:p>
        </w:tc>
      </w:tr>
      <w:tr>
        <w:trPr>
          <w:trHeight w:val="189"/>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6"/>
                <w:szCs w:val="16"/>
                <w:color w:val="auto"/>
              </w:rPr>
            </w:pPr>
          </w:p>
        </w:tc>
        <w:tc>
          <w:tcPr>
            <w:tcW w:w="150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rPr>
              <w:t>Attainment</w:t>
            </w:r>
          </w:p>
        </w:tc>
        <w:tc>
          <w:tcPr>
            <w:tcW w:w="100" w:type="dxa"/>
            <w:vAlign w:val="bottom"/>
          </w:tcPr>
          <w:p>
            <w:pPr>
              <w:spacing w:after="0"/>
              <w:rPr>
                <w:sz w:val="16"/>
                <w:szCs w:val="16"/>
                <w:color w:val="auto"/>
              </w:rPr>
            </w:pPr>
          </w:p>
        </w:tc>
      </w:tr>
      <w:tr>
        <w:trPr>
          <w:trHeight w:val="223"/>
        </w:trPr>
        <w:tc>
          <w:tcPr>
            <w:tcW w:w="7780" w:type="dxa"/>
            <w:vAlign w:val="bottom"/>
            <w:shd w:val="clear" w:color="auto" w:fill="B2B2B2"/>
          </w:tcPr>
          <w:p>
            <w:pPr>
              <w:ind w:left="40"/>
              <w:spacing w:after="0"/>
              <w:rPr>
                <w:sz w:val="20"/>
                <w:szCs w:val="20"/>
                <w:color w:val="auto"/>
              </w:rPr>
            </w:pPr>
            <w:r>
              <w:rPr>
                <w:rFonts w:ascii="Arial" w:cs="Arial" w:eastAsia="Arial" w:hAnsi="Arial"/>
                <w:sz w:val="18"/>
                <w:szCs w:val="18"/>
                <w:color w:val="auto"/>
              </w:rPr>
              <w:t>2017</w:t>
            </w:r>
          </w:p>
        </w:tc>
        <w:tc>
          <w:tcPr>
            <w:tcW w:w="1780" w:type="dxa"/>
            <w:vAlign w:val="bottom"/>
            <w:gridSpan w:val="3"/>
            <w:shd w:val="clear" w:color="auto" w:fill="B2B2B2"/>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7780" w:type="dxa"/>
            <w:vAlign w:val="bottom"/>
          </w:tcPr>
          <w:p>
            <w:pPr>
              <w:ind w:left="40"/>
              <w:spacing w:after="0"/>
              <w:rPr>
                <w:sz w:val="20"/>
                <w:szCs w:val="20"/>
                <w:color w:val="auto"/>
              </w:rPr>
            </w:pPr>
            <w:r>
              <w:rPr>
                <w:rFonts w:ascii="Arial" w:cs="Arial" w:eastAsia="Arial" w:hAnsi="Arial"/>
                <w:sz w:val="18"/>
                <w:szCs w:val="18"/>
                <w:color w:val="auto"/>
              </w:rPr>
              <w:t>2018</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7780" w:type="dxa"/>
            <w:vAlign w:val="bottom"/>
            <w:shd w:val="clear" w:color="auto" w:fill="B2B2B2"/>
          </w:tcPr>
          <w:p>
            <w:pPr>
              <w:ind w:left="40"/>
              <w:spacing w:after="0"/>
              <w:rPr>
                <w:sz w:val="20"/>
                <w:szCs w:val="20"/>
                <w:color w:val="auto"/>
              </w:rPr>
            </w:pPr>
            <w:r>
              <w:rPr>
                <w:rFonts w:ascii="Arial" w:cs="Arial" w:eastAsia="Arial" w:hAnsi="Arial"/>
                <w:sz w:val="18"/>
                <w:szCs w:val="18"/>
                <w:color w:val="auto"/>
              </w:rPr>
              <w:t>2019</w:t>
            </w:r>
          </w:p>
        </w:tc>
        <w:tc>
          <w:tcPr>
            <w:tcW w:w="1780" w:type="dxa"/>
            <w:vAlign w:val="bottom"/>
            <w:gridSpan w:val="3"/>
            <w:shd w:val="clear" w:color="auto" w:fill="B2B2B2"/>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7780" w:type="dxa"/>
            <w:vAlign w:val="bottom"/>
          </w:tcPr>
          <w:p>
            <w:pPr>
              <w:ind w:left="40"/>
              <w:spacing w:after="0"/>
              <w:rPr>
                <w:sz w:val="20"/>
                <w:szCs w:val="20"/>
                <w:color w:val="auto"/>
              </w:rPr>
            </w:pPr>
            <w:r>
              <w:rPr>
                <w:rFonts w:ascii="Arial" w:cs="Arial" w:eastAsia="Arial" w:hAnsi="Arial"/>
                <w:sz w:val="18"/>
                <w:szCs w:val="18"/>
                <w:color w:val="auto"/>
              </w:rPr>
              <w:t>2017-2019 Average</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84.5%</w:t>
            </w:r>
          </w:p>
        </w:tc>
      </w:tr>
    </w:tbl>
    <w:p>
      <w:pPr>
        <w:spacing w:after="0" w:line="188" w:lineRule="exact"/>
        <w:rPr>
          <w:sz w:val="20"/>
          <w:szCs w:val="20"/>
          <w:color w:val="auto"/>
        </w:rPr>
      </w:pPr>
    </w:p>
    <w:p>
      <w:pPr>
        <w:ind w:right="20"/>
        <w:spacing w:after="0" w:line="217" w:lineRule="auto"/>
        <w:rPr>
          <w:sz w:val="20"/>
          <w:szCs w:val="20"/>
          <w:color w:val="auto"/>
        </w:rPr>
      </w:pPr>
      <w:r>
        <w:rPr>
          <w:rFonts w:ascii="Arial" w:cs="Arial" w:eastAsia="Arial" w:hAnsi="Arial"/>
          <w:sz w:val="18"/>
          <w:szCs w:val="18"/>
          <w:color w:val="auto"/>
        </w:rPr>
        <w:t>Consistent with the terms of the LTIP, the average performance attainment for the 2017-2019 PRSUs was then adjusted upward by a factor of 1.08 since our TSR was at the 58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of the Russell 3000 index. As a result, the NEOs (other than those who were not granted PRSUs in 2017) earned 91.2% of their target PRSUs for the 2017-2019 performance cycle,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Target</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Actual</w:t>
            </w:r>
          </w:p>
        </w:tc>
      </w:tr>
      <w:tr>
        <w:trPr>
          <w:trHeight w:val="162"/>
        </w:trPr>
        <w:tc>
          <w:tcPr>
            <w:tcW w:w="30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PRSUs</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PRSUs</w:t>
            </w:r>
          </w:p>
        </w:tc>
      </w:tr>
      <w:tr>
        <w:trPr>
          <w:trHeight w:val="182"/>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NEO</w:t>
            </w:r>
          </w:p>
        </w:tc>
        <w:tc>
          <w:tcPr>
            <w:tcW w:w="41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Granted</w:t>
            </w:r>
          </w:p>
        </w:tc>
        <w:tc>
          <w:tcPr>
            <w:tcW w:w="180" w:type="dxa"/>
            <w:vAlign w:val="bottom"/>
          </w:tcPr>
          <w:p>
            <w:pPr>
              <w:spacing w:after="0"/>
              <w:rPr>
                <w:sz w:val="15"/>
                <w:szCs w:val="15"/>
                <w:color w:val="auto"/>
              </w:rPr>
            </w:pPr>
          </w:p>
        </w:tc>
        <w:tc>
          <w:tcPr>
            <w:tcW w:w="94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Earned</w:t>
            </w:r>
          </w:p>
        </w:tc>
        <w:tc>
          <w:tcPr>
            <w:tcW w:w="100" w:type="dxa"/>
            <w:vAlign w:val="bottom"/>
          </w:tcPr>
          <w:p>
            <w:pPr>
              <w:spacing w:after="0"/>
              <w:rPr>
                <w:sz w:val="15"/>
                <w:szCs w:val="15"/>
                <w:color w:val="auto"/>
              </w:rPr>
            </w:pPr>
          </w:p>
        </w:tc>
      </w:tr>
      <w:tr>
        <w:trPr>
          <w:trHeight w:val="230"/>
        </w:trPr>
        <w:tc>
          <w:tcPr>
            <w:tcW w:w="3020" w:type="dxa"/>
            <w:vAlign w:val="bottom"/>
            <w:shd w:val="clear" w:color="auto" w:fill="B2B2B2"/>
          </w:tcPr>
          <w:p>
            <w:pPr>
              <w:ind w:left="40"/>
              <w:spacing w:after="0"/>
              <w:rPr>
                <w:sz w:val="20"/>
                <w:szCs w:val="20"/>
                <w:color w:val="auto"/>
              </w:rPr>
            </w:pPr>
            <w:r>
              <w:rPr>
                <w:rFonts w:ascii="Arial" w:cs="Arial" w:eastAsia="Arial" w:hAnsi="Arial"/>
                <w:sz w:val="18"/>
                <w:szCs w:val="18"/>
                <w:color w:val="auto"/>
              </w:rPr>
              <w:t>Philip C. Mezey</w:t>
            </w:r>
          </w:p>
        </w:tc>
        <w:tc>
          <w:tcPr>
            <w:tcW w:w="5500" w:type="dxa"/>
            <w:vAlign w:val="bottom"/>
            <w:gridSpan w:val="4"/>
            <w:shd w:val="clear" w:color="auto" w:fill="B2B2B2"/>
          </w:tcPr>
          <w:p>
            <w:pPr>
              <w:jc w:val="right"/>
              <w:ind w:right="180"/>
              <w:spacing w:after="0"/>
              <w:rPr>
                <w:sz w:val="20"/>
                <w:szCs w:val="20"/>
                <w:color w:val="auto"/>
              </w:rPr>
            </w:pPr>
            <w:r>
              <w:rPr>
                <w:rFonts w:ascii="Arial" w:cs="Arial" w:eastAsia="Arial" w:hAnsi="Arial"/>
                <w:sz w:val="18"/>
                <w:szCs w:val="18"/>
                <w:color w:val="auto"/>
              </w:rPr>
              <w:t>24,408</w:t>
            </w:r>
          </w:p>
        </w:tc>
        <w:tc>
          <w:tcPr>
            <w:tcW w:w="104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22,268</w:t>
            </w:r>
          </w:p>
        </w:tc>
      </w:tr>
      <w:tr>
        <w:trPr>
          <w:trHeight w:val="230"/>
        </w:trPr>
        <w:tc>
          <w:tcPr>
            <w:tcW w:w="3020" w:type="dxa"/>
            <w:vAlign w:val="bottom"/>
          </w:tcPr>
          <w:p>
            <w:pPr>
              <w:ind w:left="40"/>
              <w:spacing w:after="0"/>
              <w:rPr>
                <w:sz w:val="20"/>
                <w:szCs w:val="20"/>
                <w:color w:val="auto"/>
              </w:rPr>
            </w:pPr>
            <w:r>
              <w:rPr>
                <w:rFonts w:ascii="Arial" w:cs="Arial" w:eastAsia="Arial" w:hAnsi="Arial"/>
                <w:sz w:val="18"/>
                <w:szCs w:val="18"/>
                <w:color w:val="auto"/>
              </w:rPr>
              <w:t>Thomas L. Deitrich</w:t>
            </w:r>
          </w:p>
        </w:tc>
        <w:tc>
          <w:tcPr>
            <w:tcW w:w="5500" w:type="dxa"/>
            <w:vAlign w:val="bottom"/>
            <w:gridSpan w:val="4"/>
          </w:tcPr>
          <w:p>
            <w:pPr>
              <w:jc w:val="right"/>
              <w:ind w:right="180"/>
              <w:spacing w:after="0"/>
              <w:rPr>
                <w:sz w:val="20"/>
                <w:szCs w:val="20"/>
                <w:color w:val="auto"/>
              </w:rPr>
            </w:pPr>
            <w:r>
              <w:rPr>
                <w:rFonts w:ascii="Arial" w:cs="Arial" w:eastAsia="Arial" w:hAnsi="Arial"/>
                <w:sz w:val="18"/>
                <w:szCs w:val="18"/>
                <w:color w:val="auto"/>
              </w:rPr>
              <w:t>15,255</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13,917</w:t>
            </w:r>
          </w:p>
        </w:tc>
      </w:tr>
      <w:tr>
        <w:trPr>
          <w:trHeight w:val="230"/>
        </w:trPr>
        <w:tc>
          <w:tcPr>
            <w:tcW w:w="3020" w:type="dxa"/>
            <w:vAlign w:val="bottom"/>
            <w:shd w:val="clear" w:color="auto" w:fill="B2B2B2"/>
          </w:tcPr>
          <w:p>
            <w:pPr>
              <w:ind w:left="40"/>
              <w:spacing w:after="0"/>
              <w:rPr>
                <w:sz w:val="20"/>
                <w:szCs w:val="20"/>
                <w:color w:val="auto"/>
              </w:rPr>
            </w:pPr>
            <w:r>
              <w:rPr>
                <w:rFonts w:ascii="Arial" w:cs="Arial" w:eastAsia="Arial" w:hAnsi="Arial"/>
                <w:sz w:val="18"/>
                <w:szCs w:val="18"/>
                <w:color w:val="auto"/>
              </w:rPr>
              <w:t>Joan S. Hooper</w:t>
            </w:r>
          </w:p>
        </w:tc>
        <w:tc>
          <w:tcPr>
            <w:tcW w:w="5500" w:type="dxa"/>
            <w:vAlign w:val="bottom"/>
            <w:gridSpan w:val="4"/>
            <w:shd w:val="clear" w:color="auto" w:fill="B2B2B2"/>
          </w:tcPr>
          <w:p>
            <w:pPr>
              <w:jc w:val="right"/>
              <w:ind w:right="180"/>
              <w:spacing w:after="0"/>
              <w:rPr>
                <w:sz w:val="20"/>
                <w:szCs w:val="20"/>
                <w:color w:val="auto"/>
              </w:rPr>
            </w:pPr>
            <w:r>
              <w:rPr>
                <w:rFonts w:ascii="Arial" w:cs="Arial" w:eastAsia="Arial" w:hAnsi="Arial"/>
                <w:sz w:val="18"/>
                <w:szCs w:val="18"/>
                <w:color w:val="auto"/>
              </w:rPr>
              <w:t>7,304</w:t>
            </w:r>
          </w:p>
        </w:tc>
        <w:tc>
          <w:tcPr>
            <w:tcW w:w="104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6,663</w:t>
            </w:r>
          </w:p>
        </w:tc>
      </w:tr>
      <w:tr>
        <w:trPr>
          <w:trHeight w:val="230"/>
        </w:trPr>
        <w:tc>
          <w:tcPr>
            <w:tcW w:w="3020" w:type="dxa"/>
            <w:vAlign w:val="bottom"/>
          </w:tcPr>
          <w:p>
            <w:pPr>
              <w:ind w:left="40"/>
              <w:spacing w:after="0"/>
              <w:rPr>
                <w:sz w:val="20"/>
                <w:szCs w:val="20"/>
                <w:color w:val="auto"/>
              </w:rPr>
            </w:pPr>
            <w:r>
              <w:rPr>
                <w:rFonts w:ascii="Arial" w:cs="Arial" w:eastAsia="Arial" w:hAnsi="Arial"/>
                <w:sz w:val="18"/>
                <w:szCs w:val="18"/>
                <w:color w:val="auto"/>
              </w:rPr>
              <w:t>Michel C. Cadieux</w:t>
            </w:r>
          </w:p>
        </w:tc>
        <w:tc>
          <w:tcPr>
            <w:tcW w:w="5500" w:type="dxa"/>
            <w:vAlign w:val="bottom"/>
            <w:gridSpan w:val="4"/>
          </w:tcPr>
          <w:p>
            <w:pPr>
              <w:jc w:val="right"/>
              <w:ind w:right="180"/>
              <w:spacing w:after="0"/>
              <w:rPr>
                <w:sz w:val="20"/>
                <w:szCs w:val="20"/>
                <w:color w:val="auto"/>
              </w:rPr>
            </w:pPr>
            <w:r>
              <w:rPr>
                <w:rFonts w:ascii="Arial" w:cs="Arial" w:eastAsia="Arial" w:hAnsi="Arial"/>
                <w:sz w:val="18"/>
                <w:szCs w:val="18"/>
                <w:color w:val="auto"/>
              </w:rPr>
              <w:t>6,102</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5,567</w:t>
            </w:r>
          </w:p>
        </w:tc>
      </w:tr>
      <w:tr>
        <w:trPr>
          <w:trHeight w:val="445"/>
        </w:trPr>
        <w:tc>
          <w:tcPr>
            <w:tcW w:w="3020" w:type="dxa"/>
            <w:vAlign w:val="bottom"/>
          </w:tcPr>
          <w:p>
            <w:pPr>
              <w:spacing w:after="0"/>
              <w:rPr>
                <w:sz w:val="24"/>
                <w:szCs w:val="24"/>
                <w:color w:val="auto"/>
              </w:rPr>
            </w:pPr>
          </w:p>
        </w:tc>
        <w:tc>
          <w:tcPr>
            <w:tcW w:w="4160" w:type="dxa"/>
            <w:vAlign w:val="bottom"/>
          </w:tcPr>
          <w:p>
            <w:pPr>
              <w:jc w:val="right"/>
              <w:ind w:right="229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0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68"/>
        </w:trPr>
        <w:tc>
          <w:tcPr>
            <w:tcW w:w="3020" w:type="dxa"/>
            <w:vAlign w:val="bottom"/>
            <w:shd w:val="clear" w:color="auto" w:fill="000000"/>
          </w:tcPr>
          <w:p>
            <w:pPr>
              <w:spacing w:after="0"/>
              <w:rPr>
                <w:sz w:val="5"/>
                <w:szCs w:val="5"/>
                <w:color w:val="auto"/>
              </w:rPr>
            </w:pPr>
          </w:p>
        </w:tc>
        <w:tc>
          <w:tcPr>
            <w:tcW w:w="416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Practices, Policies and Guidelines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193"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We believe that when our NEOs hold an equity interest in the Company, they will be less inclined to take excessive business risks. We maintain stock ownership guidelines to encourage our NEOs to own stock at least equal in value to:</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rPr>
              <w:t>Multiple of</w:t>
            </w:r>
          </w:p>
        </w:tc>
      </w:tr>
      <w:tr>
        <w:trPr>
          <w:trHeight w:val="189"/>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Title</w:t>
            </w:r>
          </w:p>
        </w:tc>
        <w:tc>
          <w:tcPr>
            <w:tcW w:w="180" w:type="dxa"/>
            <w:vAlign w:val="bottom"/>
          </w:tcPr>
          <w:p>
            <w:pPr>
              <w:spacing w:after="0"/>
              <w:rPr>
                <w:sz w:val="16"/>
                <w:szCs w:val="16"/>
                <w:color w:val="auto"/>
              </w:rPr>
            </w:pPr>
          </w:p>
        </w:tc>
        <w:tc>
          <w:tcPr>
            <w:tcW w:w="116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rPr>
              <w:t>Base Salary</w:t>
            </w:r>
          </w:p>
        </w:tc>
        <w:tc>
          <w:tcPr>
            <w:tcW w:w="100" w:type="dxa"/>
            <w:vAlign w:val="bottom"/>
          </w:tcPr>
          <w:p>
            <w:pPr>
              <w:spacing w:after="0"/>
              <w:rPr>
                <w:sz w:val="16"/>
                <w:szCs w:val="16"/>
                <w:color w:val="auto"/>
              </w:rPr>
            </w:pPr>
          </w:p>
        </w:tc>
      </w:tr>
      <w:tr>
        <w:trPr>
          <w:trHeight w:val="223"/>
        </w:trPr>
        <w:tc>
          <w:tcPr>
            <w:tcW w:w="8120" w:type="dxa"/>
            <w:vAlign w:val="bottom"/>
            <w:shd w:val="clear" w:color="auto" w:fill="B2B2B2"/>
          </w:tcPr>
          <w:p>
            <w:pPr>
              <w:ind w:left="40"/>
              <w:spacing w:after="0"/>
              <w:rPr>
                <w:sz w:val="20"/>
                <w:szCs w:val="20"/>
                <w:color w:val="auto"/>
              </w:rPr>
            </w:pPr>
            <w:r>
              <w:rPr>
                <w:rFonts w:ascii="Arial" w:cs="Arial" w:eastAsia="Arial" w:hAnsi="Arial"/>
                <w:sz w:val="18"/>
                <w:szCs w:val="18"/>
                <w:color w:val="auto"/>
              </w:rPr>
              <w:t>CEO</w:t>
            </w:r>
          </w:p>
        </w:tc>
        <w:tc>
          <w:tcPr>
            <w:tcW w:w="180" w:type="dxa"/>
            <w:vAlign w:val="bottom"/>
            <w:shd w:val="clear" w:color="auto" w:fill="B2B2B2"/>
          </w:tcPr>
          <w:p>
            <w:pPr>
              <w:spacing w:after="0"/>
              <w:rPr>
                <w:sz w:val="19"/>
                <w:szCs w:val="19"/>
                <w:color w:val="auto"/>
              </w:rPr>
            </w:pPr>
          </w:p>
        </w:tc>
        <w:tc>
          <w:tcPr>
            <w:tcW w:w="1260" w:type="dxa"/>
            <w:vAlign w:val="bottom"/>
            <w:gridSpan w:val="2"/>
            <w:shd w:val="clear" w:color="auto" w:fill="B2B2B2"/>
          </w:tcPr>
          <w:p>
            <w:pPr>
              <w:ind w:left="820"/>
              <w:spacing w:after="0"/>
              <w:rPr>
                <w:sz w:val="20"/>
                <w:szCs w:val="20"/>
                <w:color w:val="auto"/>
              </w:rPr>
            </w:pPr>
            <w:r>
              <w:rPr>
                <w:rFonts w:ascii="Arial" w:cs="Arial" w:eastAsia="Arial" w:hAnsi="Arial"/>
                <w:sz w:val="18"/>
                <w:szCs w:val="18"/>
                <w:color w:val="auto"/>
              </w:rPr>
              <w:t>6.0x</w:t>
            </w:r>
          </w:p>
        </w:tc>
      </w:tr>
      <w:tr>
        <w:trPr>
          <w:trHeight w:val="229"/>
        </w:trPr>
        <w:tc>
          <w:tcPr>
            <w:tcW w:w="8120" w:type="dxa"/>
            <w:vAlign w:val="bottom"/>
          </w:tcPr>
          <w:p>
            <w:pPr>
              <w:ind w:left="40"/>
              <w:spacing w:after="0"/>
              <w:rPr>
                <w:sz w:val="20"/>
                <w:szCs w:val="20"/>
                <w:color w:val="auto"/>
              </w:rPr>
            </w:pPr>
            <w:r>
              <w:rPr>
                <w:rFonts w:ascii="Arial" w:cs="Arial" w:eastAsia="Arial" w:hAnsi="Arial"/>
                <w:sz w:val="18"/>
                <w:szCs w:val="18"/>
                <w:color w:val="auto"/>
              </w:rPr>
              <w:t>CFO</w:t>
            </w:r>
          </w:p>
        </w:tc>
        <w:tc>
          <w:tcPr>
            <w:tcW w:w="180" w:type="dxa"/>
            <w:vAlign w:val="bottom"/>
          </w:tcPr>
          <w:p>
            <w:pPr>
              <w:spacing w:after="0"/>
              <w:rPr>
                <w:sz w:val="19"/>
                <w:szCs w:val="19"/>
                <w:color w:val="auto"/>
              </w:rPr>
            </w:pP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3.0x</w:t>
            </w:r>
          </w:p>
        </w:tc>
      </w:tr>
      <w:tr>
        <w:trPr>
          <w:trHeight w:val="230"/>
        </w:trPr>
        <w:tc>
          <w:tcPr>
            <w:tcW w:w="8120" w:type="dxa"/>
            <w:vAlign w:val="bottom"/>
            <w:shd w:val="clear" w:color="auto" w:fill="B2B2B2"/>
          </w:tcPr>
          <w:p>
            <w:pPr>
              <w:ind w:left="40"/>
              <w:spacing w:after="0"/>
              <w:rPr>
                <w:sz w:val="20"/>
                <w:szCs w:val="20"/>
                <w:color w:val="auto"/>
              </w:rPr>
            </w:pPr>
            <w:r>
              <w:rPr>
                <w:rFonts w:ascii="Arial" w:cs="Arial" w:eastAsia="Arial" w:hAnsi="Arial"/>
                <w:sz w:val="18"/>
                <w:szCs w:val="18"/>
                <w:color w:val="auto"/>
              </w:rPr>
              <w:t>Senior Vice Presidents who are Named Executive Officers</w:t>
            </w:r>
          </w:p>
        </w:tc>
        <w:tc>
          <w:tcPr>
            <w:tcW w:w="180" w:type="dxa"/>
            <w:vAlign w:val="bottom"/>
            <w:shd w:val="clear" w:color="auto" w:fill="B2B2B2"/>
          </w:tcPr>
          <w:p>
            <w:pPr>
              <w:spacing w:after="0"/>
              <w:rPr>
                <w:sz w:val="19"/>
                <w:szCs w:val="19"/>
                <w:color w:val="auto"/>
              </w:rPr>
            </w:pPr>
          </w:p>
        </w:tc>
        <w:tc>
          <w:tcPr>
            <w:tcW w:w="1260" w:type="dxa"/>
            <w:vAlign w:val="bottom"/>
            <w:gridSpan w:val="2"/>
            <w:shd w:val="clear" w:color="auto" w:fill="B2B2B2"/>
          </w:tcPr>
          <w:p>
            <w:pPr>
              <w:ind w:left="820"/>
              <w:spacing w:after="0"/>
              <w:rPr>
                <w:sz w:val="20"/>
                <w:szCs w:val="20"/>
                <w:color w:val="auto"/>
              </w:rPr>
            </w:pPr>
            <w:r>
              <w:rPr>
                <w:rFonts w:ascii="Arial" w:cs="Arial" w:eastAsia="Arial" w:hAnsi="Arial"/>
                <w:sz w:val="18"/>
                <w:szCs w:val="18"/>
                <w:color w:val="auto"/>
              </w:rPr>
              <w:t>2.0x</w:t>
            </w:r>
          </w:p>
        </w:tc>
      </w:tr>
    </w:tbl>
    <w:p>
      <w:pPr>
        <w:spacing w:after="0" w:line="24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Common stock, vested and unvested restricted shares, the net after-tax value of unexercised vested and unvested stock options, and stock held in the deferred compensation, 401(k) and the Employee Stock Purchase plans all count towards satisfaction of the guidelines. Additionally, participants are required to retain 50% of net profit shares from all stock acquired upon exercise or vesting unless the guideline level is achieved. Net profit shares are defined as the number of shares of stock acquired after payment of (i) in the case of options, any exercise price and tax withholding upon exercise, or (ii) in the case of restricted stock or restricted stock units, tax withholding upon vesting. We annually review the levels of stock ownership of our NEOs, and, based on a rolling 12-month average of our stock price as of the end of 2019, all of our NEOs have met the guidelines. We also have stock ownership guidelines for the members of our Board.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Policy</w:t>
      </w:r>
    </w:p>
    <w:p>
      <w:pPr>
        <w:spacing w:after="0" w:line="19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prohibit the NEOs, other executive officers, directors and employees from engaging in transactions designed to insulate them from changes in the Company’s stock price. Therefore, the Company has an Anti-Hedging Policy that prohibits entering into transactions that include (without limitation) equity swaps or short sales of our securities, margin accounts or pledges of our securities, and hedges or monetization transactions involving our securities that are designed to hedge or offset any decrease in the market value of Itron securities. In addition, the purchase or sale of puts, calls, options, or other derivative securities based on the Company’s securities is prohibited under this policy, and borrowing against any account in which our securities are held is prohibited.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Change-in-Control Agreements</w:t>
      </w:r>
    </w:p>
    <w:p>
      <w:pPr>
        <w:spacing w:after="0" w:line="19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have entered into change-in-control agreements with certain of our executive officers to encourage their full attention and dedication to the Company in the event of a change-in-control of the Company, and to provide them with reasonable compensation and benefits in the event of a change-in-control and a subsequent loss of employment. All equity awards granted have “double trigger” requirements before vesting upon a change-in-control. See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TABLES – Potential Payments upon Change-in-Control</w:t>
      </w:r>
      <w:r>
        <w:rPr>
          <w:rFonts w:ascii="Arial" w:cs="Arial" w:eastAsia="Arial" w:hAnsi="Arial"/>
          <w:sz w:val="18"/>
          <w:szCs w:val="18"/>
          <w:color w:val="auto"/>
        </w:rPr>
        <w:t>” for descriptions of the benefits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change-in-control agreements.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Severance Policy</w:t>
      </w:r>
    </w:p>
    <w:p>
      <w:pPr>
        <w:spacing w:after="0" w:line="20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do not have formal employment agreements with our executive officers. However, we do have an Executive Severance Policy for our executive officers that provides severance pay equal to one year’s base salary, employer benefit premium payments or reimbursements for one year, and outplacement assistance provided there is a release of claims, non-disparagement, and confidentiality agreement with the executive officer. In addition, the executive officer must enter into a one-year non-compete agreement, where enforceable.</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Temporary Plan Modification(s). </w:t>
      </w:r>
      <w:r>
        <w:rPr>
          <w:rFonts w:ascii="Arial" w:cs="Arial" w:eastAsia="Arial" w:hAnsi="Arial"/>
          <w:sz w:val="18"/>
          <w:szCs w:val="18"/>
          <w:color w:val="auto"/>
        </w:rPr>
        <w:t>Due to the CEO transition during 2019, effective February 20, 2019,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approved a temporary enhancement to the Executive Severance Policy for the NEOs, except for Mr. Reeves who was not an NEO on that date. Under the temporary enhancement, in the event an NEO is terminated not for cause within twelve (12) months of the new CEO start date in 2019 or 2020, the executive will be provided eighteen (18) months of base salary and employer benefit premium payments/reimbursement, and outplacement assistance provided that (1) the executive releases all claims that he or she may have against the Company, (2) enters into a one year non-compete agreement (where enforceable), (3) agrees not to solicit</w:t>
      </w:r>
    </w:p>
    <w:p>
      <w:pPr>
        <w:spacing w:after="0" w:line="220"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employees for a period of one year, and (4) agrees not to disparage the Company. The Company, at its sole discretion, may elect to make the severance payment under the temporary enhancement in equal payments over an 18-month period or in a lump sum. In addition, in the event an NEO is terminated not for cause within twelve (12) months of the new CEO start date in 2019 or 2020, PRSUs and RSUs granted in 2019 will continue to vest.</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Repayment (Clawback) Policy</w:t>
      </w:r>
    </w:p>
    <w:p>
      <w:pPr>
        <w:spacing w:after="0" w:line="193"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Under our Incentive Repayment (Clawback) Policy, in the event of a restatement of the Company’s financial results, the Compensation Committee, as designated by the Board, may review all cash or equity incentive awards that were based in whole or in part on the achievement of certain financial results.</w:t>
      </w:r>
    </w:p>
    <w:p>
      <w:pPr>
        <w:spacing w:after="0" w:line="16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Where award(s) were predicated, in part or in whole, upon the achievement of certain financial results that were subsequently the subject of a material financial restatement and, as determined by the Compensation Committee, the executive(s) engaged in fraud that caused or partially caused the need for the restatement, the Compensation Committee will seek forfeiture or reimbursement to the Company of the award(s) from the executive officer(s) engaged in fraud in full, net of tax. If a material financial restatement was not due to fraud, the Compensation Committee may review the circumstances and, in its discretion to the extent practicable and allowable under applicable laws, determine to require forfeiture or reimbursement to the Company of the amount of the award(s) that exceeded the lower amount, payment or value that would have been made based on the restated financial results, net of tax.</w:t>
      </w:r>
    </w:p>
    <w:p>
      <w:pPr>
        <w:spacing w:after="0" w:line="17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Any recoupment under this policy may be in addition to, and shall not otherwise limit, any other remedies that may be available to the Company under applicable law, including disciplinary actions up to and including termination of employment.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Deferred Compensation</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Executive officers located in the U.S. are eligible to participate in our Executive Deferred Compensation Plan (EDCP). We offer the EDCP to our highly-compensated employees to give them the benefit of being able to defer some of their taxable income, which also encourages their retention with the Company. Participants may defer up to 50% of their base salary and annual cash incentive into a nonqualified account.</w:t>
      </w:r>
    </w:p>
    <w:p>
      <w:pPr>
        <w:spacing w:after="0" w:line="17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 xml:space="preserve">Executive officers are also permitted to elect to defer an additional portion of their base salary under the EDCP equal to the amount of any contributions returned to them during the year from the Company’s 401(k) Plan. In 2019, the Company made matching contributions to the account of each participating executive at the rate of 75% of the first 6% of base salary and annual incentive deferred by the executive officer during that year, which is the same matching formula as the Company’s 401(k) Plan. The employer match into the EDCP starts </w:t>
      </w:r>
      <w:r>
        <w:rPr>
          <w:rFonts w:ascii="Arial" w:cs="Arial" w:eastAsia="Arial" w:hAnsi="Arial"/>
          <w:sz w:val="18"/>
          <w:szCs w:val="18"/>
          <w:i w:val="1"/>
          <w:iCs w:val="1"/>
          <w:color w:val="auto"/>
        </w:rPr>
        <w:t>after</w:t>
      </w:r>
      <w:r>
        <w:rPr>
          <w:rFonts w:ascii="Arial" w:cs="Arial" w:eastAsia="Arial" w:hAnsi="Arial"/>
          <w:sz w:val="18"/>
          <w:szCs w:val="18"/>
          <w:color w:val="auto"/>
        </w:rPr>
        <w:t xml:space="preserve"> the employee reaches IRS limits on the 401(k) Plan and is no longer eligible for the 401(k) match. The executive officers’ account balances are adjusted for hypothetical investment earnings or losses according to the returns of the specified “measurement funds” selected by the executives. The measurement funds correspond to the mutual funds available for investment under the 401(k) Plan (but currently do not include a Company stock fund).</w:t>
      </w:r>
    </w:p>
    <w:p>
      <w:pPr>
        <w:spacing w:after="0" w:line="153" w:lineRule="exact"/>
        <w:rPr>
          <w:sz w:val="20"/>
          <w:szCs w:val="20"/>
          <w:color w:val="auto"/>
        </w:rPr>
      </w:pPr>
    </w:p>
    <w:p>
      <w:pPr>
        <w:ind w:right="380"/>
        <w:spacing w:after="0" w:line="456" w:lineRule="auto"/>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w:t>
      </w:r>
      <w:r>
        <w:rPr>
          <w:rFonts w:ascii="Arial" w:cs="Arial" w:eastAsia="Arial" w:hAnsi="Arial"/>
          <w:sz w:val="18"/>
          <w:szCs w:val="18"/>
          <w:i w:val="1"/>
          <w:iCs w:val="1"/>
          <w:color w:val="auto"/>
        </w:rPr>
        <w:t>EXECUTIVE COMPENSATION TABLES – 2019 Nonqualified Deferred Compensation Table</w:t>
      </w:r>
      <w:r>
        <w:rPr>
          <w:rFonts w:ascii="Arial" w:cs="Arial" w:eastAsia="Arial" w:hAnsi="Arial"/>
          <w:sz w:val="18"/>
          <w:szCs w:val="18"/>
          <w:color w:val="auto"/>
        </w:rPr>
        <w:t>” for more details.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General Benefits and Perquisites</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NEOs receive the same benefits as our U.S. based salaried employees generally, including medical and dental benefits, group term life insurance, and short- and long-term disability protection. Itron also has relocation policies and benefits in place that may be applicable if an employee is required to move or has long-term extended business travel to a new location.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 and Employee Stock Purchase Plan</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Executive officers located in the U.S. are eligible to participate in our 401(k) Plan which provides our employees, including the NEOs, with a 75% Company match on the first 6% of compensation deferred, subject to qualified plan limits. Similarly, executive officers located in the U.S. may participate in the Company’s Employee Stock Purchase Plan, along with our other U.S. employees.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We do not maintain any defined benefit or supplemental retirement programs for our NEOs.</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Risk Assessment</w:t>
      </w:r>
    </w:p>
    <w:p>
      <w:pPr>
        <w:spacing w:after="0" w:line="19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It is our belief that a majority of an NEO’s total compensation should be variable “at risk” compensation, meaning it is tied to the Company’s financial performance. However, because performance-based incentives play a large role in our compensation program, we strive to ensure that incentives do not result in actions that may conflict with the long-term best interests of the Company and our shareholders. Therefore, the Committee evaluated all of our plans and policies (applicable to executive officers and employees below the executive level) in December 2019 for attributes that could cause excessive risk-taking. We concluded that our programs and policies do not encourage excessive risk-taking because: (a) the salary component of our program is a fixed amount; (b) the majority of the average compensation paid to our executive officers is delivered in the form of equity ownership, which aligns the interest of our executive officers with those of our shareholders; (c) NEOs are subject to our stock ownership guidelines; and (d) the annual cash-based incentive plan and long-term incentive plans are designed with risk-mitigating characteristics such as (i) maximum award payouts based on the attainment of various and continually evolving Company financial objectives which diversify risks associated with a single indicator of performance, (ii) our equity-based incentives encourage a longer-term focus through multi-year performance periods, (iii) our risk-mitigating policies in place such as insider trading and hedging prohibitions and clawbacks, and (iv) review and approval of final awards by our Committee (and the independent members of the full Board in the case of the CEO), which is composed entirely of independent directors who have discretion under our plans to approve, modify, or eliminate any award earned.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are providing the following information about the relationship of the annual total compensation of our employees and the annual total compensation of our CEO:</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For 2019, our last completed fiscal year:</w:t>
      </w:r>
    </w:p>
    <w:p>
      <w:pPr>
        <w:spacing w:after="0" w:line="104" w:lineRule="exact"/>
        <w:rPr>
          <w:sz w:val="20"/>
          <w:szCs w:val="20"/>
          <w:color w:val="auto"/>
        </w:rPr>
      </w:pPr>
    </w:p>
    <w:p>
      <w:pPr>
        <w:ind w:left="700" w:right="580" w:hanging="344"/>
        <w:spacing w:after="0" w:line="246"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of our company (other than our CEO) was $47,689; and</w:t>
      </w:r>
    </w:p>
    <w:p>
      <w:pPr>
        <w:spacing w:after="0" w:line="88" w:lineRule="exact"/>
        <w:rPr>
          <w:rFonts w:ascii="Arial" w:cs="Arial" w:eastAsia="Arial" w:hAnsi="Arial"/>
          <w:sz w:val="18"/>
          <w:szCs w:val="18"/>
          <w:color w:val="auto"/>
        </w:rPr>
      </w:pPr>
    </w:p>
    <w:p>
      <w:pPr>
        <w:ind w:left="700" w:right="180" w:hanging="344"/>
        <w:spacing w:after="0" w:line="246"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aggregated annual total compensation of our current and former CEOs, based on compensation provided to each individual for the time he served as our CEO during 2019, was $6,914,151.</w:t>
      </w:r>
    </w:p>
    <w:p>
      <w:pPr>
        <w:spacing w:after="0" w:line="17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2019, two individuals held the position of CEO of the Company: Mr. Mezey from January 1, 2019 until August 6, 2019, when Mr. Mezey resigned his position, and Mr. Deitrich from August 6, 2019 through December 31, 2019. For the purposes of this calculation, their compensation for the period when they each served as CEO during 2019 was combined and calculated in a manner consistent with that used for the Summary Compensation Table. We pro-rated Mr. Deitrich’s salary, bonus, and 401(k) plan matching contribution, and his equity-based incentive compensation includes a promotional award that is described under “</w:t>
      </w:r>
      <w:r>
        <w:rPr>
          <w:rFonts w:ascii="Arial" w:cs="Arial" w:eastAsia="Arial" w:hAnsi="Arial"/>
          <w:sz w:val="18"/>
          <w:szCs w:val="18"/>
          <w:i w:val="1"/>
          <w:iCs w:val="1"/>
          <w:color w:val="auto"/>
        </w:rPr>
        <w:t>Long Term Incentives</w:t>
      </w:r>
      <w:r>
        <w:rPr>
          <w:rFonts w:ascii="Arial" w:cs="Arial" w:eastAsia="Arial" w:hAnsi="Arial"/>
          <w:sz w:val="18"/>
          <w:szCs w:val="18"/>
          <w:color w:val="auto"/>
        </w:rPr>
        <w:t>” in this CD&amp;A. Due to the promotional award, the CEO’s total compensation and accompanying pay ratio as disclosed here is not reflective of what we would expect CEO compensation to be in future years.</w:t>
      </w:r>
    </w:p>
    <w:p>
      <w:pPr>
        <w:spacing w:after="0" w:line="16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For 2019, the aggregated annual total compensation of our CEOs was 145 times that of the median of the annual total compensation of all employees. This calculation is based on our employee population of 6,799, as of December 31, 2019. The median employee was identified using base pay, overtime pay, short-term incentives, and long-term incentive grant date fair values, for the twelve months ended December 31, 2019. Our median employee is located in France. For purposes of this disclosure, we applied a Euro to U.S. dollars exchange rate of $1.116 using a period-end rate of twelve months as of December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Annual total compensation for both CEOs and the median employee was calculated in accordance with Item 402(c)(2)</w:t>
      </w:r>
    </w:p>
    <w:p>
      <w:pPr>
        <w:spacing w:after="0" w:line="9" w:lineRule="exact"/>
        <w:rPr>
          <w:sz w:val="20"/>
          <w:szCs w:val="20"/>
          <w:color w:val="auto"/>
        </w:rPr>
      </w:pPr>
    </w:p>
    <w:p>
      <w:pPr>
        <w:ind w:firstLine="5"/>
        <w:spacing w:after="0" w:line="252" w:lineRule="auto"/>
        <w:tabs>
          <w:tab w:leader="none" w:pos="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of Regulation S-K. This pay ratio is a reasonable estimate calculated in a manner consistent with SEC rules based on our payroll and employment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219"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Tax and Accounting</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regularly consider the various tax and accounting implications of our compensation plans. When determining the amount of long-term incentives and equity grants to executives and employees, the compensation costs associated with the grants are reviewed, as required by FASB ASC Topic 718.</w:t>
      </w:r>
    </w:p>
    <w:p>
      <w:pPr>
        <w:spacing w:after="0" w:line="17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Section 162(m) of the Code generally prohibits any publicly held corporation from taking a federal income tax deduction for compensation paid in excess of $1 million in any taxable year to the CEO and the other “covered employees” as defined in the rule. Under the tax laws in effect before 2018, compensation that qualified as “performance-based compensation” under Section 162(m) of the Code was deductible without regard to this limitation. Effective for tax years beginning after December 31, 2017, the Tax Cuts and Jobs Act of 2017 generally eliminated the performance-based exemption, subject to a special rule that grandfathers certain awards and agreements that were in effect on November 2, 2017. While considering tax deductibility as only one of several considerations in determining compensation, the Committee believes that the tax deduction limitation should not compromise its ability to structure compensation programs that provide benefits to the Company that outweigh the potential benefit of a tax deduction and, therefore, may approve compensation that is not deductible for tax purposes.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Compensation Committee Report</w:t>
      </w:r>
    </w:p>
    <w:p>
      <w:pPr>
        <w:spacing w:after="0" w:line="19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Compensation Committee has reviewed and discussed the Compensation Discussion and Analysis with Itron’s management. Based on the review and discussions, the Compensation Committee has recommended to the Board of Directors that the Compensation Discussion and Analysis be included in the Company’s 2019 Annual Report on Form 10-K and the Company’s 2020 proxy statement.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Diana D. Tremblay,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Daniel S. Pelino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23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288925</wp:posOffset>
            </wp:positionV>
            <wp:extent cx="6069330"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TABLES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9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following table provides information regarding compensation of the Company’s NEOs. The amounts shown include amounts deferred at the executives’ election. All numbers are rounded to the nearest dollar.</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980" w:type="dxa"/>
            <w:vAlign w:val="bottom"/>
            <w:gridSpan w:val="3"/>
          </w:tcPr>
          <w:p>
            <w:pPr>
              <w:jc w:val="right"/>
              <w:ind w:right="193"/>
              <w:spacing w:after="0"/>
              <w:rPr>
                <w:sz w:val="20"/>
                <w:szCs w:val="20"/>
                <w:color w:val="auto"/>
              </w:rPr>
            </w:pPr>
            <w:r>
              <w:rPr>
                <w:rFonts w:ascii="Arial" w:cs="Arial" w:eastAsia="Arial" w:hAnsi="Arial"/>
                <w:sz w:val="14"/>
                <w:szCs w:val="14"/>
                <w:b w:val="1"/>
                <w:bCs w:val="1"/>
                <w:color w:val="auto"/>
              </w:rPr>
              <w:t>Summary Compensation Table</w:t>
            </w:r>
          </w:p>
        </w:tc>
        <w:tc>
          <w:tcPr>
            <w:tcW w:w="1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1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40" w:type="dxa"/>
            <w:vAlign w:val="bottom"/>
          </w:tcPr>
          <w:p>
            <w:pPr>
              <w:spacing w:after="0"/>
              <w:rPr>
                <w:sz w:val="20"/>
                <w:szCs w:val="20"/>
                <w:color w:val="auto"/>
              </w:rPr>
            </w:pPr>
            <w:r>
              <w:rPr>
                <w:rFonts w:ascii="Arial" w:cs="Arial" w:eastAsia="Arial" w:hAnsi="Arial"/>
                <w:sz w:val="14"/>
                <w:szCs w:val="14"/>
                <w:b w:val="1"/>
                <w:bCs w:val="1"/>
                <w:color w:val="auto"/>
              </w:rPr>
              <w:t>Name and</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jc w:val="center"/>
              <w:ind w:right="14"/>
              <w:spacing w:after="0"/>
              <w:rPr>
                <w:sz w:val="20"/>
                <w:szCs w:val="20"/>
                <w:color w:val="auto"/>
              </w:rPr>
            </w:pPr>
            <w:r>
              <w:rPr>
                <w:rFonts w:ascii="Arial" w:cs="Arial" w:eastAsia="Arial" w:hAnsi="Arial"/>
                <w:sz w:val="14"/>
                <w:szCs w:val="14"/>
                <w:b w:val="1"/>
                <w:bCs w:val="1"/>
                <w:color w:val="auto"/>
              </w:rPr>
              <w:t>Stock</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line="149" w:lineRule="exact"/>
              <w:rPr>
                <w:sz w:val="20"/>
                <w:szCs w:val="20"/>
                <w:color w:val="auto"/>
              </w:rPr>
            </w:pPr>
            <w:r>
              <w:rPr>
                <w:rFonts w:ascii="Arial" w:cs="Arial" w:eastAsia="Arial" w:hAnsi="Arial"/>
                <w:sz w:val="14"/>
                <w:szCs w:val="14"/>
                <w:b w:val="1"/>
                <w:bCs w:val="1"/>
                <w:color w:val="auto"/>
              </w:rPr>
              <w:t>Principal</w:t>
            </w:r>
          </w:p>
        </w:tc>
        <w:tc>
          <w:tcPr>
            <w:tcW w:w="600" w:type="dxa"/>
            <w:vAlign w:val="bottom"/>
          </w:tcPr>
          <w:p>
            <w:pPr>
              <w:spacing w:after="0"/>
              <w:rPr>
                <w:sz w:val="12"/>
                <w:szCs w:val="12"/>
                <w:color w:val="auto"/>
              </w:rPr>
            </w:pPr>
          </w:p>
        </w:tc>
        <w:tc>
          <w:tcPr>
            <w:tcW w:w="90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Salary</w:t>
            </w:r>
          </w:p>
        </w:tc>
        <w:tc>
          <w:tcPr>
            <w:tcW w:w="900" w:type="dxa"/>
            <w:vAlign w:val="bottom"/>
          </w:tcPr>
          <w:p>
            <w:pPr>
              <w:jc w:val="right"/>
              <w:ind w:right="193"/>
              <w:spacing w:after="0" w:line="149" w:lineRule="exact"/>
              <w:rPr>
                <w:sz w:val="20"/>
                <w:szCs w:val="20"/>
                <w:color w:val="auto"/>
              </w:rPr>
            </w:pPr>
            <w:r>
              <w:rPr>
                <w:rFonts w:ascii="Arial" w:cs="Arial" w:eastAsia="Arial" w:hAnsi="Arial"/>
                <w:sz w:val="14"/>
                <w:szCs w:val="14"/>
                <w:b w:val="1"/>
                <w:bCs w:val="1"/>
                <w:color w:val="auto"/>
              </w:rPr>
              <w:t>Bonus</w:t>
            </w:r>
          </w:p>
        </w:tc>
        <w:tc>
          <w:tcPr>
            <w:tcW w:w="106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rPr>
              <w:t>Awards</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Awards</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Compensation</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Compensation</w:t>
            </w:r>
          </w:p>
        </w:tc>
        <w:tc>
          <w:tcPr>
            <w:tcW w:w="90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5"/>
        </w:trPr>
        <w:tc>
          <w:tcPr>
            <w:tcW w:w="154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600" w:type="dxa"/>
            <w:vAlign w:val="bottom"/>
          </w:tcPr>
          <w:p>
            <w:pPr>
              <w:jc w:val="center"/>
              <w:spacing w:after="0"/>
              <w:rPr>
                <w:sz w:val="20"/>
                <w:szCs w:val="20"/>
                <w:color w:val="auto"/>
              </w:rPr>
            </w:pPr>
            <w:r>
              <w:rPr>
                <w:rFonts w:ascii="Arial" w:cs="Arial" w:eastAsia="Arial" w:hAnsi="Arial"/>
                <w:sz w:val="14"/>
                <w:szCs w:val="14"/>
                <w:b w:val="1"/>
                <w:bCs w:val="1"/>
                <w:u w:val="single" w:color="auto"/>
                <w:color w:val="auto"/>
                <w:w w:val="98"/>
              </w:rPr>
              <w:t>Year</w:t>
            </w:r>
          </w:p>
        </w:tc>
        <w:tc>
          <w:tcPr>
            <w:tcW w:w="900" w:type="dxa"/>
            <w:vAlign w:val="bottom"/>
          </w:tcPr>
          <w:p>
            <w:pPr>
              <w:jc w:val="right"/>
              <w:ind w:right="332"/>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333"/>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center"/>
              <w:ind w:right="14"/>
              <w:spacing w:after="0" w:line="216"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1"/>
                <w:szCs w:val="11"/>
                <w:b w:val="1"/>
                <w:bCs w:val="1"/>
                <w:color w:val="auto"/>
              </w:rPr>
              <w:t>(1)(2)</w:t>
            </w:r>
          </w:p>
        </w:tc>
        <w:tc>
          <w:tcPr>
            <w:tcW w:w="1020" w:type="dxa"/>
            <w:vAlign w:val="bottom"/>
          </w:tcPr>
          <w:p>
            <w:pPr>
              <w:jc w:val="center"/>
              <w:spacing w:after="0" w:line="216"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4"/>
                <w:szCs w:val="24"/>
                <w:b w:val="1"/>
                <w:bCs w:val="1"/>
                <w:color w:val="auto"/>
                <w:w w:val="87"/>
                <w:vertAlign w:val="superscript"/>
              </w:rPr>
              <w:t>(1)</w:t>
            </w:r>
          </w:p>
        </w:tc>
        <w:tc>
          <w:tcPr>
            <w:tcW w:w="1220" w:type="dxa"/>
            <w:vAlign w:val="bottom"/>
          </w:tcPr>
          <w:p>
            <w:pPr>
              <w:jc w:val="center"/>
              <w:spacing w:after="0" w:line="216"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4"/>
                <w:szCs w:val="24"/>
                <w:b w:val="1"/>
                <w:bCs w:val="1"/>
                <w:color w:val="auto"/>
                <w:w w:val="87"/>
                <w:vertAlign w:val="superscript"/>
              </w:rPr>
              <w:t>(3)</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1540" w:type="dxa"/>
            <w:vAlign w:val="bottom"/>
          </w:tcPr>
          <w:p>
            <w:pPr>
              <w:spacing w:after="0" w:line="216" w:lineRule="exact"/>
              <w:rPr>
                <w:sz w:val="20"/>
                <w:szCs w:val="20"/>
                <w:color w:val="auto"/>
              </w:rPr>
            </w:pPr>
            <w:r>
              <w:rPr>
                <w:rFonts w:ascii="Arial" w:cs="Arial" w:eastAsia="Arial" w:hAnsi="Arial"/>
                <w:sz w:val="16"/>
                <w:szCs w:val="16"/>
                <w:color w:val="auto"/>
              </w:rPr>
              <w:t>Thomas Deitrich</w:t>
            </w:r>
            <w:r>
              <w:rPr>
                <w:rFonts w:ascii="Arial" w:cs="Arial" w:eastAsia="Arial" w:hAnsi="Arial"/>
                <w:sz w:val="25"/>
                <w:szCs w:val="25"/>
                <w:color w:val="auto"/>
                <w:vertAlign w:val="superscript"/>
              </w:rPr>
              <w:t>(5)</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2019</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650,000</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3,333,990</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1,999,984</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567,668</w:t>
            </w:r>
          </w:p>
        </w:tc>
        <w:tc>
          <w:tcPr>
            <w:tcW w:w="1320" w:type="dxa"/>
            <w:vAlign w:val="bottom"/>
          </w:tcPr>
          <w:p>
            <w:pPr>
              <w:jc w:val="right"/>
              <w:ind w:right="35"/>
              <w:spacing w:after="0" w:line="216" w:lineRule="exact"/>
              <w:rPr>
                <w:sz w:val="20"/>
                <w:szCs w:val="20"/>
                <w:color w:val="auto"/>
              </w:rPr>
            </w:pPr>
            <w:r>
              <w:rPr>
                <w:rFonts w:ascii="Arial" w:cs="Arial" w:eastAsia="Arial" w:hAnsi="Arial"/>
                <w:sz w:val="16"/>
                <w:szCs w:val="16"/>
                <w:color w:val="auto"/>
              </w:rPr>
              <w:t>12,600</w:t>
            </w:r>
            <w:r>
              <w:rPr>
                <w:rFonts w:ascii="Arial" w:cs="Arial" w:eastAsia="Arial" w:hAnsi="Arial"/>
                <w:sz w:val="25"/>
                <w:szCs w:val="25"/>
                <w:color w:val="auto"/>
                <w:vertAlign w:val="superscript"/>
              </w:rPr>
              <w:t>(4)</w:t>
            </w:r>
          </w:p>
        </w:tc>
        <w:tc>
          <w:tcPr>
            <w:tcW w:w="900" w:type="dxa"/>
            <w:vAlign w:val="bottom"/>
          </w:tcPr>
          <w:p>
            <w:pPr>
              <w:jc w:val="right"/>
              <w:spacing w:after="0"/>
              <w:rPr>
                <w:sz w:val="20"/>
                <w:szCs w:val="20"/>
                <w:color w:val="auto"/>
              </w:rPr>
            </w:pPr>
            <w:r>
              <w:rPr>
                <w:rFonts w:ascii="Arial" w:cs="Arial" w:eastAsia="Arial" w:hAnsi="Arial"/>
                <w:sz w:val="18"/>
                <w:szCs w:val="18"/>
                <w:color w:val="auto"/>
              </w:rPr>
              <w:t>6,564,242</w:t>
            </w:r>
          </w:p>
        </w:tc>
        <w:tc>
          <w:tcPr>
            <w:tcW w:w="0" w:type="dxa"/>
            <w:vAlign w:val="bottom"/>
          </w:tcPr>
          <w:p>
            <w:pPr>
              <w:spacing w:after="0"/>
              <w:rPr>
                <w:sz w:val="1"/>
                <w:szCs w:val="1"/>
                <w:color w:val="auto"/>
              </w:rPr>
            </w:pPr>
          </w:p>
        </w:tc>
      </w:tr>
      <w:tr>
        <w:trPr>
          <w:trHeight w:val="203"/>
        </w:trPr>
        <w:tc>
          <w:tcPr>
            <w:tcW w:w="1540" w:type="dxa"/>
            <w:vAlign w:val="bottom"/>
          </w:tcPr>
          <w:p>
            <w:pPr>
              <w:ind w:left="180"/>
              <w:spacing w:after="0" w:line="202" w:lineRule="exact"/>
              <w:rPr>
                <w:sz w:val="20"/>
                <w:szCs w:val="20"/>
                <w:color w:val="auto"/>
              </w:rPr>
            </w:pPr>
            <w:r>
              <w:rPr>
                <w:rFonts w:ascii="Arial" w:cs="Arial" w:eastAsia="Arial" w:hAnsi="Arial"/>
                <w:sz w:val="18"/>
                <w:szCs w:val="18"/>
                <w:color w:val="auto"/>
              </w:rPr>
              <w:t>President and</w:t>
            </w:r>
          </w:p>
        </w:tc>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w w:val="99"/>
              </w:rPr>
              <w:t>2018</w:t>
            </w:r>
          </w:p>
        </w:tc>
        <w:tc>
          <w:tcPr>
            <w:tcW w:w="9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550,000</w:t>
            </w: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1,867,771</w:t>
            </w:r>
          </w:p>
        </w:tc>
        <w:tc>
          <w:tcPr>
            <w:tcW w:w="10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499,518</w:t>
            </w:r>
          </w:p>
        </w:tc>
        <w:tc>
          <w:tcPr>
            <w:tcW w:w="12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12,375</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2,929,664</w:t>
            </w:r>
          </w:p>
        </w:tc>
        <w:tc>
          <w:tcPr>
            <w:tcW w:w="0" w:type="dxa"/>
            <w:vAlign w:val="bottom"/>
          </w:tcPr>
          <w:p>
            <w:pPr>
              <w:spacing w:after="0"/>
              <w:rPr>
                <w:sz w:val="1"/>
                <w:szCs w:val="1"/>
                <w:color w:val="auto"/>
              </w:rPr>
            </w:pPr>
          </w:p>
        </w:tc>
      </w:tr>
      <w:tr>
        <w:trPr>
          <w:trHeight w:val="270"/>
        </w:trPr>
        <w:tc>
          <w:tcPr>
            <w:tcW w:w="1540" w:type="dxa"/>
            <w:vAlign w:val="bottom"/>
          </w:tcPr>
          <w:p>
            <w:pPr>
              <w:ind w:left="180"/>
              <w:spacing w:after="0"/>
              <w:rPr>
                <w:sz w:val="20"/>
                <w:szCs w:val="20"/>
                <w:color w:val="auto"/>
              </w:rPr>
            </w:pPr>
            <w:r>
              <w:rPr>
                <w:rFonts w:ascii="Arial" w:cs="Arial" w:eastAsia="Arial" w:hAnsi="Arial"/>
                <w:sz w:val="18"/>
                <w:szCs w:val="18"/>
                <w:color w:val="auto"/>
              </w:rPr>
              <w:t>CEO</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2017</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550,000</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1,471,377</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499,995</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466,422</w:t>
            </w:r>
          </w:p>
        </w:tc>
        <w:tc>
          <w:tcPr>
            <w:tcW w:w="1320" w:type="dxa"/>
            <w:vAlign w:val="bottom"/>
          </w:tcPr>
          <w:p>
            <w:pPr>
              <w:jc w:val="right"/>
              <w:ind w:right="215"/>
              <w:spacing w:after="0"/>
              <w:rPr>
                <w:sz w:val="20"/>
                <w:szCs w:val="20"/>
                <w:color w:val="auto"/>
              </w:rPr>
            </w:pPr>
            <w:r>
              <w:rPr>
                <w:rFonts w:ascii="Arial" w:cs="Arial" w:eastAsia="Arial" w:hAnsi="Arial"/>
                <w:sz w:val="18"/>
                <w:szCs w:val="18"/>
                <w:color w:val="auto"/>
              </w:rPr>
              <w:t>12,150</w:t>
            </w:r>
          </w:p>
        </w:tc>
        <w:tc>
          <w:tcPr>
            <w:tcW w:w="900" w:type="dxa"/>
            <w:vAlign w:val="bottom"/>
          </w:tcPr>
          <w:p>
            <w:pPr>
              <w:jc w:val="right"/>
              <w:spacing w:after="0"/>
              <w:rPr>
                <w:sz w:val="20"/>
                <w:szCs w:val="20"/>
                <w:color w:val="auto"/>
              </w:rPr>
            </w:pPr>
            <w:r>
              <w:rPr>
                <w:rFonts w:ascii="Arial" w:cs="Arial" w:eastAsia="Arial" w:hAnsi="Arial"/>
                <w:sz w:val="18"/>
                <w:szCs w:val="18"/>
                <w:color w:val="auto"/>
              </w:rPr>
              <w:t>2,999,944</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Joan Hooper</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2019</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485,000</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1,314,265</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310,097</w:t>
            </w:r>
          </w:p>
        </w:tc>
        <w:tc>
          <w:tcPr>
            <w:tcW w:w="1320" w:type="dxa"/>
            <w:vAlign w:val="bottom"/>
          </w:tcPr>
          <w:p>
            <w:pPr>
              <w:jc w:val="right"/>
              <w:ind w:right="35"/>
              <w:spacing w:after="0" w:line="216" w:lineRule="exact"/>
              <w:rPr>
                <w:sz w:val="20"/>
                <w:szCs w:val="20"/>
                <w:color w:val="auto"/>
              </w:rPr>
            </w:pPr>
            <w:r>
              <w:rPr>
                <w:rFonts w:ascii="Arial" w:cs="Arial" w:eastAsia="Arial" w:hAnsi="Arial"/>
                <w:sz w:val="16"/>
                <w:szCs w:val="16"/>
                <w:color w:val="auto"/>
              </w:rPr>
              <w:t>19,634</w:t>
            </w:r>
            <w:r>
              <w:rPr>
                <w:rFonts w:ascii="Arial" w:cs="Arial" w:eastAsia="Arial" w:hAnsi="Arial"/>
                <w:sz w:val="25"/>
                <w:szCs w:val="25"/>
                <w:color w:val="auto"/>
                <w:vertAlign w:val="superscript"/>
              </w:rPr>
              <w:t>(4)</w:t>
            </w:r>
          </w:p>
        </w:tc>
        <w:tc>
          <w:tcPr>
            <w:tcW w:w="900" w:type="dxa"/>
            <w:vAlign w:val="bottom"/>
          </w:tcPr>
          <w:p>
            <w:pPr>
              <w:jc w:val="right"/>
              <w:spacing w:after="0"/>
              <w:rPr>
                <w:sz w:val="20"/>
                <w:szCs w:val="20"/>
                <w:color w:val="auto"/>
              </w:rPr>
            </w:pPr>
            <w:r>
              <w:rPr>
                <w:rFonts w:ascii="Arial" w:cs="Arial" w:eastAsia="Arial" w:hAnsi="Arial"/>
                <w:sz w:val="18"/>
                <w:szCs w:val="18"/>
                <w:color w:val="auto"/>
              </w:rPr>
              <w:t>2,128,996</w:t>
            </w:r>
          </w:p>
        </w:tc>
        <w:tc>
          <w:tcPr>
            <w:tcW w:w="0" w:type="dxa"/>
            <w:vAlign w:val="bottom"/>
          </w:tcPr>
          <w:p>
            <w:pPr>
              <w:spacing w:after="0"/>
              <w:rPr>
                <w:sz w:val="1"/>
                <w:szCs w:val="1"/>
                <w:color w:val="auto"/>
              </w:rPr>
            </w:pPr>
          </w:p>
        </w:tc>
      </w:tr>
      <w:tr>
        <w:trPr>
          <w:trHeight w:val="203"/>
        </w:trPr>
        <w:tc>
          <w:tcPr>
            <w:tcW w:w="1540" w:type="dxa"/>
            <w:vAlign w:val="bottom"/>
          </w:tcPr>
          <w:p>
            <w:pPr>
              <w:ind w:left="180"/>
              <w:spacing w:after="0" w:line="202" w:lineRule="exact"/>
              <w:rPr>
                <w:sz w:val="20"/>
                <w:szCs w:val="20"/>
                <w:color w:val="auto"/>
              </w:rPr>
            </w:pPr>
            <w:r>
              <w:rPr>
                <w:rFonts w:ascii="Arial" w:cs="Arial" w:eastAsia="Arial" w:hAnsi="Arial"/>
                <w:sz w:val="18"/>
                <w:szCs w:val="18"/>
                <w:color w:val="auto"/>
              </w:rPr>
              <w:t>Senior Vice</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99"/>
              </w:rPr>
              <w:t>2018</w:t>
            </w: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color w:val="auto"/>
              </w:rPr>
              <w:t>485,000</w:t>
            </w:r>
          </w:p>
        </w:tc>
        <w:tc>
          <w:tcPr>
            <w:tcW w:w="900" w:type="dxa"/>
            <w:vAlign w:val="bottom"/>
            <w:vMerge w:val="restart"/>
          </w:tcPr>
          <w:p>
            <w:pPr>
              <w:jc w:val="right"/>
              <w:ind w:right="33"/>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54"/>
              <w:spacing w:after="0"/>
              <w:rPr>
                <w:sz w:val="20"/>
                <w:szCs w:val="20"/>
                <w:color w:val="auto"/>
              </w:rPr>
            </w:pPr>
            <w:r>
              <w:rPr>
                <w:rFonts w:ascii="Arial" w:cs="Arial" w:eastAsia="Arial" w:hAnsi="Arial"/>
                <w:sz w:val="18"/>
                <w:szCs w:val="18"/>
                <w:color w:val="auto"/>
              </w:rPr>
              <w:t>887,873</w:t>
            </w:r>
          </w:p>
        </w:tc>
        <w:tc>
          <w:tcPr>
            <w:tcW w:w="1020" w:type="dxa"/>
            <w:vAlign w:val="bottom"/>
            <w:vMerge w:val="restart"/>
          </w:tcPr>
          <w:p>
            <w:pPr>
              <w:jc w:val="right"/>
              <w:ind w:right="13"/>
              <w:spacing w:after="0"/>
              <w:rPr>
                <w:sz w:val="20"/>
                <w:szCs w:val="20"/>
                <w:color w:val="auto"/>
              </w:rPr>
            </w:pPr>
            <w:r>
              <w:rPr>
                <w:rFonts w:ascii="Arial" w:cs="Arial" w:eastAsia="Arial" w:hAnsi="Arial"/>
                <w:sz w:val="18"/>
                <w:szCs w:val="18"/>
                <w:color w:val="auto"/>
              </w:rPr>
              <w:t>249,759</w:t>
            </w:r>
          </w:p>
        </w:tc>
        <w:tc>
          <w:tcPr>
            <w:tcW w:w="1220" w:type="dxa"/>
            <w:vAlign w:val="bottom"/>
            <w:vMerge w:val="restart"/>
          </w:tcPr>
          <w:p>
            <w:pPr>
              <w:jc w:val="right"/>
              <w:ind w:right="14"/>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215"/>
              <w:spacing w:after="0"/>
              <w:rPr>
                <w:sz w:val="20"/>
                <w:szCs w:val="20"/>
                <w:color w:val="auto"/>
              </w:rPr>
            </w:pPr>
            <w:r>
              <w:rPr>
                <w:rFonts w:ascii="Arial" w:cs="Arial" w:eastAsia="Arial" w:hAnsi="Arial"/>
                <w:sz w:val="18"/>
                <w:szCs w:val="18"/>
                <w:color w:val="auto"/>
              </w:rPr>
              <w:t>29,041</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1,651,674</w:t>
            </w:r>
          </w:p>
        </w:tc>
        <w:tc>
          <w:tcPr>
            <w:tcW w:w="0" w:type="dxa"/>
            <w:vAlign w:val="bottom"/>
          </w:tcPr>
          <w:p>
            <w:pPr>
              <w:spacing w:after="0"/>
              <w:rPr>
                <w:sz w:val="1"/>
                <w:szCs w:val="1"/>
                <w:color w:val="auto"/>
              </w:rPr>
            </w:pPr>
          </w:p>
        </w:tc>
      </w:tr>
      <w:tr>
        <w:trPr>
          <w:trHeight w:val="82"/>
        </w:trPr>
        <w:tc>
          <w:tcPr>
            <w:tcW w:w="1540" w:type="dxa"/>
            <w:vAlign w:val="bottom"/>
            <w:vMerge w:val="restart"/>
          </w:tcPr>
          <w:p>
            <w:pPr>
              <w:ind w:left="180"/>
              <w:spacing w:after="0" w:line="202" w:lineRule="exact"/>
              <w:rPr>
                <w:sz w:val="20"/>
                <w:szCs w:val="20"/>
                <w:color w:val="auto"/>
              </w:rPr>
            </w:pPr>
            <w:r>
              <w:rPr>
                <w:rFonts w:ascii="Arial" w:cs="Arial" w:eastAsia="Arial" w:hAnsi="Arial"/>
                <w:sz w:val="18"/>
                <w:szCs w:val="18"/>
                <w:color w:val="auto"/>
              </w:rPr>
              <w:t>President and</w:t>
            </w:r>
          </w:p>
        </w:tc>
        <w:tc>
          <w:tcPr>
            <w:tcW w:w="6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540" w:type="dxa"/>
            <w:vAlign w:val="bottom"/>
            <w:vMerge w:val="continue"/>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99"/>
              </w:rPr>
              <w:t>2017</w:t>
            </w: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color w:val="auto"/>
              </w:rPr>
              <w:t>279,808</w:t>
            </w:r>
          </w:p>
        </w:tc>
        <w:tc>
          <w:tcPr>
            <w:tcW w:w="900" w:type="dxa"/>
            <w:vAlign w:val="bottom"/>
            <w:vMerge w:val="restart"/>
          </w:tcPr>
          <w:p>
            <w:pPr>
              <w:jc w:val="right"/>
              <w:ind w:right="33"/>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54"/>
              <w:spacing w:after="0"/>
              <w:rPr>
                <w:sz w:val="20"/>
                <w:szCs w:val="20"/>
                <w:color w:val="auto"/>
              </w:rPr>
            </w:pPr>
            <w:r>
              <w:rPr>
                <w:rFonts w:ascii="Arial" w:cs="Arial" w:eastAsia="Arial" w:hAnsi="Arial"/>
                <w:sz w:val="18"/>
                <w:szCs w:val="18"/>
                <w:color w:val="auto"/>
              </w:rPr>
              <w:t>468,664</w:t>
            </w:r>
          </w:p>
        </w:tc>
        <w:tc>
          <w:tcPr>
            <w:tcW w:w="1020" w:type="dxa"/>
            <w:vAlign w:val="bottom"/>
            <w:vMerge w:val="restart"/>
          </w:tcPr>
          <w:p>
            <w:pPr>
              <w:jc w:val="right"/>
              <w:ind w:right="13"/>
              <w:spacing w:after="0"/>
              <w:rPr>
                <w:sz w:val="20"/>
                <w:szCs w:val="20"/>
                <w:color w:val="auto"/>
              </w:rPr>
            </w:pPr>
            <w:r>
              <w:rPr>
                <w:rFonts w:ascii="Arial" w:cs="Arial" w:eastAsia="Arial" w:hAnsi="Arial"/>
                <w:sz w:val="18"/>
                <w:szCs w:val="18"/>
                <w:color w:val="auto"/>
              </w:rPr>
              <w:t>250,044</w:t>
            </w:r>
          </w:p>
        </w:tc>
        <w:tc>
          <w:tcPr>
            <w:tcW w:w="1220" w:type="dxa"/>
            <w:vAlign w:val="bottom"/>
            <w:vMerge w:val="restart"/>
          </w:tcPr>
          <w:p>
            <w:pPr>
              <w:jc w:val="right"/>
              <w:ind w:right="14"/>
              <w:spacing w:after="0"/>
              <w:rPr>
                <w:sz w:val="20"/>
                <w:szCs w:val="20"/>
                <w:color w:val="auto"/>
              </w:rPr>
            </w:pPr>
            <w:r>
              <w:rPr>
                <w:rFonts w:ascii="Arial" w:cs="Arial" w:eastAsia="Arial" w:hAnsi="Arial"/>
                <w:sz w:val="18"/>
                <w:szCs w:val="18"/>
                <w:color w:val="auto"/>
              </w:rPr>
              <w:t>177,465</w:t>
            </w:r>
          </w:p>
        </w:tc>
        <w:tc>
          <w:tcPr>
            <w:tcW w:w="1320" w:type="dxa"/>
            <w:vAlign w:val="bottom"/>
            <w:vMerge w:val="restart"/>
          </w:tcPr>
          <w:p>
            <w:pPr>
              <w:jc w:val="right"/>
              <w:ind w:right="215"/>
              <w:spacing w:after="0"/>
              <w:rPr>
                <w:sz w:val="20"/>
                <w:szCs w:val="20"/>
                <w:color w:val="auto"/>
              </w:rPr>
            </w:pPr>
            <w:r>
              <w:rPr>
                <w:rFonts w:ascii="Arial" w:cs="Arial" w:eastAsia="Arial" w:hAnsi="Arial"/>
                <w:sz w:val="18"/>
                <w:szCs w:val="18"/>
                <w:color w:val="auto"/>
              </w:rPr>
              <w:t>4,757</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1,180,738</w:t>
            </w:r>
          </w:p>
        </w:tc>
        <w:tc>
          <w:tcPr>
            <w:tcW w:w="0" w:type="dxa"/>
            <w:vAlign w:val="bottom"/>
          </w:tcPr>
          <w:p>
            <w:pPr>
              <w:spacing w:after="0"/>
              <w:rPr>
                <w:sz w:val="1"/>
                <w:szCs w:val="1"/>
                <w:color w:val="auto"/>
              </w:rPr>
            </w:pPr>
          </w:p>
        </w:tc>
      </w:tr>
      <w:tr>
        <w:trPr>
          <w:trHeight w:val="216"/>
        </w:trPr>
        <w:tc>
          <w:tcPr>
            <w:tcW w:w="1540" w:type="dxa"/>
            <w:vAlign w:val="bottom"/>
          </w:tcPr>
          <w:p>
            <w:pPr>
              <w:ind w:left="180"/>
              <w:spacing w:after="0"/>
              <w:rPr>
                <w:sz w:val="20"/>
                <w:szCs w:val="20"/>
                <w:color w:val="auto"/>
              </w:rPr>
            </w:pPr>
            <w:r>
              <w:rPr>
                <w:rFonts w:ascii="Arial" w:cs="Arial" w:eastAsia="Arial" w:hAnsi="Arial"/>
                <w:sz w:val="18"/>
                <w:szCs w:val="18"/>
                <w:color w:val="auto"/>
              </w:rPr>
              <w:t>CFO</w:t>
            </w:r>
          </w:p>
        </w:tc>
        <w:tc>
          <w:tcPr>
            <w:tcW w:w="6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Sarah Hlavinka</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2019</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475,000</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614,992</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248,484</w:t>
            </w:r>
          </w:p>
        </w:tc>
        <w:tc>
          <w:tcPr>
            <w:tcW w:w="1320" w:type="dxa"/>
            <w:vAlign w:val="bottom"/>
          </w:tcPr>
          <w:p>
            <w:pPr>
              <w:jc w:val="right"/>
              <w:ind w:right="35"/>
              <w:spacing w:after="0" w:line="216" w:lineRule="exact"/>
              <w:rPr>
                <w:sz w:val="20"/>
                <w:szCs w:val="20"/>
                <w:color w:val="auto"/>
              </w:rPr>
            </w:pPr>
            <w:r>
              <w:rPr>
                <w:rFonts w:ascii="Arial" w:cs="Arial" w:eastAsia="Arial" w:hAnsi="Arial"/>
                <w:sz w:val="16"/>
                <w:szCs w:val="16"/>
                <w:color w:val="auto"/>
              </w:rPr>
              <w:t>23,809</w:t>
            </w:r>
            <w:r>
              <w:rPr>
                <w:rFonts w:ascii="Arial" w:cs="Arial" w:eastAsia="Arial" w:hAnsi="Arial"/>
                <w:sz w:val="25"/>
                <w:szCs w:val="25"/>
                <w:color w:val="auto"/>
                <w:vertAlign w:val="superscript"/>
              </w:rPr>
              <w:t>(4)</w:t>
            </w:r>
          </w:p>
        </w:tc>
        <w:tc>
          <w:tcPr>
            <w:tcW w:w="900" w:type="dxa"/>
            <w:vAlign w:val="bottom"/>
          </w:tcPr>
          <w:p>
            <w:pPr>
              <w:jc w:val="right"/>
              <w:spacing w:after="0"/>
              <w:rPr>
                <w:sz w:val="20"/>
                <w:szCs w:val="20"/>
                <w:color w:val="auto"/>
              </w:rPr>
            </w:pPr>
            <w:r>
              <w:rPr>
                <w:rFonts w:ascii="Arial" w:cs="Arial" w:eastAsia="Arial" w:hAnsi="Arial"/>
                <w:sz w:val="18"/>
                <w:szCs w:val="18"/>
                <w:color w:val="auto"/>
              </w:rPr>
              <w:t>1,362,284</w:t>
            </w:r>
          </w:p>
        </w:tc>
        <w:tc>
          <w:tcPr>
            <w:tcW w:w="0" w:type="dxa"/>
            <w:vAlign w:val="bottom"/>
          </w:tcPr>
          <w:p>
            <w:pPr>
              <w:spacing w:after="0"/>
              <w:rPr>
                <w:sz w:val="1"/>
                <w:szCs w:val="1"/>
                <w:color w:val="auto"/>
              </w:rPr>
            </w:pPr>
          </w:p>
        </w:tc>
      </w:tr>
      <w:tr>
        <w:trPr>
          <w:trHeight w:val="203"/>
        </w:trPr>
        <w:tc>
          <w:tcPr>
            <w:tcW w:w="1540" w:type="dxa"/>
            <w:vAlign w:val="bottom"/>
          </w:tcPr>
          <w:p>
            <w:pPr>
              <w:ind w:left="180"/>
              <w:spacing w:after="0" w:line="202" w:lineRule="exact"/>
              <w:rPr>
                <w:sz w:val="20"/>
                <w:szCs w:val="20"/>
                <w:color w:val="auto"/>
              </w:rPr>
            </w:pPr>
            <w:r>
              <w:rPr>
                <w:rFonts w:ascii="Arial" w:cs="Arial" w:eastAsia="Arial" w:hAnsi="Arial"/>
                <w:sz w:val="18"/>
                <w:szCs w:val="18"/>
                <w:color w:val="auto"/>
              </w:rPr>
              <w:t>Senior Vice</w:t>
            </w:r>
          </w:p>
        </w:tc>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w w:val="99"/>
              </w:rPr>
              <w:t>2018</w:t>
            </w:r>
          </w:p>
        </w:tc>
        <w:tc>
          <w:tcPr>
            <w:tcW w:w="9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190,865</w:t>
            </w: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650,000</w:t>
            </w:r>
          </w:p>
        </w:tc>
        <w:tc>
          <w:tcPr>
            <w:tcW w:w="10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875,335</w:t>
            </w:r>
          </w:p>
        </w:tc>
        <w:tc>
          <w:tcPr>
            <w:tcW w:w="10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199,994</w:t>
            </w:r>
          </w:p>
        </w:tc>
        <w:tc>
          <w:tcPr>
            <w:tcW w:w="12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241,796</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2,157,990</w:t>
            </w:r>
          </w:p>
        </w:tc>
        <w:tc>
          <w:tcPr>
            <w:tcW w:w="0" w:type="dxa"/>
            <w:vAlign w:val="bottom"/>
          </w:tcPr>
          <w:p>
            <w:pPr>
              <w:spacing w:after="0"/>
              <w:rPr>
                <w:sz w:val="1"/>
                <w:szCs w:val="1"/>
                <w:color w:val="auto"/>
              </w:rPr>
            </w:pPr>
          </w:p>
        </w:tc>
      </w:tr>
      <w:tr>
        <w:trPr>
          <w:trHeight w:val="203"/>
        </w:trPr>
        <w:tc>
          <w:tcPr>
            <w:tcW w:w="1540" w:type="dxa"/>
            <w:vAlign w:val="bottom"/>
          </w:tcPr>
          <w:p>
            <w:pPr>
              <w:ind w:left="180"/>
              <w:spacing w:after="0" w:line="202" w:lineRule="exact"/>
              <w:rPr>
                <w:sz w:val="20"/>
                <w:szCs w:val="20"/>
                <w:color w:val="auto"/>
              </w:rPr>
            </w:pPr>
            <w:r>
              <w:rPr>
                <w:rFonts w:ascii="Arial" w:cs="Arial" w:eastAsia="Arial" w:hAnsi="Arial"/>
                <w:sz w:val="18"/>
                <w:szCs w:val="18"/>
                <w:color w:val="auto"/>
              </w:rPr>
              <w:t>President,</w:t>
            </w: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ind w:left="180"/>
              <w:spacing w:after="0" w:line="202" w:lineRule="exact"/>
              <w:rPr>
                <w:sz w:val="20"/>
                <w:szCs w:val="20"/>
                <w:color w:val="auto"/>
              </w:rPr>
            </w:pPr>
            <w:r>
              <w:rPr>
                <w:rFonts w:ascii="Arial" w:cs="Arial" w:eastAsia="Arial" w:hAnsi="Arial"/>
                <w:sz w:val="18"/>
                <w:szCs w:val="18"/>
                <w:color w:val="auto"/>
              </w:rPr>
              <w:t>General</w:t>
            </w: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ind w:left="180"/>
              <w:spacing w:after="0" w:line="202" w:lineRule="exact"/>
              <w:rPr>
                <w:sz w:val="20"/>
                <w:szCs w:val="20"/>
                <w:color w:val="auto"/>
              </w:rPr>
            </w:pPr>
            <w:r>
              <w:rPr>
                <w:rFonts w:ascii="Arial" w:cs="Arial" w:eastAsia="Arial" w:hAnsi="Arial"/>
                <w:sz w:val="18"/>
                <w:szCs w:val="18"/>
                <w:color w:val="auto"/>
              </w:rPr>
              <w:t>Counsel and</w:t>
            </w: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ind w:left="180"/>
              <w:spacing w:after="0" w:line="202" w:lineRule="exact"/>
              <w:rPr>
                <w:sz w:val="20"/>
                <w:szCs w:val="20"/>
                <w:color w:val="auto"/>
              </w:rPr>
            </w:pPr>
            <w:r>
              <w:rPr>
                <w:rFonts w:ascii="Arial" w:cs="Arial" w:eastAsia="Arial" w:hAnsi="Arial"/>
                <w:sz w:val="18"/>
                <w:szCs w:val="18"/>
                <w:color w:val="auto"/>
              </w:rPr>
              <w:t>Corporate</w:t>
            </w: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40" w:type="dxa"/>
            <w:vAlign w:val="bottom"/>
          </w:tcPr>
          <w:p>
            <w:pPr>
              <w:ind w:left="180"/>
              <w:spacing w:after="0"/>
              <w:rPr>
                <w:sz w:val="20"/>
                <w:szCs w:val="20"/>
                <w:color w:val="auto"/>
              </w:rPr>
            </w:pPr>
            <w:r>
              <w:rPr>
                <w:rFonts w:ascii="Arial" w:cs="Arial" w:eastAsia="Arial" w:hAnsi="Arial"/>
                <w:sz w:val="18"/>
                <w:szCs w:val="18"/>
                <w:color w:val="auto"/>
              </w:rPr>
              <w:t>Secretary</w:t>
            </w: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540" w:type="dxa"/>
            <w:vAlign w:val="bottom"/>
          </w:tcPr>
          <w:p>
            <w:pPr>
              <w:spacing w:after="0"/>
              <w:rPr>
                <w:sz w:val="20"/>
                <w:szCs w:val="20"/>
                <w:color w:val="auto"/>
              </w:rPr>
            </w:pPr>
            <w:r>
              <w:rPr>
                <w:rFonts w:ascii="Arial" w:cs="Arial" w:eastAsia="Arial" w:hAnsi="Arial"/>
                <w:sz w:val="18"/>
                <w:szCs w:val="18"/>
                <w:color w:val="auto"/>
              </w:rPr>
              <w:t>Michel Cadieux</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2019</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400,000</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733,583</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232,500</w:t>
            </w:r>
          </w:p>
        </w:tc>
        <w:tc>
          <w:tcPr>
            <w:tcW w:w="1320" w:type="dxa"/>
            <w:vAlign w:val="bottom"/>
          </w:tcPr>
          <w:p>
            <w:pPr>
              <w:jc w:val="right"/>
              <w:ind w:right="35"/>
              <w:spacing w:after="0" w:line="242" w:lineRule="exact"/>
              <w:rPr>
                <w:sz w:val="20"/>
                <w:szCs w:val="20"/>
                <w:color w:val="auto"/>
              </w:rPr>
            </w:pPr>
            <w:r>
              <w:rPr>
                <w:rFonts w:ascii="Arial" w:cs="Arial" w:eastAsia="Arial" w:hAnsi="Arial"/>
                <w:sz w:val="17"/>
                <w:szCs w:val="17"/>
                <w:color w:val="auto"/>
              </w:rPr>
              <w:t>9,000</w:t>
            </w:r>
            <w:r>
              <w:rPr>
                <w:rFonts w:ascii="Arial" w:cs="Arial" w:eastAsia="Arial" w:hAnsi="Arial"/>
                <w:sz w:val="28"/>
                <w:szCs w:val="28"/>
                <w:color w:val="auto"/>
                <w:vertAlign w:val="superscript"/>
              </w:rPr>
              <w:t>(4)</w:t>
            </w:r>
          </w:p>
        </w:tc>
        <w:tc>
          <w:tcPr>
            <w:tcW w:w="900" w:type="dxa"/>
            <w:vAlign w:val="bottom"/>
          </w:tcPr>
          <w:p>
            <w:pPr>
              <w:jc w:val="right"/>
              <w:spacing w:after="0"/>
              <w:rPr>
                <w:sz w:val="20"/>
                <w:szCs w:val="20"/>
                <w:color w:val="auto"/>
              </w:rPr>
            </w:pPr>
            <w:r>
              <w:rPr>
                <w:rFonts w:ascii="Arial" w:cs="Arial" w:eastAsia="Arial" w:hAnsi="Arial"/>
                <w:sz w:val="18"/>
                <w:szCs w:val="18"/>
                <w:color w:val="auto"/>
              </w:rPr>
              <w:t>1,375,083</w:t>
            </w:r>
          </w:p>
        </w:tc>
        <w:tc>
          <w:tcPr>
            <w:tcW w:w="0" w:type="dxa"/>
            <w:vAlign w:val="bottom"/>
          </w:tcPr>
          <w:p>
            <w:pPr>
              <w:spacing w:after="0"/>
              <w:rPr>
                <w:sz w:val="1"/>
                <w:szCs w:val="1"/>
                <w:color w:val="auto"/>
              </w:rPr>
            </w:pPr>
          </w:p>
        </w:tc>
      </w:tr>
      <w:tr>
        <w:trPr>
          <w:trHeight w:val="203"/>
        </w:trPr>
        <w:tc>
          <w:tcPr>
            <w:tcW w:w="1540" w:type="dxa"/>
            <w:vAlign w:val="bottom"/>
          </w:tcPr>
          <w:p>
            <w:pPr>
              <w:ind w:left="180"/>
              <w:spacing w:after="0" w:line="202" w:lineRule="exact"/>
              <w:rPr>
                <w:sz w:val="20"/>
                <w:szCs w:val="20"/>
                <w:color w:val="auto"/>
              </w:rPr>
            </w:pPr>
            <w:r>
              <w:rPr>
                <w:rFonts w:ascii="Arial" w:cs="Arial" w:eastAsia="Arial" w:hAnsi="Arial"/>
                <w:sz w:val="18"/>
                <w:szCs w:val="18"/>
                <w:color w:val="auto"/>
              </w:rPr>
              <w:t>Senior Vice</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99"/>
              </w:rPr>
              <w:t>2018</w:t>
            </w: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color w:val="auto"/>
              </w:rPr>
              <w:t>400,000</w:t>
            </w:r>
          </w:p>
        </w:tc>
        <w:tc>
          <w:tcPr>
            <w:tcW w:w="900" w:type="dxa"/>
            <w:vAlign w:val="bottom"/>
            <w:vMerge w:val="restart"/>
          </w:tcPr>
          <w:p>
            <w:pPr>
              <w:jc w:val="right"/>
              <w:ind w:right="33"/>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54"/>
              <w:spacing w:after="0"/>
              <w:rPr>
                <w:sz w:val="20"/>
                <w:szCs w:val="20"/>
                <w:color w:val="auto"/>
              </w:rPr>
            </w:pPr>
            <w:r>
              <w:rPr>
                <w:rFonts w:ascii="Arial" w:cs="Arial" w:eastAsia="Arial" w:hAnsi="Arial"/>
                <w:sz w:val="18"/>
                <w:szCs w:val="18"/>
                <w:color w:val="auto"/>
              </w:rPr>
              <w:t>747,067</w:t>
            </w:r>
          </w:p>
        </w:tc>
        <w:tc>
          <w:tcPr>
            <w:tcW w:w="1020" w:type="dxa"/>
            <w:vAlign w:val="bottom"/>
            <w:vMerge w:val="restart"/>
          </w:tcPr>
          <w:p>
            <w:pPr>
              <w:jc w:val="right"/>
              <w:ind w:right="13"/>
              <w:spacing w:after="0"/>
              <w:rPr>
                <w:sz w:val="20"/>
                <w:szCs w:val="20"/>
                <w:color w:val="auto"/>
              </w:rPr>
            </w:pPr>
            <w:r>
              <w:rPr>
                <w:rFonts w:ascii="Arial" w:cs="Arial" w:eastAsia="Arial" w:hAnsi="Arial"/>
                <w:sz w:val="18"/>
                <w:szCs w:val="18"/>
                <w:color w:val="auto"/>
              </w:rPr>
              <w:t>199,797</w:t>
            </w:r>
          </w:p>
        </w:tc>
        <w:tc>
          <w:tcPr>
            <w:tcW w:w="1220" w:type="dxa"/>
            <w:vAlign w:val="bottom"/>
            <w:vMerge w:val="restart"/>
          </w:tcPr>
          <w:p>
            <w:pPr>
              <w:jc w:val="right"/>
              <w:ind w:right="14"/>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215"/>
              <w:spacing w:after="0"/>
              <w:rPr>
                <w:sz w:val="20"/>
                <w:szCs w:val="20"/>
                <w:color w:val="auto"/>
              </w:rPr>
            </w:pPr>
            <w:r>
              <w:rPr>
                <w:rFonts w:ascii="Arial" w:cs="Arial" w:eastAsia="Arial" w:hAnsi="Arial"/>
                <w:sz w:val="18"/>
                <w:szCs w:val="18"/>
                <w:color w:val="auto"/>
              </w:rPr>
              <w:t>12,375</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1,359,239</w:t>
            </w:r>
          </w:p>
        </w:tc>
        <w:tc>
          <w:tcPr>
            <w:tcW w:w="0" w:type="dxa"/>
            <w:vAlign w:val="bottom"/>
          </w:tcPr>
          <w:p>
            <w:pPr>
              <w:spacing w:after="0"/>
              <w:rPr>
                <w:sz w:val="1"/>
                <w:szCs w:val="1"/>
                <w:color w:val="auto"/>
              </w:rPr>
            </w:pPr>
          </w:p>
        </w:tc>
      </w:tr>
      <w:tr>
        <w:trPr>
          <w:trHeight w:val="149"/>
        </w:trPr>
        <w:tc>
          <w:tcPr>
            <w:tcW w:w="1540" w:type="dxa"/>
            <w:vAlign w:val="bottom"/>
            <w:vMerge w:val="restart"/>
          </w:tcPr>
          <w:p>
            <w:pPr>
              <w:ind w:left="180"/>
              <w:spacing w:after="0" w:line="202" w:lineRule="exact"/>
              <w:rPr>
                <w:sz w:val="20"/>
                <w:szCs w:val="20"/>
                <w:color w:val="auto"/>
              </w:rPr>
            </w:pPr>
            <w:r>
              <w:rPr>
                <w:rFonts w:ascii="Arial" w:cs="Arial" w:eastAsia="Arial" w:hAnsi="Arial"/>
                <w:sz w:val="18"/>
                <w:szCs w:val="18"/>
                <w:color w:val="auto"/>
              </w:rPr>
              <w:t>President,</w:t>
            </w:r>
          </w:p>
        </w:tc>
        <w:tc>
          <w:tcPr>
            <w:tcW w:w="6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5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540" w:type="dxa"/>
            <w:vAlign w:val="bottom"/>
          </w:tcPr>
          <w:p>
            <w:pPr>
              <w:ind w:left="180"/>
              <w:spacing w:after="0" w:line="202" w:lineRule="exact"/>
              <w:rPr>
                <w:sz w:val="20"/>
                <w:szCs w:val="20"/>
                <w:color w:val="auto"/>
              </w:rPr>
            </w:pPr>
            <w:r>
              <w:rPr>
                <w:rFonts w:ascii="Arial" w:cs="Arial" w:eastAsia="Arial" w:hAnsi="Arial"/>
                <w:sz w:val="18"/>
                <w:szCs w:val="18"/>
                <w:color w:val="auto"/>
              </w:rPr>
              <w:t>Human</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99"/>
              </w:rPr>
              <w:t>2017</w:t>
            </w: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color w:val="auto"/>
              </w:rPr>
              <w:t>400,000</w:t>
            </w:r>
          </w:p>
        </w:tc>
        <w:tc>
          <w:tcPr>
            <w:tcW w:w="900" w:type="dxa"/>
            <w:vAlign w:val="bottom"/>
            <w:vMerge w:val="restart"/>
          </w:tcPr>
          <w:p>
            <w:pPr>
              <w:jc w:val="right"/>
              <w:ind w:right="33"/>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54"/>
              <w:spacing w:after="0"/>
              <w:rPr>
                <w:sz w:val="20"/>
                <w:szCs w:val="20"/>
                <w:color w:val="auto"/>
              </w:rPr>
            </w:pPr>
            <w:r>
              <w:rPr>
                <w:rFonts w:ascii="Arial" w:cs="Arial" w:eastAsia="Arial" w:hAnsi="Arial"/>
                <w:sz w:val="18"/>
                <w:szCs w:val="18"/>
                <w:color w:val="auto"/>
              </w:rPr>
              <w:t>836,225</w:t>
            </w:r>
          </w:p>
        </w:tc>
        <w:tc>
          <w:tcPr>
            <w:tcW w:w="1020" w:type="dxa"/>
            <w:vAlign w:val="bottom"/>
            <w:vMerge w:val="restart"/>
          </w:tcPr>
          <w:p>
            <w:pPr>
              <w:jc w:val="right"/>
              <w:ind w:right="13"/>
              <w:spacing w:after="0"/>
              <w:rPr>
                <w:sz w:val="20"/>
                <w:szCs w:val="20"/>
                <w:color w:val="auto"/>
              </w:rPr>
            </w:pPr>
            <w:r>
              <w:rPr>
                <w:rFonts w:ascii="Arial" w:cs="Arial" w:eastAsia="Arial" w:hAnsi="Arial"/>
                <w:sz w:val="18"/>
                <w:szCs w:val="18"/>
                <w:color w:val="auto"/>
              </w:rPr>
              <w:t>199,989</w:t>
            </w:r>
          </w:p>
        </w:tc>
        <w:tc>
          <w:tcPr>
            <w:tcW w:w="1220" w:type="dxa"/>
            <w:vAlign w:val="bottom"/>
            <w:vMerge w:val="restart"/>
          </w:tcPr>
          <w:p>
            <w:pPr>
              <w:jc w:val="right"/>
              <w:ind w:right="14"/>
              <w:spacing w:after="0"/>
              <w:rPr>
                <w:sz w:val="20"/>
                <w:szCs w:val="20"/>
                <w:color w:val="auto"/>
              </w:rPr>
            </w:pPr>
            <w:r>
              <w:rPr>
                <w:rFonts w:ascii="Arial" w:cs="Arial" w:eastAsia="Arial" w:hAnsi="Arial"/>
                <w:sz w:val="18"/>
                <w:szCs w:val="18"/>
                <w:color w:val="auto"/>
              </w:rPr>
              <w:t>254,412</w:t>
            </w:r>
          </w:p>
        </w:tc>
        <w:tc>
          <w:tcPr>
            <w:tcW w:w="1320" w:type="dxa"/>
            <w:vAlign w:val="bottom"/>
            <w:vMerge w:val="restart"/>
          </w:tcPr>
          <w:p>
            <w:pPr>
              <w:jc w:val="right"/>
              <w:ind w:right="215"/>
              <w:spacing w:after="0"/>
              <w:rPr>
                <w:sz w:val="20"/>
                <w:szCs w:val="20"/>
                <w:color w:val="auto"/>
              </w:rPr>
            </w:pPr>
            <w:r>
              <w:rPr>
                <w:rFonts w:ascii="Arial" w:cs="Arial" w:eastAsia="Arial" w:hAnsi="Arial"/>
                <w:sz w:val="18"/>
                <w:szCs w:val="18"/>
                <w:color w:val="auto"/>
              </w:rPr>
              <w:t>14,562</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1,705,188</w:t>
            </w:r>
          </w:p>
        </w:tc>
        <w:tc>
          <w:tcPr>
            <w:tcW w:w="0" w:type="dxa"/>
            <w:vAlign w:val="bottom"/>
          </w:tcPr>
          <w:p>
            <w:pPr>
              <w:spacing w:after="0"/>
              <w:rPr>
                <w:sz w:val="1"/>
                <w:szCs w:val="1"/>
                <w:color w:val="auto"/>
              </w:rPr>
            </w:pPr>
          </w:p>
        </w:tc>
      </w:tr>
      <w:tr>
        <w:trPr>
          <w:trHeight w:val="95"/>
        </w:trPr>
        <w:tc>
          <w:tcPr>
            <w:tcW w:w="1540" w:type="dxa"/>
            <w:vAlign w:val="bottom"/>
            <w:vMerge w:val="restart"/>
          </w:tcPr>
          <w:p>
            <w:pPr>
              <w:ind w:left="180"/>
              <w:spacing w:after="0"/>
              <w:rPr>
                <w:sz w:val="20"/>
                <w:szCs w:val="20"/>
                <w:color w:val="auto"/>
              </w:rPr>
            </w:pPr>
            <w:r>
              <w:rPr>
                <w:rFonts w:ascii="Arial" w:cs="Arial" w:eastAsia="Arial" w:hAnsi="Arial"/>
                <w:sz w:val="18"/>
                <w:szCs w:val="18"/>
                <w:color w:val="auto"/>
              </w:rPr>
              <w:t>Resources</w:t>
            </w:r>
          </w:p>
        </w:tc>
        <w:tc>
          <w:tcPr>
            <w:tcW w:w="6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54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20" w:type="dxa"/>
            <w:vAlign w:val="bottom"/>
            <w:vMerge w:val="restart"/>
          </w:tcPr>
          <w:p>
            <w:pPr>
              <w:jc w:val="right"/>
              <w:ind w:right="35"/>
              <w:spacing w:after="0"/>
              <w:rPr>
                <w:sz w:val="20"/>
                <w:szCs w:val="20"/>
                <w:color w:val="auto"/>
              </w:rPr>
            </w:pPr>
            <w:r>
              <w:rPr>
                <w:rFonts w:ascii="Arial" w:cs="Arial" w:eastAsia="Arial" w:hAnsi="Arial"/>
                <w:sz w:val="18"/>
                <w:szCs w:val="18"/>
                <w:color w:val="auto"/>
              </w:rPr>
              <w:t>18,110</w:t>
            </w:r>
            <w:r>
              <w:rPr>
                <w:rFonts w:ascii="Arial" w:cs="Arial" w:eastAsia="Arial" w:hAnsi="Arial"/>
                <w:sz w:val="29"/>
                <w:szCs w:val="29"/>
                <w:color w:val="auto"/>
                <w:vertAlign w:val="superscript"/>
              </w:rPr>
              <w:t>(4)</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540" w:type="dxa"/>
            <w:vAlign w:val="bottom"/>
          </w:tcPr>
          <w:p>
            <w:pPr>
              <w:spacing w:after="0"/>
              <w:rPr>
                <w:sz w:val="20"/>
                <w:szCs w:val="20"/>
                <w:color w:val="auto"/>
              </w:rPr>
            </w:pPr>
            <w:r>
              <w:rPr>
                <w:rFonts w:ascii="Arial" w:cs="Arial" w:eastAsia="Arial" w:hAnsi="Arial"/>
                <w:sz w:val="18"/>
                <w:szCs w:val="18"/>
                <w:color w:val="auto"/>
              </w:rPr>
              <w:t>Donald Reeves</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2019</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425,000</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308,104</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164,688</w:t>
            </w:r>
          </w:p>
        </w:tc>
        <w:tc>
          <w:tcPr>
            <w:tcW w:w="1320" w:type="dxa"/>
            <w:vAlign w:val="bottom"/>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915,901</w:t>
            </w:r>
          </w:p>
        </w:tc>
        <w:tc>
          <w:tcPr>
            <w:tcW w:w="0" w:type="dxa"/>
            <w:vAlign w:val="bottom"/>
          </w:tcPr>
          <w:p>
            <w:pPr>
              <w:spacing w:after="0"/>
              <w:rPr>
                <w:sz w:val="1"/>
                <w:szCs w:val="1"/>
                <w:color w:val="auto"/>
              </w:rPr>
            </w:pPr>
          </w:p>
        </w:tc>
      </w:tr>
      <w:tr>
        <w:trPr>
          <w:trHeight w:val="203"/>
        </w:trPr>
        <w:tc>
          <w:tcPr>
            <w:tcW w:w="1540" w:type="dxa"/>
            <w:vAlign w:val="bottom"/>
          </w:tcPr>
          <w:p>
            <w:pPr>
              <w:ind w:left="180"/>
              <w:spacing w:after="0" w:line="202" w:lineRule="exact"/>
              <w:rPr>
                <w:sz w:val="20"/>
                <w:szCs w:val="20"/>
                <w:color w:val="auto"/>
              </w:rPr>
            </w:pPr>
            <w:r>
              <w:rPr>
                <w:rFonts w:ascii="Arial" w:cs="Arial" w:eastAsia="Arial" w:hAnsi="Arial"/>
                <w:sz w:val="18"/>
                <w:szCs w:val="18"/>
                <w:color w:val="auto"/>
              </w:rPr>
              <w:t>Senior Vice</w:t>
            </w: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ind w:left="180"/>
              <w:spacing w:after="0" w:line="202" w:lineRule="exact"/>
              <w:rPr>
                <w:sz w:val="20"/>
                <w:szCs w:val="20"/>
                <w:color w:val="auto"/>
              </w:rPr>
            </w:pPr>
            <w:r>
              <w:rPr>
                <w:rFonts w:ascii="Arial" w:cs="Arial" w:eastAsia="Arial" w:hAnsi="Arial"/>
                <w:sz w:val="18"/>
                <w:szCs w:val="18"/>
                <w:color w:val="auto"/>
              </w:rPr>
              <w:t>President,</w:t>
            </w: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180"/>
              <w:spacing w:after="0"/>
              <w:rPr>
                <w:sz w:val="20"/>
                <w:szCs w:val="20"/>
                <w:color w:val="auto"/>
              </w:rPr>
            </w:pPr>
            <w:r>
              <w:rPr>
                <w:rFonts w:ascii="Arial" w:cs="Arial" w:eastAsia="Arial" w:hAnsi="Arial"/>
                <w:sz w:val="18"/>
                <w:szCs w:val="18"/>
                <w:color w:val="auto"/>
              </w:rPr>
              <w:t>Outcomes</w:t>
            </w: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line="216" w:lineRule="exact"/>
              <w:rPr>
                <w:sz w:val="20"/>
                <w:szCs w:val="20"/>
                <w:color w:val="auto"/>
              </w:rPr>
            </w:pPr>
            <w:r>
              <w:rPr>
                <w:rFonts w:ascii="Arial" w:cs="Arial" w:eastAsia="Arial" w:hAnsi="Arial"/>
                <w:sz w:val="16"/>
                <w:szCs w:val="16"/>
                <w:color w:val="auto"/>
              </w:rPr>
              <w:t>Philip Mezey</w:t>
            </w:r>
            <w:r>
              <w:rPr>
                <w:rFonts w:ascii="Arial" w:cs="Arial" w:eastAsia="Arial" w:hAnsi="Arial"/>
                <w:sz w:val="25"/>
                <w:szCs w:val="25"/>
                <w:color w:val="auto"/>
                <w:vertAlign w:val="superscript"/>
              </w:rPr>
              <w:t>(6)</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2019</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555,288</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1,022,923</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532,120</w:t>
            </w:r>
          </w:p>
        </w:tc>
        <w:tc>
          <w:tcPr>
            <w:tcW w:w="1320" w:type="dxa"/>
            <w:vAlign w:val="bottom"/>
          </w:tcPr>
          <w:p>
            <w:pPr>
              <w:jc w:val="right"/>
              <w:ind w:right="35"/>
              <w:spacing w:after="0" w:line="216" w:lineRule="exact"/>
              <w:rPr>
                <w:sz w:val="20"/>
                <w:szCs w:val="20"/>
                <w:color w:val="auto"/>
              </w:rPr>
            </w:pPr>
            <w:r>
              <w:rPr>
                <w:rFonts w:ascii="Arial" w:cs="Arial" w:eastAsia="Arial" w:hAnsi="Arial"/>
                <w:sz w:val="16"/>
                <w:szCs w:val="16"/>
                <w:color w:val="auto"/>
              </w:rPr>
              <w:t>558,170</w:t>
            </w:r>
            <w:r>
              <w:rPr>
                <w:rFonts w:ascii="Arial" w:cs="Arial" w:eastAsia="Arial" w:hAnsi="Arial"/>
                <w:sz w:val="25"/>
                <w:szCs w:val="25"/>
                <w:color w:val="auto"/>
                <w:vertAlign w:val="superscript"/>
              </w:rPr>
              <w:t>(4)</w:t>
            </w:r>
          </w:p>
        </w:tc>
        <w:tc>
          <w:tcPr>
            <w:tcW w:w="900" w:type="dxa"/>
            <w:vAlign w:val="bottom"/>
          </w:tcPr>
          <w:p>
            <w:pPr>
              <w:jc w:val="right"/>
              <w:spacing w:after="0"/>
              <w:rPr>
                <w:sz w:val="20"/>
                <w:szCs w:val="20"/>
                <w:color w:val="auto"/>
              </w:rPr>
            </w:pPr>
            <w:r>
              <w:rPr>
                <w:rFonts w:ascii="Arial" w:cs="Arial" w:eastAsia="Arial" w:hAnsi="Arial"/>
                <w:sz w:val="18"/>
                <w:szCs w:val="18"/>
                <w:color w:val="auto"/>
              </w:rPr>
              <w:t>2,668,501</w:t>
            </w:r>
          </w:p>
        </w:tc>
        <w:tc>
          <w:tcPr>
            <w:tcW w:w="0" w:type="dxa"/>
            <w:vAlign w:val="bottom"/>
          </w:tcPr>
          <w:p>
            <w:pPr>
              <w:spacing w:after="0"/>
              <w:rPr>
                <w:sz w:val="1"/>
                <w:szCs w:val="1"/>
                <w:color w:val="auto"/>
              </w:rPr>
            </w:pPr>
          </w:p>
        </w:tc>
      </w:tr>
      <w:tr>
        <w:trPr>
          <w:trHeight w:val="203"/>
        </w:trPr>
        <w:tc>
          <w:tcPr>
            <w:tcW w:w="1540" w:type="dxa"/>
            <w:vAlign w:val="bottom"/>
          </w:tcPr>
          <w:p>
            <w:pPr>
              <w:ind w:left="180"/>
              <w:spacing w:after="0" w:line="202" w:lineRule="exact"/>
              <w:rPr>
                <w:sz w:val="20"/>
                <w:szCs w:val="20"/>
                <w:color w:val="auto"/>
              </w:rPr>
            </w:pPr>
            <w:r>
              <w:rPr>
                <w:rFonts w:ascii="Arial" w:cs="Arial" w:eastAsia="Arial" w:hAnsi="Arial"/>
                <w:sz w:val="18"/>
                <w:szCs w:val="18"/>
                <w:color w:val="auto"/>
              </w:rPr>
              <w:t>Former</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99"/>
              </w:rPr>
              <w:t>2018</w:t>
            </w: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color w:val="auto"/>
              </w:rPr>
              <w:t>821,154</w:t>
            </w:r>
          </w:p>
        </w:tc>
        <w:tc>
          <w:tcPr>
            <w:tcW w:w="900" w:type="dxa"/>
            <w:vAlign w:val="bottom"/>
            <w:vMerge w:val="restart"/>
          </w:tcPr>
          <w:p>
            <w:pPr>
              <w:jc w:val="right"/>
              <w:ind w:right="33"/>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54"/>
              <w:spacing w:after="0"/>
              <w:rPr>
                <w:sz w:val="20"/>
                <w:szCs w:val="20"/>
                <w:color w:val="auto"/>
              </w:rPr>
            </w:pPr>
            <w:r>
              <w:rPr>
                <w:rFonts w:ascii="Arial" w:cs="Arial" w:eastAsia="Arial" w:hAnsi="Arial"/>
                <w:sz w:val="18"/>
                <w:szCs w:val="18"/>
                <w:color w:val="auto"/>
              </w:rPr>
              <w:t>3,176,804</w:t>
            </w:r>
          </w:p>
        </w:tc>
        <w:tc>
          <w:tcPr>
            <w:tcW w:w="1020" w:type="dxa"/>
            <w:vAlign w:val="bottom"/>
            <w:vMerge w:val="restart"/>
          </w:tcPr>
          <w:p>
            <w:pPr>
              <w:jc w:val="right"/>
              <w:ind w:right="13"/>
              <w:spacing w:after="0"/>
              <w:rPr>
                <w:sz w:val="20"/>
                <w:szCs w:val="20"/>
                <w:color w:val="auto"/>
              </w:rPr>
            </w:pPr>
            <w:r>
              <w:rPr>
                <w:rFonts w:ascii="Arial" w:cs="Arial" w:eastAsia="Arial" w:hAnsi="Arial"/>
                <w:sz w:val="18"/>
                <w:szCs w:val="18"/>
                <w:color w:val="auto"/>
              </w:rPr>
              <w:t>899,113</w:t>
            </w:r>
          </w:p>
        </w:tc>
        <w:tc>
          <w:tcPr>
            <w:tcW w:w="1220" w:type="dxa"/>
            <w:vAlign w:val="bottom"/>
            <w:vMerge w:val="restart"/>
          </w:tcPr>
          <w:p>
            <w:pPr>
              <w:jc w:val="right"/>
              <w:ind w:right="14"/>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215"/>
              <w:spacing w:after="0"/>
              <w:rPr>
                <w:sz w:val="20"/>
                <w:szCs w:val="20"/>
                <w:color w:val="auto"/>
              </w:rPr>
            </w:pPr>
            <w:r>
              <w:rPr>
                <w:rFonts w:ascii="Arial" w:cs="Arial" w:eastAsia="Arial" w:hAnsi="Arial"/>
                <w:sz w:val="18"/>
                <w:szCs w:val="18"/>
                <w:color w:val="auto"/>
              </w:rPr>
              <w:t>74,816</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4,971,887</w:t>
            </w:r>
          </w:p>
        </w:tc>
        <w:tc>
          <w:tcPr>
            <w:tcW w:w="0" w:type="dxa"/>
            <w:vAlign w:val="bottom"/>
          </w:tcPr>
          <w:p>
            <w:pPr>
              <w:spacing w:after="0"/>
              <w:rPr>
                <w:sz w:val="1"/>
                <w:szCs w:val="1"/>
                <w:color w:val="auto"/>
              </w:rPr>
            </w:pPr>
          </w:p>
        </w:tc>
      </w:tr>
      <w:tr>
        <w:trPr>
          <w:trHeight w:val="82"/>
        </w:trPr>
        <w:tc>
          <w:tcPr>
            <w:tcW w:w="1540" w:type="dxa"/>
            <w:vAlign w:val="bottom"/>
            <w:vMerge w:val="restart"/>
          </w:tcPr>
          <w:p>
            <w:pPr>
              <w:ind w:left="180"/>
              <w:spacing w:after="0" w:line="202" w:lineRule="exact"/>
              <w:rPr>
                <w:sz w:val="20"/>
                <w:szCs w:val="20"/>
                <w:color w:val="auto"/>
              </w:rPr>
            </w:pPr>
            <w:r>
              <w:rPr>
                <w:rFonts w:ascii="Arial" w:cs="Arial" w:eastAsia="Arial" w:hAnsi="Arial"/>
                <w:sz w:val="18"/>
                <w:szCs w:val="18"/>
                <w:color w:val="auto"/>
              </w:rPr>
              <w:t>President and</w:t>
            </w:r>
          </w:p>
        </w:tc>
        <w:tc>
          <w:tcPr>
            <w:tcW w:w="6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540" w:type="dxa"/>
            <w:vAlign w:val="bottom"/>
            <w:vMerge w:val="continue"/>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99"/>
              </w:rPr>
              <w:t>2017</w:t>
            </w: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color w:val="auto"/>
              </w:rPr>
              <w:t>800,000</w:t>
            </w:r>
          </w:p>
        </w:tc>
        <w:tc>
          <w:tcPr>
            <w:tcW w:w="900" w:type="dxa"/>
            <w:vAlign w:val="bottom"/>
            <w:vMerge w:val="restart"/>
          </w:tcPr>
          <w:p>
            <w:pPr>
              <w:jc w:val="right"/>
              <w:ind w:right="33"/>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54"/>
              <w:spacing w:after="0"/>
              <w:rPr>
                <w:sz w:val="20"/>
                <w:szCs w:val="20"/>
                <w:color w:val="auto"/>
              </w:rPr>
            </w:pPr>
            <w:r>
              <w:rPr>
                <w:rFonts w:ascii="Arial" w:cs="Arial" w:eastAsia="Arial" w:hAnsi="Arial"/>
                <w:sz w:val="18"/>
                <w:szCs w:val="18"/>
                <w:color w:val="auto"/>
              </w:rPr>
              <w:t>3,345,686</w:t>
            </w:r>
          </w:p>
        </w:tc>
        <w:tc>
          <w:tcPr>
            <w:tcW w:w="1020" w:type="dxa"/>
            <w:vAlign w:val="bottom"/>
            <w:vMerge w:val="restart"/>
          </w:tcPr>
          <w:p>
            <w:pPr>
              <w:jc w:val="right"/>
              <w:ind w:right="13"/>
              <w:spacing w:after="0"/>
              <w:rPr>
                <w:sz w:val="20"/>
                <w:szCs w:val="20"/>
                <w:color w:val="auto"/>
              </w:rPr>
            </w:pPr>
            <w:r>
              <w:rPr>
                <w:rFonts w:ascii="Arial" w:cs="Arial" w:eastAsia="Arial" w:hAnsi="Arial"/>
                <w:sz w:val="18"/>
                <w:szCs w:val="18"/>
                <w:color w:val="auto"/>
              </w:rPr>
              <w:t>800,001</w:t>
            </w:r>
          </w:p>
        </w:tc>
        <w:tc>
          <w:tcPr>
            <w:tcW w:w="1220" w:type="dxa"/>
            <w:vAlign w:val="bottom"/>
            <w:vMerge w:val="restart"/>
          </w:tcPr>
          <w:p>
            <w:pPr>
              <w:jc w:val="right"/>
              <w:ind w:right="14"/>
              <w:spacing w:after="0"/>
              <w:rPr>
                <w:sz w:val="20"/>
                <w:szCs w:val="20"/>
                <w:color w:val="auto"/>
              </w:rPr>
            </w:pPr>
            <w:r>
              <w:rPr>
                <w:rFonts w:ascii="Arial" w:cs="Arial" w:eastAsia="Arial" w:hAnsi="Arial"/>
                <w:sz w:val="18"/>
                <w:szCs w:val="18"/>
                <w:color w:val="auto"/>
              </w:rPr>
              <w:t>848,040</w:t>
            </w:r>
          </w:p>
        </w:tc>
        <w:tc>
          <w:tcPr>
            <w:tcW w:w="1320" w:type="dxa"/>
            <w:vAlign w:val="bottom"/>
            <w:vMerge w:val="restart"/>
          </w:tcPr>
          <w:p>
            <w:pPr>
              <w:jc w:val="right"/>
              <w:ind w:right="215"/>
              <w:spacing w:after="0"/>
              <w:rPr>
                <w:sz w:val="20"/>
                <w:szCs w:val="20"/>
                <w:color w:val="auto"/>
              </w:rPr>
            </w:pPr>
            <w:r>
              <w:rPr>
                <w:rFonts w:ascii="Arial" w:cs="Arial" w:eastAsia="Arial" w:hAnsi="Arial"/>
                <w:sz w:val="18"/>
                <w:szCs w:val="18"/>
                <w:color w:val="auto"/>
              </w:rPr>
              <w:t>90,931</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5,884,658</w:t>
            </w:r>
          </w:p>
        </w:tc>
        <w:tc>
          <w:tcPr>
            <w:tcW w:w="0" w:type="dxa"/>
            <w:vAlign w:val="bottom"/>
          </w:tcPr>
          <w:p>
            <w:pPr>
              <w:spacing w:after="0"/>
              <w:rPr>
                <w:sz w:val="1"/>
                <w:szCs w:val="1"/>
                <w:color w:val="auto"/>
              </w:rPr>
            </w:pPr>
          </w:p>
        </w:tc>
      </w:tr>
      <w:tr>
        <w:trPr>
          <w:trHeight w:val="217"/>
        </w:trPr>
        <w:tc>
          <w:tcPr>
            <w:tcW w:w="1540" w:type="dxa"/>
            <w:vAlign w:val="bottom"/>
          </w:tcPr>
          <w:p>
            <w:pPr>
              <w:ind w:left="180"/>
              <w:spacing w:after="0"/>
              <w:rPr>
                <w:sz w:val="20"/>
                <w:szCs w:val="20"/>
                <w:color w:val="auto"/>
              </w:rPr>
            </w:pPr>
            <w:r>
              <w:rPr>
                <w:rFonts w:ascii="Arial" w:cs="Arial" w:eastAsia="Arial" w:hAnsi="Arial"/>
                <w:sz w:val="18"/>
                <w:szCs w:val="18"/>
                <w:color w:val="auto"/>
              </w:rPr>
              <w:t>CEO</w:t>
            </w:r>
          </w:p>
        </w:tc>
        <w:tc>
          <w:tcPr>
            <w:tcW w:w="6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-4070985</wp:posOffset>
            </wp:positionV>
            <wp:extent cx="60090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0900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-3634105</wp:posOffset>
            </wp:positionV>
            <wp:extent cx="6069330" cy="37630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69330" cy="3763010"/>
                    </a:xfrm>
                    <a:prstGeom prst="rect">
                      <a:avLst/>
                    </a:prstGeom>
                    <a:noFill/>
                  </pic:spPr>
                </pic:pic>
              </a:graphicData>
            </a:graphic>
          </wp:anchor>
        </w:drawing>
      </w:r>
    </w:p>
    <w:p>
      <w:pPr>
        <w:spacing w:after="0" w:line="295" w:lineRule="exact"/>
        <w:rPr>
          <w:sz w:val="20"/>
          <w:szCs w:val="20"/>
          <w:color w:val="auto"/>
        </w:rPr>
      </w:pPr>
    </w:p>
    <w:p>
      <w:pPr>
        <w:ind w:left="360" w:right="60" w:hanging="355"/>
        <w:spacing w:after="0" w:line="249" w:lineRule="auto"/>
        <w:tabs>
          <w:tab w:leader="none" w:pos="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These columns reflect the aggregate grant date fair value of awards granted under our Long-Term Incentive Plan (LTIP) and Second A&amp;R 2010 Plan determined in accordance with FASB ASC Topic 718. See Note 9 of the consolidated financial statements in our Annual Report on Form 10-K for the year ended December 31, 2019 regarding assumptions underlying the valuation of these equity awards.</w:t>
      </w:r>
    </w:p>
    <w:p>
      <w:pPr>
        <w:spacing w:after="0" w:line="92" w:lineRule="exact"/>
        <w:rPr>
          <w:rFonts w:ascii="Arial" w:cs="Arial" w:eastAsia="Arial" w:hAnsi="Arial"/>
          <w:sz w:val="14"/>
          <w:szCs w:val="14"/>
          <w:color w:val="auto"/>
        </w:rPr>
      </w:pPr>
    </w:p>
    <w:p>
      <w:pPr>
        <w:ind w:left="360" w:hanging="355"/>
        <w:spacing w:after="0" w:line="245" w:lineRule="auto"/>
        <w:tabs>
          <w:tab w:leader="none" w:pos="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Includes the grant date fair value of Performance RSUs (PRSUs) assuming target performance achievement. As the performance-contingent awards are based on separate measurements of the Company's financial performance for each year in the three-year performance cycle, FASB ASC Topic 718 requires the grant date fair value to be calculated for the portion of the award related to performance in each year. Therefore, the value includes one-third of the target PRSUs for each active three-year performance cycle. For more details on how performance is calculated, refer to “A Closer Look at Performance-Based Restricted Stock Units (PRSUs)” in the CD&amp;A.</w:t>
      </w:r>
    </w:p>
    <w:p>
      <w:pPr>
        <w:spacing w:after="0" w:line="55" w:lineRule="exact"/>
        <w:rPr>
          <w:rFonts w:ascii="Arial" w:cs="Arial" w:eastAsia="Arial" w:hAnsi="Arial"/>
          <w:sz w:val="14"/>
          <w:szCs w:val="14"/>
          <w:color w:val="auto"/>
        </w:rPr>
      </w:pPr>
    </w:p>
    <w:p>
      <w:pPr>
        <w:ind w:left="360"/>
        <w:spacing w:after="0" w:line="244" w:lineRule="auto"/>
        <w:rPr>
          <w:rFonts w:ascii="Arial" w:cs="Arial" w:eastAsia="Arial" w:hAnsi="Arial"/>
          <w:sz w:val="14"/>
          <w:szCs w:val="14"/>
          <w:color w:val="auto"/>
        </w:rPr>
      </w:pPr>
      <w:r>
        <w:rPr>
          <w:rFonts w:ascii="Arial" w:cs="Arial" w:eastAsia="Arial" w:hAnsi="Arial"/>
          <w:sz w:val="14"/>
          <w:szCs w:val="14"/>
          <w:color w:val="auto"/>
        </w:rPr>
        <w:t>The grant date fair value of the performance related component is based upon the probable outcome for the award and is consistent with the estimate of aggregate compensation cost to be recognized over the performance period determined as of the grant date under FASB ASC Topic 718. As required under FASB ASC Topic 718, the full grant date fair value for the TSR multiplier for the entire three-year performance cycle is included in the amounts shown for the initial year of each performance cycle and was determined using a Monte Carlo valuation model on the date the PRSUs were awarded. Grant date fair values assuming maximum performance achievement for the 2019 PRSUs for the full performance cycle (2019-2021) would be: T. Deitrich - $1,064,578; J. Hooper - $665,361; S. Hlavinka - $425,805; M. Cadieux - $425,805; D. Reeves - $226,753.</w:t>
      </w:r>
    </w:p>
    <w:p>
      <w:pPr>
        <w:spacing w:after="0" w:line="259" w:lineRule="exact"/>
        <w:rPr>
          <w:rFonts w:ascii="Arial" w:cs="Arial" w:eastAsia="Arial" w:hAnsi="Arial"/>
          <w:sz w:val="14"/>
          <w:szCs w:val="14"/>
          <w:color w:val="auto"/>
        </w:rPr>
      </w:pPr>
    </w:p>
    <w:p>
      <w:pPr>
        <w:ind w:left="360" w:hanging="355"/>
        <w:spacing w:after="0"/>
        <w:tabs>
          <w:tab w:leader="none" w:pos="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This column reflects the cash awards earned by the NEOs under our annual incentive program.</w:t>
      </w:r>
    </w:p>
    <w:p>
      <w:pPr>
        <w:spacing w:after="0" w:line="109" w:lineRule="exact"/>
        <w:rPr>
          <w:rFonts w:ascii="Arial" w:cs="Arial" w:eastAsia="Arial" w:hAnsi="Arial"/>
          <w:sz w:val="14"/>
          <w:szCs w:val="14"/>
          <w:color w:val="auto"/>
        </w:rPr>
      </w:pPr>
    </w:p>
    <w:p>
      <w:pPr>
        <w:ind w:left="360" w:right="160" w:hanging="355"/>
        <w:spacing w:after="0" w:line="245" w:lineRule="auto"/>
        <w:tabs>
          <w:tab w:leader="none" w:pos="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We value these benefits based on the actual costs or charges incurred by us for the benefits. The amounts shown under “All Other Compensation” consist of Company 401(k) matching contributions of $18,110 for Mr. Reeves, $12,600 for Mr. Deitrich, Ms. Hlavinka, and Mr. Mezey, $9,968 for Ms. Hooper, and $9,000 for Mr. Cadieux; a company match under the Executive Deferred Compensation Plan of $9,666 for Ms. Hooper, $3,020 for Ms. Hlavinka, and $25,570 for Mr. Mezey; relocation costs of $8,188 for Ms. Hlavinka; and consulting fees totaling $520,000 for Mr. Mezey.</w:t>
      </w:r>
    </w:p>
    <w:p>
      <w:pPr>
        <w:spacing w:after="0" w:line="96" w:lineRule="exact"/>
        <w:rPr>
          <w:rFonts w:ascii="Arial" w:cs="Arial" w:eastAsia="Arial" w:hAnsi="Arial"/>
          <w:sz w:val="14"/>
          <w:szCs w:val="14"/>
          <w:color w:val="auto"/>
        </w:rPr>
      </w:pPr>
    </w:p>
    <w:p>
      <w:pPr>
        <w:ind w:left="360" w:hanging="355"/>
        <w:spacing w:after="0"/>
        <w:tabs>
          <w:tab w:leader="none" w:pos="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Mr. Deitrich was promoted to President and CEO effective August 6, 2019.</w:t>
      </w:r>
    </w:p>
    <w:p>
      <w:pPr>
        <w:spacing w:after="0" w:line="109" w:lineRule="exact"/>
        <w:rPr>
          <w:rFonts w:ascii="Arial" w:cs="Arial" w:eastAsia="Arial" w:hAnsi="Arial"/>
          <w:sz w:val="14"/>
          <w:szCs w:val="14"/>
          <w:color w:val="auto"/>
        </w:rPr>
      </w:pPr>
    </w:p>
    <w:p>
      <w:pPr>
        <w:ind w:left="360" w:right="380" w:hanging="355"/>
        <w:spacing w:after="0" w:line="258" w:lineRule="auto"/>
        <w:tabs>
          <w:tab w:leader="none" w:pos="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Mr. Mezey resigned as President and CEO effective August 6, 2019. He served in a non-executive officer employee role with Itron through August 31, 2019, and then as a non-employee consultant through December 31, 2019 to provide certain transition services.</w:t>
      </w:r>
    </w:p>
    <w:p>
      <w:pPr>
        <w:sectPr>
          <w:pgSz w:w="11900" w:h="16838" w:orient="portrait"/>
          <w:cols w:equalWidth="0" w:num="1">
            <w:col w:w="9520"/>
          </w:cols>
          <w:pgMar w:left="1160" w:top="279" w:right="1219" w:bottom="1440" w:gutter="0" w:footer="0" w:header="0"/>
        </w:sectPr>
      </w:pPr>
    </w:p>
    <w:p>
      <w:pPr>
        <w:spacing w:after="0" w:line="202"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6069330"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20"/>
          </w:cols>
          <w:pgMar w:left="1160" w:top="279" w:right="1219" w:bottom="1440" w:gutter="0" w:footer="0" w:header="0"/>
          <w:type w:val="continuous"/>
        </w:sectPr>
      </w:pPr>
    </w:p>
    <w:bookmarkStart w:id="42" w:name="page43"/>
    <w:bookmarkEnd w:id="42"/>
    <w:p>
      <w:pPr>
        <w:ind w:left="4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Grants of Plan-Based Awards Table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grants of plan-based awards to the NEOs during 2019.</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0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20" w:type="dxa"/>
            <w:vAlign w:val="bottom"/>
            <w:gridSpan w:val="4"/>
          </w:tcPr>
          <w:p>
            <w:pPr>
              <w:jc w:val="right"/>
              <w:ind w:right="637"/>
              <w:spacing w:after="0"/>
              <w:rPr>
                <w:sz w:val="20"/>
                <w:szCs w:val="20"/>
                <w:color w:val="auto"/>
              </w:rPr>
            </w:pPr>
            <w:r>
              <w:rPr>
                <w:rFonts w:ascii="Arial" w:cs="Arial" w:eastAsia="Arial" w:hAnsi="Arial"/>
                <w:sz w:val="14"/>
                <w:szCs w:val="14"/>
                <w:b w:val="1"/>
                <w:bCs w:val="1"/>
                <w:color w:val="auto"/>
              </w:rPr>
              <w:t>Grants of Plan - Based Awards</w:t>
            </w: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8"/>
              </w:rPr>
              <w:t>All Other</w:t>
            </w:r>
          </w:p>
        </w:tc>
        <w:tc>
          <w:tcPr>
            <w:tcW w:w="92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4"/>
              </w:rPr>
              <w:t>All Other</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60" w:type="dxa"/>
            <w:vAlign w:val="bottom"/>
            <w:gridSpan w:val="4"/>
            <w:vMerge w:val="restart"/>
          </w:tcPr>
          <w:p>
            <w:pPr>
              <w:jc w:val="center"/>
              <w:ind w:right="237"/>
              <w:spacing w:after="0"/>
              <w:rPr>
                <w:sz w:val="20"/>
                <w:szCs w:val="20"/>
                <w:color w:val="auto"/>
              </w:rPr>
            </w:pPr>
            <w:r>
              <w:rPr>
                <w:rFonts w:ascii="Arial" w:cs="Arial" w:eastAsia="Arial" w:hAnsi="Arial"/>
                <w:sz w:val="13"/>
                <w:szCs w:val="13"/>
                <w:b w:val="1"/>
                <w:bCs w:val="1"/>
                <w:color w:val="auto"/>
                <w:w w:val="96"/>
              </w:rPr>
              <w:t>Estimated Future Payouts Under</w:t>
            </w:r>
          </w:p>
        </w:tc>
        <w:tc>
          <w:tcPr>
            <w:tcW w:w="24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7"/>
              </w:rPr>
              <w:t>Estimated Future Payouts</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Stock</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Option</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7"/>
              </w:rPr>
              <w:t>Grant</w:t>
            </w:r>
          </w:p>
        </w:tc>
        <w:tc>
          <w:tcPr>
            <w:tcW w:w="0" w:type="dxa"/>
            <w:vAlign w:val="bottom"/>
          </w:tcPr>
          <w:p>
            <w:pPr>
              <w:spacing w:after="0"/>
              <w:rPr>
                <w:sz w:val="1"/>
                <w:szCs w:val="1"/>
                <w:color w:val="auto"/>
              </w:rPr>
            </w:pPr>
          </w:p>
        </w:tc>
      </w:tr>
      <w:tr>
        <w:trPr>
          <w:trHeight w:val="68"/>
        </w:trPr>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360" w:type="dxa"/>
            <w:vAlign w:val="bottom"/>
            <w:gridSpan w:val="4"/>
            <w:vMerge w:val="continue"/>
          </w:tcPr>
          <w:p>
            <w:pPr>
              <w:spacing w:after="0"/>
              <w:rPr>
                <w:sz w:val="5"/>
                <w:szCs w:val="5"/>
                <w:color w:val="auto"/>
              </w:rPr>
            </w:pPr>
          </w:p>
        </w:tc>
        <w:tc>
          <w:tcPr>
            <w:tcW w:w="2460" w:type="dxa"/>
            <w:vAlign w:val="bottom"/>
            <w:gridSpan w:val="3"/>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9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80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97"/>
              </w:rPr>
              <w:t>Exercise</w:t>
            </w:r>
          </w:p>
        </w:tc>
        <w:tc>
          <w:tcPr>
            <w:tcW w:w="200" w:type="dxa"/>
            <w:vAlign w:val="bottom"/>
          </w:tcPr>
          <w:p>
            <w:pPr>
              <w:spacing w:after="0"/>
              <w:rPr>
                <w:sz w:val="5"/>
                <w:szCs w:val="5"/>
                <w:color w:val="auto"/>
              </w:rPr>
            </w:pPr>
          </w:p>
        </w:tc>
        <w:tc>
          <w:tcPr>
            <w:tcW w:w="680" w:type="dxa"/>
            <w:vAlign w:val="bottom"/>
            <w:vMerge w:val="restart"/>
          </w:tcPr>
          <w:p>
            <w:pPr>
              <w:jc w:val="center"/>
              <w:ind w:right="77"/>
              <w:spacing w:after="0" w:line="135" w:lineRule="exact"/>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68"/>
        </w:trPr>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700" w:type="dxa"/>
            <w:vAlign w:val="bottom"/>
            <w:gridSpan w:val="3"/>
            <w:vMerge w:val="restart"/>
          </w:tcPr>
          <w:p>
            <w:pPr>
              <w:jc w:val="center"/>
              <w:ind w:left="297"/>
              <w:spacing w:after="0" w:line="135" w:lineRule="exact"/>
              <w:rPr>
                <w:sz w:val="20"/>
                <w:szCs w:val="20"/>
                <w:color w:val="auto"/>
              </w:rPr>
            </w:pPr>
            <w:r>
              <w:rPr>
                <w:rFonts w:ascii="Arial" w:cs="Arial" w:eastAsia="Arial" w:hAnsi="Arial"/>
                <w:sz w:val="13"/>
                <w:szCs w:val="13"/>
                <w:b w:val="1"/>
                <w:bCs w:val="1"/>
                <w:color w:val="auto"/>
                <w:w w:val="97"/>
              </w:rPr>
              <w:t>Non-Equity Incentive</w:t>
            </w:r>
          </w:p>
        </w:tc>
        <w:tc>
          <w:tcPr>
            <w:tcW w:w="660" w:type="dxa"/>
            <w:vAlign w:val="bottom"/>
          </w:tcPr>
          <w:p>
            <w:pPr>
              <w:spacing w:after="0"/>
              <w:rPr>
                <w:sz w:val="5"/>
                <w:szCs w:val="5"/>
                <w:color w:val="auto"/>
              </w:rPr>
            </w:pPr>
          </w:p>
        </w:tc>
        <w:tc>
          <w:tcPr>
            <w:tcW w:w="2460" w:type="dxa"/>
            <w:vAlign w:val="bottom"/>
            <w:gridSpan w:val="3"/>
            <w:vMerge w:val="restart"/>
          </w:tcPr>
          <w:p>
            <w:pPr>
              <w:jc w:val="center"/>
              <w:spacing w:after="0" w:line="135" w:lineRule="exact"/>
              <w:rPr>
                <w:sz w:val="20"/>
                <w:szCs w:val="20"/>
                <w:color w:val="auto"/>
              </w:rPr>
            </w:pPr>
            <w:r>
              <w:rPr>
                <w:rFonts w:ascii="Arial" w:cs="Arial" w:eastAsia="Arial" w:hAnsi="Arial"/>
                <w:sz w:val="13"/>
                <w:szCs w:val="13"/>
                <w:b w:val="1"/>
                <w:bCs w:val="1"/>
                <w:color w:val="auto"/>
                <w:w w:val="96"/>
              </w:rPr>
              <w:t>Under Equity Incentive</w:t>
            </w:r>
          </w:p>
        </w:tc>
        <w:tc>
          <w:tcPr>
            <w:tcW w:w="9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660" w:type="dxa"/>
            <w:vAlign w:val="bottom"/>
          </w:tcPr>
          <w:p>
            <w:pPr>
              <w:spacing w:after="0"/>
              <w:rPr>
                <w:sz w:val="5"/>
                <w:szCs w:val="5"/>
                <w:color w:val="auto"/>
              </w:rPr>
            </w:pPr>
          </w:p>
        </w:tc>
        <w:tc>
          <w:tcPr>
            <w:tcW w:w="2460" w:type="dxa"/>
            <w:vAlign w:val="bottom"/>
            <w:gridSpan w:val="3"/>
            <w:vMerge w:val="continue"/>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7"/>
              </w:rPr>
              <w:t>Number</w:t>
            </w:r>
          </w:p>
        </w:tc>
        <w:tc>
          <w:tcPr>
            <w:tcW w:w="9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8"/>
              </w:rPr>
              <w:t>Number of</w:t>
            </w:r>
          </w:p>
        </w:tc>
        <w:tc>
          <w:tcPr>
            <w:tcW w:w="80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rPr>
              <w:t>or Base</w:t>
            </w:r>
          </w:p>
        </w:tc>
        <w:tc>
          <w:tcPr>
            <w:tcW w:w="200" w:type="dxa"/>
            <w:vAlign w:val="bottom"/>
          </w:tcPr>
          <w:p>
            <w:pPr>
              <w:spacing w:after="0"/>
              <w:rPr>
                <w:sz w:val="5"/>
                <w:szCs w:val="5"/>
                <w:color w:val="auto"/>
              </w:rPr>
            </w:pPr>
          </w:p>
        </w:tc>
        <w:tc>
          <w:tcPr>
            <w:tcW w:w="680" w:type="dxa"/>
            <w:vAlign w:val="bottom"/>
            <w:vMerge w:val="restart"/>
          </w:tcPr>
          <w:p>
            <w:pPr>
              <w:jc w:val="center"/>
              <w:ind w:right="77"/>
              <w:spacing w:after="0" w:line="135" w:lineRule="exact"/>
              <w:rPr>
                <w:sz w:val="20"/>
                <w:szCs w:val="20"/>
                <w:color w:val="auto"/>
              </w:rPr>
            </w:pPr>
            <w:r>
              <w:rPr>
                <w:rFonts w:ascii="Arial" w:cs="Arial" w:eastAsia="Arial" w:hAnsi="Arial"/>
                <w:sz w:val="13"/>
                <w:szCs w:val="13"/>
                <w:b w:val="1"/>
                <w:bCs w:val="1"/>
                <w:color w:val="auto"/>
                <w:w w:val="92"/>
              </w:rPr>
              <w:t>Fair</w:t>
            </w:r>
          </w:p>
        </w:tc>
        <w:tc>
          <w:tcPr>
            <w:tcW w:w="0" w:type="dxa"/>
            <w:vAlign w:val="bottom"/>
          </w:tcPr>
          <w:p>
            <w:pPr>
              <w:spacing w:after="0"/>
              <w:rPr>
                <w:sz w:val="1"/>
                <w:szCs w:val="1"/>
                <w:color w:val="auto"/>
              </w:rPr>
            </w:pPr>
          </w:p>
        </w:tc>
      </w:tr>
      <w:tr>
        <w:trPr>
          <w:trHeight w:val="68"/>
        </w:trPr>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Plan Awards</w:t>
            </w: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Plan Awards</w:t>
            </w:r>
          </w:p>
        </w:tc>
        <w:tc>
          <w:tcPr>
            <w:tcW w:w="8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7"/>
              </w:rPr>
              <w:t>of Shares</w:t>
            </w:r>
          </w:p>
        </w:tc>
        <w:tc>
          <w:tcPr>
            <w:tcW w:w="9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80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rPr>
              <w:t>Price of</w:t>
            </w:r>
          </w:p>
        </w:tc>
        <w:tc>
          <w:tcPr>
            <w:tcW w:w="200" w:type="dxa"/>
            <w:vAlign w:val="bottom"/>
          </w:tcPr>
          <w:p>
            <w:pPr>
              <w:spacing w:after="0"/>
              <w:rPr>
                <w:sz w:val="8"/>
                <w:szCs w:val="8"/>
                <w:color w:val="auto"/>
              </w:rPr>
            </w:pPr>
          </w:p>
        </w:tc>
        <w:tc>
          <w:tcPr>
            <w:tcW w:w="680" w:type="dxa"/>
            <w:vAlign w:val="bottom"/>
            <w:vMerge w:val="restart"/>
          </w:tcPr>
          <w:p>
            <w:pPr>
              <w:jc w:val="center"/>
              <w:ind w:right="97"/>
              <w:spacing w:after="0" w:line="135" w:lineRule="exact"/>
              <w:rPr>
                <w:sz w:val="20"/>
                <w:szCs w:val="20"/>
                <w:color w:val="auto"/>
              </w:rPr>
            </w:pPr>
            <w:r>
              <w:rPr>
                <w:rFonts w:ascii="Arial" w:cs="Arial" w:eastAsia="Arial" w:hAnsi="Arial"/>
                <w:sz w:val="13"/>
                <w:szCs w:val="13"/>
                <w:b w:val="1"/>
                <w:bCs w:val="1"/>
                <w:color w:val="auto"/>
                <w:w w:val="94"/>
              </w:rPr>
              <w:t>Value of</w:t>
            </w:r>
          </w:p>
        </w:tc>
        <w:tc>
          <w:tcPr>
            <w:tcW w:w="0" w:type="dxa"/>
            <w:vAlign w:val="bottom"/>
          </w:tcPr>
          <w:p>
            <w:pPr>
              <w:spacing w:after="0"/>
              <w:rPr>
                <w:sz w:val="1"/>
                <w:szCs w:val="1"/>
                <w:color w:val="auto"/>
              </w:rPr>
            </w:pPr>
          </w:p>
        </w:tc>
      </w:tr>
      <w:tr>
        <w:trPr>
          <w:trHeight w:val="35"/>
        </w:trPr>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of Stock</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8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Option</w:t>
            </w: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Stock and</w:t>
            </w:r>
          </w:p>
        </w:tc>
        <w:tc>
          <w:tcPr>
            <w:tcW w:w="0" w:type="dxa"/>
            <w:vAlign w:val="bottom"/>
          </w:tcPr>
          <w:p>
            <w:pPr>
              <w:spacing w:after="0"/>
              <w:rPr>
                <w:sz w:val="1"/>
                <w:szCs w:val="1"/>
                <w:color w:val="auto"/>
              </w:rPr>
            </w:pPr>
          </w:p>
        </w:tc>
      </w:tr>
      <w:tr>
        <w:trPr>
          <w:trHeight w:val="131"/>
        </w:trPr>
        <w:tc>
          <w:tcPr>
            <w:tcW w:w="1060" w:type="dxa"/>
            <w:vAlign w:val="bottom"/>
          </w:tcPr>
          <w:p>
            <w:pPr>
              <w:spacing w:after="0"/>
              <w:rPr>
                <w:sz w:val="11"/>
                <w:szCs w:val="11"/>
                <w:color w:val="auto"/>
              </w:rPr>
            </w:pPr>
          </w:p>
        </w:tc>
        <w:tc>
          <w:tcPr>
            <w:tcW w:w="800" w:type="dxa"/>
            <w:vAlign w:val="bottom"/>
          </w:tcPr>
          <w:p>
            <w:pPr>
              <w:jc w:val="right"/>
              <w:ind w:right="217"/>
              <w:spacing w:after="0" w:line="131" w:lineRule="exact"/>
              <w:rPr>
                <w:sz w:val="20"/>
                <w:szCs w:val="20"/>
                <w:color w:val="auto"/>
              </w:rPr>
            </w:pPr>
            <w:r>
              <w:rPr>
                <w:rFonts w:ascii="Arial" w:cs="Arial" w:eastAsia="Arial" w:hAnsi="Arial"/>
                <w:sz w:val="13"/>
                <w:szCs w:val="13"/>
                <w:b w:val="1"/>
                <w:bCs w:val="1"/>
                <w:color w:val="auto"/>
              </w:rPr>
              <w:t>Grant</w:t>
            </w:r>
          </w:p>
        </w:tc>
        <w:tc>
          <w:tcPr>
            <w:tcW w:w="840" w:type="dxa"/>
            <w:vAlign w:val="bottom"/>
            <w:gridSpan w:val="2"/>
          </w:tcPr>
          <w:p>
            <w:pPr>
              <w:ind w:left="120"/>
              <w:spacing w:after="0" w:line="131" w:lineRule="exact"/>
              <w:rPr>
                <w:sz w:val="20"/>
                <w:szCs w:val="20"/>
                <w:color w:val="auto"/>
              </w:rPr>
            </w:pPr>
            <w:r>
              <w:rPr>
                <w:rFonts w:ascii="Arial" w:cs="Arial" w:eastAsia="Arial" w:hAnsi="Arial"/>
                <w:sz w:val="13"/>
                <w:szCs w:val="13"/>
                <w:b w:val="1"/>
                <w:bCs w:val="1"/>
                <w:color w:val="auto"/>
              </w:rPr>
              <w:t>Threshold</w:t>
            </w:r>
          </w:p>
        </w:tc>
        <w:tc>
          <w:tcPr>
            <w:tcW w:w="88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5"/>
              </w:rPr>
              <w:t>Target</w:t>
            </w:r>
          </w:p>
        </w:tc>
        <w:tc>
          <w:tcPr>
            <w:tcW w:w="880" w:type="dxa"/>
            <w:vAlign w:val="bottom"/>
            <w:gridSpan w:val="2"/>
          </w:tcPr>
          <w:p>
            <w:pPr>
              <w:ind w:left="100"/>
              <w:spacing w:after="0" w:line="131" w:lineRule="exact"/>
              <w:rPr>
                <w:sz w:val="20"/>
                <w:szCs w:val="20"/>
                <w:color w:val="auto"/>
              </w:rPr>
            </w:pPr>
            <w:r>
              <w:rPr>
                <w:rFonts w:ascii="Arial" w:cs="Arial" w:eastAsia="Arial" w:hAnsi="Arial"/>
                <w:sz w:val="13"/>
                <w:szCs w:val="13"/>
                <w:b w:val="1"/>
                <w:bCs w:val="1"/>
                <w:color w:val="auto"/>
              </w:rPr>
              <w:t>Maximum</w:t>
            </w:r>
          </w:p>
        </w:tc>
        <w:tc>
          <w:tcPr>
            <w:tcW w:w="800" w:type="dxa"/>
            <w:vAlign w:val="bottom"/>
          </w:tcPr>
          <w:p>
            <w:pPr>
              <w:jc w:val="right"/>
              <w:ind w:right="17"/>
              <w:spacing w:after="0" w:line="131" w:lineRule="exact"/>
              <w:rPr>
                <w:sz w:val="20"/>
                <w:szCs w:val="20"/>
                <w:color w:val="auto"/>
              </w:rPr>
            </w:pPr>
            <w:r>
              <w:rPr>
                <w:rFonts w:ascii="Arial" w:cs="Arial" w:eastAsia="Arial" w:hAnsi="Arial"/>
                <w:sz w:val="13"/>
                <w:szCs w:val="13"/>
                <w:b w:val="1"/>
                <w:bCs w:val="1"/>
                <w:color w:val="auto"/>
              </w:rPr>
              <w:t>Threshold</w:t>
            </w:r>
          </w:p>
        </w:tc>
        <w:tc>
          <w:tcPr>
            <w:tcW w:w="8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5"/>
              </w:rPr>
              <w:t>Target</w:t>
            </w:r>
          </w:p>
        </w:tc>
        <w:tc>
          <w:tcPr>
            <w:tcW w:w="820" w:type="dxa"/>
            <w:vAlign w:val="bottom"/>
          </w:tcPr>
          <w:p>
            <w:pPr>
              <w:jc w:val="right"/>
              <w:ind w:right="117"/>
              <w:spacing w:after="0" w:line="131" w:lineRule="exact"/>
              <w:rPr>
                <w:sz w:val="20"/>
                <w:szCs w:val="20"/>
                <w:color w:val="auto"/>
              </w:rPr>
            </w:pPr>
            <w:r>
              <w:rPr>
                <w:rFonts w:ascii="Arial" w:cs="Arial" w:eastAsia="Arial" w:hAnsi="Arial"/>
                <w:sz w:val="13"/>
                <w:szCs w:val="13"/>
                <w:b w:val="1"/>
                <w:bCs w:val="1"/>
                <w:color w:val="auto"/>
              </w:rPr>
              <w:t>Maximum</w:t>
            </w:r>
          </w:p>
        </w:tc>
        <w:tc>
          <w:tcPr>
            <w:tcW w:w="90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7"/>
              </w:rPr>
              <w:t>or Units</w:t>
            </w:r>
          </w:p>
        </w:tc>
        <w:tc>
          <w:tcPr>
            <w:tcW w:w="9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7"/>
              </w:rPr>
              <w:t>Options</w:t>
            </w:r>
          </w:p>
        </w:tc>
        <w:tc>
          <w:tcPr>
            <w:tcW w:w="800" w:type="dxa"/>
            <w:vAlign w:val="bottom"/>
            <w:gridSpan w:val="2"/>
          </w:tcPr>
          <w:p>
            <w:pPr>
              <w:jc w:val="center"/>
              <w:spacing w:after="0" w:line="131" w:lineRule="exact"/>
              <w:rPr>
                <w:sz w:val="20"/>
                <w:szCs w:val="20"/>
                <w:color w:val="auto"/>
              </w:rPr>
            </w:pPr>
            <w:r>
              <w:rPr>
                <w:rFonts w:ascii="Arial" w:cs="Arial" w:eastAsia="Arial" w:hAnsi="Arial"/>
                <w:sz w:val="13"/>
                <w:szCs w:val="13"/>
                <w:b w:val="1"/>
                <w:bCs w:val="1"/>
                <w:color w:val="auto"/>
                <w:w w:val="93"/>
              </w:rPr>
              <w:t>Awards</w:t>
            </w:r>
          </w:p>
        </w:tc>
        <w:tc>
          <w:tcPr>
            <w:tcW w:w="200" w:type="dxa"/>
            <w:vAlign w:val="bottom"/>
          </w:tcPr>
          <w:p>
            <w:pPr>
              <w:spacing w:after="0"/>
              <w:rPr>
                <w:sz w:val="11"/>
                <w:szCs w:val="11"/>
                <w:color w:val="auto"/>
              </w:rPr>
            </w:pPr>
          </w:p>
        </w:tc>
        <w:tc>
          <w:tcPr>
            <w:tcW w:w="680" w:type="dxa"/>
            <w:vAlign w:val="bottom"/>
          </w:tcPr>
          <w:p>
            <w:pPr>
              <w:jc w:val="center"/>
              <w:ind w:right="97"/>
              <w:spacing w:after="0" w:line="131" w:lineRule="exact"/>
              <w:rPr>
                <w:sz w:val="20"/>
                <w:szCs w:val="20"/>
                <w:color w:val="auto"/>
              </w:rPr>
            </w:pPr>
            <w:r>
              <w:rPr>
                <w:rFonts w:ascii="Arial" w:cs="Arial" w:eastAsia="Arial" w:hAnsi="Arial"/>
                <w:sz w:val="13"/>
                <w:szCs w:val="13"/>
                <w:b w:val="1"/>
                <w:bCs w:val="1"/>
                <w:color w:val="auto"/>
                <w:w w:val="95"/>
              </w:rPr>
              <w:t>Option</w:t>
            </w:r>
          </w:p>
        </w:tc>
        <w:tc>
          <w:tcPr>
            <w:tcW w:w="0" w:type="dxa"/>
            <w:vAlign w:val="bottom"/>
          </w:tcPr>
          <w:p>
            <w:pPr>
              <w:spacing w:after="0"/>
              <w:rPr>
                <w:sz w:val="1"/>
                <w:szCs w:val="1"/>
                <w:color w:val="auto"/>
              </w:rPr>
            </w:pPr>
          </w:p>
        </w:tc>
      </w:tr>
      <w:tr>
        <w:trPr>
          <w:trHeight w:val="195"/>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rPr>
              <w:t>Name</w:t>
            </w:r>
          </w:p>
        </w:tc>
        <w:tc>
          <w:tcPr>
            <w:tcW w:w="800" w:type="dxa"/>
            <w:vAlign w:val="bottom"/>
          </w:tcPr>
          <w:p>
            <w:pPr>
              <w:jc w:val="right"/>
              <w:ind w:right="237"/>
              <w:spacing w:after="0"/>
              <w:rPr>
                <w:sz w:val="20"/>
                <w:szCs w:val="20"/>
                <w:color w:val="auto"/>
              </w:rPr>
            </w:pPr>
            <w:r>
              <w:rPr>
                <w:rFonts w:ascii="Arial" w:cs="Arial" w:eastAsia="Arial" w:hAnsi="Arial"/>
                <w:sz w:val="13"/>
                <w:szCs w:val="13"/>
                <w:b w:val="1"/>
                <w:bCs w:val="1"/>
                <w:color w:val="auto"/>
              </w:rPr>
              <w:t>Date</w:t>
            </w:r>
          </w:p>
        </w:tc>
        <w:tc>
          <w:tcPr>
            <w:tcW w:w="240" w:type="dxa"/>
            <w:vAlign w:val="bottom"/>
          </w:tcPr>
          <w:p>
            <w:pPr>
              <w:spacing w:after="0"/>
              <w:rPr>
                <w:sz w:val="16"/>
                <w:szCs w:val="16"/>
                <w:color w:val="auto"/>
              </w:rPr>
            </w:pPr>
          </w:p>
        </w:tc>
        <w:tc>
          <w:tcPr>
            <w:tcW w:w="600" w:type="dxa"/>
            <w:vAlign w:val="bottom"/>
          </w:tcPr>
          <w:p>
            <w:pPr>
              <w:jc w:val="right"/>
              <w:ind w:right="197"/>
              <w:spacing w:after="0" w:line="195"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20"/>
                <w:szCs w:val="20"/>
                <w:b w:val="1"/>
                <w:bCs w:val="1"/>
                <w:color w:val="auto"/>
                <w:w w:val="99"/>
                <w:vertAlign w:val="superscript"/>
              </w:rPr>
              <w:t>(1)</w:t>
            </w:r>
          </w:p>
        </w:tc>
        <w:tc>
          <w:tcPr>
            <w:tcW w:w="880" w:type="dxa"/>
            <w:vAlign w:val="bottom"/>
          </w:tcPr>
          <w:p>
            <w:pPr>
              <w:jc w:val="center"/>
              <w:spacing w:after="0" w:line="195"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(1)</w:t>
            </w:r>
          </w:p>
        </w:tc>
        <w:tc>
          <w:tcPr>
            <w:tcW w:w="220" w:type="dxa"/>
            <w:vAlign w:val="bottom"/>
          </w:tcPr>
          <w:p>
            <w:pPr>
              <w:spacing w:after="0"/>
              <w:rPr>
                <w:sz w:val="16"/>
                <w:szCs w:val="16"/>
                <w:color w:val="auto"/>
              </w:rPr>
            </w:pPr>
          </w:p>
        </w:tc>
        <w:tc>
          <w:tcPr>
            <w:tcW w:w="660" w:type="dxa"/>
            <w:vAlign w:val="bottom"/>
          </w:tcPr>
          <w:p>
            <w:pPr>
              <w:jc w:val="right"/>
              <w:ind w:right="277"/>
              <w:spacing w:after="0" w:line="195"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(1)</w:t>
            </w:r>
          </w:p>
        </w:tc>
        <w:tc>
          <w:tcPr>
            <w:tcW w:w="800" w:type="dxa"/>
            <w:vAlign w:val="bottom"/>
          </w:tcPr>
          <w:p>
            <w:pPr>
              <w:jc w:val="right"/>
              <w:ind w:right="177"/>
              <w:spacing w:after="0" w:line="195"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(2)</w:t>
            </w:r>
          </w:p>
        </w:tc>
        <w:tc>
          <w:tcPr>
            <w:tcW w:w="840" w:type="dxa"/>
            <w:vAlign w:val="bottom"/>
          </w:tcPr>
          <w:p>
            <w:pPr>
              <w:jc w:val="center"/>
              <w:spacing w:after="0" w:line="195"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(2)</w:t>
            </w:r>
          </w:p>
        </w:tc>
        <w:tc>
          <w:tcPr>
            <w:tcW w:w="820" w:type="dxa"/>
            <w:vAlign w:val="bottom"/>
          </w:tcPr>
          <w:p>
            <w:pPr>
              <w:jc w:val="right"/>
              <w:ind w:right="277"/>
              <w:spacing w:after="0" w:line="195"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(2)</w:t>
            </w:r>
          </w:p>
        </w:tc>
        <w:tc>
          <w:tcPr>
            <w:tcW w:w="900" w:type="dxa"/>
            <w:vAlign w:val="bottom"/>
          </w:tcPr>
          <w:p>
            <w:pPr>
              <w:jc w:val="center"/>
              <w:spacing w:after="0" w:line="195"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(3)</w:t>
            </w:r>
          </w:p>
        </w:tc>
        <w:tc>
          <w:tcPr>
            <w:tcW w:w="920" w:type="dxa"/>
            <w:vAlign w:val="bottom"/>
          </w:tcPr>
          <w:p>
            <w:pPr>
              <w:jc w:val="center"/>
              <w:spacing w:after="0" w:line="195"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(4)</w:t>
            </w: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480" w:type="dxa"/>
            <w:vAlign w:val="bottom"/>
          </w:tcPr>
          <w:p>
            <w:pPr>
              <w:jc w:val="right"/>
              <w:ind w:right="177"/>
              <w:spacing w:after="0"/>
              <w:rPr>
                <w:sz w:val="20"/>
                <w:szCs w:val="20"/>
                <w:color w:val="auto"/>
              </w:rPr>
            </w:pPr>
            <w:r>
              <w:rPr>
                <w:rFonts w:ascii="Arial" w:cs="Arial" w:eastAsia="Arial" w:hAnsi="Arial"/>
                <w:sz w:val="13"/>
                <w:szCs w:val="13"/>
                <w:b w:val="1"/>
                <w:bCs w:val="1"/>
                <w:color w:val="auto"/>
                <w:w w:val="89"/>
              </w:rPr>
              <w:t>/Sh)</w:t>
            </w:r>
          </w:p>
        </w:tc>
        <w:tc>
          <w:tcPr>
            <w:tcW w:w="200" w:type="dxa"/>
            <w:vAlign w:val="bottom"/>
          </w:tcPr>
          <w:p>
            <w:pPr>
              <w:spacing w:after="0"/>
              <w:rPr>
                <w:sz w:val="16"/>
                <w:szCs w:val="16"/>
                <w:color w:val="auto"/>
              </w:rPr>
            </w:pPr>
          </w:p>
        </w:tc>
        <w:tc>
          <w:tcPr>
            <w:tcW w:w="680" w:type="dxa"/>
            <w:vAlign w:val="bottom"/>
          </w:tcPr>
          <w:p>
            <w:pPr>
              <w:jc w:val="center"/>
              <w:ind w:right="77"/>
              <w:spacing w:after="0"/>
              <w:rPr>
                <w:sz w:val="20"/>
                <w:szCs w:val="20"/>
                <w:color w:val="auto"/>
              </w:rPr>
            </w:pPr>
            <w:r>
              <w:rPr>
                <w:rFonts w:ascii="Arial" w:cs="Arial" w:eastAsia="Arial" w:hAnsi="Arial"/>
                <w:sz w:val="13"/>
                <w:szCs w:val="13"/>
                <w:b w:val="1"/>
                <w:bCs w:val="1"/>
                <w:color w:val="auto"/>
                <w:w w:val="97"/>
              </w:rPr>
              <w:t>Awards</w:t>
            </w:r>
          </w:p>
        </w:tc>
        <w:tc>
          <w:tcPr>
            <w:tcW w:w="0" w:type="dxa"/>
            <w:vAlign w:val="bottom"/>
          </w:tcPr>
          <w:p>
            <w:pPr>
              <w:spacing w:after="0"/>
              <w:rPr>
                <w:sz w:val="1"/>
                <w:szCs w:val="1"/>
                <w:color w:val="auto"/>
              </w:rPr>
            </w:pPr>
          </w:p>
        </w:tc>
      </w:tr>
      <w:tr>
        <w:trPr>
          <w:trHeight w:val="152"/>
        </w:trPr>
        <w:tc>
          <w:tcPr>
            <w:tcW w:w="1060" w:type="dxa"/>
            <w:vAlign w:val="bottom"/>
          </w:tcPr>
          <w:p>
            <w:pPr>
              <w:spacing w:after="0"/>
              <w:rPr>
                <w:sz w:val="20"/>
                <w:szCs w:val="20"/>
                <w:color w:val="auto"/>
              </w:rPr>
            </w:pPr>
            <w:r>
              <w:rPr>
                <w:rFonts w:ascii="Arial" w:cs="Arial" w:eastAsia="Arial" w:hAnsi="Arial"/>
                <w:sz w:val="13"/>
                <w:szCs w:val="13"/>
                <w:color w:val="auto"/>
              </w:rPr>
              <w:t>Thomas Deitrich</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ind w:left="10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183,119</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$ 732,475</w:t>
            </w:r>
          </w:p>
        </w:tc>
        <w:tc>
          <w:tcPr>
            <w:tcW w:w="880" w:type="dxa"/>
            <w:vAlign w:val="bottom"/>
            <w:gridSpan w:val="2"/>
          </w:tcPr>
          <w:p>
            <w:pPr>
              <w:jc w:val="right"/>
              <w:ind w:right="77"/>
              <w:spacing w:after="0"/>
              <w:rPr>
                <w:sz w:val="20"/>
                <w:szCs w:val="20"/>
                <w:color w:val="auto"/>
              </w:rPr>
            </w:pPr>
            <w:r>
              <w:rPr>
                <w:rFonts w:ascii="Arial" w:cs="Arial" w:eastAsia="Arial" w:hAnsi="Arial"/>
                <w:sz w:val="13"/>
                <w:szCs w:val="13"/>
                <w:color w:val="auto"/>
              </w:rPr>
              <w:t>$ 1,098,713</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2/21/2019</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16,417</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999,959</w:t>
            </w:r>
          </w:p>
        </w:tc>
        <w:tc>
          <w:tcPr>
            <w:tcW w:w="0" w:type="dxa"/>
            <w:vAlign w:val="bottom"/>
          </w:tcPr>
          <w:p>
            <w:pPr>
              <w:spacing w:after="0"/>
              <w:rPr>
                <w:sz w:val="1"/>
                <w:szCs w:val="1"/>
                <w:color w:val="auto"/>
              </w:rPr>
            </w:pPr>
          </w:p>
        </w:tc>
      </w:tr>
      <w:tr>
        <w:trPr>
          <w:trHeight w:val="172"/>
        </w:trPr>
        <w:tc>
          <w:tcPr>
            <w:tcW w:w="106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2/21/2019</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3,078</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8,208</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16,416</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72" w:lineRule="exact"/>
              <w:rPr>
                <w:sz w:val="20"/>
                <w:szCs w:val="20"/>
                <w:color w:val="auto"/>
              </w:rPr>
            </w:pPr>
            <w:r>
              <w:rPr>
                <w:rFonts w:ascii="Arial" w:cs="Arial" w:eastAsia="Arial" w:hAnsi="Arial"/>
                <w:sz w:val="12"/>
                <w:szCs w:val="12"/>
                <w:color w:val="auto"/>
              </w:rPr>
              <w:t>231,329</w:t>
            </w:r>
            <w:r>
              <w:rPr>
                <w:rFonts w:ascii="Arial" w:cs="Arial" w:eastAsia="Arial" w:hAnsi="Arial"/>
                <w:sz w:val="19"/>
                <w:szCs w:val="19"/>
                <w:color w:val="auto"/>
                <w:vertAlign w:val="superscript"/>
              </w:rPr>
              <w:t>(5)</w:t>
            </w:r>
          </w:p>
        </w:tc>
        <w:tc>
          <w:tcPr>
            <w:tcW w:w="0" w:type="dxa"/>
            <w:vAlign w:val="bottom"/>
          </w:tcPr>
          <w:p>
            <w:pPr>
              <w:spacing w:after="0"/>
              <w:rPr>
                <w:sz w:val="1"/>
                <w:szCs w:val="1"/>
                <w:color w:val="auto"/>
              </w:rPr>
            </w:pPr>
          </w:p>
        </w:tc>
      </w:tr>
      <w:tr>
        <w:trPr>
          <w:trHeight w:val="152"/>
        </w:trPr>
        <w:tc>
          <w:tcPr>
            <w:tcW w:w="106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9/19/2019</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19,595</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w w:val="93"/>
              </w:rPr>
              <w:t>1,499,997</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9/19/2019</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76,337</w:t>
            </w:r>
          </w:p>
        </w:tc>
        <w:tc>
          <w:tcPr>
            <w:tcW w:w="3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76.55</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w w:val="93"/>
              </w:rPr>
              <w:t>1,999,984</w:t>
            </w:r>
          </w:p>
        </w:tc>
        <w:tc>
          <w:tcPr>
            <w:tcW w:w="0" w:type="dxa"/>
            <w:vAlign w:val="bottom"/>
          </w:tcPr>
          <w:p>
            <w:pPr>
              <w:spacing w:after="0"/>
              <w:rPr>
                <w:sz w:val="1"/>
                <w:szCs w:val="1"/>
                <w:color w:val="auto"/>
              </w:rPr>
            </w:pPr>
          </w:p>
        </w:tc>
      </w:tr>
      <w:tr>
        <w:trPr>
          <w:trHeight w:val="324"/>
        </w:trPr>
        <w:tc>
          <w:tcPr>
            <w:tcW w:w="1060" w:type="dxa"/>
            <w:vAlign w:val="bottom"/>
          </w:tcPr>
          <w:p>
            <w:pPr>
              <w:spacing w:after="0"/>
              <w:rPr>
                <w:sz w:val="20"/>
                <w:szCs w:val="20"/>
                <w:color w:val="auto"/>
              </w:rPr>
            </w:pPr>
            <w:r>
              <w:rPr>
                <w:rFonts w:ascii="Arial" w:cs="Arial" w:eastAsia="Arial" w:hAnsi="Arial"/>
                <w:sz w:val="13"/>
                <w:szCs w:val="13"/>
                <w:color w:val="auto"/>
              </w:rPr>
              <w:t>Joan Hooper</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ind w:left="10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90,938</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$ 363,750</w:t>
            </w:r>
          </w:p>
        </w:tc>
        <w:tc>
          <w:tcPr>
            <w:tcW w:w="220" w:type="dxa"/>
            <w:vAlign w:val="bottom"/>
          </w:tcPr>
          <w:p>
            <w:pPr>
              <w:ind w:left="8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545,625</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4"/>
                <w:szCs w:val="24"/>
                <w:color w:val="auto"/>
              </w:rPr>
            </w:pP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2/21/2019</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10,261</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624,998</w:t>
            </w:r>
          </w:p>
        </w:tc>
        <w:tc>
          <w:tcPr>
            <w:tcW w:w="0" w:type="dxa"/>
            <w:vAlign w:val="bottom"/>
          </w:tcPr>
          <w:p>
            <w:pPr>
              <w:spacing w:after="0"/>
              <w:rPr>
                <w:sz w:val="1"/>
                <w:szCs w:val="1"/>
                <w:color w:val="auto"/>
              </w:rPr>
            </w:pPr>
          </w:p>
        </w:tc>
      </w:tr>
      <w:tr>
        <w:trPr>
          <w:trHeight w:val="172"/>
        </w:trPr>
        <w:tc>
          <w:tcPr>
            <w:tcW w:w="106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2/21/2019</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1,924</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5,130</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10,260</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72" w:lineRule="exact"/>
              <w:rPr>
                <w:sz w:val="20"/>
                <w:szCs w:val="20"/>
                <w:color w:val="auto"/>
              </w:rPr>
            </w:pPr>
            <w:r>
              <w:rPr>
                <w:rFonts w:ascii="Arial" w:cs="Arial" w:eastAsia="Arial" w:hAnsi="Arial"/>
                <w:sz w:val="12"/>
                <w:szCs w:val="12"/>
                <w:color w:val="auto"/>
              </w:rPr>
              <w:t>144,581</w:t>
            </w:r>
            <w:r>
              <w:rPr>
                <w:rFonts w:ascii="Arial" w:cs="Arial" w:eastAsia="Arial" w:hAnsi="Arial"/>
                <w:sz w:val="19"/>
                <w:szCs w:val="19"/>
                <w:color w:val="auto"/>
                <w:vertAlign w:val="superscript"/>
              </w:rPr>
              <w:t>(5)</w:t>
            </w:r>
          </w:p>
        </w:tc>
        <w:tc>
          <w:tcPr>
            <w:tcW w:w="0" w:type="dxa"/>
            <w:vAlign w:val="bottom"/>
          </w:tcPr>
          <w:p>
            <w:pPr>
              <w:spacing w:after="0"/>
              <w:rPr>
                <w:sz w:val="1"/>
                <w:szCs w:val="1"/>
                <w:color w:val="auto"/>
              </w:rPr>
            </w:pPr>
          </w:p>
        </w:tc>
      </w:tr>
      <w:tr>
        <w:trPr>
          <w:trHeight w:val="152"/>
        </w:trPr>
        <w:tc>
          <w:tcPr>
            <w:tcW w:w="106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5/17/2019</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4,395</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249,944</w:t>
            </w:r>
          </w:p>
        </w:tc>
        <w:tc>
          <w:tcPr>
            <w:tcW w:w="0" w:type="dxa"/>
            <w:vAlign w:val="bottom"/>
          </w:tcPr>
          <w:p>
            <w:pPr>
              <w:spacing w:after="0"/>
              <w:rPr>
                <w:sz w:val="1"/>
                <w:szCs w:val="1"/>
                <w:color w:val="auto"/>
              </w:rPr>
            </w:pPr>
          </w:p>
        </w:tc>
      </w:tr>
      <w:tr>
        <w:trPr>
          <w:trHeight w:val="324"/>
        </w:trPr>
        <w:tc>
          <w:tcPr>
            <w:tcW w:w="1060" w:type="dxa"/>
            <w:vAlign w:val="bottom"/>
          </w:tcPr>
          <w:p>
            <w:pPr>
              <w:spacing w:after="0"/>
              <w:rPr>
                <w:sz w:val="20"/>
                <w:szCs w:val="20"/>
                <w:color w:val="auto"/>
              </w:rPr>
            </w:pPr>
            <w:r>
              <w:rPr>
                <w:rFonts w:ascii="Arial" w:cs="Arial" w:eastAsia="Arial" w:hAnsi="Arial"/>
                <w:sz w:val="13"/>
                <w:szCs w:val="13"/>
                <w:color w:val="auto"/>
              </w:rPr>
              <w:t>Sarah Hlavinka</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ind w:left="10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89,063</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$ 356,250</w:t>
            </w:r>
          </w:p>
        </w:tc>
        <w:tc>
          <w:tcPr>
            <w:tcW w:w="220" w:type="dxa"/>
            <w:vAlign w:val="bottom"/>
          </w:tcPr>
          <w:p>
            <w:pPr>
              <w:ind w:left="8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534,375</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4"/>
                <w:szCs w:val="24"/>
                <w:color w:val="auto"/>
              </w:rPr>
            </w:pP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2/21/2019</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6,567</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399,996</w:t>
            </w: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2/21/2019</w:t>
            </w: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1,231</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3,283</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6,566</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92,506</w:t>
            </w:r>
            <w:r>
              <w:rPr>
                <w:rFonts w:ascii="Arial" w:cs="Arial" w:eastAsia="Arial" w:hAnsi="Arial"/>
                <w:sz w:val="20"/>
                <w:szCs w:val="20"/>
                <w:color w:val="auto"/>
                <w:vertAlign w:val="superscript"/>
              </w:rPr>
              <w:t>(5)</w:t>
            </w:r>
          </w:p>
        </w:tc>
        <w:tc>
          <w:tcPr>
            <w:tcW w:w="0" w:type="dxa"/>
            <w:vAlign w:val="bottom"/>
          </w:tcPr>
          <w:p>
            <w:pPr>
              <w:spacing w:after="0"/>
              <w:rPr>
                <w:sz w:val="1"/>
                <w:szCs w:val="1"/>
                <w:color w:val="auto"/>
              </w:rPr>
            </w:pPr>
          </w:p>
        </w:tc>
      </w:tr>
      <w:tr>
        <w:trPr>
          <w:trHeight w:val="217"/>
        </w:trPr>
        <w:tc>
          <w:tcPr>
            <w:tcW w:w="1060" w:type="dxa"/>
            <w:vAlign w:val="bottom"/>
          </w:tcPr>
          <w:p>
            <w:pPr>
              <w:spacing w:after="0"/>
              <w:rPr>
                <w:sz w:val="20"/>
                <w:szCs w:val="20"/>
                <w:color w:val="auto"/>
              </w:rPr>
            </w:pPr>
            <w:r>
              <w:rPr>
                <w:rFonts w:ascii="Arial" w:cs="Arial" w:eastAsia="Arial" w:hAnsi="Arial"/>
                <w:sz w:val="13"/>
                <w:szCs w:val="13"/>
                <w:color w:val="auto"/>
              </w:rPr>
              <w:t>Michel Cadieux</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ind w:left="10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75,000</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$ 300,000</w:t>
            </w:r>
          </w:p>
        </w:tc>
        <w:tc>
          <w:tcPr>
            <w:tcW w:w="220" w:type="dxa"/>
            <w:vAlign w:val="bottom"/>
          </w:tcPr>
          <w:p>
            <w:pPr>
              <w:ind w:left="8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450,000</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8"/>
                <w:szCs w:val="18"/>
                <w:color w:val="auto"/>
              </w:rPr>
            </w:pP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2/21/2019</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6,567</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399,996</w:t>
            </w: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2/21/2019</w:t>
            </w: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1,231</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3,283</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6,566</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92,506</w:t>
            </w:r>
            <w:r>
              <w:rPr>
                <w:rFonts w:ascii="Arial" w:cs="Arial" w:eastAsia="Arial" w:hAnsi="Arial"/>
                <w:sz w:val="20"/>
                <w:szCs w:val="20"/>
                <w:color w:val="auto"/>
                <w:vertAlign w:val="superscript"/>
              </w:rPr>
              <w:t>(5)</w:t>
            </w:r>
          </w:p>
        </w:tc>
        <w:tc>
          <w:tcPr>
            <w:tcW w:w="0" w:type="dxa"/>
            <w:vAlign w:val="bottom"/>
          </w:tcPr>
          <w:p>
            <w:pPr>
              <w:spacing w:after="0"/>
              <w:rPr>
                <w:sz w:val="1"/>
                <w:szCs w:val="1"/>
                <w:color w:val="auto"/>
              </w:rPr>
            </w:pPr>
          </w:p>
        </w:tc>
      </w:tr>
      <w:tr>
        <w:trPr>
          <w:trHeight w:val="217"/>
        </w:trPr>
        <w:tc>
          <w:tcPr>
            <w:tcW w:w="1060" w:type="dxa"/>
            <w:vAlign w:val="bottom"/>
          </w:tcPr>
          <w:p>
            <w:pPr>
              <w:spacing w:after="0"/>
              <w:rPr>
                <w:sz w:val="20"/>
                <w:szCs w:val="20"/>
                <w:color w:val="auto"/>
              </w:rPr>
            </w:pPr>
            <w:r>
              <w:rPr>
                <w:rFonts w:ascii="Arial" w:cs="Arial" w:eastAsia="Arial" w:hAnsi="Arial"/>
                <w:sz w:val="13"/>
                <w:szCs w:val="13"/>
                <w:color w:val="auto"/>
              </w:rPr>
              <w:t>Donald Reeves</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ind w:left="10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53,125</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$ 212,500</w:t>
            </w:r>
          </w:p>
        </w:tc>
        <w:tc>
          <w:tcPr>
            <w:tcW w:w="220" w:type="dxa"/>
            <w:vAlign w:val="bottom"/>
          </w:tcPr>
          <w:p>
            <w:pPr>
              <w:ind w:left="8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318,750</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8"/>
                <w:szCs w:val="18"/>
                <w:color w:val="auto"/>
              </w:rPr>
            </w:pP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7/1/2019</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3,341</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212,488</w:t>
            </w:r>
          </w:p>
        </w:tc>
        <w:tc>
          <w:tcPr>
            <w:tcW w:w="0" w:type="dxa"/>
            <w:vAlign w:val="bottom"/>
          </w:tcPr>
          <w:p>
            <w:pPr>
              <w:spacing w:after="0"/>
              <w:rPr>
                <w:sz w:val="1"/>
                <w:szCs w:val="1"/>
                <w:color w:val="auto"/>
              </w:rPr>
            </w:pPr>
          </w:p>
        </w:tc>
      </w:tr>
      <w:tr>
        <w:trPr>
          <w:trHeight w:val="269"/>
        </w:trPr>
        <w:tc>
          <w:tcPr>
            <w:tcW w:w="106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7/1/2019</w:t>
            </w: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626</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1,670</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3,340</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49,690</w:t>
            </w:r>
            <w:r>
              <w:rPr>
                <w:rFonts w:ascii="Arial" w:cs="Arial" w:eastAsia="Arial" w:hAnsi="Arial"/>
                <w:sz w:val="20"/>
                <w:szCs w:val="20"/>
                <w:color w:val="auto"/>
                <w:vertAlign w:val="superscript"/>
              </w:rPr>
              <w:t>(5)</w:t>
            </w:r>
          </w:p>
        </w:tc>
        <w:tc>
          <w:tcPr>
            <w:tcW w:w="0" w:type="dxa"/>
            <w:vAlign w:val="bottom"/>
          </w:tcPr>
          <w:p>
            <w:pPr>
              <w:spacing w:after="0"/>
              <w:rPr>
                <w:sz w:val="1"/>
                <w:szCs w:val="1"/>
                <w:color w:val="auto"/>
              </w:rPr>
            </w:pPr>
          </w:p>
        </w:tc>
      </w:tr>
      <w:tr>
        <w:trPr>
          <w:trHeight w:val="217"/>
        </w:trPr>
        <w:tc>
          <w:tcPr>
            <w:tcW w:w="1060" w:type="dxa"/>
            <w:vAlign w:val="bottom"/>
          </w:tcPr>
          <w:p>
            <w:pPr>
              <w:spacing w:after="0"/>
              <w:rPr>
                <w:sz w:val="20"/>
                <w:szCs w:val="20"/>
                <w:color w:val="auto"/>
              </w:rPr>
            </w:pPr>
            <w:r>
              <w:rPr>
                <w:rFonts w:ascii="Arial" w:cs="Arial" w:eastAsia="Arial" w:hAnsi="Arial"/>
                <w:sz w:val="13"/>
                <w:szCs w:val="13"/>
                <w:color w:val="auto"/>
              </w:rPr>
              <w:t>Philip Mezey</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ind w:left="10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171,652</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$ 686,606</w:t>
            </w:r>
          </w:p>
        </w:tc>
        <w:tc>
          <w:tcPr>
            <w:tcW w:w="880" w:type="dxa"/>
            <w:vAlign w:val="bottom"/>
            <w:gridSpan w:val="2"/>
          </w:tcPr>
          <w:p>
            <w:pPr>
              <w:jc w:val="right"/>
              <w:ind w:right="77"/>
              <w:spacing w:after="0"/>
              <w:rPr>
                <w:sz w:val="20"/>
                <w:szCs w:val="20"/>
                <w:color w:val="auto"/>
              </w:rPr>
            </w:pPr>
            <w:r>
              <w:rPr>
                <w:rFonts w:ascii="Arial" w:cs="Arial" w:eastAsia="Arial" w:hAnsi="Arial"/>
                <w:sz w:val="13"/>
                <w:szCs w:val="13"/>
                <w:color w:val="auto"/>
              </w:rPr>
              <w:t>$ 1,029,909</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8"/>
                <w:szCs w:val="18"/>
                <w:color w:val="auto"/>
              </w:rPr>
            </w:pP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-3195320</wp:posOffset>
            </wp:positionV>
            <wp:extent cx="66090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-2783840</wp:posOffset>
            </wp:positionV>
            <wp:extent cx="6669405" cy="29057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69405" cy="2905760"/>
                    </a:xfrm>
                    <a:prstGeom prst="rect">
                      <a:avLst/>
                    </a:prstGeom>
                    <a:noFill/>
                  </pic:spPr>
                </pic:pic>
              </a:graphicData>
            </a:graphic>
          </wp:anchor>
        </w:drawing>
      </w:r>
    </w:p>
    <w:p>
      <w:pPr>
        <w:spacing w:after="0" w:line="284" w:lineRule="exact"/>
        <w:rPr>
          <w:sz w:val="20"/>
          <w:szCs w:val="20"/>
          <w:color w:val="auto"/>
        </w:rPr>
      </w:pPr>
    </w:p>
    <w:p>
      <w:pPr>
        <w:ind w:left="360" w:right="500" w:hanging="353"/>
        <w:spacing w:after="0" w:line="258" w:lineRule="auto"/>
        <w:tabs>
          <w:tab w:leader="none" w:pos="3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threshold, target and maximum opportunity under the Company's annual incentive program for fiscal 2019. Our annual incentive program is discussed under the caption “</w:t>
      </w:r>
      <w:r>
        <w:rPr>
          <w:rFonts w:ascii="Arial" w:cs="Arial" w:eastAsia="Arial" w:hAnsi="Arial"/>
          <w:sz w:val="14"/>
          <w:szCs w:val="14"/>
          <w:i w:val="1"/>
          <w:iCs w:val="1"/>
          <w:color w:val="auto"/>
        </w:rPr>
        <w:t>Annual Cash Incentives - The Executive Management Incentive Plan (EMIP)</w:t>
      </w:r>
      <w:r>
        <w:rPr>
          <w:rFonts w:ascii="Arial" w:cs="Arial" w:eastAsia="Arial" w:hAnsi="Arial"/>
          <w:sz w:val="14"/>
          <w:szCs w:val="14"/>
          <w:color w:val="auto"/>
        </w:rPr>
        <w:t>” in the CD&amp;A.</w:t>
      </w:r>
    </w:p>
    <w:p>
      <w:pPr>
        <w:spacing w:after="0" w:line="85" w:lineRule="exact"/>
        <w:rPr>
          <w:rFonts w:ascii="Arial" w:cs="Arial" w:eastAsia="Arial" w:hAnsi="Arial"/>
          <w:sz w:val="14"/>
          <w:szCs w:val="14"/>
          <w:color w:val="auto"/>
        </w:rPr>
      </w:pPr>
    </w:p>
    <w:p>
      <w:pPr>
        <w:ind w:left="360" w:right="220" w:hanging="353"/>
        <w:spacing w:after="0" w:line="258" w:lineRule="auto"/>
        <w:tabs>
          <w:tab w:leader="none" w:pos="3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range of possible PRSU payouts for the three-year performance cycle beginning in 2019; earned PRSU awards are paid in Itron common stock. Our PRSUs are discussed under the caption “</w:t>
      </w:r>
      <w:r>
        <w:rPr>
          <w:rFonts w:ascii="Arial" w:cs="Arial" w:eastAsia="Arial" w:hAnsi="Arial"/>
          <w:sz w:val="14"/>
          <w:szCs w:val="14"/>
          <w:i w:val="1"/>
          <w:iCs w:val="1"/>
          <w:color w:val="auto"/>
        </w:rPr>
        <w:t>A Closer Look at Performance-Based Restricted Stock Units (PRSUs)</w:t>
      </w:r>
      <w:r>
        <w:rPr>
          <w:rFonts w:ascii="Arial" w:cs="Arial" w:eastAsia="Arial" w:hAnsi="Arial"/>
          <w:sz w:val="14"/>
          <w:szCs w:val="14"/>
          <w:color w:val="auto"/>
        </w:rPr>
        <w:t>” in the CD&amp;A.</w:t>
      </w:r>
    </w:p>
    <w:p>
      <w:pPr>
        <w:spacing w:after="0" w:line="85" w:lineRule="exact"/>
        <w:rPr>
          <w:rFonts w:ascii="Arial" w:cs="Arial" w:eastAsia="Arial" w:hAnsi="Arial"/>
          <w:sz w:val="14"/>
          <w:szCs w:val="14"/>
          <w:color w:val="auto"/>
        </w:rPr>
      </w:pPr>
    </w:p>
    <w:p>
      <w:pPr>
        <w:ind w:left="360" w:hanging="353"/>
        <w:spacing w:after="0"/>
        <w:tabs>
          <w:tab w:leader="none" w:pos="3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Amounts shown in this column reflect the number of time-vested RSUs granted under our Second A&amp;R 2010 Plan.</w:t>
      </w:r>
    </w:p>
    <w:p>
      <w:pPr>
        <w:spacing w:after="0" w:line="109" w:lineRule="exact"/>
        <w:rPr>
          <w:rFonts w:ascii="Arial" w:cs="Arial" w:eastAsia="Arial" w:hAnsi="Arial"/>
          <w:sz w:val="14"/>
          <w:szCs w:val="14"/>
          <w:color w:val="auto"/>
        </w:rPr>
      </w:pPr>
    </w:p>
    <w:p>
      <w:pPr>
        <w:ind w:left="360" w:hanging="353"/>
        <w:spacing w:after="0"/>
        <w:tabs>
          <w:tab w:leader="none" w:pos="3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Amounts shown in this column reflect the number of options granted under our Second A&amp;R 2010 Plan.</w:t>
      </w:r>
    </w:p>
    <w:p>
      <w:pPr>
        <w:spacing w:after="0" w:line="109" w:lineRule="exact"/>
        <w:rPr>
          <w:rFonts w:ascii="Arial" w:cs="Arial" w:eastAsia="Arial" w:hAnsi="Arial"/>
          <w:sz w:val="14"/>
          <w:szCs w:val="14"/>
          <w:color w:val="auto"/>
        </w:rPr>
      </w:pPr>
    </w:p>
    <w:p>
      <w:pPr>
        <w:ind w:left="360" w:hanging="353"/>
        <w:spacing w:after="0" w:line="249" w:lineRule="auto"/>
        <w:tabs>
          <w:tab w:leader="none" w:pos="3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 xml:space="preserve">Amounts shown are based on target performance achievement for the 2019 portion of the three-year performance cycle. As required under FASB ASC Topic 718, includes the value of the award contingent upon the Company's financial performance and the full grant date fair value for the TSR multiplier. See footnote 2 of the </w:t>
      </w:r>
      <w:r>
        <w:rPr>
          <w:rFonts w:ascii="Arial" w:cs="Arial" w:eastAsia="Arial" w:hAnsi="Arial"/>
          <w:sz w:val="14"/>
          <w:szCs w:val="14"/>
          <w:i w:val="1"/>
          <w:iCs w:val="1"/>
          <w:color w:val="auto"/>
        </w:rPr>
        <w:t>Summary Compensation Table</w:t>
      </w:r>
      <w:r>
        <w:rPr>
          <w:rFonts w:ascii="Arial" w:cs="Arial" w:eastAsia="Arial" w:hAnsi="Arial"/>
          <w:sz w:val="14"/>
          <w:szCs w:val="14"/>
          <w:color w:val="auto"/>
        </w:rPr>
        <w:t xml:space="preserve"> in this CD&amp;A for further details.</w:t>
      </w:r>
    </w:p>
    <w:p>
      <w:pPr>
        <w:spacing w:after="0" w:line="276" w:lineRule="exact"/>
        <w:rPr>
          <w:sz w:val="20"/>
          <w:szCs w:val="20"/>
          <w:color w:val="auto"/>
        </w:rPr>
      </w:pPr>
    </w:p>
    <w:p>
      <w:pPr>
        <w:ind w:left="480" w:right="480"/>
        <w:spacing w:after="0" w:line="253" w:lineRule="auto"/>
        <w:rPr>
          <w:sz w:val="20"/>
          <w:szCs w:val="20"/>
          <w:color w:val="auto"/>
        </w:rPr>
      </w:pPr>
      <w:r>
        <w:rPr>
          <w:rFonts w:ascii="Arial" w:cs="Arial" w:eastAsia="Arial" w:hAnsi="Arial"/>
          <w:sz w:val="18"/>
          <w:szCs w:val="18"/>
          <w:color w:val="auto"/>
        </w:rPr>
        <w:t>The non-equity incentive awards included in this table and also set forth in the Summary Compensation Table represent the annual incentive component of our NEO’s compensation. These potential payout awards are paid in cash as a percentage of each of the NEO’s salary, based upon achievement of certain pre-determined financial performance criteria and strategic objectives. For more details, refer to the “</w:t>
      </w:r>
      <w:r>
        <w:rPr>
          <w:rFonts w:ascii="Arial" w:cs="Arial" w:eastAsia="Arial" w:hAnsi="Arial"/>
          <w:sz w:val="18"/>
          <w:szCs w:val="18"/>
          <w:i w:val="1"/>
          <w:iCs w:val="1"/>
          <w:color w:val="auto"/>
        </w:rPr>
        <w:t>EXECUTIVE COMPENSATION – 2019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Program in Detail</w:t>
      </w:r>
      <w:r>
        <w:rPr>
          <w:rFonts w:ascii="Arial" w:cs="Arial" w:eastAsia="Arial" w:hAnsi="Arial"/>
          <w:sz w:val="18"/>
          <w:szCs w:val="18"/>
          <w:color w:val="auto"/>
        </w:rPr>
        <w:t>” section of the CD&amp;A.</w:t>
      </w:r>
    </w:p>
    <w:p>
      <w:pPr>
        <w:spacing w:after="0" w:line="165" w:lineRule="exact"/>
        <w:rPr>
          <w:sz w:val="20"/>
          <w:szCs w:val="20"/>
          <w:color w:val="auto"/>
        </w:rPr>
      </w:pPr>
    </w:p>
    <w:p>
      <w:pPr>
        <w:ind w:left="480" w:right="480"/>
        <w:spacing w:after="0" w:line="254" w:lineRule="auto"/>
        <w:rPr>
          <w:sz w:val="20"/>
          <w:szCs w:val="20"/>
          <w:color w:val="auto"/>
        </w:rPr>
      </w:pPr>
      <w:r>
        <w:rPr>
          <w:rFonts w:ascii="Arial" w:cs="Arial" w:eastAsia="Arial" w:hAnsi="Arial"/>
          <w:sz w:val="18"/>
          <w:szCs w:val="18"/>
          <w:color w:val="auto"/>
        </w:rPr>
        <w:t>The equity incentive plan awards included in this table represent PRSUs granted in 2019 for the 2019-2021 performance period, which were issued under the Company’s A&amp;R 2010 Plan or Second A&amp;R 2010 Plan, as applicable. For further details on these awards, see “</w:t>
      </w:r>
      <w:r>
        <w:rPr>
          <w:rFonts w:ascii="Arial" w:cs="Arial" w:eastAsia="Arial" w:hAnsi="Arial"/>
          <w:sz w:val="18"/>
          <w:szCs w:val="18"/>
          <w:i w:val="1"/>
          <w:iCs w:val="1"/>
          <w:color w:val="auto"/>
        </w:rPr>
        <w:t>EXECUTIVE COMPENSATION – 2019 Executive Compensation Program in</w:t>
      </w:r>
      <w:r>
        <w:rPr>
          <w:rFonts w:ascii="Arial" w:cs="Arial" w:eastAsia="Arial" w:hAnsi="Arial"/>
          <w:sz w:val="18"/>
          <w:szCs w:val="18"/>
          <w:color w:val="auto"/>
        </w:rPr>
        <w:t xml:space="preserve"> </w:t>
      </w:r>
      <w:r>
        <w:rPr>
          <w:rFonts w:ascii="Arial" w:cs="Arial" w:eastAsia="Arial" w:hAnsi="Arial"/>
          <w:sz w:val="18"/>
          <w:szCs w:val="18"/>
          <w:i w:val="1"/>
          <w:iCs w:val="1"/>
          <w:color w:val="auto"/>
        </w:rPr>
        <w:t>Detail</w:t>
      </w:r>
      <w:r>
        <w:rPr>
          <w:rFonts w:ascii="Arial" w:cs="Arial" w:eastAsia="Arial" w:hAnsi="Arial"/>
          <w:sz w:val="18"/>
          <w:szCs w:val="18"/>
          <w:color w:val="auto"/>
        </w:rPr>
        <w:t>” in the CD&amp;A.</w:t>
      </w:r>
    </w:p>
    <w:p>
      <w:pPr>
        <w:spacing w:after="0" w:line="163" w:lineRule="exact"/>
        <w:rPr>
          <w:sz w:val="20"/>
          <w:szCs w:val="20"/>
          <w:color w:val="auto"/>
        </w:rPr>
      </w:pPr>
    </w:p>
    <w:p>
      <w:pPr>
        <w:ind w:left="480" w:right="500"/>
        <w:spacing w:after="0" w:line="254" w:lineRule="auto"/>
        <w:rPr>
          <w:sz w:val="20"/>
          <w:szCs w:val="20"/>
          <w:color w:val="auto"/>
        </w:rPr>
      </w:pPr>
      <w:r>
        <w:rPr>
          <w:rFonts w:ascii="Arial" w:cs="Arial" w:eastAsia="Arial" w:hAnsi="Arial"/>
          <w:sz w:val="18"/>
          <w:szCs w:val="18"/>
          <w:color w:val="auto"/>
        </w:rPr>
        <w:t xml:space="preserve">The amounts included in the “All Other Stock Awards” column and in the “All Other Option Awards” column represent time-vested RSUs and stock options, respectively, both of which were issued under the A&amp;R 2010 Plan or Second A&amp;R 2010 Plan, as applicable. For further details on these awards,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COMPENSATION – 2019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Program in Detail</w:t>
      </w:r>
      <w:r>
        <w:rPr>
          <w:rFonts w:ascii="Arial" w:cs="Arial" w:eastAsia="Arial" w:hAnsi="Arial"/>
          <w:sz w:val="18"/>
          <w:szCs w:val="18"/>
          <w:color w:val="auto"/>
        </w:rPr>
        <w:t>” in the CD&amp;A.</w:t>
      </w:r>
    </w:p>
    <w:p>
      <w:pPr>
        <w:spacing w:after="0" w:line="21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109220</wp:posOffset>
            </wp:positionV>
            <wp:extent cx="6069330" cy="43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10480"/>
          </w:cols>
          <w:pgMar w:left="680" w:top="279" w:right="739" w:bottom="1440" w:gutter="0" w:footer="0" w:header="0"/>
        </w:sectPr>
      </w:pPr>
    </w:p>
    <w:bookmarkStart w:id="43" w:name="page44"/>
    <w:bookmarkEnd w:id="43"/>
    <w:p>
      <w:pPr>
        <w:ind w:left="4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Table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outstanding equity awards held by each NEO as of December 31, 2019.</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960" w:type="dxa"/>
            <w:vAlign w:val="bottom"/>
            <w:gridSpan w:val="5"/>
          </w:tcPr>
          <w:p>
            <w:pPr>
              <w:jc w:val="right"/>
              <w:ind w:right="617"/>
              <w:spacing w:after="0"/>
              <w:rPr>
                <w:sz w:val="20"/>
                <w:szCs w:val="20"/>
                <w:color w:val="auto"/>
              </w:rPr>
            </w:pPr>
            <w:r>
              <w:rPr>
                <w:rFonts w:ascii="Arial" w:cs="Arial" w:eastAsia="Arial" w:hAnsi="Arial"/>
                <w:sz w:val="13"/>
                <w:szCs w:val="13"/>
                <w:b w:val="1"/>
                <w:bCs w:val="1"/>
                <w:color w:val="auto"/>
              </w:rPr>
              <w:t>Outstanding Equity Awards At Fiscal Year End</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6"/>
        </w:trPr>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4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Option Awards</w:t>
            </w: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80" w:type="dxa"/>
            <w:vAlign w:val="bottom"/>
            <w:gridSpan w:val="2"/>
          </w:tcPr>
          <w:p>
            <w:pPr>
              <w:jc w:val="right"/>
              <w:ind w:right="718"/>
              <w:spacing w:after="0"/>
              <w:rPr>
                <w:sz w:val="20"/>
                <w:szCs w:val="20"/>
                <w:color w:val="auto"/>
              </w:rPr>
            </w:pPr>
            <w:r>
              <w:rPr>
                <w:rFonts w:ascii="Arial" w:cs="Arial" w:eastAsia="Arial" w:hAnsi="Arial"/>
                <w:sz w:val="13"/>
                <w:szCs w:val="13"/>
                <w:b w:val="1"/>
                <w:bCs w:val="1"/>
                <w:color w:val="auto"/>
              </w:rPr>
              <w:t>Stock Awards</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43"/>
        </w:trPr>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ind w:right="77"/>
              <w:spacing w:after="0" w:line="143" w:lineRule="exact"/>
              <w:rPr>
                <w:sz w:val="20"/>
                <w:szCs w:val="20"/>
                <w:color w:val="auto"/>
              </w:rPr>
            </w:pPr>
            <w:r>
              <w:rPr>
                <w:rFonts w:ascii="Arial" w:cs="Arial" w:eastAsia="Arial" w:hAnsi="Arial"/>
                <w:sz w:val="13"/>
                <w:szCs w:val="13"/>
                <w:b w:val="1"/>
                <w:bCs w:val="1"/>
                <w:color w:val="auto"/>
              </w:rPr>
              <w:t>Equity</w:t>
            </w:r>
          </w:p>
        </w:tc>
      </w:tr>
      <w:tr>
        <w:trPr>
          <w:trHeight w:val="135"/>
        </w:trPr>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9"/>
              </w:rPr>
              <w:t>Incentive</w:t>
            </w:r>
          </w:p>
        </w:tc>
      </w:tr>
      <w:tr>
        <w:trPr>
          <w:trHeight w:val="135"/>
        </w:trPr>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rPr>
              <w:t>Plan</w:t>
            </w:r>
          </w:p>
        </w:tc>
      </w:tr>
      <w:tr>
        <w:trPr>
          <w:trHeight w:val="135"/>
        </w:trPr>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3"/>
              </w:rPr>
              <w:t>Awards:</w:t>
            </w:r>
          </w:p>
        </w:tc>
      </w:tr>
      <w:tr>
        <w:trPr>
          <w:trHeight w:val="135"/>
        </w:trPr>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5"/>
              </w:rPr>
              <w:t>Market or</w:t>
            </w:r>
          </w:p>
        </w:tc>
      </w:tr>
      <w:tr>
        <w:trPr>
          <w:trHeight w:val="135"/>
        </w:trPr>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6"/>
              </w:rPr>
              <w:t>Payout</w:t>
            </w:r>
          </w:p>
        </w:tc>
      </w:tr>
      <w:tr>
        <w:trPr>
          <w:trHeight w:val="135"/>
        </w:trPr>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4"/>
              </w:rPr>
              <w:t>Value of</w:t>
            </w:r>
          </w:p>
        </w:tc>
      </w:tr>
      <w:tr>
        <w:trPr>
          <w:trHeight w:val="135"/>
        </w:trPr>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Equity Incentive</w:t>
            </w:r>
          </w:p>
        </w:tc>
        <w:tc>
          <w:tcPr>
            <w:tcW w:w="160" w:type="dxa"/>
            <w:vAlign w:val="bottom"/>
          </w:tcPr>
          <w:p>
            <w:pPr>
              <w:spacing w:after="0"/>
              <w:rPr>
                <w:sz w:val="11"/>
                <w:szCs w:val="11"/>
                <w:color w:val="auto"/>
              </w:rPr>
            </w:pPr>
          </w:p>
        </w:tc>
        <w:tc>
          <w:tcPr>
            <w:tcW w:w="7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6"/>
              </w:rPr>
              <w:t>Unearned</w:t>
            </w:r>
          </w:p>
        </w:tc>
      </w:tr>
      <w:tr>
        <w:trPr>
          <w:trHeight w:val="135"/>
        </w:trPr>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Plan Awards:</w:t>
            </w:r>
          </w:p>
        </w:tc>
        <w:tc>
          <w:tcPr>
            <w:tcW w:w="160" w:type="dxa"/>
            <w:vAlign w:val="bottom"/>
          </w:tcPr>
          <w:p>
            <w:pPr>
              <w:spacing w:after="0"/>
              <w:rPr>
                <w:sz w:val="11"/>
                <w:szCs w:val="11"/>
                <w:color w:val="auto"/>
              </w:rPr>
            </w:pPr>
          </w:p>
        </w:tc>
        <w:tc>
          <w:tcPr>
            <w:tcW w:w="7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3"/>
              </w:rPr>
              <w:t>Shares,</w:t>
            </w:r>
          </w:p>
        </w:tc>
      </w:tr>
      <w:tr>
        <w:trPr>
          <w:trHeight w:val="135"/>
        </w:trPr>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Number of</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Number of</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Number of</w:t>
            </w:r>
          </w:p>
        </w:tc>
        <w:tc>
          <w:tcPr>
            <w:tcW w:w="10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Market Value</w:t>
            </w:r>
          </w:p>
        </w:tc>
        <w:tc>
          <w:tcPr>
            <w:tcW w:w="12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Number of</w:t>
            </w:r>
          </w:p>
        </w:tc>
        <w:tc>
          <w:tcPr>
            <w:tcW w:w="160" w:type="dxa"/>
            <w:vAlign w:val="bottom"/>
          </w:tcPr>
          <w:p>
            <w:pPr>
              <w:spacing w:after="0"/>
              <w:rPr>
                <w:sz w:val="11"/>
                <w:szCs w:val="11"/>
                <w:color w:val="auto"/>
              </w:rPr>
            </w:pPr>
          </w:p>
        </w:tc>
        <w:tc>
          <w:tcPr>
            <w:tcW w:w="7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8"/>
              </w:rPr>
              <w:t>Units</w:t>
            </w:r>
          </w:p>
        </w:tc>
      </w:tr>
      <w:tr>
        <w:trPr>
          <w:trHeight w:val="135"/>
        </w:trPr>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Shares or</w:t>
            </w:r>
          </w:p>
        </w:tc>
        <w:tc>
          <w:tcPr>
            <w:tcW w:w="102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of Shares or</w:t>
            </w:r>
          </w:p>
        </w:tc>
        <w:tc>
          <w:tcPr>
            <w:tcW w:w="12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Unearned</w:t>
            </w:r>
          </w:p>
        </w:tc>
        <w:tc>
          <w:tcPr>
            <w:tcW w:w="160" w:type="dxa"/>
            <w:vAlign w:val="bottom"/>
          </w:tcPr>
          <w:p>
            <w:pPr>
              <w:spacing w:after="0"/>
              <w:rPr>
                <w:sz w:val="11"/>
                <w:szCs w:val="11"/>
                <w:color w:val="auto"/>
              </w:rPr>
            </w:pPr>
          </w:p>
        </w:tc>
        <w:tc>
          <w:tcPr>
            <w:tcW w:w="7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3"/>
              </w:rPr>
              <w:t>or Other</w:t>
            </w:r>
          </w:p>
        </w:tc>
      </w:tr>
      <w:tr>
        <w:trPr>
          <w:trHeight w:val="135"/>
        </w:trPr>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820" w:type="dxa"/>
            <w:vAlign w:val="bottom"/>
            <w:gridSpan w:val="2"/>
          </w:tcPr>
          <w:p>
            <w:pPr>
              <w:jc w:val="center"/>
              <w:ind w:right="36"/>
              <w:spacing w:after="0" w:line="135" w:lineRule="exact"/>
              <w:rPr>
                <w:sz w:val="20"/>
                <w:szCs w:val="20"/>
                <w:color w:val="auto"/>
              </w:rPr>
            </w:pPr>
            <w:r>
              <w:rPr>
                <w:rFonts w:ascii="Arial" w:cs="Arial" w:eastAsia="Arial" w:hAnsi="Arial"/>
                <w:sz w:val="13"/>
                <w:szCs w:val="13"/>
                <w:b w:val="1"/>
                <w:bCs w:val="1"/>
                <w:color w:val="auto"/>
                <w:w w:val="95"/>
              </w:rPr>
              <w:t>Option</w:t>
            </w:r>
          </w:p>
        </w:tc>
        <w:tc>
          <w:tcPr>
            <w:tcW w:w="88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Units of</w:t>
            </w:r>
          </w:p>
        </w:tc>
        <w:tc>
          <w:tcPr>
            <w:tcW w:w="200" w:type="dxa"/>
            <w:vAlign w:val="bottom"/>
          </w:tcPr>
          <w:p>
            <w:pPr>
              <w:spacing w:after="0"/>
              <w:rPr>
                <w:sz w:val="11"/>
                <w:szCs w:val="11"/>
                <w:color w:val="auto"/>
              </w:rPr>
            </w:pPr>
          </w:p>
        </w:tc>
        <w:tc>
          <w:tcPr>
            <w:tcW w:w="820" w:type="dxa"/>
            <w:vAlign w:val="bottom"/>
          </w:tcPr>
          <w:p>
            <w:pPr>
              <w:jc w:val="center"/>
              <w:ind w:right="177"/>
              <w:spacing w:after="0" w:line="135" w:lineRule="exact"/>
              <w:rPr>
                <w:sz w:val="20"/>
                <w:szCs w:val="20"/>
                <w:color w:val="auto"/>
              </w:rPr>
            </w:pPr>
            <w:r>
              <w:rPr>
                <w:rFonts w:ascii="Arial" w:cs="Arial" w:eastAsia="Arial" w:hAnsi="Arial"/>
                <w:sz w:val="13"/>
                <w:szCs w:val="13"/>
                <w:b w:val="1"/>
                <w:bCs w:val="1"/>
                <w:color w:val="auto"/>
                <w:w w:val="94"/>
              </w:rPr>
              <w:t>Units of</w:t>
            </w:r>
          </w:p>
        </w:tc>
        <w:tc>
          <w:tcPr>
            <w:tcW w:w="12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Shares, Units</w:t>
            </w:r>
          </w:p>
        </w:tc>
        <w:tc>
          <w:tcPr>
            <w:tcW w:w="160" w:type="dxa"/>
            <w:vAlign w:val="bottom"/>
          </w:tcPr>
          <w:p>
            <w:pPr>
              <w:spacing w:after="0"/>
              <w:rPr>
                <w:sz w:val="11"/>
                <w:szCs w:val="11"/>
                <w:color w:val="auto"/>
              </w:rPr>
            </w:pPr>
          </w:p>
        </w:tc>
        <w:tc>
          <w:tcPr>
            <w:tcW w:w="7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8"/>
              </w:rPr>
              <w:t>Rights</w:t>
            </w:r>
          </w:p>
        </w:tc>
      </w:tr>
      <w:tr>
        <w:trPr>
          <w:trHeight w:val="135"/>
        </w:trPr>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Unexercised</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Unexercised</w:t>
            </w:r>
          </w:p>
        </w:tc>
        <w:tc>
          <w:tcPr>
            <w:tcW w:w="820" w:type="dxa"/>
            <w:vAlign w:val="bottom"/>
            <w:gridSpan w:val="2"/>
          </w:tcPr>
          <w:p>
            <w:pPr>
              <w:jc w:val="right"/>
              <w:ind w:right="136"/>
              <w:spacing w:after="0" w:line="135" w:lineRule="exact"/>
              <w:rPr>
                <w:sz w:val="20"/>
                <w:szCs w:val="20"/>
                <w:color w:val="auto"/>
              </w:rPr>
            </w:pPr>
            <w:r>
              <w:rPr>
                <w:rFonts w:ascii="Arial" w:cs="Arial" w:eastAsia="Arial" w:hAnsi="Arial"/>
                <w:sz w:val="13"/>
                <w:szCs w:val="13"/>
                <w:b w:val="1"/>
                <w:bCs w:val="1"/>
                <w:color w:val="auto"/>
              </w:rPr>
              <w:t>Exercise</w:t>
            </w:r>
          </w:p>
        </w:tc>
        <w:tc>
          <w:tcPr>
            <w:tcW w:w="8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5"/>
              </w:rPr>
              <w:t>Option</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Stock That</w:t>
            </w: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9"/>
              </w:rPr>
              <w:t>Stock That</w:t>
            </w:r>
          </w:p>
        </w:tc>
        <w:tc>
          <w:tcPr>
            <w:tcW w:w="12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or Other Rights</w:t>
            </w:r>
          </w:p>
        </w:tc>
        <w:tc>
          <w:tcPr>
            <w:tcW w:w="9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That Have</w:t>
            </w:r>
          </w:p>
        </w:tc>
      </w:tr>
      <w:tr>
        <w:trPr>
          <w:trHeight w:val="131"/>
        </w:trPr>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6"/>
              </w:rPr>
              <w:t>Options (#)</w:t>
            </w:r>
          </w:p>
        </w:tc>
        <w:tc>
          <w:tcPr>
            <w:tcW w:w="12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6"/>
              </w:rPr>
              <w:t>Options (#)</w:t>
            </w:r>
          </w:p>
        </w:tc>
        <w:tc>
          <w:tcPr>
            <w:tcW w:w="200" w:type="dxa"/>
            <w:vAlign w:val="bottom"/>
          </w:tcPr>
          <w:p>
            <w:pPr>
              <w:spacing w:after="0"/>
              <w:rPr>
                <w:sz w:val="11"/>
                <w:szCs w:val="11"/>
                <w:color w:val="auto"/>
              </w:rPr>
            </w:pPr>
          </w:p>
        </w:tc>
        <w:tc>
          <w:tcPr>
            <w:tcW w:w="620" w:type="dxa"/>
            <w:vAlign w:val="bottom"/>
          </w:tcPr>
          <w:p>
            <w:pPr>
              <w:jc w:val="center"/>
              <w:ind w:right="236"/>
              <w:spacing w:after="0" w:line="131" w:lineRule="exact"/>
              <w:rPr>
                <w:sz w:val="20"/>
                <w:szCs w:val="20"/>
                <w:color w:val="auto"/>
              </w:rPr>
            </w:pPr>
            <w:r>
              <w:rPr>
                <w:rFonts w:ascii="Arial" w:cs="Arial" w:eastAsia="Arial" w:hAnsi="Arial"/>
                <w:sz w:val="13"/>
                <w:szCs w:val="13"/>
                <w:b w:val="1"/>
                <w:bCs w:val="1"/>
                <w:color w:val="auto"/>
              </w:rPr>
              <w:t>Price</w:t>
            </w:r>
          </w:p>
        </w:tc>
        <w:tc>
          <w:tcPr>
            <w:tcW w:w="880" w:type="dxa"/>
            <w:vAlign w:val="bottom"/>
          </w:tcPr>
          <w:p>
            <w:pPr>
              <w:jc w:val="center"/>
              <w:ind w:right="37"/>
              <w:spacing w:after="0" w:line="131" w:lineRule="exact"/>
              <w:rPr>
                <w:sz w:val="20"/>
                <w:szCs w:val="20"/>
                <w:color w:val="auto"/>
              </w:rPr>
            </w:pPr>
            <w:r>
              <w:rPr>
                <w:rFonts w:ascii="Arial" w:cs="Arial" w:eastAsia="Arial" w:hAnsi="Arial"/>
                <w:sz w:val="13"/>
                <w:szCs w:val="13"/>
                <w:b w:val="1"/>
                <w:bCs w:val="1"/>
                <w:color w:val="auto"/>
                <w:w w:val="97"/>
              </w:rPr>
              <w:t>Expiration</w:t>
            </w:r>
          </w:p>
        </w:tc>
        <w:tc>
          <w:tcPr>
            <w:tcW w:w="10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5"/>
              </w:rPr>
              <w:t>Have Not</w:t>
            </w:r>
          </w:p>
        </w:tc>
        <w:tc>
          <w:tcPr>
            <w:tcW w:w="200" w:type="dxa"/>
            <w:vAlign w:val="bottom"/>
          </w:tcPr>
          <w:p>
            <w:pPr>
              <w:spacing w:after="0"/>
              <w:rPr>
                <w:sz w:val="11"/>
                <w:szCs w:val="11"/>
                <w:color w:val="auto"/>
              </w:rPr>
            </w:pPr>
          </w:p>
        </w:tc>
        <w:tc>
          <w:tcPr>
            <w:tcW w:w="820" w:type="dxa"/>
            <w:vAlign w:val="bottom"/>
          </w:tcPr>
          <w:p>
            <w:pPr>
              <w:jc w:val="center"/>
              <w:ind w:right="177"/>
              <w:spacing w:after="0" w:line="131" w:lineRule="exact"/>
              <w:rPr>
                <w:sz w:val="20"/>
                <w:szCs w:val="20"/>
                <w:color w:val="auto"/>
              </w:rPr>
            </w:pPr>
            <w:r>
              <w:rPr>
                <w:rFonts w:ascii="Arial" w:cs="Arial" w:eastAsia="Arial" w:hAnsi="Arial"/>
                <w:sz w:val="13"/>
                <w:szCs w:val="13"/>
                <w:b w:val="1"/>
                <w:bCs w:val="1"/>
                <w:color w:val="auto"/>
                <w:w w:val="95"/>
              </w:rPr>
              <w:t>Have Not</w:t>
            </w:r>
          </w:p>
        </w:tc>
        <w:tc>
          <w:tcPr>
            <w:tcW w:w="126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6"/>
              </w:rPr>
              <w:t>That Have Not</w:t>
            </w:r>
          </w:p>
        </w:tc>
        <w:tc>
          <w:tcPr>
            <w:tcW w:w="160" w:type="dxa"/>
            <w:vAlign w:val="bottom"/>
          </w:tcPr>
          <w:p>
            <w:pPr>
              <w:spacing w:after="0"/>
              <w:rPr>
                <w:sz w:val="11"/>
                <w:szCs w:val="11"/>
                <w:color w:val="auto"/>
              </w:rPr>
            </w:pPr>
          </w:p>
        </w:tc>
        <w:tc>
          <w:tcPr>
            <w:tcW w:w="740" w:type="dxa"/>
            <w:vAlign w:val="bottom"/>
          </w:tcPr>
          <w:p>
            <w:pPr>
              <w:jc w:val="center"/>
              <w:ind w:right="77"/>
              <w:spacing w:after="0" w:line="131" w:lineRule="exact"/>
              <w:rPr>
                <w:sz w:val="20"/>
                <w:szCs w:val="20"/>
                <w:color w:val="auto"/>
              </w:rPr>
            </w:pPr>
            <w:r>
              <w:rPr>
                <w:rFonts w:ascii="Arial" w:cs="Arial" w:eastAsia="Arial" w:hAnsi="Arial"/>
                <w:sz w:val="13"/>
                <w:szCs w:val="13"/>
                <w:b w:val="1"/>
                <w:bCs w:val="1"/>
                <w:color w:val="auto"/>
                <w:w w:val="92"/>
              </w:rPr>
              <w:t>Not</w:t>
            </w:r>
          </w:p>
        </w:tc>
      </w:tr>
      <w:tr>
        <w:trPr>
          <w:trHeight w:val="195"/>
        </w:trPr>
        <w:tc>
          <w:tcPr>
            <w:tcW w:w="1160" w:type="dxa"/>
            <w:vAlign w:val="bottom"/>
          </w:tcPr>
          <w:p>
            <w:pPr>
              <w:ind w:left="380"/>
              <w:spacing w:after="0"/>
              <w:rPr>
                <w:sz w:val="20"/>
                <w:szCs w:val="20"/>
                <w:color w:val="auto"/>
              </w:rPr>
            </w:pPr>
            <w:r>
              <w:rPr>
                <w:rFonts w:ascii="Arial" w:cs="Arial" w:eastAsia="Arial" w:hAnsi="Arial"/>
                <w:sz w:val="13"/>
                <w:szCs w:val="13"/>
                <w:b w:val="1"/>
                <w:bCs w:val="1"/>
                <w:color w:val="auto"/>
              </w:rPr>
              <w:t>Name</w:t>
            </w:r>
          </w:p>
        </w:tc>
        <w:tc>
          <w:tcPr>
            <w:tcW w:w="1080" w:type="dxa"/>
            <w:vAlign w:val="bottom"/>
          </w:tcPr>
          <w:p>
            <w:pPr>
              <w:jc w:val="right"/>
              <w:ind w:right="137"/>
              <w:spacing w:after="0"/>
              <w:rPr>
                <w:sz w:val="20"/>
                <w:szCs w:val="20"/>
                <w:color w:val="auto"/>
              </w:rPr>
            </w:pPr>
            <w:r>
              <w:rPr>
                <w:rFonts w:ascii="Arial" w:cs="Arial" w:eastAsia="Arial" w:hAnsi="Arial"/>
                <w:sz w:val="13"/>
                <w:szCs w:val="13"/>
                <w:b w:val="1"/>
                <w:bCs w:val="1"/>
                <w:color w:val="auto"/>
              </w:rPr>
              <w:t>Grant Date</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6"/>
              </w:rPr>
              <w:t>Exercisable</w:t>
            </w:r>
          </w:p>
        </w:tc>
        <w:tc>
          <w:tcPr>
            <w:tcW w:w="1240" w:type="dxa"/>
            <w:vAlign w:val="bottom"/>
          </w:tcPr>
          <w:p>
            <w:pPr>
              <w:jc w:val="center"/>
              <w:spacing w:after="0" w:line="195" w:lineRule="exact"/>
              <w:rPr>
                <w:sz w:val="20"/>
                <w:szCs w:val="20"/>
                <w:color w:val="auto"/>
              </w:rPr>
            </w:pPr>
            <w:r>
              <w:rPr>
                <w:rFonts w:ascii="Arial" w:cs="Arial" w:eastAsia="Arial" w:hAnsi="Arial"/>
                <w:sz w:val="13"/>
                <w:szCs w:val="13"/>
                <w:b w:val="1"/>
                <w:bCs w:val="1"/>
                <w:u w:val="single" w:color="auto"/>
                <w:color w:val="auto"/>
                <w:w w:val="93"/>
              </w:rPr>
              <w:t>Unexercisable</w:t>
            </w:r>
            <w:r>
              <w:rPr>
                <w:rFonts w:ascii="Arial" w:cs="Arial" w:eastAsia="Arial" w:hAnsi="Arial"/>
                <w:sz w:val="20"/>
                <w:szCs w:val="20"/>
                <w:b w:val="1"/>
                <w:bCs w:val="1"/>
                <w:u w:val="single" w:color="auto"/>
                <w:color w:val="auto"/>
                <w:w w:val="93"/>
                <w:vertAlign w:val="superscript"/>
              </w:rPr>
              <w:t>(1)</w:t>
            </w:r>
          </w:p>
        </w:tc>
        <w:tc>
          <w:tcPr>
            <w:tcW w:w="200" w:type="dxa"/>
            <w:vAlign w:val="bottom"/>
          </w:tcPr>
          <w:p>
            <w:pPr>
              <w:spacing w:after="0"/>
              <w:rPr>
                <w:sz w:val="16"/>
                <w:szCs w:val="16"/>
                <w:color w:val="auto"/>
              </w:rPr>
            </w:pPr>
          </w:p>
        </w:tc>
        <w:tc>
          <w:tcPr>
            <w:tcW w:w="620" w:type="dxa"/>
            <w:vAlign w:val="bottom"/>
          </w:tcPr>
          <w:p>
            <w:pPr>
              <w:jc w:val="center"/>
              <w:ind w:right="236"/>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center"/>
              <w:ind w:right="57"/>
              <w:spacing w:after="0"/>
              <w:rPr>
                <w:sz w:val="20"/>
                <w:szCs w:val="20"/>
                <w:color w:val="auto"/>
              </w:rPr>
            </w:pPr>
            <w:r>
              <w:rPr>
                <w:rFonts w:ascii="Arial" w:cs="Arial" w:eastAsia="Arial" w:hAnsi="Arial"/>
                <w:sz w:val="13"/>
                <w:szCs w:val="13"/>
                <w:b w:val="1"/>
                <w:bCs w:val="1"/>
                <w:color w:val="auto"/>
                <w:w w:val="99"/>
              </w:rPr>
              <w:t>Date</w:t>
            </w:r>
          </w:p>
        </w:tc>
        <w:tc>
          <w:tcPr>
            <w:tcW w:w="1020" w:type="dxa"/>
            <w:vAlign w:val="bottom"/>
          </w:tcPr>
          <w:p>
            <w:pPr>
              <w:jc w:val="center"/>
              <w:spacing w:after="0" w:line="195" w:lineRule="exact"/>
              <w:rPr>
                <w:sz w:val="20"/>
                <w:szCs w:val="20"/>
                <w:color w:val="auto"/>
              </w:rPr>
            </w:pPr>
            <w:r>
              <w:rPr>
                <w:rFonts w:ascii="Arial" w:cs="Arial" w:eastAsia="Arial" w:hAnsi="Arial"/>
                <w:sz w:val="13"/>
                <w:szCs w:val="13"/>
                <w:b w:val="1"/>
                <w:bCs w:val="1"/>
                <w:color w:val="auto"/>
                <w:w w:val="91"/>
              </w:rPr>
              <w:t>Vested (#)</w:t>
            </w:r>
            <w:r>
              <w:rPr>
                <w:rFonts w:ascii="Arial" w:cs="Arial" w:eastAsia="Arial" w:hAnsi="Arial"/>
                <w:sz w:val="20"/>
                <w:szCs w:val="20"/>
                <w:b w:val="1"/>
                <w:bCs w:val="1"/>
                <w:color w:val="auto"/>
                <w:w w:val="91"/>
                <w:vertAlign w:val="superscript"/>
              </w:rPr>
              <w:t>(2)</w:t>
            </w:r>
          </w:p>
        </w:tc>
        <w:tc>
          <w:tcPr>
            <w:tcW w:w="1020" w:type="dxa"/>
            <w:vAlign w:val="bottom"/>
            <w:gridSpan w:val="2"/>
          </w:tcPr>
          <w:p>
            <w:pPr>
              <w:jc w:val="center"/>
              <w:spacing w:after="0" w:line="195" w:lineRule="exact"/>
              <w:rPr>
                <w:sz w:val="20"/>
                <w:szCs w:val="20"/>
                <w:color w:val="auto"/>
              </w:rPr>
            </w:pPr>
            <w:r>
              <w:rPr>
                <w:rFonts w:ascii="Arial" w:cs="Arial" w:eastAsia="Arial" w:hAnsi="Arial"/>
                <w:sz w:val="13"/>
                <w:szCs w:val="13"/>
                <w:b w:val="1"/>
                <w:bCs w:val="1"/>
                <w:color w:val="auto"/>
                <w:w w:val="94"/>
              </w:rPr>
              <w:t>Vested ($)</w:t>
            </w:r>
            <w:r>
              <w:rPr>
                <w:rFonts w:ascii="Arial" w:cs="Arial" w:eastAsia="Arial" w:hAnsi="Arial"/>
                <w:sz w:val="20"/>
                <w:szCs w:val="20"/>
                <w:b w:val="1"/>
                <w:bCs w:val="1"/>
                <w:color w:val="auto"/>
                <w:w w:val="94"/>
                <w:vertAlign w:val="superscript"/>
              </w:rPr>
              <w:t>(5)</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6"/>
              </w:rPr>
              <w:t>Vested (#)</w:t>
            </w:r>
          </w:p>
        </w:tc>
        <w:tc>
          <w:tcPr>
            <w:tcW w:w="900" w:type="dxa"/>
            <w:vAlign w:val="bottom"/>
            <w:gridSpan w:val="2"/>
          </w:tcPr>
          <w:p>
            <w:pPr>
              <w:jc w:val="center"/>
              <w:spacing w:after="0" w:line="195" w:lineRule="exact"/>
              <w:rPr>
                <w:sz w:val="20"/>
                <w:szCs w:val="20"/>
                <w:color w:val="auto"/>
              </w:rPr>
            </w:pPr>
            <w:r>
              <w:rPr>
                <w:rFonts w:ascii="Arial" w:cs="Arial" w:eastAsia="Arial" w:hAnsi="Arial"/>
                <w:sz w:val="13"/>
                <w:szCs w:val="13"/>
                <w:b w:val="1"/>
                <w:bCs w:val="1"/>
                <w:u w:val="single" w:color="auto"/>
                <w:color w:val="auto"/>
                <w:w w:val="91"/>
              </w:rPr>
              <w:t>Vested ($)</w:t>
            </w:r>
            <w:r>
              <w:rPr>
                <w:rFonts w:ascii="Arial" w:cs="Arial" w:eastAsia="Arial" w:hAnsi="Arial"/>
                <w:sz w:val="20"/>
                <w:szCs w:val="20"/>
                <w:b w:val="1"/>
                <w:bCs w:val="1"/>
                <w:u w:val="single" w:color="auto"/>
                <w:color w:val="auto"/>
                <w:w w:val="91"/>
                <w:vertAlign w:val="superscript"/>
              </w:rPr>
              <w:t>(5)</w:t>
            </w:r>
          </w:p>
        </w:tc>
      </w:tr>
      <w:tr>
        <w:trPr>
          <w:trHeight w:val="152"/>
        </w:trPr>
        <w:tc>
          <w:tcPr>
            <w:tcW w:w="1160" w:type="dxa"/>
            <w:vAlign w:val="bottom"/>
          </w:tcPr>
          <w:p>
            <w:pPr>
              <w:spacing w:after="0"/>
              <w:rPr>
                <w:sz w:val="20"/>
                <w:szCs w:val="20"/>
                <w:color w:val="auto"/>
              </w:rPr>
            </w:pPr>
            <w:r>
              <w:rPr>
                <w:rFonts w:ascii="Arial" w:cs="Arial" w:eastAsia="Arial" w:hAnsi="Arial"/>
                <w:sz w:val="13"/>
                <w:szCs w:val="13"/>
                <w:color w:val="auto"/>
              </w:rPr>
              <w:t>Thomas Deitrich</w:t>
            </w: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12/10/2015</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83,779</w:t>
            </w:r>
          </w:p>
        </w:tc>
        <w:tc>
          <w:tcPr>
            <w:tcW w:w="12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6"/>
              <w:spacing w:after="0"/>
              <w:rPr>
                <w:sz w:val="20"/>
                <w:szCs w:val="20"/>
                <w:color w:val="auto"/>
              </w:rPr>
            </w:pPr>
            <w:r>
              <w:rPr>
                <w:rFonts w:ascii="Arial" w:cs="Arial" w:eastAsia="Arial" w:hAnsi="Arial"/>
                <w:sz w:val="13"/>
                <w:szCs w:val="13"/>
                <w:color w:val="auto"/>
              </w:rPr>
              <w:t>35.13</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12/10/2025</w:t>
            </w: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2"/>
        </w:trPr>
        <w:tc>
          <w:tcPr>
            <w:tcW w:w="116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2/24/2016</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37,957</w:t>
            </w:r>
          </w:p>
        </w:tc>
        <w:tc>
          <w:tcPr>
            <w:tcW w:w="12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6"/>
              <w:spacing w:after="0"/>
              <w:rPr>
                <w:sz w:val="20"/>
                <w:szCs w:val="20"/>
                <w:color w:val="auto"/>
              </w:rPr>
            </w:pPr>
            <w:r>
              <w:rPr>
                <w:rFonts w:ascii="Arial" w:cs="Arial" w:eastAsia="Arial" w:hAnsi="Arial"/>
                <w:sz w:val="13"/>
                <w:szCs w:val="13"/>
                <w:color w:val="auto"/>
              </w:rPr>
              <w:t>40.05</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2/24/2026</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2/23/2017</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15,134</w:t>
            </w:r>
          </w:p>
        </w:tc>
        <w:tc>
          <w:tcPr>
            <w:tcW w:w="1240" w:type="dxa"/>
            <w:vAlign w:val="bottom"/>
          </w:tcPr>
          <w:p>
            <w:pPr>
              <w:jc w:val="right"/>
              <w:ind w:right="57"/>
              <w:spacing w:after="0"/>
              <w:rPr>
                <w:sz w:val="20"/>
                <w:szCs w:val="20"/>
                <w:color w:val="auto"/>
              </w:rPr>
            </w:pPr>
            <w:r>
              <w:rPr>
                <w:rFonts w:ascii="Arial" w:cs="Arial" w:eastAsia="Arial" w:hAnsi="Arial"/>
                <w:sz w:val="13"/>
                <w:szCs w:val="13"/>
                <w:color w:val="auto"/>
              </w:rPr>
              <w:t>7,567</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6"/>
              <w:spacing w:after="0"/>
              <w:rPr>
                <w:sz w:val="20"/>
                <w:szCs w:val="20"/>
                <w:color w:val="auto"/>
              </w:rPr>
            </w:pPr>
            <w:r>
              <w:rPr>
                <w:rFonts w:ascii="Arial" w:cs="Arial" w:eastAsia="Arial" w:hAnsi="Arial"/>
                <w:sz w:val="13"/>
                <w:szCs w:val="13"/>
                <w:color w:val="auto"/>
              </w:rPr>
              <w:t>65.55</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2/23/2027</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2/23/2017</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2,543</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213,485</w:t>
            </w: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2/22/2018</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6,705</w:t>
            </w:r>
          </w:p>
        </w:tc>
        <w:tc>
          <w:tcPr>
            <w:tcW w:w="1240" w:type="dxa"/>
            <w:vAlign w:val="bottom"/>
          </w:tcPr>
          <w:p>
            <w:pPr>
              <w:jc w:val="right"/>
              <w:ind w:right="57"/>
              <w:spacing w:after="0"/>
              <w:rPr>
                <w:sz w:val="20"/>
                <w:szCs w:val="20"/>
                <w:color w:val="auto"/>
              </w:rPr>
            </w:pPr>
            <w:r>
              <w:rPr>
                <w:rFonts w:ascii="Arial" w:cs="Arial" w:eastAsia="Arial" w:hAnsi="Arial"/>
                <w:sz w:val="13"/>
                <w:szCs w:val="13"/>
                <w:color w:val="auto"/>
              </w:rPr>
              <w:t>13,411</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6"/>
              <w:spacing w:after="0"/>
              <w:rPr>
                <w:sz w:val="20"/>
                <w:szCs w:val="20"/>
                <w:color w:val="auto"/>
              </w:rPr>
            </w:pPr>
            <w:r>
              <w:rPr>
                <w:rFonts w:ascii="Arial" w:cs="Arial" w:eastAsia="Arial" w:hAnsi="Arial"/>
                <w:sz w:val="13"/>
                <w:szCs w:val="13"/>
                <w:color w:val="auto"/>
              </w:rPr>
              <w:t>69.30</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2/22/2028</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2/22/2018</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4,810</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403,800</w:t>
            </w: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2"/>
        </w:trPr>
        <w:tc>
          <w:tcPr>
            <w:tcW w:w="116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2/22/2018</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jc w:val="right"/>
              <w:ind w:right="38"/>
              <w:spacing w:after="0" w:line="172" w:lineRule="exact"/>
              <w:rPr>
                <w:sz w:val="20"/>
                <w:szCs w:val="20"/>
                <w:color w:val="auto"/>
              </w:rPr>
            </w:pPr>
            <w:r>
              <w:rPr>
                <w:rFonts w:ascii="Arial" w:cs="Arial" w:eastAsia="Arial" w:hAnsi="Arial"/>
                <w:sz w:val="12"/>
                <w:szCs w:val="12"/>
                <w:color w:val="auto"/>
              </w:rPr>
              <w:t>14,430</w:t>
            </w:r>
            <w:r>
              <w:rPr>
                <w:rFonts w:ascii="Arial" w:cs="Arial" w:eastAsia="Arial" w:hAnsi="Arial"/>
                <w:sz w:val="19"/>
                <w:szCs w:val="19"/>
                <w:color w:val="auto"/>
                <w:vertAlign w:val="superscript"/>
              </w:rPr>
              <w:t>(3)</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1,211,399</w:t>
            </w:r>
          </w:p>
        </w:tc>
      </w:tr>
      <w:tr>
        <w:trPr>
          <w:trHeight w:val="152"/>
        </w:trPr>
        <w:tc>
          <w:tcPr>
            <w:tcW w:w="1160" w:type="dxa"/>
            <w:vAlign w:val="bottom"/>
          </w:tcPr>
          <w:p>
            <w:pPr>
              <w:spacing w:after="0"/>
              <w:rPr>
                <w:sz w:val="13"/>
                <w:szCs w:val="13"/>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2/21/2019</w:t>
            </w:r>
          </w:p>
        </w:tc>
        <w:tc>
          <w:tcPr>
            <w:tcW w:w="1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16,417</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1,378,207</w:t>
            </w: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2"/>
        </w:trPr>
        <w:tc>
          <w:tcPr>
            <w:tcW w:w="116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2/21/2019</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jc w:val="right"/>
              <w:ind w:right="38"/>
              <w:spacing w:after="0" w:line="172" w:lineRule="exact"/>
              <w:rPr>
                <w:sz w:val="20"/>
                <w:szCs w:val="20"/>
                <w:color w:val="auto"/>
              </w:rPr>
            </w:pPr>
            <w:r>
              <w:rPr>
                <w:rFonts w:ascii="Arial" w:cs="Arial" w:eastAsia="Arial" w:hAnsi="Arial"/>
                <w:sz w:val="12"/>
                <w:szCs w:val="12"/>
                <w:color w:val="auto"/>
              </w:rPr>
              <w:t>16,416</w:t>
            </w:r>
            <w:r>
              <w:rPr>
                <w:rFonts w:ascii="Arial" w:cs="Arial" w:eastAsia="Arial" w:hAnsi="Arial"/>
                <w:sz w:val="19"/>
                <w:szCs w:val="19"/>
                <w:color w:val="auto"/>
                <w:vertAlign w:val="superscript"/>
              </w:rPr>
              <w:t>(4)</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1,378,123</w:t>
            </w:r>
          </w:p>
        </w:tc>
      </w:tr>
      <w:tr>
        <w:trPr>
          <w:trHeight w:val="152"/>
        </w:trPr>
        <w:tc>
          <w:tcPr>
            <w:tcW w:w="1160" w:type="dxa"/>
            <w:vAlign w:val="bottom"/>
          </w:tcPr>
          <w:p>
            <w:pPr>
              <w:spacing w:after="0"/>
              <w:rPr>
                <w:sz w:val="13"/>
                <w:szCs w:val="13"/>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9/19/2019</w:t>
            </w:r>
          </w:p>
        </w:tc>
        <w:tc>
          <w:tcPr>
            <w:tcW w:w="1040" w:type="dxa"/>
            <w:vAlign w:val="bottom"/>
          </w:tcPr>
          <w:p>
            <w:pPr>
              <w:spacing w:after="0"/>
              <w:rPr>
                <w:sz w:val="13"/>
                <w:szCs w:val="13"/>
                <w:color w:val="auto"/>
              </w:rPr>
            </w:pPr>
          </w:p>
        </w:tc>
        <w:tc>
          <w:tcPr>
            <w:tcW w:w="1240" w:type="dxa"/>
            <w:vAlign w:val="bottom"/>
          </w:tcPr>
          <w:p>
            <w:pPr>
              <w:jc w:val="right"/>
              <w:ind w:right="57"/>
              <w:spacing w:after="0"/>
              <w:rPr>
                <w:sz w:val="20"/>
                <w:szCs w:val="20"/>
                <w:color w:val="auto"/>
              </w:rPr>
            </w:pPr>
            <w:r>
              <w:rPr>
                <w:rFonts w:ascii="Arial" w:cs="Arial" w:eastAsia="Arial" w:hAnsi="Arial"/>
                <w:sz w:val="13"/>
                <w:szCs w:val="13"/>
                <w:color w:val="auto"/>
              </w:rPr>
              <w:t>76,337</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6"/>
              <w:spacing w:after="0"/>
              <w:rPr>
                <w:sz w:val="20"/>
                <w:szCs w:val="20"/>
                <w:color w:val="auto"/>
              </w:rPr>
            </w:pPr>
            <w:r>
              <w:rPr>
                <w:rFonts w:ascii="Arial" w:cs="Arial" w:eastAsia="Arial" w:hAnsi="Arial"/>
                <w:sz w:val="13"/>
                <w:szCs w:val="13"/>
                <w:color w:val="auto"/>
              </w:rPr>
              <w:t>76.55</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9/19/2029</w:t>
            </w: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2"/>
        </w:trPr>
        <w:tc>
          <w:tcPr>
            <w:tcW w:w="116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9/19/2019</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19,595</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1,645,000</w:t>
            </w: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24"/>
        </w:trPr>
        <w:tc>
          <w:tcPr>
            <w:tcW w:w="1160" w:type="dxa"/>
            <w:vAlign w:val="bottom"/>
          </w:tcPr>
          <w:p>
            <w:pPr>
              <w:spacing w:after="0"/>
              <w:rPr>
                <w:sz w:val="20"/>
                <w:szCs w:val="20"/>
                <w:color w:val="auto"/>
              </w:rPr>
            </w:pPr>
            <w:r>
              <w:rPr>
                <w:rFonts w:ascii="Arial" w:cs="Arial" w:eastAsia="Arial" w:hAnsi="Arial"/>
                <w:sz w:val="13"/>
                <w:szCs w:val="13"/>
                <w:color w:val="auto"/>
              </w:rPr>
              <w:t>Joan Hooper</w:t>
            </w: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6/20/2017</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7,676</w:t>
            </w:r>
          </w:p>
        </w:tc>
        <w:tc>
          <w:tcPr>
            <w:tcW w:w="1240" w:type="dxa"/>
            <w:vAlign w:val="bottom"/>
          </w:tcPr>
          <w:p>
            <w:pPr>
              <w:jc w:val="right"/>
              <w:ind w:right="57"/>
              <w:spacing w:after="0"/>
              <w:rPr>
                <w:sz w:val="20"/>
                <w:szCs w:val="20"/>
                <w:color w:val="auto"/>
              </w:rPr>
            </w:pPr>
            <w:r>
              <w:rPr>
                <w:rFonts w:ascii="Arial" w:cs="Arial" w:eastAsia="Arial" w:hAnsi="Arial"/>
                <w:sz w:val="13"/>
                <w:szCs w:val="13"/>
                <w:color w:val="auto"/>
              </w:rPr>
              <w:t>3,839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6"/>
              <w:spacing w:after="0"/>
              <w:rPr>
                <w:sz w:val="20"/>
                <w:szCs w:val="20"/>
                <w:color w:val="auto"/>
              </w:rPr>
            </w:pPr>
            <w:r>
              <w:rPr>
                <w:rFonts w:ascii="Arial" w:cs="Arial" w:eastAsia="Arial" w:hAnsi="Arial"/>
                <w:sz w:val="13"/>
                <w:szCs w:val="13"/>
                <w:color w:val="auto"/>
              </w:rPr>
              <w:t>68.45</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6/20/2027</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2"/>
        </w:trPr>
        <w:tc>
          <w:tcPr>
            <w:tcW w:w="116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6/20/2017</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1,218</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102,251</w:t>
            </w: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2/22/2018</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3,352</w:t>
            </w:r>
          </w:p>
        </w:tc>
        <w:tc>
          <w:tcPr>
            <w:tcW w:w="1240" w:type="dxa"/>
            <w:vAlign w:val="bottom"/>
          </w:tcPr>
          <w:p>
            <w:pPr>
              <w:jc w:val="right"/>
              <w:ind w:right="57"/>
              <w:spacing w:after="0"/>
              <w:rPr>
                <w:sz w:val="20"/>
                <w:szCs w:val="20"/>
                <w:color w:val="auto"/>
              </w:rPr>
            </w:pPr>
            <w:r>
              <w:rPr>
                <w:rFonts w:ascii="Arial" w:cs="Arial" w:eastAsia="Arial" w:hAnsi="Arial"/>
                <w:sz w:val="13"/>
                <w:szCs w:val="13"/>
                <w:color w:val="auto"/>
              </w:rPr>
              <w:t>6,706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6"/>
              <w:spacing w:after="0"/>
              <w:rPr>
                <w:sz w:val="20"/>
                <w:szCs w:val="20"/>
                <w:color w:val="auto"/>
              </w:rPr>
            </w:pPr>
            <w:r>
              <w:rPr>
                <w:rFonts w:ascii="Arial" w:cs="Arial" w:eastAsia="Arial" w:hAnsi="Arial"/>
                <w:sz w:val="13"/>
                <w:szCs w:val="13"/>
                <w:color w:val="auto"/>
              </w:rPr>
              <w:t>69.30</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2/22/2028</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2/22/2018</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2,405</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201,900</w:t>
            </w: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2"/>
        </w:trPr>
        <w:tc>
          <w:tcPr>
            <w:tcW w:w="116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2/22/2018</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jc w:val="right"/>
              <w:ind w:right="38"/>
              <w:spacing w:after="0" w:line="172" w:lineRule="exact"/>
              <w:rPr>
                <w:sz w:val="20"/>
                <w:szCs w:val="20"/>
                <w:color w:val="auto"/>
              </w:rPr>
            </w:pPr>
            <w:r>
              <w:rPr>
                <w:rFonts w:ascii="Arial" w:cs="Arial" w:eastAsia="Arial" w:hAnsi="Arial"/>
                <w:sz w:val="12"/>
                <w:szCs w:val="12"/>
                <w:color w:val="auto"/>
              </w:rPr>
              <w:t>7,215</w:t>
            </w:r>
            <w:r>
              <w:rPr>
                <w:rFonts w:ascii="Arial" w:cs="Arial" w:eastAsia="Arial" w:hAnsi="Arial"/>
                <w:sz w:val="19"/>
                <w:szCs w:val="19"/>
                <w:color w:val="auto"/>
                <w:vertAlign w:val="superscript"/>
              </w:rPr>
              <w:t>(3)</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605,699</w:t>
            </w:r>
          </w:p>
        </w:tc>
      </w:tr>
      <w:tr>
        <w:trPr>
          <w:trHeight w:val="152"/>
        </w:trPr>
        <w:tc>
          <w:tcPr>
            <w:tcW w:w="1160" w:type="dxa"/>
            <w:vAlign w:val="bottom"/>
          </w:tcPr>
          <w:p>
            <w:pPr>
              <w:spacing w:after="0"/>
              <w:rPr>
                <w:sz w:val="13"/>
                <w:szCs w:val="13"/>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5/9/2018</w:t>
            </w:r>
          </w:p>
        </w:tc>
        <w:tc>
          <w:tcPr>
            <w:tcW w:w="1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2,478</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208,028</w:t>
            </w: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2"/>
        </w:trPr>
        <w:tc>
          <w:tcPr>
            <w:tcW w:w="116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2/21/2019</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10,261</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861,411</w:t>
            </w: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2"/>
        </w:trPr>
        <w:tc>
          <w:tcPr>
            <w:tcW w:w="116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2/21/2019</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jc w:val="right"/>
              <w:ind w:right="38"/>
              <w:spacing w:after="0" w:line="172" w:lineRule="exact"/>
              <w:rPr>
                <w:sz w:val="20"/>
                <w:szCs w:val="20"/>
                <w:color w:val="auto"/>
              </w:rPr>
            </w:pPr>
            <w:r>
              <w:rPr>
                <w:rFonts w:ascii="Arial" w:cs="Arial" w:eastAsia="Arial" w:hAnsi="Arial"/>
                <w:sz w:val="12"/>
                <w:szCs w:val="12"/>
                <w:color w:val="auto"/>
              </w:rPr>
              <w:t>10,260</w:t>
            </w:r>
            <w:r>
              <w:rPr>
                <w:rFonts w:ascii="Arial" w:cs="Arial" w:eastAsia="Arial" w:hAnsi="Arial"/>
                <w:sz w:val="19"/>
                <w:szCs w:val="19"/>
                <w:color w:val="auto"/>
                <w:vertAlign w:val="superscript"/>
              </w:rPr>
              <w:t>(4)</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861,327</w:t>
            </w:r>
          </w:p>
        </w:tc>
      </w:tr>
      <w:tr>
        <w:trPr>
          <w:trHeight w:val="152"/>
        </w:trPr>
        <w:tc>
          <w:tcPr>
            <w:tcW w:w="1160" w:type="dxa"/>
            <w:vAlign w:val="bottom"/>
          </w:tcPr>
          <w:p>
            <w:pPr>
              <w:spacing w:after="0"/>
              <w:rPr>
                <w:sz w:val="13"/>
                <w:szCs w:val="13"/>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5/17/2019</w:t>
            </w:r>
          </w:p>
        </w:tc>
        <w:tc>
          <w:tcPr>
            <w:tcW w:w="1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4,395</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368,960</w:t>
            </w: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324"/>
        </w:trPr>
        <w:tc>
          <w:tcPr>
            <w:tcW w:w="1160" w:type="dxa"/>
            <w:vAlign w:val="bottom"/>
          </w:tcPr>
          <w:p>
            <w:pPr>
              <w:spacing w:after="0"/>
              <w:rPr>
                <w:sz w:val="20"/>
                <w:szCs w:val="20"/>
                <w:color w:val="auto"/>
              </w:rPr>
            </w:pPr>
            <w:r>
              <w:rPr>
                <w:rFonts w:ascii="Arial" w:cs="Arial" w:eastAsia="Arial" w:hAnsi="Arial"/>
                <w:sz w:val="13"/>
                <w:szCs w:val="13"/>
                <w:color w:val="auto"/>
              </w:rPr>
              <w:t>Sarah Hlavinka</w:t>
            </w: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9/12/2018</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2,933</w:t>
            </w:r>
          </w:p>
        </w:tc>
        <w:tc>
          <w:tcPr>
            <w:tcW w:w="1240" w:type="dxa"/>
            <w:vAlign w:val="bottom"/>
          </w:tcPr>
          <w:p>
            <w:pPr>
              <w:jc w:val="right"/>
              <w:ind w:right="57"/>
              <w:spacing w:after="0"/>
              <w:rPr>
                <w:sz w:val="20"/>
                <w:szCs w:val="20"/>
                <w:color w:val="auto"/>
              </w:rPr>
            </w:pPr>
            <w:r>
              <w:rPr>
                <w:rFonts w:ascii="Arial" w:cs="Arial" w:eastAsia="Arial" w:hAnsi="Arial"/>
                <w:sz w:val="13"/>
                <w:szCs w:val="13"/>
                <w:color w:val="auto"/>
              </w:rPr>
              <w:t>5,867</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6"/>
              <w:spacing w:after="0"/>
              <w:rPr>
                <w:sz w:val="20"/>
                <w:szCs w:val="20"/>
                <w:color w:val="auto"/>
              </w:rPr>
            </w:pPr>
            <w:r>
              <w:rPr>
                <w:rFonts w:ascii="Arial" w:cs="Arial" w:eastAsia="Arial" w:hAnsi="Arial"/>
                <w:sz w:val="13"/>
                <w:szCs w:val="13"/>
                <w:color w:val="auto"/>
              </w:rPr>
              <w:t>66.30</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9/12/2028</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2"/>
        </w:trPr>
        <w:tc>
          <w:tcPr>
            <w:tcW w:w="116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9/12/2018</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2,011</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168,823</w:t>
            </w: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2"/>
        </w:trPr>
        <w:tc>
          <w:tcPr>
            <w:tcW w:w="116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9/12/2018</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jc w:val="right"/>
              <w:ind w:right="38"/>
              <w:spacing w:after="0" w:line="172" w:lineRule="exact"/>
              <w:rPr>
                <w:sz w:val="20"/>
                <w:szCs w:val="20"/>
                <w:color w:val="auto"/>
              </w:rPr>
            </w:pPr>
            <w:r>
              <w:rPr>
                <w:rFonts w:ascii="Arial" w:cs="Arial" w:eastAsia="Arial" w:hAnsi="Arial"/>
                <w:sz w:val="12"/>
                <w:szCs w:val="12"/>
                <w:color w:val="auto"/>
              </w:rPr>
              <w:t>6,033</w:t>
            </w:r>
            <w:r>
              <w:rPr>
                <w:rFonts w:ascii="Arial" w:cs="Arial" w:eastAsia="Arial" w:hAnsi="Arial"/>
                <w:sz w:val="19"/>
                <w:szCs w:val="19"/>
                <w:color w:val="auto"/>
                <w:vertAlign w:val="superscript"/>
              </w:rPr>
              <w:t>(3)</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506,470</w:t>
            </w:r>
          </w:p>
        </w:tc>
      </w:tr>
      <w:tr>
        <w:trPr>
          <w:trHeight w:val="152"/>
        </w:trPr>
        <w:tc>
          <w:tcPr>
            <w:tcW w:w="1160" w:type="dxa"/>
            <w:vAlign w:val="bottom"/>
          </w:tcPr>
          <w:p>
            <w:pPr>
              <w:spacing w:after="0"/>
              <w:rPr>
                <w:sz w:val="13"/>
                <w:szCs w:val="13"/>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2/21/2019</w:t>
            </w:r>
          </w:p>
        </w:tc>
        <w:tc>
          <w:tcPr>
            <w:tcW w:w="1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6,567</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551,300</w:t>
            </w: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69"/>
        </w:trPr>
        <w:tc>
          <w:tcPr>
            <w:tcW w:w="1160" w:type="dxa"/>
            <w:vAlign w:val="bottom"/>
          </w:tcPr>
          <w:p>
            <w:pPr>
              <w:spacing w:after="0"/>
              <w:rPr>
                <w:sz w:val="23"/>
                <w:szCs w:val="23"/>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2/21/2019</w:t>
            </w:r>
          </w:p>
        </w:tc>
        <w:tc>
          <w:tcPr>
            <w:tcW w:w="10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60" w:type="dxa"/>
            <w:vAlign w:val="bottom"/>
          </w:tcPr>
          <w:p>
            <w:pPr>
              <w:jc w:val="right"/>
              <w:ind w:right="38"/>
              <w:spacing w:after="0"/>
              <w:rPr>
                <w:sz w:val="20"/>
                <w:szCs w:val="20"/>
                <w:color w:val="auto"/>
              </w:rPr>
            </w:pPr>
            <w:r>
              <w:rPr>
                <w:rFonts w:ascii="Arial" w:cs="Arial" w:eastAsia="Arial" w:hAnsi="Arial"/>
                <w:sz w:val="13"/>
                <w:szCs w:val="13"/>
                <w:color w:val="auto"/>
              </w:rPr>
              <w:t>6,566</w:t>
            </w:r>
            <w:r>
              <w:rPr>
                <w:rFonts w:ascii="Arial" w:cs="Arial" w:eastAsia="Arial" w:hAnsi="Arial"/>
                <w:sz w:val="20"/>
                <w:szCs w:val="20"/>
                <w:color w:val="auto"/>
                <w:vertAlign w:val="superscript"/>
              </w:rPr>
              <w:t>(4)</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551,216</w:t>
            </w:r>
          </w:p>
        </w:tc>
      </w:tr>
      <w:tr>
        <w:trPr>
          <w:trHeight w:val="217"/>
        </w:trPr>
        <w:tc>
          <w:tcPr>
            <w:tcW w:w="1160" w:type="dxa"/>
            <w:vAlign w:val="bottom"/>
          </w:tcPr>
          <w:p>
            <w:pPr>
              <w:spacing w:after="0"/>
              <w:rPr>
                <w:sz w:val="20"/>
                <w:szCs w:val="20"/>
                <w:color w:val="auto"/>
              </w:rPr>
            </w:pPr>
            <w:r>
              <w:rPr>
                <w:rFonts w:ascii="Arial" w:cs="Arial" w:eastAsia="Arial" w:hAnsi="Arial"/>
                <w:sz w:val="13"/>
                <w:szCs w:val="13"/>
                <w:color w:val="auto"/>
              </w:rPr>
              <w:t>Michel Cadieux</w:t>
            </w: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2/24/2016</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15,182</w:t>
            </w:r>
          </w:p>
        </w:tc>
        <w:tc>
          <w:tcPr>
            <w:tcW w:w="12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6"/>
              <w:spacing w:after="0"/>
              <w:rPr>
                <w:sz w:val="20"/>
                <w:szCs w:val="20"/>
                <w:color w:val="auto"/>
              </w:rPr>
            </w:pPr>
            <w:r>
              <w:rPr>
                <w:rFonts w:ascii="Arial" w:cs="Arial" w:eastAsia="Arial" w:hAnsi="Arial"/>
                <w:sz w:val="13"/>
                <w:szCs w:val="13"/>
                <w:color w:val="auto"/>
              </w:rPr>
              <w:t>40.05</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2/24/2026</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62"/>
        </w:trPr>
        <w:tc>
          <w:tcPr>
            <w:tcW w:w="116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2/23/2017</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6,053</w:t>
            </w:r>
          </w:p>
        </w:tc>
        <w:tc>
          <w:tcPr>
            <w:tcW w:w="1240" w:type="dxa"/>
            <w:vAlign w:val="bottom"/>
          </w:tcPr>
          <w:p>
            <w:pPr>
              <w:jc w:val="right"/>
              <w:ind w:right="57"/>
              <w:spacing w:after="0"/>
              <w:rPr>
                <w:sz w:val="20"/>
                <w:szCs w:val="20"/>
                <w:color w:val="auto"/>
              </w:rPr>
            </w:pPr>
            <w:r>
              <w:rPr>
                <w:rFonts w:ascii="Arial" w:cs="Arial" w:eastAsia="Arial" w:hAnsi="Arial"/>
                <w:sz w:val="13"/>
                <w:szCs w:val="13"/>
                <w:color w:val="auto"/>
              </w:rPr>
              <w:t>3,027</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6"/>
              <w:spacing w:after="0"/>
              <w:rPr>
                <w:sz w:val="20"/>
                <w:szCs w:val="20"/>
                <w:color w:val="auto"/>
              </w:rPr>
            </w:pPr>
            <w:r>
              <w:rPr>
                <w:rFonts w:ascii="Arial" w:cs="Arial" w:eastAsia="Arial" w:hAnsi="Arial"/>
                <w:sz w:val="13"/>
                <w:szCs w:val="13"/>
                <w:color w:val="auto"/>
              </w:rPr>
              <w:t>65.55</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2/23/2027</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2/23/2017</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1,017</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85,377</w:t>
            </w: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2/22/2018</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2,682</w:t>
            </w:r>
          </w:p>
        </w:tc>
        <w:tc>
          <w:tcPr>
            <w:tcW w:w="1240" w:type="dxa"/>
            <w:vAlign w:val="bottom"/>
          </w:tcPr>
          <w:p>
            <w:pPr>
              <w:jc w:val="right"/>
              <w:ind w:right="57"/>
              <w:spacing w:after="0"/>
              <w:rPr>
                <w:sz w:val="20"/>
                <w:szCs w:val="20"/>
                <w:color w:val="auto"/>
              </w:rPr>
            </w:pPr>
            <w:r>
              <w:rPr>
                <w:rFonts w:ascii="Arial" w:cs="Arial" w:eastAsia="Arial" w:hAnsi="Arial"/>
                <w:sz w:val="13"/>
                <w:szCs w:val="13"/>
                <w:color w:val="auto"/>
              </w:rPr>
              <w:t>5,364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6"/>
              <w:spacing w:after="0"/>
              <w:rPr>
                <w:sz w:val="20"/>
                <w:szCs w:val="20"/>
                <w:color w:val="auto"/>
              </w:rPr>
            </w:pPr>
            <w:r>
              <w:rPr>
                <w:rFonts w:ascii="Arial" w:cs="Arial" w:eastAsia="Arial" w:hAnsi="Arial"/>
                <w:sz w:val="13"/>
                <w:szCs w:val="13"/>
                <w:color w:val="auto"/>
              </w:rPr>
              <w:t>69.30</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2/22/2028</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2/22/2018</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1,924</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161,520</w:t>
            </w: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2"/>
        </w:trPr>
        <w:tc>
          <w:tcPr>
            <w:tcW w:w="116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2/22/2018</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jc w:val="right"/>
              <w:ind w:right="38"/>
              <w:spacing w:after="0" w:line="172" w:lineRule="exact"/>
              <w:rPr>
                <w:sz w:val="20"/>
                <w:szCs w:val="20"/>
                <w:color w:val="auto"/>
              </w:rPr>
            </w:pPr>
            <w:r>
              <w:rPr>
                <w:rFonts w:ascii="Arial" w:cs="Arial" w:eastAsia="Arial" w:hAnsi="Arial"/>
                <w:sz w:val="12"/>
                <w:szCs w:val="12"/>
                <w:color w:val="auto"/>
              </w:rPr>
              <w:t>5,772</w:t>
            </w:r>
            <w:r>
              <w:rPr>
                <w:rFonts w:ascii="Arial" w:cs="Arial" w:eastAsia="Arial" w:hAnsi="Arial"/>
                <w:sz w:val="19"/>
                <w:szCs w:val="19"/>
                <w:color w:val="auto"/>
                <w:vertAlign w:val="superscript"/>
              </w:rPr>
              <w:t>(3)</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484,559</w:t>
            </w:r>
          </w:p>
        </w:tc>
      </w:tr>
      <w:tr>
        <w:trPr>
          <w:trHeight w:val="152"/>
        </w:trPr>
        <w:tc>
          <w:tcPr>
            <w:tcW w:w="1160" w:type="dxa"/>
            <w:vAlign w:val="bottom"/>
          </w:tcPr>
          <w:p>
            <w:pPr>
              <w:spacing w:after="0"/>
              <w:rPr>
                <w:sz w:val="13"/>
                <w:szCs w:val="13"/>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2/21/2019</w:t>
            </w:r>
          </w:p>
        </w:tc>
        <w:tc>
          <w:tcPr>
            <w:tcW w:w="1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6,567</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551,300</w:t>
            </w: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69"/>
        </w:trPr>
        <w:tc>
          <w:tcPr>
            <w:tcW w:w="1160" w:type="dxa"/>
            <w:vAlign w:val="bottom"/>
          </w:tcPr>
          <w:p>
            <w:pPr>
              <w:spacing w:after="0"/>
              <w:rPr>
                <w:sz w:val="23"/>
                <w:szCs w:val="23"/>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2/21/2019</w:t>
            </w:r>
          </w:p>
        </w:tc>
        <w:tc>
          <w:tcPr>
            <w:tcW w:w="10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60" w:type="dxa"/>
            <w:vAlign w:val="bottom"/>
          </w:tcPr>
          <w:p>
            <w:pPr>
              <w:jc w:val="right"/>
              <w:ind w:right="38"/>
              <w:spacing w:after="0"/>
              <w:rPr>
                <w:sz w:val="20"/>
                <w:szCs w:val="20"/>
                <w:color w:val="auto"/>
              </w:rPr>
            </w:pPr>
            <w:r>
              <w:rPr>
                <w:rFonts w:ascii="Arial" w:cs="Arial" w:eastAsia="Arial" w:hAnsi="Arial"/>
                <w:sz w:val="13"/>
                <w:szCs w:val="13"/>
                <w:color w:val="auto"/>
              </w:rPr>
              <w:t>6,566</w:t>
            </w:r>
            <w:r>
              <w:rPr>
                <w:rFonts w:ascii="Arial" w:cs="Arial" w:eastAsia="Arial" w:hAnsi="Arial"/>
                <w:sz w:val="20"/>
                <w:szCs w:val="20"/>
                <w:color w:val="auto"/>
                <w:vertAlign w:val="superscript"/>
              </w:rPr>
              <w:t>(4)</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551,216</w:t>
            </w:r>
          </w:p>
        </w:tc>
      </w:tr>
      <w:tr>
        <w:trPr>
          <w:trHeight w:val="217"/>
        </w:trPr>
        <w:tc>
          <w:tcPr>
            <w:tcW w:w="1160" w:type="dxa"/>
            <w:vAlign w:val="bottom"/>
          </w:tcPr>
          <w:p>
            <w:pPr>
              <w:spacing w:after="0"/>
              <w:rPr>
                <w:sz w:val="20"/>
                <w:szCs w:val="20"/>
                <w:color w:val="auto"/>
              </w:rPr>
            </w:pPr>
            <w:r>
              <w:rPr>
                <w:rFonts w:ascii="Arial" w:cs="Arial" w:eastAsia="Arial" w:hAnsi="Arial"/>
                <w:sz w:val="13"/>
                <w:szCs w:val="13"/>
                <w:color w:val="auto"/>
              </w:rPr>
              <w:t>Donald Reeves</w:t>
            </w: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4/10/2014</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983</w:t>
            </w:r>
          </w:p>
        </w:tc>
        <w:tc>
          <w:tcPr>
            <w:tcW w:w="12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6"/>
              <w:spacing w:after="0"/>
              <w:rPr>
                <w:sz w:val="20"/>
                <w:szCs w:val="20"/>
                <w:color w:val="auto"/>
              </w:rPr>
            </w:pPr>
            <w:r>
              <w:rPr>
                <w:rFonts w:ascii="Arial" w:cs="Arial" w:eastAsia="Arial" w:hAnsi="Arial"/>
                <w:sz w:val="13"/>
                <w:szCs w:val="13"/>
                <w:color w:val="auto"/>
              </w:rPr>
              <w:t>63.16</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4/10/2024</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62"/>
        </w:trPr>
        <w:tc>
          <w:tcPr>
            <w:tcW w:w="116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5/10/2016</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2,944</w:t>
            </w:r>
          </w:p>
        </w:tc>
        <w:tc>
          <w:tcPr>
            <w:tcW w:w="1240" w:type="dxa"/>
            <w:vAlign w:val="bottom"/>
          </w:tcPr>
          <w:p>
            <w:pPr>
              <w:jc w:val="right"/>
              <w:ind w:right="57"/>
              <w:spacing w:after="0"/>
              <w:rPr>
                <w:sz w:val="20"/>
                <w:szCs w:val="20"/>
                <w:color w:val="auto"/>
              </w:rPr>
            </w:pPr>
            <w:r>
              <w:rPr>
                <w:rFonts w:ascii="Arial" w:cs="Arial" w:eastAsia="Arial" w:hAnsi="Arial"/>
                <w:sz w:val="13"/>
                <w:szCs w:val="13"/>
                <w:color w:val="auto"/>
              </w:rPr>
              <w:t>1,858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6"/>
              <w:spacing w:after="0"/>
              <w:rPr>
                <w:sz w:val="20"/>
                <w:szCs w:val="20"/>
                <w:color w:val="auto"/>
              </w:rPr>
            </w:pPr>
            <w:r>
              <w:rPr>
                <w:rFonts w:ascii="Arial" w:cs="Arial" w:eastAsia="Arial" w:hAnsi="Arial"/>
                <w:sz w:val="13"/>
                <w:szCs w:val="13"/>
                <w:color w:val="auto"/>
              </w:rPr>
              <w:t>55.49</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5/10/2026</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5/10/2016</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1,000</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83,950</w:t>
            </w: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8/10/2016</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1,329</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111,570</w:t>
            </w: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5/10/2017</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1,876</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157,490</w:t>
            </w: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9/12/2018</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1,100</w:t>
            </w:r>
          </w:p>
        </w:tc>
        <w:tc>
          <w:tcPr>
            <w:tcW w:w="1240" w:type="dxa"/>
            <w:vAlign w:val="bottom"/>
          </w:tcPr>
          <w:p>
            <w:pPr>
              <w:jc w:val="right"/>
              <w:ind w:right="57"/>
              <w:spacing w:after="0"/>
              <w:rPr>
                <w:sz w:val="20"/>
                <w:szCs w:val="20"/>
                <w:color w:val="auto"/>
              </w:rPr>
            </w:pPr>
            <w:r>
              <w:rPr>
                <w:rFonts w:ascii="Arial" w:cs="Arial" w:eastAsia="Arial" w:hAnsi="Arial"/>
                <w:sz w:val="13"/>
                <w:szCs w:val="13"/>
                <w:color w:val="auto"/>
              </w:rPr>
              <w:t>2,200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6"/>
              <w:spacing w:after="0"/>
              <w:rPr>
                <w:sz w:val="20"/>
                <w:szCs w:val="20"/>
                <w:color w:val="auto"/>
              </w:rPr>
            </w:pPr>
            <w:r>
              <w:rPr>
                <w:rFonts w:ascii="Arial" w:cs="Arial" w:eastAsia="Arial" w:hAnsi="Arial"/>
                <w:sz w:val="13"/>
                <w:szCs w:val="13"/>
                <w:color w:val="auto"/>
              </w:rPr>
              <w:t>66.30</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9/12/2028</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9/12/2018</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754</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63,298</w:t>
            </w: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2"/>
        </w:trPr>
        <w:tc>
          <w:tcPr>
            <w:tcW w:w="116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9/12/2018</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jc w:val="right"/>
              <w:ind w:right="38"/>
              <w:spacing w:after="0" w:line="172" w:lineRule="exact"/>
              <w:rPr>
                <w:sz w:val="20"/>
                <w:szCs w:val="20"/>
                <w:color w:val="auto"/>
              </w:rPr>
            </w:pPr>
            <w:r>
              <w:rPr>
                <w:rFonts w:ascii="Arial" w:cs="Arial" w:eastAsia="Arial" w:hAnsi="Arial"/>
                <w:sz w:val="12"/>
                <w:szCs w:val="12"/>
                <w:color w:val="auto"/>
              </w:rPr>
              <w:t>2,262</w:t>
            </w:r>
            <w:r>
              <w:rPr>
                <w:rFonts w:ascii="Arial" w:cs="Arial" w:eastAsia="Arial" w:hAnsi="Arial"/>
                <w:sz w:val="19"/>
                <w:szCs w:val="19"/>
                <w:color w:val="auto"/>
                <w:vertAlign w:val="superscript"/>
              </w:rPr>
              <w:t>(3)</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189,895</w:t>
            </w:r>
          </w:p>
        </w:tc>
      </w:tr>
      <w:tr>
        <w:trPr>
          <w:trHeight w:val="152"/>
        </w:trPr>
        <w:tc>
          <w:tcPr>
            <w:tcW w:w="1160" w:type="dxa"/>
            <w:vAlign w:val="bottom"/>
          </w:tcPr>
          <w:p>
            <w:pPr>
              <w:spacing w:after="0"/>
              <w:rPr>
                <w:sz w:val="13"/>
                <w:szCs w:val="13"/>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7/1/2019</w:t>
            </w:r>
          </w:p>
        </w:tc>
        <w:tc>
          <w:tcPr>
            <w:tcW w:w="1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3,341</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280,477</w:t>
            </w: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69"/>
        </w:trPr>
        <w:tc>
          <w:tcPr>
            <w:tcW w:w="1160" w:type="dxa"/>
            <w:vAlign w:val="bottom"/>
          </w:tcPr>
          <w:p>
            <w:pPr>
              <w:spacing w:after="0"/>
              <w:rPr>
                <w:sz w:val="23"/>
                <w:szCs w:val="23"/>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7/1/2019</w:t>
            </w:r>
          </w:p>
        </w:tc>
        <w:tc>
          <w:tcPr>
            <w:tcW w:w="10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60" w:type="dxa"/>
            <w:vAlign w:val="bottom"/>
          </w:tcPr>
          <w:p>
            <w:pPr>
              <w:jc w:val="right"/>
              <w:ind w:right="38"/>
              <w:spacing w:after="0"/>
              <w:rPr>
                <w:sz w:val="20"/>
                <w:szCs w:val="20"/>
                <w:color w:val="auto"/>
              </w:rPr>
            </w:pPr>
            <w:r>
              <w:rPr>
                <w:rFonts w:ascii="Arial" w:cs="Arial" w:eastAsia="Arial" w:hAnsi="Arial"/>
                <w:sz w:val="13"/>
                <w:szCs w:val="13"/>
                <w:color w:val="auto"/>
              </w:rPr>
              <w:t>3,340</w:t>
            </w:r>
            <w:r>
              <w:rPr>
                <w:rFonts w:ascii="Arial" w:cs="Arial" w:eastAsia="Arial" w:hAnsi="Arial"/>
                <w:sz w:val="20"/>
                <w:szCs w:val="20"/>
                <w:color w:val="auto"/>
                <w:vertAlign w:val="superscript"/>
              </w:rPr>
              <w:t>(4)</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280,393</w:t>
            </w:r>
          </w:p>
        </w:tc>
      </w:tr>
      <w:tr>
        <w:trPr>
          <w:trHeight w:val="217"/>
        </w:trPr>
        <w:tc>
          <w:tcPr>
            <w:tcW w:w="1160" w:type="dxa"/>
            <w:vAlign w:val="bottom"/>
          </w:tcPr>
          <w:p>
            <w:pPr>
              <w:spacing w:after="0"/>
              <w:rPr>
                <w:sz w:val="20"/>
                <w:szCs w:val="20"/>
                <w:color w:val="auto"/>
              </w:rPr>
            </w:pPr>
            <w:r>
              <w:rPr>
                <w:rFonts w:ascii="Arial" w:cs="Arial" w:eastAsia="Arial" w:hAnsi="Arial"/>
                <w:sz w:val="13"/>
                <w:szCs w:val="13"/>
                <w:color w:val="auto"/>
              </w:rPr>
              <w:t>Philip Mezey</w:t>
            </w: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2/23/2017</w:t>
            </w:r>
          </w:p>
        </w:tc>
        <w:tc>
          <w:tcPr>
            <w:tcW w:w="1040" w:type="dxa"/>
            <w:vAlign w:val="bottom"/>
          </w:tcPr>
          <w:p>
            <w:pPr>
              <w:spacing w:after="0"/>
              <w:rPr>
                <w:sz w:val="18"/>
                <w:szCs w:val="18"/>
                <w:color w:val="auto"/>
              </w:rPr>
            </w:pPr>
          </w:p>
        </w:tc>
        <w:tc>
          <w:tcPr>
            <w:tcW w:w="1240" w:type="dxa"/>
            <w:vAlign w:val="bottom"/>
          </w:tcPr>
          <w:p>
            <w:pPr>
              <w:jc w:val="right"/>
              <w:ind w:right="57"/>
              <w:spacing w:after="0"/>
              <w:rPr>
                <w:sz w:val="20"/>
                <w:szCs w:val="20"/>
                <w:color w:val="auto"/>
              </w:rPr>
            </w:pPr>
            <w:r>
              <w:rPr>
                <w:rFonts w:ascii="Arial" w:cs="Arial" w:eastAsia="Arial" w:hAnsi="Arial"/>
                <w:sz w:val="13"/>
                <w:szCs w:val="13"/>
                <w:color w:val="auto"/>
              </w:rPr>
              <w:t>12,108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6"/>
              <w:spacing w:after="0"/>
              <w:rPr>
                <w:sz w:val="20"/>
                <w:szCs w:val="20"/>
                <w:color w:val="auto"/>
              </w:rPr>
            </w:pPr>
            <w:r>
              <w:rPr>
                <w:rFonts w:ascii="Arial" w:cs="Arial" w:eastAsia="Arial" w:hAnsi="Arial"/>
                <w:sz w:val="13"/>
                <w:szCs w:val="13"/>
                <w:color w:val="auto"/>
              </w:rPr>
              <w:t>65.55</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2/23/2027</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62"/>
        </w:trPr>
        <w:tc>
          <w:tcPr>
            <w:tcW w:w="116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2/23/2017</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4,068</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341,509</w:t>
            </w: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2/22/2018</w:t>
            </w:r>
          </w:p>
        </w:tc>
        <w:tc>
          <w:tcPr>
            <w:tcW w:w="1040" w:type="dxa"/>
            <w:vAlign w:val="bottom"/>
          </w:tcPr>
          <w:p>
            <w:pPr>
              <w:spacing w:after="0"/>
              <w:rPr>
                <w:sz w:val="14"/>
                <w:szCs w:val="14"/>
                <w:color w:val="auto"/>
              </w:rPr>
            </w:pPr>
          </w:p>
        </w:tc>
        <w:tc>
          <w:tcPr>
            <w:tcW w:w="1240" w:type="dxa"/>
            <w:vAlign w:val="bottom"/>
          </w:tcPr>
          <w:p>
            <w:pPr>
              <w:jc w:val="right"/>
              <w:ind w:right="57"/>
              <w:spacing w:after="0"/>
              <w:rPr>
                <w:sz w:val="20"/>
                <w:szCs w:val="20"/>
                <w:color w:val="auto"/>
              </w:rPr>
            </w:pPr>
            <w:r>
              <w:rPr>
                <w:rFonts w:ascii="Arial" w:cs="Arial" w:eastAsia="Arial" w:hAnsi="Arial"/>
                <w:sz w:val="13"/>
                <w:szCs w:val="13"/>
                <w:color w:val="auto"/>
              </w:rPr>
              <w:t>24,139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6"/>
              <w:spacing w:after="0"/>
              <w:rPr>
                <w:sz w:val="20"/>
                <w:szCs w:val="20"/>
                <w:color w:val="auto"/>
              </w:rPr>
            </w:pPr>
            <w:r>
              <w:rPr>
                <w:rFonts w:ascii="Arial" w:cs="Arial" w:eastAsia="Arial" w:hAnsi="Arial"/>
                <w:sz w:val="13"/>
                <w:szCs w:val="13"/>
                <w:color w:val="auto"/>
              </w:rPr>
              <w:t>69.30</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2/22/2028</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2/22/2018</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8,658</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726,839</w:t>
            </w: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69"/>
        </w:trPr>
        <w:tc>
          <w:tcPr>
            <w:tcW w:w="1160" w:type="dxa"/>
            <w:vAlign w:val="bottom"/>
          </w:tcPr>
          <w:p>
            <w:pPr>
              <w:spacing w:after="0"/>
              <w:rPr>
                <w:sz w:val="23"/>
                <w:szCs w:val="23"/>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2/22/2018</w:t>
            </w:r>
          </w:p>
        </w:tc>
        <w:tc>
          <w:tcPr>
            <w:tcW w:w="10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60" w:type="dxa"/>
            <w:vAlign w:val="bottom"/>
          </w:tcPr>
          <w:p>
            <w:pPr>
              <w:jc w:val="right"/>
              <w:ind w:right="38"/>
              <w:spacing w:after="0"/>
              <w:rPr>
                <w:sz w:val="20"/>
                <w:szCs w:val="20"/>
                <w:color w:val="auto"/>
              </w:rPr>
            </w:pPr>
            <w:r>
              <w:rPr>
                <w:rFonts w:ascii="Arial" w:cs="Arial" w:eastAsia="Arial" w:hAnsi="Arial"/>
                <w:sz w:val="13"/>
                <w:szCs w:val="13"/>
                <w:color w:val="auto"/>
              </w:rPr>
              <w:t>25,974</w:t>
            </w:r>
            <w:r>
              <w:rPr>
                <w:rFonts w:ascii="Arial" w:cs="Arial" w:eastAsia="Arial" w:hAnsi="Arial"/>
                <w:sz w:val="20"/>
                <w:szCs w:val="20"/>
                <w:color w:val="auto"/>
                <w:vertAlign w:val="superscript"/>
              </w:rPr>
              <w:t>(3)</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2,180,517</w:t>
            </w:r>
          </w:p>
        </w:tc>
      </w:tr>
      <w:tr>
        <w:trPr>
          <w:trHeight w:val="449"/>
        </w:trPr>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-40-</w:t>
            </w: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-7242810</wp:posOffset>
            </wp:positionV>
            <wp:extent cx="6669405" cy="73894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69405" cy="7389495"/>
                    </a:xfrm>
                    <a:prstGeom prst="rect">
                      <a:avLst/>
                    </a:prstGeom>
                    <a:noFill/>
                  </pic:spPr>
                </pic:pic>
              </a:graphicData>
            </a:graphic>
          </wp:anchor>
        </w:drawing>
      </w:r>
    </w:p>
    <w:p>
      <w:pPr>
        <w:sectPr>
          <w:pgSz w:w="11900" w:h="16838" w:orient="portrait"/>
          <w:cols w:equalWidth="0" w:num="1">
            <w:col w:w="10460"/>
          </w:cols>
          <w:pgMar w:left="680" w:top="279" w:right="759" w:bottom="1440" w:gutter="0" w:footer="0" w:header="0"/>
        </w:sectPr>
      </w:pPr>
    </w:p>
    <w:bookmarkStart w:id="44" w:name="page45"/>
    <w:bookmarkEnd w:id="44"/>
    <w:p>
      <w:pPr>
        <w:ind w:left="473"/>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9340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353" w:right="20" w:hanging="353"/>
        <w:spacing w:after="0" w:line="246" w:lineRule="auto"/>
        <w:tabs>
          <w:tab w:leader="none" w:pos="353" w:val="left"/>
        </w:tabs>
        <w:numPr>
          <w:ilvl w:val="0"/>
          <w:numId w:val="64"/>
        </w:numPr>
        <w:rPr>
          <w:rFonts w:ascii="Arial" w:cs="Arial" w:eastAsia="Arial" w:hAnsi="Arial"/>
          <w:sz w:val="14"/>
          <w:szCs w:val="14"/>
          <w:color w:val="auto"/>
        </w:rPr>
      </w:pPr>
      <w:r>
        <w:rPr>
          <w:rFonts w:ascii="Arial" w:cs="Arial" w:eastAsia="Arial" w:hAnsi="Arial"/>
          <w:sz w:val="14"/>
          <w:szCs w:val="14"/>
          <w:color w:val="auto"/>
        </w:rPr>
        <w:t>1/48th of the options granted on May 10, 2016 vest on a monthly basis for each month through May 10, 2020. One third of the options granted on February 23, 2017 vest on each of February 23, 2018, 2019, and 2020. One third of the options granted on June 20, 2017 vest on each of June 20, 2018, 2019, and 2020. One third of the options granted on February 22, 2018 vest on each of February 22, 2019, 2020, and 2021. One third of the options granted on September 12, 2018 vest on each of Septemer 12, 2019, 2020, and 2021. One third of the options granted on September 19, 2019 vest on each of September 19, 2020, 2021, and 2022.</w:t>
      </w:r>
    </w:p>
    <w:p>
      <w:pPr>
        <w:spacing w:after="0" w:line="217" w:lineRule="exact"/>
        <w:rPr>
          <w:rFonts w:ascii="Arial" w:cs="Arial" w:eastAsia="Arial" w:hAnsi="Arial"/>
          <w:sz w:val="14"/>
          <w:szCs w:val="14"/>
          <w:color w:val="auto"/>
        </w:rPr>
      </w:pPr>
    </w:p>
    <w:p>
      <w:pPr>
        <w:ind w:left="353"/>
        <w:spacing w:after="0"/>
        <w:rPr>
          <w:rFonts w:ascii="Arial" w:cs="Arial" w:eastAsia="Arial" w:hAnsi="Arial"/>
          <w:sz w:val="14"/>
          <w:szCs w:val="14"/>
          <w:color w:val="auto"/>
        </w:rPr>
      </w:pPr>
      <w:r>
        <w:rPr>
          <w:rFonts w:ascii="Arial" w:cs="Arial" w:eastAsia="Arial" w:hAnsi="Arial"/>
          <w:sz w:val="14"/>
          <w:szCs w:val="14"/>
          <w:color w:val="auto"/>
        </w:rPr>
        <w:t>Vesting information for each outstanding option award for the NEOs is described in the table below.</w:t>
      </w:r>
    </w:p>
    <w:p>
      <w:pPr>
        <w:spacing w:after="0" w:line="51" w:lineRule="exact"/>
        <w:rPr>
          <w:sz w:val="20"/>
          <w:szCs w:val="20"/>
          <w:color w:val="auto"/>
        </w:rPr>
      </w:pPr>
    </w:p>
    <w:tbl>
      <w:tblPr>
        <w:tblLayout w:type="fixed"/>
        <w:tblInd w:w="453"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Arial" w:cs="Arial" w:eastAsia="Arial" w:hAnsi="Arial"/>
                <w:sz w:val="14"/>
                <w:szCs w:val="14"/>
                <w:b w:val="1"/>
                <w:bCs w:val="1"/>
                <w:color w:val="auto"/>
              </w:rPr>
              <w:t>Exercise</w:t>
            </w:r>
          </w:p>
        </w:tc>
        <w:tc>
          <w:tcPr>
            <w:tcW w:w="880" w:type="dxa"/>
            <w:vAlign w:val="bottom"/>
          </w:tcPr>
          <w:p>
            <w:pPr>
              <w:jc w:val="right"/>
              <w:ind w:right="128"/>
              <w:spacing w:after="0"/>
              <w:rPr>
                <w:sz w:val="20"/>
                <w:szCs w:val="20"/>
                <w:color w:val="auto"/>
              </w:rPr>
            </w:pPr>
            <w:r>
              <w:rPr>
                <w:rFonts w:ascii="Arial" w:cs="Arial" w:eastAsia="Arial" w:hAnsi="Arial"/>
                <w:sz w:val="14"/>
                <w:szCs w:val="14"/>
                <w:b w:val="1"/>
                <w:bCs w:val="1"/>
                <w:color w:val="auto"/>
              </w:rPr>
              <w:t>Thomas</w:t>
            </w:r>
          </w:p>
        </w:tc>
        <w:tc>
          <w:tcPr>
            <w:tcW w:w="840" w:type="dxa"/>
            <w:vAlign w:val="bottom"/>
          </w:tcPr>
          <w:p>
            <w:pPr>
              <w:jc w:val="right"/>
              <w:ind w:right="228"/>
              <w:spacing w:after="0"/>
              <w:rPr>
                <w:sz w:val="20"/>
                <w:szCs w:val="20"/>
                <w:color w:val="auto"/>
              </w:rPr>
            </w:pPr>
            <w:r>
              <w:rPr>
                <w:rFonts w:ascii="Arial" w:cs="Arial" w:eastAsia="Arial" w:hAnsi="Arial"/>
                <w:sz w:val="14"/>
                <w:szCs w:val="14"/>
                <w:b w:val="1"/>
                <w:bCs w:val="1"/>
                <w:color w:val="auto"/>
              </w:rPr>
              <w:t>Joan</w:t>
            </w:r>
          </w:p>
        </w:tc>
        <w:tc>
          <w:tcPr>
            <w:tcW w:w="920" w:type="dxa"/>
            <w:vAlign w:val="bottom"/>
          </w:tcPr>
          <w:p>
            <w:pPr>
              <w:jc w:val="right"/>
              <w:ind w:right="228"/>
              <w:spacing w:after="0"/>
              <w:rPr>
                <w:sz w:val="20"/>
                <w:szCs w:val="20"/>
                <w:color w:val="auto"/>
              </w:rPr>
            </w:pPr>
            <w:r>
              <w:rPr>
                <w:rFonts w:ascii="Arial" w:cs="Arial" w:eastAsia="Arial" w:hAnsi="Arial"/>
                <w:sz w:val="14"/>
                <w:szCs w:val="14"/>
                <w:b w:val="1"/>
                <w:bCs w:val="1"/>
                <w:color w:val="auto"/>
              </w:rPr>
              <w:t>Sarah</w:t>
            </w:r>
          </w:p>
        </w:tc>
        <w:tc>
          <w:tcPr>
            <w:tcW w:w="920" w:type="dxa"/>
            <w:vAlign w:val="bottom"/>
          </w:tcPr>
          <w:p>
            <w:pPr>
              <w:jc w:val="right"/>
              <w:ind w:right="208"/>
              <w:spacing w:after="0"/>
              <w:rPr>
                <w:sz w:val="20"/>
                <w:szCs w:val="20"/>
                <w:color w:val="auto"/>
              </w:rPr>
            </w:pPr>
            <w:r>
              <w:rPr>
                <w:rFonts w:ascii="Arial" w:cs="Arial" w:eastAsia="Arial" w:hAnsi="Arial"/>
                <w:sz w:val="14"/>
                <w:szCs w:val="14"/>
                <w:b w:val="1"/>
                <w:bCs w:val="1"/>
                <w:color w:val="auto"/>
              </w:rPr>
              <w:t>Michel</w:t>
            </w:r>
          </w:p>
        </w:tc>
        <w:tc>
          <w:tcPr>
            <w:tcW w:w="860" w:type="dxa"/>
            <w:vAlign w:val="bottom"/>
          </w:tcPr>
          <w:p>
            <w:pPr>
              <w:jc w:val="right"/>
              <w:ind w:right="168"/>
              <w:spacing w:after="0"/>
              <w:rPr>
                <w:sz w:val="20"/>
                <w:szCs w:val="20"/>
                <w:color w:val="auto"/>
              </w:rPr>
            </w:pPr>
            <w:r>
              <w:rPr>
                <w:rFonts w:ascii="Arial" w:cs="Arial" w:eastAsia="Arial" w:hAnsi="Arial"/>
                <w:sz w:val="14"/>
                <w:szCs w:val="14"/>
                <w:b w:val="1"/>
                <w:bCs w:val="1"/>
                <w:color w:val="auto"/>
              </w:rPr>
              <w:t>Donald</w:t>
            </w: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Philip</w:t>
            </w:r>
          </w:p>
        </w:tc>
      </w:tr>
      <w:tr>
        <w:trPr>
          <w:trHeight w:val="190"/>
        </w:trPr>
        <w:tc>
          <w:tcPr>
            <w:tcW w:w="2220" w:type="dxa"/>
            <w:vAlign w:val="bottom"/>
          </w:tcPr>
          <w:p>
            <w:pPr>
              <w:spacing w:after="0"/>
              <w:rPr>
                <w:sz w:val="20"/>
                <w:szCs w:val="20"/>
                <w:color w:val="auto"/>
              </w:rPr>
            </w:pPr>
            <w:r>
              <w:rPr>
                <w:rFonts w:ascii="Arial" w:cs="Arial" w:eastAsia="Arial" w:hAnsi="Arial"/>
                <w:sz w:val="14"/>
                <w:szCs w:val="14"/>
                <w:b w:val="1"/>
                <w:bCs w:val="1"/>
                <w:color w:val="auto"/>
              </w:rPr>
              <w:t>Vesting Date</w:t>
            </w:r>
          </w:p>
        </w:tc>
        <w:tc>
          <w:tcPr>
            <w:tcW w:w="1500" w:type="dxa"/>
            <w:vAlign w:val="bottom"/>
          </w:tcPr>
          <w:p>
            <w:pPr>
              <w:spacing w:after="0"/>
              <w:rPr>
                <w:sz w:val="16"/>
                <w:szCs w:val="16"/>
                <w:color w:val="auto"/>
              </w:rPr>
            </w:pPr>
          </w:p>
        </w:tc>
        <w:tc>
          <w:tcPr>
            <w:tcW w:w="920" w:type="dxa"/>
            <w:vAlign w:val="bottom"/>
          </w:tcPr>
          <w:p>
            <w:pPr>
              <w:jc w:val="right"/>
              <w:ind w:right="348"/>
              <w:spacing w:after="0"/>
              <w:rPr>
                <w:sz w:val="20"/>
                <w:szCs w:val="20"/>
                <w:color w:val="auto"/>
              </w:rPr>
            </w:pPr>
            <w:r>
              <w:rPr>
                <w:rFonts w:ascii="Arial" w:cs="Arial" w:eastAsia="Arial" w:hAnsi="Arial"/>
                <w:sz w:val="14"/>
                <w:szCs w:val="14"/>
                <w:b w:val="1"/>
                <w:bCs w:val="1"/>
                <w:color w:val="auto"/>
              </w:rPr>
              <w:t>Price</w:t>
            </w:r>
          </w:p>
        </w:tc>
        <w:tc>
          <w:tcPr>
            <w:tcW w:w="880" w:type="dxa"/>
            <w:vAlign w:val="bottom"/>
          </w:tcPr>
          <w:p>
            <w:pPr>
              <w:jc w:val="right"/>
              <w:ind w:right="128"/>
              <w:spacing w:after="0"/>
              <w:rPr>
                <w:sz w:val="20"/>
                <w:szCs w:val="20"/>
                <w:color w:val="auto"/>
              </w:rPr>
            </w:pPr>
            <w:r>
              <w:rPr>
                <w:rFonts w:ascii="Arial" w:cs="Arial" w:eastAsia="Arial" w:hAnsi="Arial"/>
                <w:sz w:val="14"/>
                <w:szCs w:val="14"/>
                <w:b w:val="1"/>
                <w:bCs w:val="1"/>
                <w:color w:val="auto"/>
              </w:rPr>
              <w:t>Deitrich</w:t>
            </w: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Hooper</w:t>
            </w:r>
          </w:p>
        </w:tc>
        <w:tc>
          <w:tcPr>
            <w:tcW w:w="920" w:type="dxa"/>
            <w:vAlign w:val="bottom"/>
          </w:tcPr>
          <w:p>
            <w:pPr>
              <w:jc w:val="right"/>
              <w:ind w:right="128"/>
              <w:spacing w:after="0"/>
              <w:rPr>
                <w:sz w:val="20"/>
                <w:szCs w:val="20"/>
                <w:color w:val="auto"/>
              </w:rPr>
            </w:pPr>
            <w:r>
              <w:rPr>
                <w:rFonts w:ascii="Arial" w:cs="Arial" w:eastAsia="Arial" w:hAnsi="Arial"/>
                <w:sz w:val="14"/>
                <w:szCs w:val="14"/>
                <w:b w:val="1"/>
                <w:bCs w:val="1"/>
                <w:color w:val="auto"/>
              </w:rPr>
              <w:t>Hlavinka</w:t>
            </w:r>
          </w:p>
        </w:tc>
        <w:tc>
          <w:tcPr>
            <w:tcW w:w="920" w:type="dxa"/>
            <w:vAlign w:val="bottom"/>
          </w:tcPr>
          <w:p>
            <w:pPr>
              <w:jc w:val="right"/>
              <w:ind w:right="148"/>
              <w:spacing w:after="0"/>
              <w:rPr>
                <w:sz w:val="20"/>
                <w:szCs w:val="20"/>
                <w:color w:val="auto"/>
              </w:rPr>
            </w:pPr>
            <w:r>
              <w:rPr>
                <w:rFonts w:ascii="Arial" w:cs="Arial" w:eastAsia="Arial" w:hAnsi="Arial"/>
                <w:sz w:val="14"/>
                <w:szCs w:val="14"/>
                <w:b w:val="1"/>
                <w:bCs w:val="1"/>
                <w:color w:val="auto"/>
              </w:rPr>
              <w:t>Cadieux</w:t>
            </w:r>
          </w:p>
        </w:tc>
        <w:tc>
          <w:tcPr>
            <w:tcW w:w="860" w:type="dxa"/>
            <w:vAlign w:val="bottom"/>
          </w:tcPr>
          <w:p>
            <w:pPr>
              <w:jc w:val="right"/>
              <w:ind w:right="148"/>
              <w:spacing w:after="0"/>
              <w:rPr>
                <w:sz w:val="20"/>
                <w:szCs w:val="20"/>
                <w:color w:val="auto"/>
              </w:rPr>
            </w:pPr>
            <w:r>
              <w:rPr>
                <w:rFonts w:ascii="Arial" w:cs="Arial" w:eastAsia="Arial" w:hAnsi="Arial"/>
                <w:sz w:val="14"/>
                <w:szCs w:val="14"/>
                <w:b w:val="1"/>
                <w:bCs w:val="1"/>
                <w:color w:val="auto"/>
              </w:rPr>
              <w:t>Reeves</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Mezey</w:t>
            </w:r>
          </w:p>
        </w:tc>
      </w:tr>
      <w:tr>
        <w:trPr>
          <w:trHeight w:val="203"/>
        </w:trPr>
        <w:tc>
          <w:tcPr>
            <w:tcW w:w="2220" w:type="dxa"/>
            <w:vAlign w:val="bottom"/>
          </w:tcPr>
          <w:p>
            <w:pPr>
              <w:spacing w:after="0"/>
              <w:rPr>
                <w:sz w:val="20"/>
                <w:szCs w:val="20"/>
                <w:color w:val="auto"/>
              </w:rPr>
            </w:pPr>
            <w:r>
              <w:rPr>
                <w:rFonts w:ascii="Arial" w:cs="Arial" w:eastAsia="Arial" w:hAnsi="Arial"/>
                <w:sz w:val="14"/>
                <w:szCs w:val="14"/>
                <w:b w:val="1"/>
                <w:bCs w:val="1"/>
                <w:color w:val="auto"/>
              </w:rPr>
              <w:t>2020</w:t>
            </w:r>
          </w:p>
        </w:tc>
        <w:tc>
          <w:tcPr>
            <w:tcW w:w="1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89"/>
        </w:trPr>
        <w:tc>
          <w:tcPr>
            <w:tcW w:w="2220" w:type="dxa"/>
            <w:vAlign w:val="bottom"/>
          </w:tcPr>
          <w:p>
            <w:pPr>
              <w:spacing w:after="0"/>
              <w:rPr>
                <w:sz w:val="20"/>
                <w:szCs w:val="20"/>
                <w:color w:val="auto"/>
              </w:rPr>
            </w:pPr>
            <w:r>
              <w:rPr>
                <w:rFonts w:ascii="Arial" w:cs="Arial" w:eastAsia="Arial" w:hAnsi="Arial"/>
                <w:sz w:val="14"/>
                <w:szCs w:val="14"/>
                <w:color w:val="auto"/>
              </w:rPr>
              <w:t>1/10/2020</w:t>
            </w: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55.49</w:t>
            </w: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368</w:t>
            </w:r>
          </w:p>
        </w:tc>
        <w:tc>
          <w:tcPr>
            <w:tcW w:w="680" w:type="dxa"/>
            <w:vAlign w:val="bottom"/>
          </w:tcPr>
          <w:p>
            <w:pPr>
              <w:spacing w:after="0"/>
              <w:rPr>
                <w:sz w:val="16"/>
                <w:szCs w:val="16"/>
                <w:color w:val="auto"/>
              </w:rPr>
            </w:pPr>
          </w:p>
        </w:tc>
      </w:tr>
      <w:tr>
        <w:trPr>
          <w:trHeight w:val="189"/>
        </w:trPr>
        <w:tc>
          <w:tcPr>
            <w:tcW w:w="2220" w:type="dxa"/>
            <w:vAlign w:val="bottom"/>
          </w:tcPr>
          <w:p>
            <w:pPr>
              <w:spacing w:after="0"/>
              <w:rPr>
                <w:sz w:val="20"/>
                <w:szCs w:val="20"/>
                <w:color w:val="auto"/>
              </w:rPr>
            </w:pPr>
            <w:r>
              <w:rPr>
                <w:rFonts w:ascii="Arial" w:cs="Arial" w:eastAsia="Arial" w:hAnsi="Arial"/>
                <w:sz w:val="14"/>
                <w:szCs w:val="14"/>
                <w:color w:val="auto"/>
              </w:rPr>
              <w:t>2/10/2020</w:t>
            </w: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55.49</w:t>
            </w: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368</w:t>
            </w:r>
          </w:p>
        </w:tc>
        <w:tc>
          <w:tcPr>
            <w:tcW w:w="680" w:type="dxa"/>
            <w:vAlign w:val="bottom"/>
          </w:tcPr>
          <w:p>
            <w:pPr>
              <w:spacing w:after="0"/>
              <w:rPr>
                <w:sz w:val="16"/>
                <w:szCs w:val="16"/>
                <w:color w:val="auto"/>
              </w:rPr>
            </w:pPr>
          </w:p>
        </w:tc>
      </w:tr>
      <w:tr>
        <w:trPr>
          <w:trHeight w:val="189"/>
        </w:trPr>
        <w:tc>
          <w:tcPr>
            <w:tcW w:w="2220" w:type="dxa"/>
            <w:vAlign w:val="bottom"/>
          </w:tcPr>
          <w:p>
            <w:pPr>
              <w:spacing w:after="0"/>
              <w:rPr>
                <w:sz w:val="20"/>
                <w:szCs w:val="20"/>
                <w:color w:val="auto"/>
              </w:rPr>
            </w:pPr>
            <w:r>
              <w:rPr>
                <w:rFonts w:ascii="Arial" w:cs="Arial" w:eastAsia="Arial" w:hAnsi="Arial"/>
                <w:sz w:val="14"/>
                <w:szCs w:val="14"/>
                <w:color w:val="auto"/>
              </w:rPr>
              <w:t>2/22/2020</w:t>
            </w: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69.30</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6,705</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3,353</w:t>
            </w:r>
          </w:p>
        </w:tc>
        <w:tc>
          <w:tcPr>
            <w:tcW w:w="92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2,682</w:t>
            </w:r>
          </w:p>
        </w:tc>
        <w:tc>
          <w:tcPr>
            <w:tcW w:w="8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12,069</w:t>
            </w:r>
          </w:p>
        </w:tc>
      </w:tr>
      <w:tr>
        <w:trPr>
          <w:trHeight w:val="189"/>
        </w:trPr>
        <w:tc>
          <w:tcPr>
            <w:tcW w:w="2220" w:type="dxa"/>
            <w:vAlign w:val="bottom"/>
          </w:tcPr>
          <w:p>
            <w:pPr>
              <w:spacing w:after="0"/>
              <w:rPr>
                <w:sz w:val="20"/>
                <w:szCs w:val="20"/>
                <w:color w:val="auto"/>
              </w:rPr>
            </w:pPr>
            <w:r>
              <w:rPr>
                <w:rFonts w:ascii="Arial" w:cs="Arial" w:eastAsia="Arial" w:hAnsi="Arial"/>
                <w:sz w:val="14"/>
                <w:szCs w:val="14"/>
                <w:color w:val="auto"/>
              </w:rPr>
              <w:t>2/23/2020</w:t>
            </w: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65.55</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7,567</w:t>
            </w: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3,027</w:t>
            </w:r>
          </w:p>
        </w:tc>
        <w:tc>
          <w:tcPr>
            <w:tcW w:w="8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12,108</w:t>
            </w:r>
          </w:p>
        </w:tc>
      </w:tr>
      <w:tr>
        <w:trPr>
          <w:trHeight w:val="189"/>
        </w:trPr>
        <w:tc>
          <w:tcPr>
            <w:tcW w:w="2220" w:type="dxa"/>
            <w:vAlign w:val="bottom"/>
          </w:tcPr>
          <w:p>
            <w:pPr>
              <w:spacing w:after="0"/>
              <w:rPr>
                <w:sz w:val="20"/>
                <w:szCs w:val="20"/>
                <w:color w:val="auto"/>
              </w:rPr>
            </w:pPr>
            <w:r>
              <w:rPr>
                <w:rFonts w:ascii="Arial" w:cs="Arial" w:eastAsia="Arial" w:hAnsi="Arial"/>
                <w:sz w:val="14"/>
                <w:szCs w:val="14"/>
                <w:color w:val="auto"/>
              </w:rPr>
              <w:t>3/10/2020</w:t>
            </w: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55.49</w:t>
            </w: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368</w:t>
            </w:r>
          </w:p>
        </w:tc>
        <w:tc>
          <w:tcPr>
            <w:tcW w:w="680" w:type="dxa"/>
            <w:vAlign w:val="bottom"/>
          </w:tcPr>
          <w:p>
            <w:pPr>
              <w:spacing w:after="0"/>
              <w:rPr>
                <w:sz w:val="16"/>
                <w:szCs w:val="16"/>
                <w:color w:val="auto"/>
              </w:rPr>
            </w:pPr>
          </w:p>
        </w:tc>
      </w:tr>
      <w:tr>
        <w:trPr>
          <w:trHeight w:val="189"/>
        </w:trPr>
        <w:tc>
          <w:tcPr>
            <w:tcW w:w="2220" w:type="dxa"/>
            <w:vAlign w:val="bottom"/>
          </w:tcPr>
          <w:p>
            <w:pPr>
              <w:spacing w:after="0"/>
              <w:rPr>
                <w:sz w:val="20"/>
                <w:szCs w:val="20"/>
                <w:color w:val="auto"/>
              </w:rPr>
            </w:pPr>
            <w:r>
              <w:rPr>
                <w:rFonts w:ascii="Arial" w:cs="Arial" w:eastAsia="Arial" w:hAnsi="Arial"/>
                <w:sz w:val="14"/>
                <w:szCs w:val="14"/>
                <w:color w:val="auto"/>
              </w:rPr>
              <w:t>4/10/2020</w:t>
            </w: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55.49</w:t>
            </w: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368</w:t>
            </w:r>
          </w:p>
        </w:tc>
        <w:tc>
          <w:tcPr>
            <w:tcW w:w="680" w:type="dxa"/>
            <w:vAlign w:val="bottom"/>
          </w:tcPr>
          <w:p>
            <w:pPr>
              <w:spacing w:after="0"/>
              <w:rPr>
                <w:sz w:val="16"/>
                <w:szCs w:val="16"/>
                <w:color w:val="auto"/>
              </w:rPr>
            </w:pPr>
          </w:p>
        </w:tc>
      </w:tr>
      <w:tr>
        <w:trPr>
          <w:trHeight w:val="189"/>
        </w:trPr>
        <w:tc>
          <w:tcPr>
            <w:tcW w:w="2220" w:type="dxa"/>
            <w:vAlign w:val="bottom"/>
          </w:tcPr>
          <w:p>
            <w:pPr>
              <w:spacing w:after="0"/>
              <w:rPr>
                <w:sz w:val="20"/>
                <w:szCs w:val="20"/>
                <w:color w:val="auto"/>
              </w:rPr>
            </w:pPr>
            <w:r>
              <w:rPr>
                <w:rFonts w:ascii="Arial" w:cs="Arial" w:eastAsia="Arial" w:hAnsi="Arial"/>
                <w:sz w:val="14"/>
                <w:szCs w:val="14"/>
                <w:color w:val="auto"/>
              </w:rPr>
              <w:t>5/10/2020</w:t>
            </w: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55.49</w:t>
            </w: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386</w:t>
            </w:r>
          </w:p>
        </w:tc>
        <w:tc>
          <w:tcPr>
            <w:tcW w:w="680" w:type="dxa"/>
            <w:vAlign w:val="bottom"/>
          </w:tcPr>
          <w:p>
            <w:pPr>
              <w:spacing w:after="0"/>
              <w:rPr>
                <w:sz w:val="16"/>
                <w:szCs w:val="16"/>
                <w:color w:val="auto"/>
              </w:rPr>
            </w:pPr>
          </w:p>
        </w:tc>
      </w:tr>
      <w:tr>
        <w:trPr>
          <w:trHeight w:val="189"/>
        </w:trPr>
        <w:tc>
          <w:tcPr>
            <w:tcW w:w="2220" w:type="dxa"/>
            <w:vAlign w:val="bottom"/>
          </w:tcPr>
          <w:p>
            <w:pPr>
              <w:spacing w:after="0"/>
              <w:rPr>
                <w:sz w:val="20"/>
                <w:szCs w:val="20"/>
                <w:color w:val="auto"/>
              </w:rPr>
            </w:pPr>
            <w:r>
              <w:rPr>
                <w:rFonts w:ascii="Arial" w:cs="Arial" w:eastAsia="Arial" w:hAnsi="Arial"/>
                <w:sz w:val="14"/>
                <w:szCs w:val="14"/>
                <w:color w:val="auto"/>
              </w:rPr>
              <w:t>6/20/2020</w:t>
            </w: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68.45</w:t>
            </w:r>
          </w:p>
        </w:tc>
        <w:tc>
          <w:tcPr>
            <w:tcW w:w="88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3,839</w:t>
            </w: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9"/>
        </w:trPr>
        <w:tc>
          <w:tcPr>
            <w:tcW w:w="2220" w:type="dxa"/>
            <w:vAlign w:val="bottom"/>
          </w:tcPr>
          <w:p>
            <w:pPr>
              <w:spacing w:after="0"/>
              <w:rPr>
                <w:sz w:val="20"/>
                <w:szCs w:val="20"/>
                <w:color w:val="auto"/>
              </w:rPr>
            </w:pPr>
            <w:r>
              <w:rPr>
                <w:rFonts w:ascii="Arial" w:cs="Arial" w:eastAsia="Arial" w:hAnsi="Arial"/>
                <w:sz w:val="14"/>
                <w:szCs w:val="14"/>
                <w:color w:val="auto"/>
              </w:rPr>
              <w:t>9/12/2020</w:t>
            </w:r>
          </w:p>
        </w:tc>
        <w:tc>
          <w:tcPr>
            <w:tcW w:w="1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2,933</w:t>
            </w:r>
          </w:p>
        </w:tc>
        <w:tc>
          <w:tcPr>
            <w:tcW w:w="920" w:type="dxa"/>
            <w:vAlign w:val="bottom"/>
          </w:tcPr>
          <w:p>
            <w:pPr>
              <w:spacing w:after="0"/>
              <w:rPr>
                <w:sz w:val="16"/>
                <w:szCs w:val="16"/>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1,100</w:t>
            </w:r>
          </w:p>
        </w:tc>
        <w:tc>
          <w:tcPr>
            <w:tcW w:w="680" w:type="dxa"/>
            <w:vAlign w:val="bottom"/>
          </w:tcPr>
          <w:p>
            <w:pPr>
              <w:spacing w:after="0"/>
              <w:rPr>
                <w:sz w:val="16"/>
                <w:szCs w:val="16"/>
                <w:color w:val="auto"/>
              </w:rPr>
            </w:pPr>
          </w:p>
        </w:tc>
      </w:tr>
      <w:tr>
        <w:trPr>
          <w:trHeight w:val="189"/>
        </w:trPr>
        <w:tc>
          <w:tcPr>
            <w:tcW w:w="2220" w:type="dxa"/>
            <w:vAlign w:val="bottom"/>
          </w:tcPr>
          <w:p>
            <w:pPr>
              <w:spacing w:after="0"/>
              <w:rPr>
                <w:sz w:val="20"/>
                <w:szCs w:val="20"/>
                <w:color w:val="auto"/>
              </w:rPr>
            </w:pPr>
            <w:r>
              <w:rPr>
                <w:rFonts w:ascii="Arial" w:cs="Arial" w:eastAsia="Arial" w:hAnsi="Arial"/>
                <w:sz w:val="14"/>
                <w:szCs w:val="14"/>
                <w:color w:val="auto"/>
              </w:rPr>
              <w:t>9/19/2020</w:t>
            </w: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76.55</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25,445</w:t>
            </w: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78"/>
        </w:trPr>
        <w:tc>
          <w:tcPr>
            <w:tcW w:w="2220" w:type="dxa"/>
            <w:vAlign w:val="bottom"/>
          </w:tcPr>
          <w:p>
            <w:pPr>
              <w:spacing w:after="0"/>
              <w:rPr>
                <w:sz w:val="20"/>
                <w:szCs w:val="20"/>
                <w:color w:val="auto"/>
              </w:rPr>
            </w:pPr>
            <w:r>
              <w:rPr>
                <w:rFonts w:ascii="Arial" w:cs="Arial" w:eastAsia="Arial" w:hAnsi="Arial"/>
                <w:sz w:val="14"/>
                <w:szCs w:val="14"/>
                <w:b w:val="1"/>
                <w:bCs w:val="1"/>
                <w:color w:val="auto"/>
              </w:rPr>
              <w:t>2021</w:t>
            </w: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9"/>
        </w:trPr>
        <w:tc>
          <w:tcPr>
            <w:tcW w:w="2220" w:type="dxa"/>
            <w:vAlign w:val="bottom"/>
          </w:tcPr>
          <w:p>
            <w:pPr>
              <w:spacing w:after="0"/>
              <w:rPr>
                <w:sz w:val="20"/>
                <w:szCs w:val="20"/>
                <w:color w:val="auto"/>
              </w:rPr>
            </w:pPr>
            <w:r>
              <w:rPr>
                <w:rFonts w:ascii="Arial" w:cs="Arial" w:eastAsia="Arial" w:hAnsi="Arial"/>
                <w:sz w:val="14"/>
                <w:szCs w:val="14"/>
                <w:color w:val="auto"/>
              </w:rPr>
              <w:t>2/22/2021</w:t>
            </w: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69.30</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6,706</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3,353</w:t>
            </w:r>
          </w:p>
        </w:tc>
        <w:tc>
          <w:tcPr>
            <w:tcW w:w="92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2,682</w:t>
            </w:r>
          </w:p>
        </w:tc>
        <w:tc>
          <w:tcPr>
            <w:tcW w:w="8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12,070</w:t>
            </w:r>
          </w:p>
        </w:tc>
      </w:tr>
      <w:tr>
        <w:trPr>
          <w:trHeight w:val="189"/>
        </w:trPr>
        <w:tc>
          <w:tcPr>
            <w:tcW w:w="2220" w:type="dxa"/>
            <w:vAlign w:val="bottom"/>
          </w:tcPr>
          <w:p>
            <w:pPr>
              <w:spacing w:after="0"/>
              <w:rPr>
                <w:sz w:val="20"/>
                <w:szCs w:val="20"/>
                <w:color w:val="auto"/>
              </w:rPr>
            </w:pPr>
            <w:r>
              <w:rPr>
                <w:rFonts w:ascii="Arial" w:cs="Arial" w:eastAsia="Arial" w:hAnsi="Arial"/>
                <w:sz w:val="14"/>
                <w:szCs w:val="14"/>
                <w:color w:val="auto"/>
              </w:rPr>
              <w:t>9/12/2021</w:t>
            </w:r>
          </w:p>
        </w:tc>
        <w:tc>
          <w:tcPr>
            <w:tcW w:w="1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2,934</w:t>
            </w:r>
          </w:p>
        </w:tc>
        <w:tc>
          <w:tcPr>
            <w:tcW w:w="920" w:type="dxa"/>
            <w:vAlign w:val="bottom"/>
          </w:tcPr>
          <w:p>
            <w:pPr>
              <w:spacing w:after="0"/>
              <w:rPr>
                <w:sz w:val="16"/>
                <w:szCs w:val="16"/>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1,100</w:t>
            </w:r>
          </w:p>
        </w:tc>
        <w:tc>
          <w:tcPr>
            <w:tcW w:w="680" w:type="dxa"/>
            <w:vAlign w:val="bottom"/>
          </w:tcPr>
          <w:p>
            <w:pPr>
              <w:spacing w:after="0"/>
              <w:rPr>
                <w:sz w:val="16"/>
                <w:szCs w:val="16"/>
                <w:color w:val="auto"/>
              </w:rPr>
            </w:pPr>
          </w:p>
        </w:tc>
      </w:tr>
      <w:tr>
        <w:trPr>
          <w:trHeight w:val="189"/>
        </w:trPr>
        <w:tc>
          <w:tcPr>
            <w:tcW w:w="2220" w:type="dxa"/>
            <w:vAlign w:val="bottom"/>
          </w:tcPr>
          <w:p>
            <w:pPr>
              <w:spacing w:after="0"/>
              <w:rPr>
                <w:sz w:val="20"/>
                <w:szCs w:val="20"/>
                <w:color w:val="auto"/>
              </w:rPr>
            </w:pPr>
            <w:r>
              <w:rPr>
                <w:rFonts w:ascii="Arial" w:cs="Arial" w:eastAsia="Arial" w:hAnsi="Arial"/>
                <w:sz w:val="14"/>
                <w:szCs w:val="14"/>
                <w:color w:val="auto"/>
              </w:rPr>
              <w:t>9/19/2021</w:t>
            </w: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76.55</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25,446</w:t>
            </w: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78"/>
        </w:trPr>
        <w:tc>
          <w:tcPr>
            <w:tcW w:w="2220" w:type="dxa"/>
            <w:vAlign w:val="bottom"/>
          </w:tcPr>
          <w:p>
            <w:pPr>
              <w:spacing w:after="0"/>
              <w:rPr>
                <w:sz w:val="20"/>
                <w:szCs w:val="20"/>
                <w:color w:val="auto"/>
              </w:rPr>
            </w:pPr>
            <w:r>
              <w:rPr>
                <w:rFonts w:ascii="Arial" w:cs="Arial" w:eastAsia="Arial" w:hAnsi="Arial"/>
                <w:sz w:val="14"/>
                <w:szCs w:val="14"/>
                <w:b w:val="1"/>
                <w:bCs w:val="1"/>
                <w:color w:val="auto"/>
              </w:rPr>
              <w:t>2022</w:t>
            </w: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9"/>
        </w:trPr>
        <w:tc>
          <w:tcPr>
            <w:tcW w:w="2220" w:type="dxa"/>
            <w:vAlign w:val="bottom"/>
          </w:tcPr>
          <w:p>
            <w:pPr>
              <w:spacing w:after="0"/>
              <w:rPr>
                <w:sz w:val="20"/>
                <w:szCs w:val="20"/>
                <w:color w:val="auto"/>
              </w:rPr>
            </w:pPr>
            <w:r>
              <w:rPr>
                <w:rFonts w:ascii="Arial" w:cs="Arial" w:eastAsia="Arial" w:hAnsi="Arial"/>
                <w:sz w:val="14"/>
                <w:szCs w:val="14"/>
                <w:color w:val="auto"/>
              </w:rPr>
              <w:t>9/19/2022</w:t>
            </w: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76.55</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25,446</w:t>
            </w: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-2289175</wp:posOffset>
            </wp:positionV>
            <wp:extent cx="6275070" cy="22885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75070" cy="2288540"/>
                    </a:xfrm>
                    <a:prstGeom prst="rect">
                      <a:avLst/>
                    </a:prstGeom>
                    <a:noFill/>
                  </pic:spPr>
                </pic:pic>
              </a:graphicData>
            </a:graphic>
          </wp:anchor>
        </w:drawing>
      </w:r>
    </w:p>
    <w:p>
      <w:pPr>
        <w:spacing w:after="0" w:line="91" w:lineRule="exact"/>
        <w:rPr>
          <w:sz w:val="20"/>
          <w:szCs w:val="20"/>
          <w:color w:val="auto"/>
        </w:rPr>
      </w:pPr>
    </w:p>
    <w:p>
      <w:pPr>
        <w:ind w:left="353" w:hanging="353"/>
        <w:spacing w:after="0" w:line="243" w:lineRule="auto"/>
        <w:tabs>
          <w:tab w:leader="none" w:pos="353"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time-vested RSUs granted under the Amended and Restated 2010 Plan. For the RSUs granted on May 10, 2016, 1,000 shares vested on February 10, 2018, and the remainder vest at the rate of every three months from May 10, 2018 through May 10, 2020. For the RSUs granted on August 10, 2016, 1,329 vested on February 10, 2018, and the remainder vest at the rate of every three months from May 10, 2018 through May 10, 2020. One third of the RSUs granted on February 23, 2017 vest on each of February 23, 2018, 2019, and 2020. One third of the RSUs granted on May 10, 2017 vest on each of May 10, 2018, 2019, and 2020. One third of the RSUs granted on June 20, 2017 vest on each of June 20, 2018, 2019 and 2020. One third of the RSUs granted on February 22, 2018 will vest on each of February 22, 2019, 2020, and 2021. One third of the RSUs granted on May 9, 2018 vest on each of May 9, 2019, 2020, and 2021. One third of the RSUs granted on September 12, 2018 will vest on each of September 12, 2019, 2020, and 2021. One third of the RSUs granted on February 21, 2019 will vest on each of February 21, 2020, 2021, and 2022. One-third of the RSUs granted on May 17, 2019 vest on each of May 17, 2020, 2021, and 2022. One third of the RSUs granted on July 1, 2019 vest on each of July 1, 2020, 2021, and 2022. One third of the RSUs granted on September 19, 2019 vest on each of September 19, 2020, 2021, and 2022.</w:t>
      </w:r>
    </w:p>
    <w:p>
      <w:pPr>
        <w:spacing w:after="0" w:line="70" w:lineRule="exact"/>
        <w:rPr>
          <w:rFonts w:ascii="Arial" w:cs="Arial" w:eastAsia="Arial" w:hAnsi="Arial"/>
          <w:sz w:val="14"/>
          <w:szCs w:val="14"/>
          <w:color w:val="auto"/>
        </w:rPr>
      </w:pPr>
    </w:p>
    <w:p>
      <w:pPr>
        <w:ind w:left="353"/>
        <w:spacing w:after="0"/>
        <w:rPr>
          <w:rFonts w:ascii="Arial" w:cs="Arial" w:eastAsia="Arial" w:hAnsi="Arial"/>
          <w:sz w:val="14"/>
          <w:szCs w:val="14"/>
          <w:color w:val="auto"/>
        </w:rPr>
      </w:pPr>
      <w:r>
        <w:rPr>
          <w:rFonts w:ascii="Arial" w:cs="Arial" w:eastAsia="Arial" w:hAnsi="Arial"/>
          <w:sz w:val="14"/>
          <w:szCs w:val="14"/>
          <w:color w:val="auto"/>
        </w:rPr>
        <w:t>Vesting information for each restricted stock unit award for the NEOs is described in the table below.</w:t>
      </w:r>
    </w:p>
    <w:p>
      <w:pPr>
        <w:spacing w:after="0" w:line="51" w:lineRule="exact"/>
        <w:rPr>
          <w:sz w:val="20"/>
          <w:szCs w:val="20"/>
          <w:color w:val="auto"/>
        </w:rPr>
      </w:pPr>
    </w:p>
    <w:tbl>
      <w:tblPr>
        <w:tblLayout w:type="fixed"/>
        <w:tblInd w:w="453"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160" w:type="dxa"/>
            <w:vAlign w:val="bottom"/>
          </w:tcPr>
          <w:p>
            <w:pPr>
              <w:jc w:val="right"/>
              <w:ind w:right="146"/>
              <w:spacing w:after="0"/>
              <w:rPr>
                <w:sz w:val="20"/>
                <w:szCs w:val="20"/>
                <w:color w:val="auto"/>
              </w:rPr>
            </w:pPr>
            <w:r>
              <w:rPr>
                <w:rFonts w:ascii="Arial" w:cs="Arial" w:eastAsia="Arial" w:hAnsi="Arial"/>
                <w:sz w:val="14"/>
                <w:szCs w:val="14"/>
                <w:b w:val="1"/>
                <w:bCs w:val="1"/>
                <w:color w:val="auto"/>
              </w:rPr>
              <w:t>Thomas</w:t>
            </w:r>
          </w:p>
        </w:tc>
        <w:tc>
          <w:tcPr>
            <w:tcW w:w="880" w:type="dxa"/>
            <w:vAlign w:val="bottom"/>
          </w:tcPr>
          <w:p>
            <w:pPr>
              <w:jc w:val="right"/>
              <w:ind w:right="248"/>
              <w:spacing w:after="0"/>
              <w:rPr>
                <w:sz w:val="20"/>
                <w:szCs w:val="20"/>
                <w:color w:val="auto"/>
              </w:rPr>
            </w:pPr>
            <w:r>
              <w:rPr>
                <w:rFonts w:ascii="Arial" w:cs="Arial" w:eastAsia="Arial" w:hAnsi="Arial"/>
                <w:sz w:val="14"/>
                <w:szCs w:val="14"/>
                <w:b w:val="1"/>
                <w:bCs w:val="1"/>
                <w:color w:val="auto"/>
              </w:rPr>
              <w:t>Joan</w:t>
            </w:r>
          </w:p>
        </w:tc>
        <w:tc>
          <w:tcPr>
            <w:tcW w:w="900" w:type="dxa"/>
            <w:vAlign w:val="bottom"/>
          </w:tcPr>
          <w:p>
            <w:pPr>
              <w:jc w:val="right"/>
              <w:ind w:right="208"/>
              <w:spacing w:after="0"/>
              <w:rPr>
                <w:sz w:val="20"/>
                <w:szCs w:val="20"/>
                <w:color w:val="auto"/>
              </w:rPr>
            </w:pPr>
            <w:r>
              <w:rPr>
                <w:rFonts w:ascii="Arial" w:cs="Arial" w:eastAsia="Arial" w:hAnsi="Arial"/>
                <w:sz w:val="14"/>
                <w:szCs w:val="14"/>
                <w:b w:val="1"/>
                <w:bCs w:val="1"/>
                <w:color w:val="auto"/>
              </w:rPr>
              <w:t>Sarah</w:t>
            </w:r>
          </w:p>
        </w:tc>
        <w:tc>
          <w:tcPr>
            <w:tcW w:w="920" w:type="dxa"/>
            <w:vAlign w:val="bottom"/>
          </w:tcPr>
          <w:p>
            <w:pPr>
              <w:jc w:val="right"/>
              <w:ind w:right="208"/>
              <w:spacing w:after="0"/>
              <w:rPr>
                <w:sz w:val="20"/>
                <w:szCs w:val="20"/>
                <w:color w:val="auto"/>
              </w:rPr>
            </w:pPr>
            <w:r>
              <w:rPr>
                <w:rFonts w:ascii="Arial" w:cs="Arial" w:eastAsia="Arial" w:hAnsi="Arial"/>
                <w:sz w:val="14"/>
                <w:szCs w:val="14"/>
                <w:b w:val="1"/>
                <w:bCs w:val="1"/>
                <w:color w:val="auto"/>
              </w:rPr>
              <w:t>Michel</w:t>
            </w:r>
          </w:p>
        </w:tc>
        <w:tc>
          <w:tcPr>
            <w:tcW w:w="920" w:type="dxa"/>
            <w:vAlign w:val="bottom"/>
          </w:tcPr>
          <w:p>
            <w:pPr>
              <w:jc w:val="right"/>
              <w:ind w:right="208"/>
              <w:spacing w:after="0"/>
              <w:rPr>
                <w:sz w:val="20"/>
                <w:szCs w:val="20"/>
                <w:color w:val="auto"/>
              </w:rPr>
            </w:pPr>
            <w:r>
              <w:rPr>
                <w:rFonts w:ascii="Arial" w:cs="Arial" w:eastAsia="Arial" w:hAnsi="Arial"/>
                <w:sz w:val="14"/>
                <w:szCs w:val="14"/>
                <w:b w:val="1"/>
                <w:bCs w:val="1"/>
                <w:color w:val="auto"/>
              </w:rPr>
              <w:t>Donald</w:t>
            </w: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Philip</w:t>
            </w:r>
          </w:p>
        </w:tc>
      </w:tr>
      <w:tr>
        <w:trPr>
          <w:trHeight w:val="190"/>
        </w:trPr>
        <w:tc>
          <w:tcPr>
            <w:tcW w:w="3300" w:type="dxa"/>
            <w:vAlign w:val="bottom"/>
          </w:tcPr>
          <w:p>
            <w:pPr>
              <w:ind w:left="1200"/>
              <w:spacing w:after="0"/>
              <w:rPr>
                <w:sz w:val="20"/>
                <w:szCs w:val="20"/>
                <w:color w:val="auto"/>
              </w:rPr>
            </w:pPr>
            <w:r>
              <w:rPr>
                <w:rFonts w:ascii="Arial" w:cs="Arial" w:eastAsia="Arial" w:hAnsi="Arial"/>
                <w:sz w:val="14"/>
                <w:szCs w:val="14"/>
                <w:b w:val="1"/>
                <w:bCs w:val="1"/>
                <w:color w:val="auto"/>
              </w:rPr>
              <w:t>Vesting Date</w:t>
            </w:r>
          </w:p>
        </w:tc>
        <w:tc>
          <w:tcPr>
            <w:tcW w:w="2160" w:type="dxa"/>
            <w:vAlign w:val="bottom"/>
          </w:tcPr>
          <w:p>
            <w:pPr>
              <w:jc w:val="right"/>
              <w:ind w:right="146"/>
              <w:spacing w:after="0"/>
              <w:rPr>
                <w:sz w:val="20"/>
                <w:szCs w:val="20"/>
                <w:color w:val="auto"/>
              </w:rPr>
            </w:pPr>
            <w:r>
              <w:rPr>
                <w:rFonts w:ascii="Arial" w:cs="Arial" w:eastAsia="Arial" w:hAnsi="Arial"/>
                <w:sz w:val="14"/>
                <w:szCs w:val="14"/>
                <w:b w:val="1"/>
                <w:bCs w:val="1"/>
                <w:color w:val="auto"/>
              </w:rPr>
              <w:t>Deitrich</w:t>
            </w:r>
          </w:p>
        </w:tc>
        <w:tc>
          <w:tcPr>
            <w:tcW w:w="880" w:type="dxa"/>
            <w:vAlign w:val="bottom"/>
          </w:tcPr>
          <w:p>
            <w:pPr>
              <w:jc w:val="right"/>
              <w:ind w:right="168"/>
              <w:spacing w:after="0"/>
              <w:rPr>
                <w:sz w:val="20"/>
                <w:szCs w:val="20"/>
                <w:color w:val="auto"/>
              </w:rPr>
            </w:pPr>
            <w:r>
              <w:rPr>
                <w:rFonts w:ascii="Arial" w:cs="Arial" w:eastAsia="Arial" w:hAnsi="Arial"/>
                <w:sz w:val="14"/>
                <w:szCs w:val="14"/>
                <w:b w:val="1"/>
                <w:bCs w:val="1"/>
                <w:color w:val="auto"/>
              </w:rPr>
              <w:t>Hooper</w:t>
            </w:r>
          </w:p>
        </w:tc>
        <w:tc>
          <w:tcPr>
            <w:tcW w:w="900" w:type="dxa"/>
            <w:vAlign w:val="bottom"/>
          </w:tcPr>
          <w:p>
            <w:pPr>
              <w:jc w:val="right"/>
              <w:ind w:right="128"/>
              <w:spacing w:after="0"/>
              <w:rPr>
                <w:sz w:val="20"/>
                <w:szCs w:val="20"/>
                <w:color w:val="auto"/>
              </w:rPr>
            </w:pPr>
            <w:r>
              <w:rPr>
                <w:rFonts w:ascii="Arial" w:cs="Arial" w:eastAsia="Arial" w:hAnsi="Arial"/>
                <w:sz w:val="14"/>
                <w:szCs w:val="14"/>
                <w:b w:val="1"/>
                <w:bCs w:val="1"/>
                <w:color w:val="auto"/>
              </w:rPr>
              <w:t>Hlavinka</w:t>
            </w:r>
          </w:p>
        </w:tc>
        <w:tc>
          <w:tcPr>
            <w:tcW w:w="920" w:type="dxa"/>
            <w:vAlign w:val="bottom"/>
          </w:tcPr>
          <w:p>
            <w:pPr>
              <w:jc w:val="right"/>
              <w:ind w:right="168"/>
              <w:spacing w:after="0"/>
              <w:rPr>
                <w:sz w:val="20"/>
                <w:szCs w:val="20"/>
                <w:color w:val="auto"/>
              </w:rPr>
            </w:pPr>
            <w:r>
              <w:rPr>
                <w:rFonts w:ascii="Arial" w:cs="Arial" w:eastAsia="Arial" w:hAnsi="Arial"/>
                <w:sz w:val="14"/>
                <w:szCs w:val="14"/>
                <w:b w:val="1"/>
                <w:bCs w:val="1"/>
                <w:color w:val="auto"/>
              </w:rPr>
              <w:t>Cadieux</w:t>
            </w:r>
          </w:p>
        </w:tc>
        <w:tc>
          <w:tcPr>
            <w:tcW w:w="920" w:type="dxa"/>
            <w:vAlign w:val="bottom"/>
          </w:tcPr>
          <w:p>
            <w:pPr>
              <w:jc w:val="right"/>
              <w:ind w:right="208"/>
              <w:spacing w:after="0"/>
              <w:rPr>
                <w:sz w:val="20"/>
                <w:szCs w:val="20"/>
                <w:color w:val="auto"/>
              </w:rPr>
            </w:pPr>
            <w:r>
              <w:rPr>
                <w:rFonts w:ascii="Arial" w:cs="Arial" w:eastAsia="Arial" w:hAnsi="Arial"/>
                <w:sz w:val="14"/>
                <w:szCs w:val="14"/>
                <w:b w:val="1"/>
                <w:bCs w:val="1"/>
                <w:color w:val="auto"/>
              </w:rPr>
              <w:t>Reeves</w:t>
            </w:r>
          </w:p>
        </w:tc>
        <w:tc>
          <w:tcPr>
            <w:tcW w:w="660" w:type="dxa"/>
            <w:vAlign w:val="bottom"/>
          </w:tcPr>
          <w:p>
            <w:pPr>
              <w:jc w:val="right"/>
              <w:ind w:right="8"/>
              <w:spacing w:after="0"/>
              <w:rPr>
                <w:sz w:val="20"/>
                <w:szCs w:val="20"/>
                <w:color w:val="auto"/>
              </w:rPr>
            </w:pPr>
            <w:r>
              <w:rPr>
                <w:rFonts w:ascii="Arial" w:cs="Arial" w:eastAsia="Arial" w:hAnsi="Arial"/>
                <w:sz w:val="14"/>
                <w:szCs w:val="14"/>
                <w:b w:val="1"/>
                <w:bCs w:val="1"/>
                <w:color w:val="auto"/>
              </w:rPr>
              <w:t>Mezey</w:t>
            </w:r>
          </w:p>
        </w:tc>
      </w:tr>
      <w:tr>
        <w:trPr>
          <w:trHeight w:val="203"/>
        </w:trPr>
        <w:tc>
          <w:tcPr>
            <w:tcW w:w="3300" w:type="dxa"/>
            <w:vAlign w:val="bottom"/>
          </w:tcPr>
          <w:p>
            <w:pPr>
              <w:spacing w:after="0"/>
              <w:rPr>
                <w:sz w:val="20"/>
                <w:szCs w:val="20"/>
                <w:color w:val="auto"/>
              </w:rPr>
            </w:pPr>
            <w:r>
              <w:rPr>
                <w:rFonts w:ascii="Arial" w:cs="Arial" w:eastAsia="Arial" w:hAnsi="Arial"/>
                <w:sz w:val="14"/>
                <w:szCs w:val="14"/>
                <w:b w:val="1"/>
                <w:bCs w:val="1"/>
                <w:color w:val="auto"/>
              </w:rPr>
              <w:t>2020</w:t>
            </w:r>
          </w:p>
        </w:tc>
        <w:tc>
          <w:tcPr>
            <w:tcW w:w="2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89"/>
        </w:trPr>
        <w:tc>
          <w:tcPr>
            <w:tcW w:w="3300" w:type="dxa"/>
            <w:vAlign w:val="bottom"/>
          </w:tcPr>
          <w:p>
            <w:pPr>
              <w:spacing w:after="0"/>
              <w:rPr>
                <w:sz w:val="20"/>
                <w:szCs w:val="20"/>
                <w:color w:val="auto"/>
              </w:rPr>
            </w:pPr>
            <w:r>
              <w:rPr>
                <w:rFonts w:ascii="Arial" w:cs="Arial" w:eastAsia="Arial" w:hAnsi="Arial"/>
                <w:sz w:val="14"/>
                <w:szCs w:val="14"/>
                <w:color w:val="auto"/>
              </w:rPr>
              <w:t>2/10/2020</w:t>
            </w:r>
          </w:p>
        </w:tc>
        <w:tc>
          <w:tcPr>
            <w:tcW w:w="2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939</w:t>
            </w:r>
          </w:p>
        </w:tc>
        <w:tc>
          <w:tcPr>
            <w:tcW w:w="660" w:type="dxa"/>
            <w:vAlign w:val="bottom"/>
          </w:tcPr>
          <w:p>
            <w:pPr>
              <w:spacing w:after="0"/>
              <w:rPr>
                <w:sz w:val="16"/>
                <w:szCs w:val="16"/>
                <w:color w:val="auto"/>
              </w:rPr>
            </w:pPr>
          </w:p>
        </w:tc>
      </w:tr>
      <w:tr>
        <w:trPr>
          <w:trHeight w:val="189"/>
        </w:trPr>
        <w:tc>
          <w:tcPr>
            <w:tcW w:w="3300" w:type="dxa"/>
            <w:vAlign w:val="bottom"/>
          </w:tcPr>
          <w:p>
            <w:pPr>
              <w:spacing w:after="0"/>
              <w:rPr>
                <w:sz w:val="20"/>
                <w:szCs w:val="20"/>
                <w:color w:val="auto"/>
              </w:rPr>
            </w:pPr>
            <w:r>
              <w:rPr>
                <w:rFonts w:ascii="Arial" w:cs="Arial" w:eastAsia="Arial" w:hAnsi="Arial"/>
                <w:sz w:val="14"/>
                <w:szCs w:val="14"/>
                <w:color w:val="auto"/>
              </w:rPr>
              <w:t>2/21/2020</w:t>
            </w:r>
          </w:p>
        </w:tc>
        <w:tc>
          <w:tcPr>
            <w:tcW w:w="2160" w:type="dxa"/>
            <w:vAlign w:val="bottom"/>
          </w:tcPr>
          <w:p>
            <w:pPr>
              <w:jc w:val="right"/>
              <w:ind w:right="66"/>
              <w:spacing w:after="0"/>
              <w:rPr>
                <w:sz w:val="20"/>
                <w:szCs w:val="20"/>
                <w:color w:val="auto"/>
              </w:rPr>
            </w:pPr>
            <w:r>
              <w:rPr>
                <w:rFonts w:ascii="Arial" w:cs="Arial" w:eastAsia="Arial" w:hAnsi="Arial"/>
                <w:sz w:val="14"/>
                <w:szCs w:val="14"/>
                <w:color w:val="auto"/>
              </w:rPr>
              <w:t>5,472</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3,420</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2,189</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2,189</w:t>
            </w: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9"/>
        </w:trPr>
        <w:tc>
          <w:tcPr>
            <w:tcW w:w="3300" w:type="dxa"/>
            <w:vAlign w:val="bottom"/>
          </w:tcPr>
          <w:p>
            <w:pPr>
              <w:spacing w:after="0"/>
              <w:rPr>
                <w:sz w:val="20"/>
                <w:szCs w:val="20"/>
                <w:color w:val="auto"/>
              </w:rPr>
            </w:pPr>
            <w:r>
              <w:rPr>
                <w:rFonts w:ascii="Arial" w:cs="Arial" w:eastAsia="Arial" w:hAnsi="Arial"/>
                <w:sz w:val="14"/>
                <w:szCs w:val="14"/>
                <w:color w:val="auto"/>
              </w:rPr>
              <w:t>2/22/2020</w:t>
            </w:r>
          </w:p>
        </w:tc>
        <w:tc>
          <w:tcPr>
            <w:tcW w:w="2160" w:type="dxa"/>
            <w:vAlign w:val="bottom"/>
          </w:tcPr>
          <w:p>
            <w:pPr>
              <w:jc w:val="right"/>
              <w:ind w:right="66"/>
              <w:spacing w:after="0"/>
              <w:rPr>
                <w:sz w:val="20"/>
                <w:szCs w:val="20"/>
                <w:color w:val="auto"/>
              </w:rPr>
            </w:pPr>
            <w:r>
              <w:rPr>
                <w:rFonts w:ascii="Arial" w:cs="Arial" w:eastAsia="Arial" w:hAnsi="Arial"/>
                <w:sz w:val="14"/>
                <w:szCs w:val="14"/>
                <w:color w:val="auto"/>
              </w:rPr>
              <w:t>2,405</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1,202</w:t>
            </w:r>
          </w:p>
        </w:tc>
        <w:tc>
          <w:tcPr>
            <w:tcW w:w="900" w:type="dxa"/>
            <w:vAlign w:val="bottom"/>
          </w:tcPr>
          <w:p>
            <w:pPr>
              <w:spacing w:after="0"/>
              <w:rPr>
                <w:sz w:val="16"/>
                <w:szCs w:val="16"/>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962</w:t>
            </w:r>
          </w:p>
        </w:tc>
        <w:tc>
          <w:tcPr>
            <w:tcW w:w="9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4,329</w:t>
            </w:r>
          </w:p>
        </w:tc>
      </w:tr>
      <w:tr>
        <w:trPr>
          <w:trHeight w:val="189"/>
        </w:trPr>
        <w:tc>
          <w:tcPr>
            <w:tcW w:w="3300" w:type="dxa"/>
            <w:vAlign w:val="bottom"/>
          </w:tcPr>
          <w:p>
            <w:pPr>
              <w:spacing w:after="0"/>
              <w:rPr>
                <w:sz w:val="20"/>
                <w:szCs w:val="20"/>
                <w:color w:val="auto"/>
              </w:rPr>
            </w:pPr>
            <w:r>
              <w:rPr>
                <w:rFonts w:ascii="Arial" w:cs="Arial" w:eastAsia="Arial" w:hAnsi="Arial"/>
                <w:sz w:val="14"/>
                <w:szCs w:val="14"/>
                <w:color w:val="auto"/>
              </w:rPr>
              <w:t>2/23/2020</w:t>
            </w:r>
          </w:p>
        </w:tc>
        <w:tc>
          <w:tcPr>
            <w:tcW w:w="2160" w:type="dxa"/>
            <w:vAlign w:val="bottom"/>
          </w:tcPr>
          <w:p>
            <w:pPr>
              <w:jc w:val="right"/>
              <w:ind w:right="66"/>
              <w:spacing w:after="0"/>
              <w:rPr>
                <w:sz w:val="20"/>
                <w:szCs w:val="20"/>
                <w:color w:val="auto"/>
              </w:rPr>
            </w:pPr>
            <w:r>
              <w:rPr>
                <w:rFonts w:ascii="Arial" w:cs="Arial" w:eastAsia="Arial" w:hAnsi="Arial"/>
                <w:sz w:val="14"/>
                <w:szCs w:val="14"/>
                <w:color w:val="auto"/>
              </w:rPr>
              <w:t>2,543</w:t>
            </w: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1,017</w:t>
            </w:r>
          </w:p>
        </w:tc>
        <w:tc>
          <w:tcPr>
            <w:tcW w:w="9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4,068</w:t>
            </w:r>
          </w:p>
        </w:tc>
      </w:tr>
      <w:tr>
        <w:trPr>
          <w:trHeight w:val="189"/>
        </w:trPr>
        <w:tc>
          <w:tcPr>
            <w:tcW w:w="3300" w:type="dxa"/>
            <w:vAlign w:val="bottom"/>
          </w:tcPr>
          <w:p>
            <w:pPr>
              <w:spacing w:after="0"/>
              <w:rPr>
                <w:sz w:val="20"/>
                <w:szCs w:val="20"/>
                <w:color w:val="auto"/>
              </w:rPr>
            </w:pPr>
            <w:r>
              <w:rPr>
                <w:rFonts w:ascii="Arial" w:cs="Arial" w:eastAsia="Arial" w:hAnsi="Arial"/>
                <w:sz w:val="14"/>
                <w:szCs w:val="14"/>
                <w:color w:val="auto"/>
              </w:rPr>
              <w:t>5/9/2020</w:t>
            </w:r>
          </w:p>
        </w:tc>
        <w:tc>
          <w:tcPr>
            <w:tcW w:w="216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1,239</w:t>
            </w: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9"/>
        </w:trPr>
        <w:tc>
          <w:tcPr>
            <w:tcW w:w="3300" w:type="dxa"/>
            <w:vAlign w:val="bottom"/>
          </w:tcPr>
          <w:p>
            <w:pPr>
              <w:spacing w:after="0"/>
              <w:rPr>
                <w:sz w:val="20"/>
                <w:szCs w:val="20"/>
                <w:color w:val="auto"/>
              </w:rPr>
            </w:pPr>
            <w:r>
              <w:rPr>
                <w:rFonts w:ascii="Arial" w:cs="Arial" w:eastAsia="Arial" w:hAnsi="Arial"/>
                <w:sz w:val="14"/>
                <w:szCs w:val="14"/>
                <w:color w:val="auto"/>
              </w:rPr>
              <w:t>5/10/2020</w:t>
            </w:r>
          </w:p>
        </w:tc>
        <w:tc>
          <w:tcPr>
            <w:tcW w:w="2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2,821</w:t>
            </w:r>
          </w:p>
        </w:tc>
        <w:tc>
          <w:tcPr>
            <w:tcW w:w="660" w:type="dxa"/>
            <w:vAlign w:val="bottom"/>
          </w:tcPr>
          <w:p>
            <w:pPr>
              <w:spacing w:after="0"/>
              <w:rPr>
                <w:sz w:val="16"/>
                <w:szCs w:val="16"/>
                <w:color w:val="auto"/>
              </w:rPr>
            </w:pPr>
          </w:p>
        </w:tc>
      </w:tr>
      <w:tr>
        <w:trPr>
          <w:trHeight w:val="189"/>
        </w:trPr>
        <w:tc>
          <w:tcPr>
            <w:tcW w:w="3300" w:type="dxa"/>
            <w:vAlign w:val="bottom"/>
          </w:tcPr>
          <w:p>
            <w:pPr>
              <w:spacing w:after="0"/>
              <w:rPr>
                <w:sz w:val="20"/>
                <w:szCs w:val="20"/>
                <w:color w:val="auto"/>
              </w:rPr>
            </w:pPr>
            <w:r>
              <w:rPr>
                <w:rFonts w:ascii="Arial" w:cs="Arial" w:eastAsia="Arial" w:hAnsi="Arial"/>
                <w:sz w:val="14"/>
                <w:szCs w:val="14"/>
                <w:color w:val="auto"/>
              </w:rPr>
              <w:t>5/17/2020</w:t>
            </w:r>
          </w:p>
        </w:tc>
        <w:tc>
          <w:tcPr>
            <w:tcW w:w="216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1,465</w:t>
            </w: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9"/>
        </w:trPr>
        <w:tc>
          <w:tcPr>
            <w:tcW w:w="3300" w:type="dxa"/>
            <w:vAlign w:val="bottom"/>
          </w:tcPr>
          <w:p>
            <w:pPr>
              <w:spacing w:after="0"/>
              <w:rPr>
                <w:sz w:val="20"/>
                <w:szCs w:val="20"/>
                <w:color w:val="auto"/>
              </w:rPr>
            </w:pPr>
            <w:r>
              <w:rPr>
                <w:rFonts w:ascii="Arial" w:cs="Arial" w:eastAsia="Arial" w:hAnsi="Arial"/>
                <w:sz w:val="14"/>
                <w:szCs w:val="14"/>
                <w:color w:val="auto"/>
              </w:rPr>
              <w:t>6/20/2020</w:t>
            </w:r>
          </w:p>
        </w:tc>
        <w:tc>
          <w:tcPr>
            <w:tcW w:w="216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1,218</w:t>
            </w: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9"/>
        </w:trPr>
        <w:tc>
          <w:tcPr>
            <w:tcW w:w="3300" w:type="dxa"/>
            <w:vAlign w:val="bottom"/>
          </w:tcPr>
          <w:p>
            <w:pPr>
              <w:spacing w:after="0"/>
              <w:rPr>
                <w:sz w:val="20"/>
                <w:szCs w:val="20"/>
                <w:color w:val="auto"/>
              </w:rPr>
            </w:pPr>
            <w:r>
              <w:rPr>
                <w:rFonts w:ascii="Arial" w:cs="Arial" w:eastAsia="Arial" w:hAnsi="Arial"/>
                <w:sz w:val="14"/>
                <w:szCs w:val="14"/>
                <w:color w:val="auto"/>
              </w:rPr>
              <w:t>7/1/2020</w:t>
            </w:r>
          </w:p>
        </w:tc>
        <w:tc>
          <w:tcPr>
            <w:tcW w:w="2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1,113</w:t>
            </w:r>
          </w:p>
        </w:tc>
        <w:tc>
          <w:tcPr>
            <w:tcW w:w="660" w:type="dxa"/>
            <w:vAlign w:val="bottom"/>
          </w:tcPr>
          <w:p>
            <w:pPr>
              <w:spacing w:after="0"/>
              <w:rPr>
                <w:sz w:val="16"/>
                <w:szCs w:val="16"/>
                <w:color w:val="auto"/>
              </w:rPr>
            </w:pPr>
          </w:p>
        </w:tc>
      </w:tr>
      <w:tr>
        <w:trPr>
          <w:trHeight w:val="189"/>
        </w:trPr>
        <w:tc>
          <w:tcPr>
            <w:tcW w:w="3300" w:type="dxa"/>
            <w:vAlign w:val="bottom"/>
          </w:tcPr>
          <w:p>
            <w:pPr>
              <w:spacing w:after="0"/>
              <w:rPr>
                <w:sz w:val="20"/>
                <w:szCs w:val="20"/>
                <w:color w:val="auto"/>
              </w:rPr>
            </w:pPr>
            <w:r>
              <w:rPr>
                <w:rFonts w:ascii="Arial" w:cs="Arial" w:eastAsia="Arial" w:hAnsi="Arial"/>
                <w:sz w:val="14"/>
                <w:szCs w:val="14"/>
                <w:color w:val="auto"/>
              </w:rPr>
              <w:t>8/10/2020</w:t>
            </w:r>
          </w:p>
        </w:tc>
        <w:tc>
          <w:tcPr>
            <w:tcW w:w="2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445</w:t>
            </w:r>
          </w:p>
        </w:tc>
        <w:tc>
          <w:tcPr>
            <w:tcW w:w="660" w:type="dxa"/>
            <w:vAlign w:val="bottom"/>
          </w:tcPr>
          <w:p>
            <w:pPr>
              <w:spacing w:after="0"/>
              <w:rPr>
                <w:sz w:val="16"/>
                <w:szCs w:val="16"/>
                <w:color w:val="auto"/>
              </w:rPr>
            </w:pPr>
          </w:p>
        </w:tc>
      </w:tr>
      <w:tr>
        <w:trPr>
          <w:trHeight w:val="189"/>
        </w:trPr>
        <w:tc>
          <w:tcPr>
            <w:tcW w:w="3300" w:type="dxa"/>
            <w:vAlign w:val="bottom"/>
          </w:tcPr>
          <w:p>
            <w:pPr>
              <w:spacing w:after="0"/>
              <w:rPr>
                <w:sz w:val="20"/>
                <w:szCs w:val="20"/>
                <w:color w:val="auto"/>
              </w:rPr>
            </w:pPr>
            <w:r>
              <w:rPr>
                <w:rFonts w:ascii="Arial" w:cs="Arial" w:eastAsia="Arial" w:hAnsi="Arial"/>
                <w:sz w:val="14"/>
                <w:szCs w:val="14"/>
                <w:color w:val="auto"/>
              </w:rPr>
              <w:t>9/12/2020</w:t>
            </w:r>
          </w:p>
        </w:tc>
        <w:tc>
          <w:tcPr>
            <w:tcW w:w="2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1,005</w:t>
            </w:r>
          </w:p>
        </w:tc>
        <w:tc>
          <w:tcPr>
            <w:tcW w:w="920" w:type="dxa"/>
            <w:vAlign w:val="bottom"/>
          </w:tcPr>
          <w:p>
            <w:pPr>
              <w:spacing w:after="0"/>
              <w:rPr>
                <w:sz w:val="16"/>
                <w:szCs w:val="16"/>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377</w:t>
            </w:r>
          </w:p>
        </w:tc>
        <w:tc>
          <w:tcPr>
            <w:tcW w:w="660" w:type="dxa"/>
            <w:vAlign w:val="bottom"/>
          </w:tcPr>
          <w:p>
            <w:pPr>
              <w:spacing w:after="0"/>
              <w:rPr>
                <w:sz w:val="16"/>
                <w:szCs w:val="16"/>
                <w:color w:val="auto"/>
              </w:rPr>
            </w:pPr>
          </w:p>
        </w:tc>
      </w:tr>
      <w:tr>
        <w:trPr>
          <w:trHeight w:val="189"/>
        </w:trPr>
        <w:tc>
          <w:tcPr>
            <w:tcW w:w="3300" w:type="dxa"/>
            <w:vAlign w:val="bottom"/>
          </w:tcPr>
          <w:p>
            <w:pPr>
              <w:spacing w:after="0"/>
              <w:rPr>
                <w:sz w:val="20"/>
                <w:szCs w:val="20"/>
                <w:color w:val="auto"/>
              </w:rPr>
            </w:pPr>
            <w:r>
              <w:rPr>
                <w:rFonts w:ascii="Arial" w:cs="Arial" w:eastAsia="Arial" w:hAnsi="Arial"/>
                <w:sz w:val="14"/>
                <w:szCs w:val="14"/>
                <w:color w:val="auto"/>
              </w:rPr>
              <w:t>9/19/2020</w:t>
            </w:r>
          </w:p>
        </w:tc>
        <w:tc>
          <w:tcPr>
            <w:tcW w:w="2160" w:type="dxa"/>
            <w:vAlign w:val="bottom"/>
          </w:tcPr>
          <w:p>
            <w:pPr>
              <w:jc w:val="right"/>
              <w:ind w:right="66"/>
              <w:spacing w:after="0"/>
              <w:rPr>
                <w:sz w:val="20"/>
                <w:szCs w:val="20"/>
                <w:color w:val="auto"/>
              </w:rPr>
            </w:pPr>
            <w:r>
              <w:rPr>
                <w:rFonts w:ascii="Arial" w:cs="Arial" w:eastAsia="Arial" w:hAnsi="Arial"/>
                <w:sz w:val="14"/>
                <w:szCs w:val="14"/>
                <w:color w:val="auto"/>
              </w:rPr>
              <w:t>6,531</w:t>
            </w: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378"/>
        </w:trPr>
        <w:tc>
          <w:tcPr>
            <w:tcW w:w="3300" w:type="dxa"/>
            <w:vAlign w:val="bottom"/>
          </w:tcPr>
          <w:p>
            <w:pPr>
              <w:spacing w:after="0"/>
              <w:rPr>
                <w:sz w:val="20"/>
                <w:szCs w:val="20"/>
                <w:color w:val="auto"/>
              </w:rPr>
            </w:pPr>
            <w:r>
              <w:rPr>
                <w:rFonts w:ascii="Arial" w:cs="Arial" w:eastAsia="Arial" w:hAnsi="Arial"/>
                <w:sz w:val="14"/>
                <w:szCs w:val="14"/>
                <w:b w:val="1"/>
                <w:bCs w:val="1"/>
                <w:color w:val="auto"/>
              </w:rPr>
              <w:t>2021</w:t>
            </w:r>
          </w:p>
        </w:tc>
        <w:tc>
          <w:tcPr>
            <w:tcW w:w="2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9"/>
        </w:trPr>
        <w:tc>
          <w:tcPr>
            <w:tcW w:w="3300" w:type="dxa"/>
            <w:vAlign w:val="bottom"/>
          </w:tcPr>
          <w:p>
            <w:pPr>
              <w:spacing w:after="0"/>
              <w:rPr>
                <w:sz w:val="20"/>
                <w:szCs w:val="20"/>
                <w:color w:val="auto"/>
              </w:rPr>
            </w:pPr>
            <w:r>
              <w:rPr>
                <w:rFonts w:ascii="Arial" w:cs="Arial" w:eastAsia="Arial" w:hAnsi="Arial"/>
                <w:sz w:val="14"/>
                <w:szCs w:val="14"/>
                <w:color w:val="auto"/>
              </w:rPr>
              <w:t>2/21/2021</w:t>
            </w:r>
          </w:p>
        </w:tc>
        <w:tc>
          <w:tcPr>
            <w:tcW w:w="2160" w:type="dxa"/>
            <w:vAlign w:val="bottom"/>
          </w:tcPr>
          <w:p>
            <w:pPr>
              <w:jc w:val="right"/>
              <w:ind w:right="66"/>
              <w:spacing w:after="0"/>
              <w:rPr>
                <w:sz w:val="20"/>
                <w:szCs w:val="20"/>
                <w:color w:val="auto"/>
              </w:rPr>
            </w:pPr>
            <w:r>
              <w:rPr>
                <w:rFonts w:ascii="Arial" w:cs="Arial" w:eastAsia="Arial" w:hAnsi="Arial"/>
                <w:sz w:val="14"/>
                <w:szCs w:val="14"/>
                <w:color w:val="auto"/>
              </w:rPr>
              <w:t>5,472</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3,420</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2,189</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2,189</w:t>
            </w: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9"/>
        </w:trPr>
        <w:tc>
          <w:tcPr>
            <w:tcW w:w="3300" w:type="dxa"/>
            <w:vAlign w:val="bottom"/>
          </w:tcPr>
          <w:p>
            <w:pPr>
              <w:spacing w:after="0"/>
              <w:rPr>
                <w:sz w:val="20"/>
                <w:szCs w:val="20"/>
                <w:color w:val="auto"/>
              </w:rPr>
            </w:pPr>
            <w:r>
              <w:rPr>
                <w:rFonts w:ascii="Arial" w:cs="Arial" w:eastAsia="Arial" w:hAnsi="Arial"/>
                <w:sz w:val="14"/>
                <w:szCs w:val="14"/>
                <w:color w:val="auto"/>
              </w:rPr>
              <w:t>2/22/2021</w:t>
            </w:r>
          </w:p>
        </w:tc>
        <w:tc>
          <w:tcPr>
            <w:tcW w:w="2160" w:type="dxa"/>
            <w:vAlign w:val="bottom"/>
          </w:tcPr>
          <w:p>
            <w:pPr>
              <w:jc w:val="right"/>
              <w:ind w:right="66"/>
              <w:spacing w:after="0"/>
              <w:rPr>
                <w:sz w:val="20"/>
                <w:szCs w:val="20"/>
                <w:color w:val="auto"/>
              </w:rPr>
            </w:pPr>
            <w:r>
              <w:rPr>
                <w:rFonts w:ascii="Arial" w:cs="Arial" w:eastAsia="Arial" w:hAnsi="Arial"/>
                <w:sz w:val="14"/>
                <w:szCs w:val="14"/>
                <w:color w:val="auto"/>
              </w:rPr>
              <w:t>2,405</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1,203</w:t>
            </w:r>
          </w:p>
        </w:tc>
        <w:tc>
          <w:tcPr>
            <w:tcW w:w="900" w:type="dxa"/>
            <w:vAlign w:val="bottom"/>
          </w:tcPr>
          <w:p>
            <w:pPr>
              <w:spacing w:after="0"/>
              <w:rPr>
                <w:sz w:val="16"/>
                <w:szCs w:val="16"/>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962</w:t>
            </w:r>
          </w:p>
        </w:tc>
        <w:tc>
          <w:tcPr>
            <w:tcW w:w="9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4,329</w:t>
            </w:r>
          </w:p>
        </w:tc>
      </w:tr>
      <w:tr>
        <w:trPr>
          <w:trHeight w:val="189"/>
        </w:trPr>
        <w:tc>
          <w:tcPr>
            <w:tcW w:w="3300" w:type="dxa"/>
            <w:vAlign w:val="bottom"/>
          </w:tcPr>
          <w:p>
            <w:pPr>
              <w:spacing w:after="0"/>
              <w:rPr>
                <w:sz w:val="20"/>
                <w:szCs w:val="20"/>
                <w:color w:val="auto"/>
              </w:rPr>
            </w:pPr>
            <w:r>
              <w:rPr>
                <w:rFonts w:ascii="Arial" w:cs="Arial" w:eastAsia="Arial" w:hAnsi="Arial"/>
                <w:sz w:val="14"/>
                <w:szCs w:val="14"/>
                <w:color w:val="auto"/>
              </w:rPr>
              <w:t>5/9/2021</w:t>
            </w:r>
          </w:p>
        </w:tc>
        <w:tc>
          <w:tcPr>
            <w:tcW w:w="216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1,239</w:t>
            </w: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9"/>
        </w:trPr>
        <w:tc>
          <w:tcPr>
            <w:tcW w:w="3300" w:type="dxa"/>
            <w:vAlign w:val="bottom"/>
          </w:tcPr>
          <w:p>
            <w:pPr>
              <w:spacing w:after="0"/>
              <w:rPr>
                <w:sz w:val="20"/>
                <w:szCs w:val="20"/>
                <w:color w:val="auto"/>
              </w:rPr>
            </w:pPr>
            <w:r>
              <w:rPr>
                <w:rFonts w:ascii="Arial" w:cs="Arial" w:eastAsia="Arial" w:hAnsi="Arial"/>
                <w:sz w:val="14"/>
                <w:szCs w:val="14"/>
                <w:color w:val="auto"/>
              </w:rPr>
              <w:t>5/17/2021</w:t>
            </w:r>
          </w:p>
        </w:tc>
        <w:tc>
          <w:tcPr>
            <w:tcW w:w="216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1,465</w:t>
            </w: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9"/>
        </w:trPr>
        <w:tc>
          <w:tcPr>
            <w:tcW w:w="3300" w:type="dxa"/>
            <w:vAlign w:val="bottom"/>
          </w:tcPr>
          <w:p>
            <w:pPr>
              <w:spacing w:after="0"/>
              <w:rPr>
                <w:sz w:val="20"/>
                <w:szCs w:val="20"/>
                <w:color w:val="auto"/>
              </w:rPr>
            </w:pPr>
            <w:r>
              <w:rPr>
                <w:rFonts w:ascii="Arial" w:cs="Arial" w:eastAsia="Arial" w:hAnsi="Arial"/>
                <w:sz w:val="14"/>
                <w:szCs w:val="14"/>
                <w:color w:val="auto"/>
              </w:rPr>
              <w:t>7/1/2021</w:t>
            </w:r>
          </w:p>
        </w:tc>
        <w:tc>
          <w:tcPr>
            <w:tcW w:w="2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1,114</w:t>
            </w:r>
          </w:p>
        </w:tc>
        <w:tc>
          <w:tcPr>
            <w:tcW w:w="660" w:type="dxa"/>
            <w:vAlign w:val="bottom"/>
          </w:tcPr>
          <w:p>
            <w:pPr>
              <w:spacing w:after="0"/>
              <w:rPr>
                <w:sz w:val="16"/>
                <w:szCs w:val="16"/>
                <w:color w:val="auto"/>
              </w:rPr>
            </w:pPr>
          </w:p>
        </w:tc>
      </w:tr>
      <w:tr>
        <w:trPr>
          <w:trHeight w:val="189"/>
        </w:trPr>
        <w:tc>
          <w:tcPr>
            <w:tcW w:w="3300" w:type="dxa"/>
            <w:vAlign w:val="bottom"/>
          </w:tcPr>
          <w:p>
            <w:pPr>
              <w:spacing w:after="0"/>
              <w:rPr>
                <w:sz w:val="20"/>
                <w:szCs w:val="20"/>
                <w:color w:val="auto"/>
              </w:rPr>
            </w:pPr>
            <w:r>
              <w:rPr>
                <w:rFonts w:ascii="Arial" w:cs="Arial" w:eastAsia="Arial" w:hAnsi="Arial"/>
                <w:sz w:val="14"/>
                <w:szCs w:val="14"/>
                <w:color w:val="auto"/>
              </w:rPr>
              <w:t>9/12/2021</w:t>
            </w:r>
          </w:p>
        </w:tc>
        <w:tc>
          <w:tcPr>
            <w:tcW w:w="2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1,006</w:t>
            </w:r>
          </w:p>
        </w:tc>
        <w:tc>
          <w:tcPr>
            <w:tcW w:w="920" w:type="dxa"/>
            <w:vAlign w:val="bottom"/>
          </w:tcPr>
          <w:p>
            <w:pPr>
              <w:spacing w:after="0"/>
              <w:rPr>
                <w:sz w:val="16"/>
                <w:szCs w:val="16"/>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377</w:t>
            </w:r>
          </w:p>
        </w:tc>
        <w:tc>
          <w:tcPr>
            <w:tcW w:w="660" w:type="dxa"/>
            <w:vAlign w:val="bottom"/>
          </w:tcPr>
          <w:p>
            <w:pPr>
              <w:spacing w:after="0"/>
              <w:rPr>
                <w:sz w:val="16"/>
                <w:szCs w:val="16"/>
                <w:color w:val="auto"/>
              </w:rPr>
            </w:pPr>
          </w:p>
        </w:tc>
      </w:tr>
      <w:tr>
        <w:trPr>
          <w:trHeight w:val="189"/>
        </w:trPr>
        <w:tc>
          <w:tcPr>
            <w:tcW w:w="3300" w:type="dxa"/>
            <w:vAlign w:val="bottom"/>
          </w:tcPr>
          <w:p>
            <w:pPr>
              <w:spacing w:after="0"/>
              <w:rPr>
                <w:sz w:val="20"/>
                <w:szCs w:val="20"/>
                <w:color w:val="auto"/>
              </w:rPr>
            </w:pPr>
            <w:r>
              <w:rPr>
                <w:rFonts w:ascii="Arial" w:cs="Arial" w:eastAsia="Arial" w:hAnsi="Arial"/>
                <w:sz w:val="14"/>
                <w:szCs w:val="14"/>
                <w:color w:val="auto"/>
              </w:rPr>
              <w:t>9/19/2021</w:t>
            </w:r>
          </w:p>
        </w:tc>
        <w:tc>
          <w:tcPr>
            <w:tcW w:w="2160" w:type="dxa"/>
            <w:vAlign w:val="bottom"/>
          </w:tcPr>
          <w:p>
            <w:pPr>
              <w:jc w:val="right"/>
              <w:ind w:right="66"/>
              <w:spacing w:after="0"/>
              <w:rPr>
                <w:sz w:val="20"/>
                <w:szCs w:val="20"/>
                <w:color w:val="auto"/>
              </w:rPr>
            </w:pPr>
            <w:r>
              <w:rPr>
                <w:rFonts w:ascii="Arial" w:cs="Arial" w:eastAsia="Arial" w:hAnsi="Arial"/>
                <w:sz w:val="14"/>
                <w:szCs w:val="14"/>
                <w:color w:val="auto"/>
              </w:rPr>
              <w:t>6,532</w:t>
            </w: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741"/>
        </w:trPr>
        <w:tc>
          <w:tcPr>
            <w:tcW w:w="3300" w:type="dxa"/>
            <w:vAlign w:val="bottom"/>
          </w:tcPr>
          <w:p>
            <w:pPr>
              <w:spacing w:after="0"/>
              <w:rPr>
                <w:sz w:val="24"/>
                <w:szCs w:val="24"/>
                <w:color w:val="auto"/>
              </w:rPr>
            </w:pPr>
          </w:p>
        </w:tc>
        <w:tc>
          <w:tcPr>
            <w:tcW w:w="2160" w:type="dxa"/>
            <w:vAlign w:val="bottom"/>
          </w:tcPr>
          <w:p>
            <w:pPr>
              <w:jc w:val="right"/>
              <w:ind w:right="566"/>
              <w:spacing w:after="0"/>
              <w:rPr>
                <w:sz w:val="20"/>
                <w:szCs w:val="20"/>
                <w:color w:val="auto"/>
              </w:rPr>
            </w:pPr>
            <w:r>
              <w:rPr>
                <w:rFonts w:ascii="Arial" w:cs="Arial" w:eastAsia="Arial" w:hAnsi="Arial"/>
                <w:sz w:val="18"/>
                <w:szCs w:val="18"/>
                <w:color w:val="auto"/>
              </w:rPr>
              <w:t>-41-</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102870</wp:posOffset>
            </wp:positionV>
            <wp:extent cx="6069330" cy="431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69330" cy="43180"/>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-3128010</wp:posOffset>
            </wp:positionV>
            <wp:extent cx="6275070" cy="27774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75070" cy="2777490"/>
                    </a:xfrm>
                    <a:prstGeom prst="rect">
                      <a:avLst/>
                    </a:prstGeom>
                    <a:noFill/>
                  </pic:spPr>
                </pic:pic>
              </a:graphicData>
            </a:graphic>
          </wp:anchor>
        </w:drawing>
      </w:r>
    </w:p>
    <w:p>
      <w:pPr>
        <w:sectPr>
          <w:pgSz w:w="11900" w:h="16838" w:orient="portrait"/>
          <w:cols w:equalWidth="0" w:num="1">
            <w:col w:w="10493"/>
          </w:cols>
          <w:pgMar w:left="687" w:top="279" w:right="719" w:bottom="1440" w:gutter="0" w:footer="0" w:header="0"/>
        </w:sectPr>
      </w:pPr>
    </w:p>
    <w:bookmarkStart w:id="45" w:name="page46"/>
    <w:bookmarkEnd w:id="45"/>
    <w:tbl>
      <w:tblPr>
        <w:tblLayout w:type="fixed"/>
        <w:tblInd w:w="44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320" w:type="dxa"/>
            <w:vAlign w:val="bottom"/>
            <w:gridSpan w:val="2"/>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5"/>
        </w:trPr>
        <w:tc>
          <w:tcPr>
            <w:tcW w:w="4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1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Thomas</w:t>
            </w:r>
          </w:p>
        </w:tc>
        <w:tc>
          <w:tcPr>
            <w:tcW w:w="18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Joan</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Sarah</w:t>
            </w:r>
          </w:p>
        </w:tc>
        <w:tc>
          <w:tcPr>
            <w:tcW w:w="1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Michel</w:t>
            </w:r>
          </w:p>
        </w:tc>
        <w:tc>
          <w:tcPr>
            <w:tcW w:w="180" w:type="dxa"/>
            <w:vAlign w:val="bottom"/>
          </w:tcPr>
          <w:p>
            <w:pPr>
              <w:spacing w:after="0"/>
              <w:rPr>
                <w:sz w:val="24"/>
                <w:szCs w:val="24"/>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Donald</w:t>
            </w:r>
          </w:p>
        </w:tc>
        <w:tc>
          <w:tcPr>
            <w:tcW w:w="180" w:type="dxa"/>
            <w:vAlign w:val="bottom"/>
          </w:tcPr>
          <w:p>
            <w:pPr>
              <w:spacing w:after="0"/>
              <w:rPr>
                <w:sz w:val="24"/>
                <w:szCs w:val="24"/>
                <w:color w:val="auto"/>
              </w:rPr>
            </w:pPr>
          </w:p>
        </w:tc>
        <w:tc>
          <w:tcPr>
            <w:tcW w:w="760" w:type="dxa"/>
            <w:vAlign w:val="bottom"/>
            <w:gridSpan w:val="2"/>
          </w:tcPr>
          <w:p>
            <w:pPr>
              <w:ind w:left="160"/>
              <w:spacing w:after="0"/>
              <w:rPr>
                <w:sz w:val="20"/>
                <w:szCs w:val="20"/>
                <w:color w:val="auto"/>
              </w:rPr>
            </w:pPr>
            <w:r>
              <w:rPr>
                <w:rFonts w:ascii="Arial" w:cs="Arial" w:eastAsia="Arial" w:hAnsi="Arial"/>
                <w:sz w:val="14"/>
                <w:szCs w:val="14"/>
                <w:b w:val="1"/>
                <w:bCs w:val="1"/>
                <w:color w:val="auto"/>
              </w:rPr>
              <w:t>Philip</w:t>
            </w:r>
          </w:p>
        </w:tc>
      </w:tr>
      <w:tr>
        <w:trPr>
          <w:trHeight w:val="189"/>
        </w:trPr>
        <w:tc>
          <w:tcPr>
            <w:tcW w:w="40" w:type="dxa"/>
            <w:vAlign w:val="bottom"/>
          </w:tcPr>
          <w:p>
            <w:pPr>
              <w:spacing w:after="0"/>
              <w:rPr>
                <w:sz w:val="16"/>
                <w:szCs w:val="16"/>
                <w:color w:val="auto"/>
              </w:rPr>
            </w:pPr>
          </w:p>
        </w:tc>
        <w:tc>
          <w:tcPr>
            <w:tcW w:w="3320" w:type="dxa"/>
            <w:vAlign w:val="bottom"/>
            <w:gridSpan w:val="2"/>
          </w:tcPr>
          <w:p>
            <w:pPr>
              <w:ind w:left="1180"/>
              <w:spacing w:after="0"/>
              <w:rPr>
                <w:sz w:val="20"/>
                <w:szCs w:val="20"/>
                <w:color w:val="auto"/>
              </w:rPr>
            </w:pPr>
            <w:r>
              <w:rPr>
                <w:rFonts w:ascii="Arial" w:cs="Arial" w:eastAsia="Arial" w:hAnsi="Arial"/>
                <w:sz w:val="14"/>
                <w:szCs w:val="14"/>
                <w:b w:val="1"/>
                <w:bCs w:val="1"/>
                <w:color w:val="auto"/>
              </w:rPr>
              <w:t>Vesting Date</w:t>
            </w:r>
          </w:p>
        </w:tc>
        <w:tc>
          <w:tcPr>
            <w:tcW w:w="128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Deitrich</w:t>
            </w:r>
          </w:p>
        </w:tc>
        <w:tc>
          <w:tcPr>
            <w:tcW w:w="18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Hooper</w:t>
            </w:r>
          </w:p>
        </w:tc>
        <w:tc>
          <w:tcPr>
            <w:tcW w:w="1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Hlavinka</w:t>
            </w:r>
          </w:p>
        </w:tc>
        <w:tc>
          <w:tcPr>
            <w:tcW w:w="1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Cadieux</w:t>
            </w:r>
          </w:p>
        </w:tc>
        <w:tc>
          <w:tcPr>
            <w:tcW w:w="180" w:type="dxa"/>
            <w:vAlign w:val="bottom"/>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Reeves</w:t>
            </w:r>
          </w:p>
        </w:tc>
        <w:tc>
          <w:tcPr>
            <w:tcW w:w="180" w:type="dxa"/>
            <w:vAlign w:val="bottom"/>
          </w:tcPr>
          <w:p>
            <w:pPr>
              <w:spacing w:after="0"/>
              <w:rPr>
                <w:sz w:val="16"/>
                <w:szCs w:val="16"/>
                <w:color w:val="auto"/>
              </w:rPr>
            </w:pPr>
          </w:p>
        </w:tc>
        <w:tc>
          <w:tcPr>
            <w:tcW w:w="760" w:type="dxa"/>
            <w:vAlign w:val="bottom"/>
            <w:gridSpan w:val="2"/>
          </w:tcPr>
          <w:p>
            <w:pPr>
              <w:ind w:left="140"/>
              <w:spacing w:after="0"/>
              <w:rPr>
                <w:sz w:val="20"/>
                <w:szCs w:val="20"/>
                <w:color w:val="auto"/>
              </w:rPr>
            </w:pPr>
            <w:r>
              <w:rPr>
                <w:rFonts w:ascii="Arial" w:cs="Arial" w:eastAsia="Arial" w:hAnsi="Arial"/>
                <w:sz w:val="14"/>
                <w:szCs w:val="14"/>
                <w:b w:val="1"/>
                <w:bCs w:val="1"/>
                <w:color w:val="auto"/>
              </w:rPr>
              <w:t>Mezey</w:t>
            </w:r>
          </w:p>
        </w:tc>
      </w:tr>
      <w:tr>
        <w:trPr>
          <w:trHeight w:val="183"/>
        </w:trPr>
        <w:tc>
          <w:tcPr>
            <w:tcW w:w="15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2022</w:t>
            </w:r>
          </w:p>
        </w:tc>
        <w:tc>
          <w:tcPr>
            <w:tcW w:w="1780" w:type="dxa"/>
            <w:vAlign w:val="bottom"/>
            <w:tcBorders>
              <w:top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2/21/2022</w:t>
            </w:r>
          </w:p>
        </w:tc>
        <w:tc>
          <w:tcPr>
            <w:tcW w:w="1780" w:type="dxa"/>
            <w:vAlign w:val="bottom"/>
            <w:shd w:val="clear" w:color="auto" w:fill="CCEEFF"/>
          </w:tcPr>
          <w:p>
            <w:pPr>
              <w:spacing w:after="0"/>
              <w:rPr>
                <w:sz w:val="16"/>
                <w:szCs w:val="16"/>
                <w:color w:val="auto"/>
              </w:rPr>
            </w:pP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5,473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3,421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2,189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2,189</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1580" w:type="dxa"/>
            <w:vAlign w:val="bottom"/>
            <w:gridSpan w:val="2"/>
          </w:tcPr>
          <w:p>
            <w:pPr>
              <w:ind w:left="20"/>
              <w:spacing w:after="0"/>
              <w:rPr>
                <w:sz w:val="20"/>
                <w:szCs w:val="20"/>
                <w:color w:val="auto"/>
              </w:rPr>
            </w:pPr>
            <w:r>
              <w:rPr>
                <w:rFonts w:ascii="Arial" w:cs="Arial" w:eastAsia="Arial" w:hAnsi="Arial"/>
                <w:sz w:val="14"/>
                <w:szCs w:val="14"/>
                <w:color w:val="auto"/>
              </w:rPr>
              <w:t>5/17/2022</w:t>
            </w:r>
          </w:p>
        </w:tc>
        <w:tc>
          <w:tcPr>
            <w:tcW w:w="17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1,465</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7/1/2022</w:t>
            </w:r>
          </w:p>
        </w:tc>
        <w:tc>
          <w:tcPr>
            <w:tcW w:w="17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1,114</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1580" w:type="dxa"/>
            <w:vAlign w:val="bottom"/>
            <w:gridSpan w:val="2"/>
          </w:tcPr>
          <w:p>
            <w:pPr>
              <w:ind w:left="20"/>
              <w:spacing w:after="0"/>
              <w:rPr>
                <w:sz w:val="20"/>
                <w:szCs w:val="20"/>
                <w:color w:val="auto"/>
              </w:rPr>
            </w:pPr>
            <w:r>
              <w:rPr>
                <w:rFonts w:ascii="Arial" w:cs="Arial" w:eastAsia="Arial" w:hAnsi="Arial"/>
                <w:sz w:val="14"/>
                <w:szCs w:val="14"/>
                <w:color w:val="auto"/>
              </w:rPr>
              <w:t>9/19/2022</w:t>
            </w:r>
          </w:p>
        </w:tc>
        <w:tc>
          <w:tcPr>
            <w:tcW w:w="1780" w:type="dxa"/>
            <w:vAlign w:val="bottom"/>
          </w:tcPr>
          <w:p>
            <w:pPr>
              <w:spacing w:after="0"/>
              <w:rPr>
                <w:sz w:val="16"/>
                <w:szCs w:val="16"/>
                <w:color w:val="auto"/>
              </w:rPr>
            </w:pPr>
          </w:p>
        </w:tc>
        <w:tc>
          <w:tcPr>
            <w:tcW w:w="1980" w:type="dxa"/>
            <w:vAlign w:val="bottom"/>
            <w:gridSpan w:val="2"/>
          </w:tcPr>
          <w:p>
            <w:pPr>
              <w:jc w:val="right"/>
              <w:spacing w:after="0"/>
              <w:rPr>
                <w:sz w:val="20"/>
                <w:szCs w:val="20"/>
                <w:color w:val="auto"/>
              </w:rPr>
            </w:pPr>
            <w:r>
              <w:rPr>
                <w:rFonts w:ascii="Arial" w:cs="Arial" w:eastAsia="Arial" w:hAnsi="Arial"/>
                <w:sz w:val="14"/>
                <w:szCs w:val="14"/>
                <w:color w:val="auto"/>
              </w:rPr>
              <w:t>6,532</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-600710</wp:posOffset>
            </wp:positionV>
            <wp:extent cx="6275070" cy="6000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75070" cy="600075"/>
                    </a:xfrm>
                    <a:prstGeom prst="rect">
                      <a:avLst/>
                    </a:prstGeom>
                    <a:noFill/>
                  </pic:spPr>
                </pic:pic>
              </a:graphicData>
            </a:graphic>
          </wp:anchor>
        </w:drawing>
      </w:r>
    </w:p>
    <w:p>
      <w:pPr>
        <w:spacing w:after="0" w:line="91" w:lineRule="exact"/>
        <w:rPr>
          <w:sz w:val="20"/>
          <w:szCs w:val="20"/>
          <w:color w:val="auto"/>
        </w:rPr>
      </w:pPr>
    </w:p>
    <w:p>
      <w:pPr>
        <w:ind w:left="360" w:hanging="353"/>
        <w:spacing w:after="0"/>
        <w:tabs>
          <w:tab w:leader="none" w:pos="3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PRSUs granted for the three-year performance cycle beginning in 2018 assuming achievement at target levels of performance.</w:t>
      </w:r>
    </w:p>
    <w:p>
      <w:pPr>
        <w:spacing w:after="0" w:line="109" w:lineRule="exact"/>
        <w:rPr>
          <w:rFonts w:ascii="Arial" w:cs="Arial" w:eastAsia="Arial" w:hAnsi="Arial"/>
          <w:sz w:val="14"/>
          <w:szCs w:val="14"/>
          <w:color w:val="auto"/>
        </w:rPr>
      </w:pPr>
    </w:p>
    <w:p>
      <w:pPr>
        <w:ind w:left="360" w:hanging="353"/>
        <w:spacing w:after="0"/>
        <w:tabs>
          <w:tab w:leader="none" w:pos="3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PRSUs granted for the three-year performance cycle beginning in 2019 assuming achievement at maximum levels of performance.</w:t>
      </w:r>
    </w:p>
    <w:p>
      <w:pPr>
        <w:spacing w:after="0" w:line="109" w:lineRule="exact"/>
        <w:rPr>
          <w:rFonts w:ascii="Arial" w:cs="Arial" w:eastAsia="Arial" w:hAnsi="Arial"/>
          <w:sz w:val="14"/>
          <w:szCs w:val="14"/>
          <w:color w:val="auto"/>
        </w:rPr>
      </w:pPr>
    </w:p>
    <w:p>
      <w:pPr>
        <w:ind w:left="360" w:hanging="353"/>
        <w:spacing w:after="0"/>
        <w:tabs>
          <w:tab w:leader="none" w:pos="3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Based on the closing price of our common stock on December 31, 2019 ($83.95).</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Option Exercises and Stock Vested Table</w:t>
      </w:r>
    </w:p>
    <w:p>
      <w:pPr>
        <w:spacing w:after="0" w:line="19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following table provides information regarding stock option exercises and shares acquired upon the vesting of stock awards by the NEOs during the 2019 fiscal year.</w:t>
      </w:r>
    </w:p>
    <w:p>
      <w:pPr>
        <w:spacing w:after="0" w:line="37"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8890</wp:posOffset>
            </wp:positionV>
            <wp:extent cx="66090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609080" cy="8255"/>
                    </a:xfrm>
                    <a:prstGeom prst="rect">
                      <a:avLst/>
                    </a:prstGeom>
                    <a:noFill/>
                  </pic:spPr>
                </pic:pic>
              </a:graphicData>
            </a:graphic>
          </wp:anchor>
        </w:drawing>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3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80" w:type="dxa"/>
            <w:vAlign w:val="bottom"/>
            <w:tcBorders>
              <w:bottom w:val="single" w:sz="8" w:color="auto"/>
            </w:tcBorders>
            <w:gridSpan w:val="3"/>
          </w:tcPr>
          <w:p>
            <w:pPr>
              <w:jc w:val="right"/>
              <w:ind w:right="1050"/>
              <w:spacing w:after="0"/>
              <w:rPr>
                <w:sz w:val="20"/>
                <w:szCs w:val="20"/>
                <w:color w:val="auto"/>
              </w:rPr>
            </w:pPr>
            <w:r>
              <w:rPr>
                <w:rFonts w:ascii="Arial" w:cs="Arial" w:eastAsia="Arial" w:hAnsi="Arial"/>
                <w:sz w:val="14"/>
                <w:szCs w:val="14"/>
                <w:b w:val="1"/>
                <w:bCs w:val="1"/>
                <w:color w:val="auto"/>
              </w:rPr>
              <w:t>Option Awards</w:t>
            </w:r>
          </w:p>
        </w:tc>
        <w:tc>
          <w:tcPr>
            <w:tcW w:w="180" w:type="dxa"/>
            <w:vAlign w:val="bottom"/>
          </w:tcPr>
          <w:p>
            <w:pPr>
              <w:spacing w:after="0"/>
              <w:rPr>
                <w:sz w:val="15"/>
                <w:szCs w:val="15"/>
                <w:color w:val="auto"/>
              </w:rPr>
            </w:pPr>
          </w:p>
        </w:tc>
        <w:tc>
          <w:tcPr>
            <w:tcW w:w="198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Stock Awards</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3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Value</w:t>
            </w:r>
          </w:p>
        </w:tc>
      </w:tr>
      <w:tr>
        <w:trPr>
          <w:trHeight w:val="162"/>
        </w:trPr>
        <w:tc>
          <w:tcPr>
            <w:tcW w:w="3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Number of Shares</w:t>
            </w:r>
          </w:p>
        </w:tc>
        <w:tc>
          <w:tcPr>
            <w:tcW w:w="1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Value Realized</w:t>
            </w:r>
          </w:p>
        </w:tc>
        <w:tc>
          <w:tcPr>
            <w:tcW w:w="180" w:type="dxa"/>
            <w:vAlign w:val="bottom"/>
          </w:tcPr>
          <w:p>
            <w:pPr>
              <w:spacing w:after="0"/>
              <w:rPr>
                <w:sz w:val="14"/>
                <w:szCs w:val="14"/>
                <w:color w:val="auto"/>
              </w:rPr>
            </w:pPr>
          </w:p>
        </w:tc>
        <w:tc>
          <w:tcPr>
            <w:tcW w:w="1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Number of Shares</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Realized</w:t>
            </w:r>
          </w:p>
        </w:tc>
      </w:tr>
      <w:tr>
        <w:trPr>
          <w:trHeight w:val="148"/>
        </w:trPr>
        <w:tc>
          <w:tcPr>
            <w:tcW w:w="3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Acquired on Exercise</w:t>
            </w:r>
          </w:p>
        </w:tc>
        <w:tc>
          <w:tcPr>
            <w:tcW w:w="1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Upon Exercise</w:t>
            </w:r>
          </w:p>
        </w:tc>
        <w:tc>
          <w:tcPr>
            <w:tcW w:w="180" w:type="dxa"/>
            <w:vAlign w:val="bottom"/>
          </w:tcPr>
          <w:p>
            <w:pPr>
              <w:spacing w:after="0"/>
              <w:rPr>
                <w:sz w:val="12"/>
                <w:szCs w:val="12"/>
                <w:color w:val="auto"/>
              </w:rPr>
            </w:pPr>
          </w:p>
        </w:tc>
        <w:tc>
          <w:tcPr>
            <w:tcW w:w="19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rPr>
              <w:t>Acquired on Vesting</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on Vesting</w:t>
            </w:r>
          </w:p>
        </w:tc>
      </w:tr>
      <w:tr>
        <w:trPr>
          <w:trHeight w:val="196"/>
        </w:trPr>
        <w:tc>
          <w:tcPr>
            <w:tcW w:w="390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(1)</w:t>
            </w:r>
          </w:p>
        </w:tc>
        <w:tc>
          <w:tcPr>
            <w:tcW w:w="180" w:type="dxa"/>
            <w:vAlign w:val="bottom"/>
          </w:tcPr>
          <w:p>
            <w:pPr>
              <w:spacing w:after="0"/>
              <w:rPr>
                <w:sz w:val="17"/>
                <w:szCs w:val="17"/>
                <w:color w:val="auto"/>
              </w:rPr>
            </w:pPr>
          </w:p>
        </w:tc>
        <w:tc>
          <w:tcPr>
            <w:tcW w:w="17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(2)</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(2)(3)</w:t>
            </w:r>
          </w:p>
        </w:tc>
        <w:tc>
          <w:tcPr>
            <w:tcW w:w="100" w:type="dxa"/>
            <w:vAlign w:val="bottom"/>
          </w:tcPr>
          <w:p>
            <w:pPr>
              <w:spacing w:after="0"/>
              <w:rPr>
                <w:sz w:val="17"/>
                <w:szCs w:val="17"/>
                <w:color w:val="auto"/>
              </w:rPr>
            </w:pPr>
          </w:p>
        </w:tc>
      </w:tr>
      <w:tr>
        <w:trPr>
          <w:trHeight w:val="229"/>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Thomas Deitrich</w:t>
            </w:r>
          </w:p>
        </w:tc>
        <w:tc>
          <w:tcPr>
            <w:tcW w:w="1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23,026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1,728,262</w:t>
            </w:r>
          </w:p>
        </w:tc>
      </w:tr>
      <w:tr>
        <w:trPr>
          <w:trHeight w:val="229"/>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Joan Hooper</w:t>
            </w: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10,321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784,912</w:t>
            </w:r>
          </w:p>
        </w:tc>
      </w:tr>
      <w:tr>
        <w:trPr>
          <w:trHeight w:val="230"/>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Sarah Hlavinka</w:t>
            </w:r>
          </w:p>
        </w:tc>
        <w:tc>
          <w:tcPr>
            <w:tcW w:w="1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8,546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627,020</w:t>
            </w:r>
          </w:p>
        </w:tc>
      </w:tr>
      <w:tr>
        <w:trPr>
          <w:trHeight w:val="229"/>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Michel Cadieux</w:t>
            </w:r>
          </w:p>
        </w:tc>
        <w:tc>
          <w:tcPr>
            <w:tcW w:w="1840" w:type="dxa"/>
            <w:vAlign w:val="bottom"/>
          </w:tcPr>
          <w:p>
            <w:pPr>
              <w:jc w:val="right"/>
              <w:spacing w:after="0"/>
              <w:rPr>
                <w:sz w:val="20"/>
                <w:szCs w:val="20"/>
                <w:color w:val="auto"/>
              </w:rPr>
            </w:pPr>
            <w:r>
              <w:rPr>
                <w:rFonts w:ascii="Arial" w:cs="Arial" w:eastAsia="Arial" w:hAnsi="Arial"/>
                <w:sz w:val="18"/>
                <w:szCs w:val="18"/>
                <w:color w:val="auto"/>
              </w:rPr>
              <w:t>24,683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884,691</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9,211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691,346</w:t>
            </w:r>
          </w:p>
        </w:tc>
      </w:tr>
      <w:tr>
        <w:trPr>
          <w:trHeight w:val="230"/>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Donald Reeves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30,757</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390,556</w:t>
            </w:r>
          </w:p>
        </w:tc>
      </w:tr>
      <w:tr>
        <w:trPr>
          <w:trHeight w:val="229"/>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Philip Mezey</w:t>
            </w:r>
          </w:p>
        </w:tc>
        <w:tc>
          <w:tcPr>
            <w:tcW w:w="1840" w:type="dxa"/>
            <w:vAlign w:val="bottom"/>
          </w:tcPr>
          <w:p>
            <w:pPr>
              <w:jc w:val="right"/>
              <w:spacing w:after="0"/>
              <w:rPr>
                <w:sz w:val="20"/>
                <w:szCs w:val="20"/>
                <w:color w:val="auto"/>
              </w:rPr>
            </w:pPr>
            <w:r>
              <w:rPr>
                <w:rFonts w:ascii="Arial" w:cs="Arial" w:eastAsia="Arial" w:hAnsi="Arial"/>
                <w:sz w:val="18"/>
                <w:szCs w:val="18"/>
                <w:color w:val="auto"/>
              </w:rPr>
              <w:t>409,374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14,108,570</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37,329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2,789,734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-873760</wp:posOffset>
            </wp:positionV>
            <wp:extent cx="6669405" cy="8743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69405" cy="87439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120015</wp:posOffset>
            </wp:positionV>
            <wp:extent cx="93408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95" w:lineRule="exact"/>
        <w:rPr>
          <w:sz w:val="20"/>
          <w:szCs w:val="20"/>
          <w:color w:val="auto"/>
        </w:rPr>
      </w:pPr>
    </w:p>
    <w:p>
      <w:pPr>
        <w:ind w:left="360" w:hanging="353"/>
        <w:spacing w:after="0"/>
        <w:tabs>
          <w:tab w:leader="none" w:pos="3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the difference between the exercise price and the fair market value of our common stock on the date of exercise.</w:t>
      </w:r>
    </w:p>
    <w:p>
      <w:pPr>
        <w:spacing w:after="0" w:line="109" w:lineRule="exact"/>
        <w:rPr>
          <w:rFonts w:ascii="Arial" w:cs="Arial" w:eastAsia="Arial" w:hAnsi="Arial"/>
          <w:sz w:val="14"/>
          <w:szCs w:val="14"/>
          <w:color w:val="auto"/>
        </w:rPr>
      </w:pPr>
    </w:p>
    <w:p>
      <w:pPr>
        <w:ind w:left="360" w:right="220" w:hanging="353"/>
        <w:spacing w:after="0" w:line="249" w:lineRule="auto"/>
        <w:tabs>
          <w:tab w:leader="none" w:pos="3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 xml:space="preserve">Except for Ms. Hlavinka, who joined the Company in September 2018, and Mr. Reeves, who joined the company in January 2018 upon the completion of the Silver Springs acquisition, value includes PRSUs earned based on financial results as originally reported for the three-year performance cycle beginning in 2017 and vested on December 31, 2019. See </w:t>
      </w:r>
      <w:r>
        <w:rPr>
          <w:rFonts w:ascii="Arial" w:cs="Arial" w:eastAsia="Arial" w:hAnsi="Arial"/>
          <w:sz w:val="14"/>
          <w:szCs w:val="14"/>
          <w:i w:val="1"/>
          <w:iCs w:val="1"/>
          <w:color w:val="auto"/>
        </w:rPr>
        <w:t>Executive Summary</w:t>
      </w:r>
      <w:r>
        <w:rPr>
          <w:rFonts w:ascii="Arial" w:cs="Arial" w:eastAsia="Arial" w:hAnsi="Arial"/>
          <w:sz w:val="14"/>
          <w:szCs w:val="14"/>
          <w:color w:val="auto"/>
        </w:rPr>
        <w:t xml:space="preserve"> in this CD&amp;A for more detail.</w:t>
      </w:r>
    </w:p>
    <w:p>
      <w:pPr>
        <w:spacing w:after="0" w:line="92" w:lineRule="exact"/>
        <w:rPr>
          <w:rFonts w:ascii="Arial" w:cs="Arial" w:eastAsia="Arial" w:hAnsi="Arial"/>
          <w:sz w:val="14"/>
          <w:szCs w:val="14"/>
          <w:color w:val="auto"/>
        </w:rPr>
      </w:pPr>
    </w:p>
    <w:p>
      <w:pPr>
        <w:ind w:left="360" w:hanging="353"/>
        <w:spacing w:after="0"/>
        <w:tabs>
          <w:tab w:leader="none" w:pos="3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Based on the fair market value of our common stock on the vest date.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Nonqualified Deferred Compensation Table</w:t>
      </w:r>
    </w:p>
    <w:p>
      <w:pPr>
        <w:spacing w:after="0" w:line="19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following table provides information regarding the nonqualified deferred compensation of each of the NEOs for the 2019 fiscal year.</w:t>
      </w:r>
    </w:p>
    <w:p>
      <w:pPr>
        <w:spacing w:after="0" w:line="37"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Nonqualified Deferred Compensation</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3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3"/>
                <w:szCs w:val="13"/>
                <w:color w:val="auto"/>
              </w:rPr>
            </w:pPr>
          </w:p>
        </w:tc>
      </w:tr>
      <w:tr>
        <w:trPr>
          <w:trHeight w:val="162"/>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Executive</w:t>
            </w:r>
          </w:p>
        </w:tc>
        <w:tc>
          <w:tcPr>
            <w:tcW w:w="1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Registrant</w:t>
            </w:r>
          </w:p>
        </w:tc>
        <w:tc>
          <w:tcPr>
            <w:tcW w:w="1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1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160" w:type="dxa"/>
            <w:vAlign w:val="bottom"/>
          </w:tcPr>
          <w:p>
            <w:pPr>
              <w:spacing w:after="0"/>
              <w:rPr>
                <w:sz w:val="14"/>
                <w:szCs w:val="14"/>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Contributions in</w:t>
            </w:r>
          </w:p>
        </w:tc>
        <w:tc>
          <w:tcPr>
            <w:tcW w:w="1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Contributions in</w:t>
            </w:r>
          </w:p>
        </w:tc>
        <w:tc>
          <w:tcPr>
            <w:tcW w:w="1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Earnings in</w:t>
            </w:r>
          </w:p>
        </w:tc>
        <w:tc>
          <w:tcPr>
            <w:tcW w:w="1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Withdrawals /</w:t>
            </w:r>
          </w:p>
        </w:tc>
        <w:tc>
          <w:tcPr>
            <w:tcW w:w="160" w:type="dxa"/>
            <w:vAlign w:val="bottom"/>
          </w:tcPr>
          <w:p>
            <w:pPr>
              <w:spacing w:after="0"/>
              <w:rPr>
                <w:sz w:val="14"/>
                <w:szCs w:val="14"/>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Fiscal Year</w:t>
            </w:r>
          </w:p>
        </w:tc>
      </w:tr>
      <w:tr>
        <w:trPr>
          <w:trHeight w:val="148"/>
        </w:trPr>
        <w:tc>
          <w:tcPr>
            <w:tcW w:w="3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Last Fiscal Year</w:t>
            </w:r>
          </w:p>
        </w:tc>
        <w:tc>
          <w:tcPr>
            <w:tcW w:w="1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Last Fiscal Year</w:t>
            </w:r>
          </w:p>
        </w:tc>
        <w:tc>
          <w:tcPr>
            <w:tcW w:w="1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Last Fiscal Year</w:t>
            </w:r>
          </w:p>
        </w:tc>
        <w:tc>
          <w:tcPr>
            <w:tcW w:w="1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Distributions</w:t>
            </w:r>
          </w:p>
        </w:tc>
        <w:tc>
          <w:tcPr>
            <w:tcW w:w="160" w:type="dxa"/>
            <w:vAlign w:val="bottom"/>
          </w:tcPr>
          <w:p>
            <w:pPr>
              <w:spacing w:after="0"/>
              <w:rPr>
                <w:sz w:val="12"/>
                <w:szCs w:val="12"/>
                <w:color w:val="auto"/>
              </w:rPr>
            </w:pPr>
          </w:p>
        </w:tc>
        <w:tc>
          <w:tcPr>
            <w:tcW w:w="11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End</w:t>
            </w:r>
          </w:p>
        </w:tc>
      </w:tr>
      <w:tr>
        <w:trPr>
          <w:trHeight w:val="203"/>
        </w:trPr>
        <w:tc>
          <w:tcPr>
            <w:tcW w:w="316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7"/>
                <w:szCs w:val="17"/>
                <w:color w:val="auto"/>
              </w:rPr>
            </w:pPr>
          </w:p>
        </w:tc>
        <w:tc>
          <w:tcPr>
            <w:tcW w:w="14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23"/>
                <w:szCs w:val="23"/>
                <w:b w:val="1"/>
                <w:bCs w:val="1"/>
                <w:color w:val="auto"/>
                <w:w w:val="94"/>
                <w:vertAlign w:val="superscript"/>
              </w:rPr>
              <w:t>(1)</w:t>
            </w:r>
          </w:p>
        </w:tc>
        <w:tc>
          <w:tcPr>
            <w:tcW w:w="180" w:type="dxa"/>
            <w:vAlign w:val="bottom"/>
          </w:tcPr>
          <w:p>
            <w:pPr>
              <w:spacing w:after="0"/>
              <w:rPr>
                <w:sz w:val="17"/>
                <w:szCs w:val="17"/>
                <w:color w:val="auto"/>
              </w:rPr>
            </w:pPr>
          </w:p>
        </w:tc>
        <w:tc>
          <w:tcPr>
            <w:tcW w:w="13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23"/>
                <w:szCs w:val="23"/>
                <w:b w:val="1"/>
                <w:bCs w:val="1"/>
                <w:color w:val="auto"/>
                <w:w w:val="94"/>
                <w:vertAlign w:val="superscript"/>
              </w:rPr>
              <w:t>(2)</w:t>
            </w:r>
          </w:p>
        </w:tc>
        <w:tc>
          <w:tcPr>
            <w:tcW w:w="18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Thomas Deitrich</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Joan Hooper</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121,250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9,666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62,131</w:t>
            </w:r>
          </w:p>
        </w:tc>
        <w:tc>
          <w:tcPr>
            <w:tcW w:w="180" w:type="dxa"/>
            <w:vAlign w:val="bottom"/>
          </w:tcPr>
          <w:p>
            <w:pPr>
              <w:spacing w:after="0"/>
              <w:rPr>
                <w:sz w:val="19"/>
                <w:szCs w:val="19"/>
                <w:color w:val="auto"/>
              </w:rPr>
            </w:pP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372,846</w:t>
            </w: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Sarah Hlavinka</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5,447</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9"/>
              </w:rPr>
              <w:t>—</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46,351</w:t>
            </w: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Michel Cadieux</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Donald Reeves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Philip Mezey</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37,841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25,570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288,297</w:t>
            </w:r>
          </w:p>
        </w:tc>
        <w:tc>
          <w:tcPr>
            <w:tcW w:w="180" w:type="dxa"/>
            <w:vAlign w:val="bottom"/>
          </w:tcPr>
          <w:p>
            <w:pPr>
              <w:spacing w:after="0"/>
              <w:rPr>
                <w:sz w:val="19"/>
                <w:szCs w:val="19"/>
                <w:color w:val="auto"/>
              </w:rPr>
            </w:pP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2,332,977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-873760</wp:posOffset>
            </wp:positionV>
            <wp:extent cx="6669405" cy="8743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69405" cy="87439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120015</wp:posOffset>
            </wp:positionV>
            <wp:extent cx="93408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81" w:lineRule="exact"/>
        <w:rPr>
          <w:sz w:val="20"/>
          <w:szCs w:val="20"/>
          <w:color w:val="auto"/>
        </w:rPr>
      </w:pPr>
    </w:p>
    <w:p>
      <w:pPr>
        <w:ind w:left="360" w:hanging="353"/>
        <w:spacing w:after="0"/>
        <w:tabs>
          <w:tab w:leader="none" w:pos="3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 xml:space="preserve">This deferred compensation represents amounts that are reported as compensation earned in 2019 in the </w:t>
      </w:r>
      <w:r>
        <w:rPr>
          <w:rFonts w:ascii="Arial" w:cs="Arial" w:eastAsia="Arial" w:hAnsi="Arial"/>
          <w:sz w:val="14"/>
          <w:szCs w:val="14"/>
          <w:i w:val="1"/>
          <w:iCs w:val="1"/>
          <w:color w:val="auto"/>
        </w:rPr>
        <w:t>Summary Compensation Table</w:t>
      </w:r>
      <w:r>
        <w:rPr>
          <w:rFonts w:ascii="Arial" w:cs="Arial" w:eastAsia="Arial" w:hAnsi="Arial"/>
          <w:sz w:val="14"/>
          <w:szCs w:val="14"/>
          <w:color w:val="auto"/>
        </w:rPr>
        <w:t>.</w:t>
      </w:r>
    </w:p>
    <w:p>
      <w:pPr>
        <w:spacing w:after="0" w:line="109" w:lineRule="exact"/>
        <w:rPr>
          <w:rFonts w:ascii="Arial" w:cs="Arial" w:eastAsia="Arial" w:hAnsi="Arial"/>
          <w:sz w:val="14"/>
          <w:szCs w:val="14"/>
          <w:color w:val="auto"/>
        </w:rPr>
      </w:pPr>
    </w:p>
    <w:p>
      <w:pPr>
        <w:ind w:left="360" w:hanging="353"/>
        <w:spacing w:after="0"/>
        <w:tabs>
          <w:tab w:leader="none" w:pos="3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 xml:space="preserve">This amount has been included in the “All Other Compensation” column of the </w:t>
      </w:r>
      <w:r>
        <w:rPr>
          <w:rFonts w:ascii="Arial" w:cs="Arial" w:eastAsia="Arial" w:hAnsi="Arial"/>
          <w:sz w:val="14"/>
          <w:szCs w:val="14"/>
          <w:i w:val="1"/>
          <w:iCs w:val="1"/>
          <w:color w:val="auto"/>
        </w:rPr>
        <w:t>Summary Compensation Table</w:t>
      </w:r>
      <w:r>
        <w:rPr>
          <w:rFonts w:ascii="Arial" w:cs="Arial" w:eastAsia="Arial" w:hAnsi="Arial"/>
          <w:sz w:val="14"/>
          <w:szCs w:val="14"/>
          <w:color w:val="auto"/>
        </w:rPr>
        <w:t>.</w:t>
      </w:r>
    </w:p>
    <w:p>
      <w:pPr>
        <w:spacing w:after="0" w:line="347"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109220</wp:posOffset>
            </wp:positionV>
            <wp:extent cx="6069330" cy="431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10520"/>
          </w:cols>
          <w:pgMar w:left="680" w:top="276" w:right="69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Deferred Compensation Plan</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Executive officers located in the U.S. are eligible to participate in the Company’s Executive Deferred Compensation Plan (EDCP). We offer the EDCP to our highly-compensated employees to give them the benefit of being able to defer some of their taxable income, which also encourages their retention with the Company. Participants may defer up to 50% of their base salary and annual cash incentive into a nonqualified account.</w:t>
      </w:r>
    </w:p>
    <w:p>
      <w:pPr>
        <w:spacing w:after="0" w:line="17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Executive officers are also permitted to elect to defer an additional portion of their base salary under the EDCP equal to the amount of any contributions returned to them during the year from the Company’s 401(k) Plan. In 2019, the Company made matching contributions to the account of each participating executive at the rate of 75% of the first 6% of base salary and annual incentive deferred by the executive officer during that year, which is the same matching formula as the Company’s 401(k) Plan. The employer match into the EDCP starts after the employee reaches IRS limits on the 401(k) Plan and is no longer eligible for the 401(k) match. The executive officers’ account balances are adjusted for hypothetical investment earnings or losses according to the returns of the “measurement funds” selected by the executives. The measurement funds correspond to the mutual funds available for investment under the Company’s 401(k) plan (but currently do not include a Company stock fund).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w:t>
      </w:r>
    </w:p>
    <w:p>
      <w:pPr>
        <w:spacing w:after="0" w:line="19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following describes certain actions and payments upon termination in accordance with Company policies and the provisions of our Second A&amp;R 2010 Plan, pursuant to which all of our equity awards are granted.</w:t>
      </w:r>
    </w:p>
    <w:p>
      <w:pPr>
        <w:spacing w:after="0" w:line="17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Upon any termination of employment, our NEOs are entitled to receive any accrued and unpaid base salary through the date of termination.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Termination for Cause</w:t>
      </w:r>
    </w:p>
    <w:p>
      <w:pPr>
        <w:spacing w:after="0" w:line="19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executive is entitled to receive any accrued and unpaid base salary through the date of termination. All options granted automatically expire when terminated for cause and all unvested time-vested RSUs and all unvested awards under the LTIP and the EMIP are forfeited in the event of termination for cause.</w:t>
      </w:r>
    </w:p>
    <w:p>
      <w:pPr>
        <w:spacing w:after="0" w:line="21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20"/>
          </w:cols>
          <w:pgMar w:left="1160" w:top="279" w:right="121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Termination Due to Death, Disability, or Retirement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What happens if termination is due to:</w:t>
      </w:r>
    </w:p>
    <w:p>
      <w:pPr>
        <w:spacing w:after="0" w:line="30"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300" w:type="dxa"/>
            <w:vAlign w:val="bottom"/>
            <w:tcBorders>
              <w:top w:val="single" w:sz="8" w:color="auto"/>
              <w:left w:val="single" w:sz="8" w:color="auto"/>
              <w:right w:val="single" w:sz="8" w:color="auto"/>
            </w:tcBorders>
          </w:tcPr>
          <w:p>
            <w:pPr>
              <w:spacing w:after="0"/>
              <w:rPr>
                <w:sz w:val="16"/>
                <w:szCs w:val="16"/>
                <w:color w:val="auto"/>
              </w:rPr>
            </w:pPr>
          </w:p>
        </w:tc>
        <w:tc>
          <w:tcPr>
            <w:tcW w:w="1800" w:type="dxa"/>
            <w:vAlign w:val="bottom"/>
            <w:tcBorders>
              <w:top w:val="single" w:sz="8" w:color="auto"/>
              <w:bottom w:val="single" w:sz="8" w:color="auto"/>
              <w:right w:val="single" w:sz="8" w:color="auto"/>
            </w:tcBorders>
            <w:gridSpan w:val="5"/>
            <w:vMerge w:val="restart"/>
          </w:tcPr>
          <w:p>
            <w:pPr>
              <w:jc w:val="center"/>
              <w:ind w:right="20"/>
              <w:spacing w:after="0"/>
              <w:rPr>
                <w:sz w:val="20"/>
                <w:szCs w:val="20"/>
                <w:color w:val="auto"/>
              </w:rPr>
            </w:pPr>
            <w:r>
              <w:rPr>
                <w:rFonts w:ascii="Arial" w:cs="Arial" w:eastAsia="Arial" w:hAnsi="Arial"/>
                <w:sz w:val="13"/>
                <w:szCs w:val="13"/>
                <w:b w:val="1"/>
                <w:bCs w:val="1"/>
                <w:color w:val="auto"/>
              </w:rPr>
              <w:t>Death or Disability</w:t>
            </w:r>
          </w:p>
        </w:tc>
        <w:tc>
          <w:tcPr>
            <w:tcW w:w="4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780" w:type="dxa"/>
            <w:vAlign w:val="bottom"/>
            <w:tcBorders>
              <w:top w:val="single" w:sz="8" w:color="auto"/>
              <w:bottom w:val="single" w:sz="8" w:color="auto"/>
            </w:tcBorders>
            <w:gridSpan w:val="3"/>
          </w:tcPr>
          <w:p>
            <w:pPr>
              <w:jc w:val="center"/>
              <w:ind w:right="860"/>
              <w:spacing w:after="0" w:line="189" w:lineRule="exact"/>
              <w:rPr>
                <w:sz w:val="20"/>
                <w:szCs w:val="20"/>
                <w:color w:val="auto"/>
              </w:rPr>
            </w:pPr>
            <w:r>
              <w:rPr>
                <w:rFonts w:ascii="Arial" w:cs="Arial" w:eastAsia="Arial" w:hAnsi="Arial"/>
                <w:sz w:val="13"/>
                <w:szCs w:val="13"/>
                <w:b w:val="1"/>
                <w:bCs w:val="1"/>
                <w:color w:val="auto"/>
                <w:w w:val="98"/>
              </w:rPr>
              <w:t>Retirement</w:t>
            </w:r>
            <w:r>
              <w:rPr>
                <w:rFonts w:ascii="Arial" w:cs="Arial" w:eastAsia="Arial" w:hAnsi="Arial"/>
                <w:sz w:val="21"/>
                <w:szCs w:val="21"/>
                <w:b w:val="1"/>
                <w:bCs w:val="1"/>
                <w:color w:val="auto"/>
                <w:w w:val="98"/>
                <w:vertAlign w:val="superscript"/>
              </w:rPr>
              <w:t>(1)</w:t>
            </w:r>
          </w:p>
        </w:tc>
        <w:tc>
          <w:tcPr>
            <w:tcW w:w="4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300" w:type="dxa"/>
            <w:vAlign w:val="bottom"/>
            <w:tcBorders>
              <w:left w:val="single" w:sz="8" w:color="auto"/>
              <w:right w:val="single" w:sz="8" w:color="auto"/>
            </w:tcBorders>
          </w:tcPr>
          <w:p>
            <w:pPr>
              <w:spacing w:after="0"/>
              <w:rPr>
                <w:sz w:val="6"/>
                <w:szCs w:val="6"/>
                <w:color w:val="auto"/>
              </w:rPr>
            </w:pPr>
          </w:p>
        </w:tc>
        <w:tc>
          <w:tcPr>
            <w:tcW w:w="1800" w:type="dxa"/>
            <w:vAlign w:val="bottom"/>
            <w:tcBorders>
              <w:right w:val="single" w:sz="8" w:color="auto"/>
            </w:tcBorders>
            <w:gridSpan w:val="5"/>
            <w:vMerge w:val="continue"/>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Borders>
              <w:right w:val="single" w:sz="8" w:color="auto"/>
            </w:tcBorders>
            <w:gridSpan w:val="3"/>
            <w:vMerge w:val="restart"/>
          </w:tcPr>
          <w:p>
            <w:pPr>
              <w:jc w:val="center"/>
              <w:ind w:right="500"/>
              <w:spacing w:after="0"/>
              <w:rPr>
                <w:sz w:val="20"/>
                <w:szCs w:val="20"/>
                <w:color w:val="auto"/>
              </w:rPr>
            </w:pPr>
            <w:r>
              <w:rPr>
                <w:rFonts w:ascii="Arial" w:cs="Arial" w:eastAsia="Arial" w:hAnsi="Arial"/>
                <w:sz w:val="13"/>
                <w:szCs w:val="13"/>
                <w:b w:val="1"/>
                <w:bCs w:val="1"/>
                <w:color w:val="auto"/>
              </w:rPr>
              <w:t>2017 Awards</w:t>
            </w: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780" w:type="dxa"/>
            <w:vAlign w:val="bottom"/>
            <w:tcBorders>
              <w:right w:val="single" w:sz="8" w:color="auto"/>
            </w:tcBorders>
            <w:gridSpan w:val="3"/>
            <w:vMerge w:val="restart"/>
          </w:tcPr>
          <w:p>
            <w:pPr>
              <w:jc w:val="center"/>
              <w:ind w:right="880"/>
              <w:spacing w:after="0"/>
              <w:rPr>
                <w:sz w:val="20"/>
                <w:szCs w:val="20"/>
                <w:color w:val="auto"/>
              </w:rPr>
            </w:pPr>
            <w:r>
              <w:rPr>
                <w:rFonts w:ascii="Arial" w:cs="Arial" w:eastAsia="Arial" w:hAnsi="Arial"/>
                <w:sz w:val="13"/>
                <w:szCs w:val="13"/>
                <w:b w:val="1"/>
                <w:bCs w:val="1"/>
                <w:color w:val="auto"/>
              </w:rPr>
              <w:t>2018 Awards</w:t>
            </w: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tcBorders>
              <w:right w:val="single" w:sz="8" w:color="auto"/>
            </w:tcBorders>
            <w:gridSpan w:val="3"/>
            <w:vMerge w:val="restart"/>
          </w:tcPr>
          <w:p>
            <w:pPr>
              <w:jc w:val="center"/>
              <w:ind w:right="460"/>
              <w:spacing w:after="0"/>
              <w:rPr>
                <w:sz w:val="20"/>
                <w:szCs w:val="20"/>
                <w:color w:val="auto"/>
              </w:rPr>
            </w:pPr>
            <w:r>
              <w:rPr>
                <w:rFonts w:ascii="Arial" w:cs="Arial" w:eastAsia="Arial" w:hAnsi="Arial"/>
                <w:sz w:val="13"/>
                <w:szCs w:val="13"/>
                <w:b w:val="1"/>
                <w:bCs w:val="1"/>
                <w:color w:val="auto"/>
              </w:rPr>
              <w:t>2019 Awards</w:t>
            </w:r>
          </w:p>
        </w:tc>
        <w:tc>
          <w:tcPr>
            <w:tcW w:w="0" w:type="dxa"/>
            <w:vAlign w:val="bottom"/>
          </w:tcPr>
          <w:p>
            <w:pPr>
              <w:spacing w:after="0"/>
              <w:rPr>
                <w:sz w:val="1"/>
                <w:szCs w:val="1"/>
                <w:color w:val="auto"/>
              </w:rPr>
            </w:pPr>
          </w:p>
        </w:tc>
      </w:tr>
      <w:tr>
        <w:trPr>
          <w:trHeight w:val="95"/>
        </w:trPr>
        <w:tc>
          <w:tcPr>
            <w:tcW w:w="1300" w:type="dxa"/>
            <w:vAlign w:val="bottom"/>
            <w:tcBorders>
              <w:left w:val="single" w:sz="8" w:color="auto"/>
              <w:bottom w:val="single" w:sz="8" w:color="auto"/>
              <w:right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Borders>
              <w:bottom w:val="single" w:sz="8" w:color="auto"/>
              <w:right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40" w:type="dxa"/>
            <w:vAlign w:val="bottom"/>
            <w:tcBorders>
              <w:bottom w:val="single" w:sz="8" w:color="auto"/>
              <w:right w:val="single" w:sz="8" w:color="auto"/>
            </w:tcBorders>
            <w:gridSpan w:val="3"/>
            <w:vMerge w:val="continue"/>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780" w:type="dxa"/>
            <w:vAlign w:val="bottom"/>
            <w:tcBorders>
              <w:bottom w:val="single" w:sz="8" w:color="auto"/>
              <w:right w:val="single" w:sz="8" w:color="auto"/>
            </w:tcBorders>
            <w:gridSpan w:val="3"/>
            <w:vMerge w:val="continue"/>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0" w:type="dxa"/>
            <w:vAlign w:val="bottom"/>
            <w:tcBorders>
              <w:bottom w:val="single" w:sz="8" w:color="auto"/>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1300" w:type="dxa"/>
            <w:vAlign w:val="bottom"/>
            <w:tcBorders>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rPr>
              <w:t>Annual Incentive</w:t>
            </w:r>
          </w:p>
        </w:tc>
        <w:tc>
          <w:tcPr>
            <w:tcW w:w="320" w:type="dxa"/>
            <w:vAlign w:val="bottom"/>
          </w:tcPr>
          <w:p>
            <w:pPr>
              <w:spacing w:after="0"/>
              <w:rPr>
                <w:sz w:val="11"/>
                <w:szCs w:val="11"/>
                <w:color w:val="auto"/>
              </w:rPr>
            </w:pPr>
          </w:p>
        </w:tc>
        <w:tc>
          <w:tcPr>
            <w:tcW w:w="1480" w:type="dxa"/>
            <w:vAlign w:val="bottom"/>
            <w:tcBorders>
              <w:right w:val="single" w:sz="8" w:color="auto"/>
            </w:tcBorders>
            <w:gridSpan w:val="4"/>
            <w:vMerge w:val="restart"/>
          </w:tcPr>
          <w:p>
            <w:pPr>
              <w:jc w:val="center"/>
              <w:ind w:right="340"/>
              <w:spacing w:after="0"/>
              <w:rPr>
                <w:sz w:val="20"/>
                <w:szCs w:val="20"/>
                <w:color w:val="auto"/>
              </w:rPr>
            </w:pPr>
            <w:r>
              <w:rPr>
                <w:rFonts w:ascii="Arial" w:cs="Arial" w:eastAsia="Arial" w:hAnsi="Arial"/>
                <w:sz w:val="13"/>
                <w:szCs w:val="13"/>
                <w:b w:val="1"/>
                <w:bCs w:val="1"/>
                <w:color w:val="auto"/>
              </w:rPr>
              <w:t>Prorated</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Borders>
              <w:right w:val="single" w:sz="8" w:color="auto"/>
            </w:tcBorders>
            <w:gridSpan w:val="3"/>
            <w:vMerge w:val="restart"/>
          </w:tcPr>
          <w:p>
            <w:pPr>
              <w:jc w:val="center"/>
              <w:ind w:right="520"/>
              <w:spacing w:after="0"/>
              <w:rPr>
                <w:sz w:val="20"/>
                <w:szCs w:val="20"/>
                <w:color w:val="auto"/>
              </w:rPr>
            </w:pPr>
            <w:r>
              <w:rPr>
                <w:rFonts w:ascii="Arial" w:cs="Arial" w:eastAsia="Arial" w:hAnsi="Arial"/>
                <w:sz w:val="13"/>
                <w:szCs w:val="13"/>
                <w:b w:val="1"/>
                <w:bCs w:val="1"/>
                <w:color w:val="auto"/>
              </w:rPr>
              <w:t>Prorated</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tcBorders>
              <w:right w:val="single" w:sz="8" w:color="auto"/>
            </w:tcBorders>
            <w:gridSpan w:val="3"/>
            <w:vMerge w:val="restart"/>
          </w:tcPr>
          <w:p>
            <w:pPr>
              <w:jc w:val="center"/>
              <w:ind w:right="860"/>
              <w:spacing w:after="0"/>
              <w:rPr>
                <w:sz w:val="20"/>
                <w:szCs w:val="20"/>
                <w:color w:val="auto"/>
              </w:rPr>
            </w:pPr>
            <w:r>
              <w:rPr>
                <w:rFonts w:ascii="Arial" w:cs="Arial" w:eastAsia="Arial" w:hAnsi="Arial"/>
                <w:sz w:val="13"/>
                <w:szCs w:val="13"/>
                <w:b w:val="1"/>
                <w:bCs w:val="1"/>
                <w:color w:val="auto"/>
              </w:rPr>
              <w:t>Prorated</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Borders>
              <w:right w:val="single" w:sz="8" w:color="auto"/>
            </w:tcBorders>
            <w:gridSpan w:val="3"/>
            <w:vMerge w:val="restart"/>
          </w:tcPr>
          <w:p>
            <w:pPr>
              <w:jc w:val="center"/>
              <w:ind w:right="480"/>
              <w:spacing w:after="0"/>
              <w:rPr>
                <w:sz w:val="20"/>
                <w:szCs w:val="20"/>
                <w:color w:val="auto"/>
              </w:rPr>
            </w:pPr>
            <w:r>
              <w:rPr>
                <w:rFonts w:ascii="Arial" w:cs="Arial" w:eastAsia="Arial" w:hAnsi="Arial"/>
                <w:sz w:val="13"/>
                <w:szCs w:val="13"/>
                <w:b w:val="1"/>
                <w:bCs w:val="1"/>
                <w:color w:val="auto"/>
              </w:rPr>
              <w:t>Prorated</w:t>
            </w:r>
          </w:p>
        </w:tc>
        <w:tc>
          <w:tcPr>
            <w:tcW w:w="0" w:type="dxa"/>
            <w:vAlign w:val="bottom"/>
          </w:tcPr>
          <w:p>
            <w:pPr>
              <w:spacing w:after="0"/>
              <w:rPr>
                <w:sz w:val="1"/>
                <w:szCs w:val="1"/>
                <w:color w:val="auto"/>
              </w:rPr>
            </w:pPr>
          </w:p>
        </w:tc>
      </w:tr>
      <w:tr>
        <w:trPr>
          <w:trHeight w:val="102"/>
        </w:trPr>
        <w:tc>
          <w:tcPr>
            <w:tcW w:w="1300" w:type="dxa"/>
            <w:vAlign w:val="bottom"/>
            <w:tcBorders>
              <w:left w:val="single" w:sz="8" w:color="auto"/>
              <w:right w:val="single" w:sz="8" w:color="auto"/>
            </w:tcBorders>
            <w:vMerge w:val="restart"/>
          </w:tcPr>
          <w:p>
            <w:pPr>
              <w:jc w:val="center"/>
              <w:spacing w:after="0" w:line="184" w:lineRule="exact"/>
              <w:rPr>
                <w:sz w:val="20"/>
                <w:szCs w:val="20"/>
                <w:color w:val="auto"/>
              </w:rPr>
            </w:pPr>
            <w:r>
              <w:rPr>
                <w:rFonts w:ascii="Arial" w:cs="Arial" w:eastAsia="Arial" w:hAnsi="Arial"/>
                <w:sz w:val="13"/>
                <w:szCs w:val="13"/>
                <w:b w:val="1"/>
                <w:bCs w:val="1"/>
                <w:color w:val="auto"/>
                <w:w w:val="94"/>
              </w:rPr>
              <w:t>Plan</w:t>
            </w:r>
            <w:r>
              <w:rPr>
                <w:rFonts w:ascii="Arial" w:cs="Arial" w:eastAsia="Arial" w:hAnsi="Arial"/>
                <w:sz w:val="21"/>
                <w:szCs w:val="21"/>
                <w:b w:val="1"/>
                <w:bCs w:val="1"/>
                <w:color w:val="auto"/>
                <w:w w:val="94"/>
                <w:vertAlign w:val="superscript"/>
              </w:rPr>
              <w:t>(2)</w:t>
            </w:r>
          </w:p>
        </w:tc>
        <w:tc>
          <w:tcPr>
            <w:tcW w:w="320" w:type="dxa"/>
            <w:vAlign w:val="bottom"/>
          </w:tcPr>
          <w:p>
            <w:pPr>
              <w:spacing w:after="0"/>
              <w:rPr>
                <w:sz w:val="8"/>
                <w:szCs w:val="8"/>
                <w:color w:val="auto"/>
              </w:rPr>
            </w:pPr>
          </w:p>
        </w:tc>
        <w:tc>
          <w:tcPr>
            <w:tcW w:w="1480" w:type="dxa"/>
            <w:vAlign w:val="bottom"/>
            <w:tcBorders>
              <w:right w:val="single" w:sz="8" w:color="auto"/>
            </w:tcBorders>
            <w:gridSpan w:val="4"/>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tcBorders>
              <w:right w:val="single" w:sz="8" w:color="auto"/>
            </w:tcBorders>
            <w:gridSpan w:val="3"/>
            <w:vMerge w:val="continue"/>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780" w:type="dxa"/>
            <w:vAlign w:val="bottom"/>
            <w:tcBorders>
              <w:right w:val="single" w:sz="8" w:color="auto"/>
            </w:tcBorders>
            <w:gridSpan w:val="3"/>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30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1300" w:type="dxa"/>
            <w:vAlign w:val="bottom"/>
            <w:tcBorders>
              <w:left w:val="single" w:sz="8" w:color="auto"/>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If retire after 24 months</w:t>
            </w:r>
          </w:p>
        </w:tc>
        <w:tc>
          <w:tcPr>
            <w:tcW w:w="262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If retire after 18 months</w:t>
            </w:r>
          </w:p>
        </w:tc>
        <w:tc>
          <w:tcPr>
            <w:tcW w:w="1900" w:type="dxa"/>
            <w:vAlign w:val="bottom"/>
            <w:tcBorders>
              <w:right w:val="single" w:sz="8" w:color="auto"/>
            </w:tcBorders>
            <w:gridSpan w:val="5"/>
          </w:tcPr>
          <w:p>
            <w:pPr>
              <w:jc w:val="center"/>
              <w:spacing w:after="0"/>
              <w:rPr>
                <w:sz w:val="20"/>
                <w:szCs w:val="20"/>
                <w:color w:val="auto"/>
              </w:rPr>
            </w:pPr>
            <w:r>
              <w:rPr>
                <w:rFonts w:ascii="Arial" w:cs="Arial" w:eastAsia="Arial" w:hAnsi="Arial"/>
                <w:sz w:val="13"/>
                <w:szCs w:val="13"/>
                <w:color w:val="auto"/>
              </w:rPr>
              <w:t>If retire after 12 months</w:t>
            </w:r>
          </w:p>
        </w:tc>
        <w:tc>
          <w:tcPr>
            <w:tcW w:w="0" w:type="dxa"/>
            <w:vAlign w:val="bottom"/>
          </w:tcPr>
          <w:p>
            <w:pPr>
              <w:spacing w:after="0"/>
              <w:rPr>
                <w:sz w:val="1"/>
                <w:szCs w:val="1"/>
                <w:color w:val="auto"/>
              </w:rPr>
            </w:pPr>
          </w:p>
        </w:tc>
      </w:tr>
      <w:tr>
        <w:trPr>
          <w:trHeight w:val="148"/>
        </w:trPr>
        <w:tc>
          <w:tcPr>
            <w:tcW w:w="1300" w:type="dxa"/>
            <w:vAlign w:val="bottom"/>
            <w:tcBorders>
              <w:left w:val="single" w:sz="8" w:color="auto"/>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following grant date,</w:t>
            </w:r>
          </w:p>
        </w:tc>
        <w:tc>
          <w:tcPr>
            <w:tcW w:w="262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following grant date,</w:t>
            </w:r>
          </w:p>
        </w:tc>
        <w:tc>
          <w:tcPr>
            <w:tcW w:w="1900" w:type="dxa"/>
            <w:vAlign w:val="bottom"/>
            <w:tcBorders>
              <w:right w:val="single" w:sz="8" w:color="auto"/>
            </w:tcBorders>
            <w:gridSpan w:val="5"/>
          </w:tcPr>
          <w:p>
            <w:pPr>
              <w:jc w:val="center"/>
              <w:spacing w:after="0"/>
              <w:rPr>
                <w:sz w:val="20"/>
                <w:szCs w:val="20"/>
                <w:color w:val="auto"/>
              </w:rPr>
            </w:pPr>
            <w:r>
              <w:rPr>
                <w:rFonts w:ascii="Arial" w:cs="Arial" w:eastAsia="Arial" w:hAnsi="Arial"/>
                <w:sz w:val="13"/>
                <w:szCs w:val="13"/>
                <w:color w:val="auto"/>
              </w:rPr>
              <w:t>following grant date,</w:t>
            </w:r>
          </w:p>
        </w:tc>
        <w:tc>
          <w:tcPr>
            <w:tcW w:w="0" w:type="dxa"/>
            <w:vAlign w:val="bottom"/>
          </w:tcPr>
          <w:p>
            <w:pPr>
              <w:spacing w:after="0"/>
              <w:rPr>
                <w:sz w:val="1"/>
                <w:szCs w:val="1"/>
                <w:color w:val="auto"/>
              </w:rPr>
            </w:pPr>
          </w:p>
        </w:tc>
      </w:tr>
      <w:tr>
        <w:trPr>
          <w:trHeight w:val="148"/>
        </w:trPr>
        <w:tc>
          <w:tcPr>
            <w:tcW w:w="13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rPr>
              <w:t>Time-vested</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continued vesting subject</w:t>
            </w:r>
          </w:p>
        </w:tc>
        <w:tc>
          <w:tcPr>
            <w:tcW w:w="262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continued vesting subject</w:t>
            </w:r>
          </w:p>
        </w:tc>
        <w:tc>
          <w:tcPr>
            <w:tcW w:w="1900" w:type="dxa"/>
            <w:vAlign w:val="bottom"/>
            <w:tcBorders>
              <w:right w:val="single" w:sz="8" w:color="auto"/>
            </w:tcBorders>
            <w:gridSpan w:val="5"/>
          </w:tcPr>
          <w:p>
            <w:pPr>
              <w:jc w:val="center"/>
              <w:spacing w:after="0"/>
              <w:rPr>
                <w:sz w:val="20"/>
                <w:szCs w:val="20"/>
                <w:color w:val="auto"/>
              </w:rPr>
            </w:pPr>
            <w:r>
              <w:rPr>
                <w:rFonts w:ascii="Arial" w:cs="Arial" w:eastAsia="Arial" w:hAnsi="Arial"/>
                <w:sz w:val="13"/>
                <w:szCs w:val="13"/>
                <w:color w:val="auto"/>
              </w:rPr>
              <w:t>continued vesting subject</w:t>
            </w:r>
          </w:p>
        </w:tc>
        <w:tc>
          <w:tcPr>
            <w:tcW w:w="0" w:type="dxa"/>
            <w:vAlign w:val="bottom"/>
          </w:tcPr>
          <w:p>
            <w:pPr>
              <w:spacing w:after="0"/>
              <w:rPr>
                <w:sz w:val="1"/>
                <w:szCs w:val="1"/>
                <w:color w:val="auto"/>
              </w:rPr>
            </w:pPr>
          </w:p>
        </w:tc>
      </w:tr>
      <w:tr>
        <w:trPr>
          <w:trHeight w:val="61"/>
        </w:trPr>
        <w:tc>
          <w:tcPr>
            <w:tcW w:w="1300" w:type="dxa"/>
            <w:vAlign w:val="bottom"/>
            <w:tcBorders>
              <w:left w:val="single" w:sz="8" w:color="auto"/>
              <w:right w:val="single" w:sz="8" w:color="auto"/>
            </w:tcBorders>
            <w:vMerge w:val="continue"/>
          </w:tcPr>
          <w:p>
            <w:pPr>
              <w:spacing w:after="0"/>
              <w:rPr>
                <w:sz w:val="5"/>
                <w:szCs w:val="5"/>
                <w:color w:val="auto"/>
              </w:rPr>
            </w:pPr>
          </w:p>
        </w:tc>
        <w:tc>
          <w:tcPr>
            <w:tcW w:w="320" w:type="dxa"/>
            <w:vAlign w:val="bottom"/>
          </w:tcPr>
          <w:p>
            <w:pPr>
              <w:spacing w:after="0"/>
              <w:rPr>
                <w:sz w:val="5"/>
                <w:szCs w:val="5"/>
                <w:color w:val="auto"/>
              </w:rPr>
            </w:pPr>
          </w:p>
        </w:tc>
        <w:tc>
          <w:tcPr>
            <w:tcW w:w="1480" w:type="dxa"/>
            <w:vAlign w:val="bottom"/>
            <w:tcBorders>
              <w:right w:val="single" w:sz="8" w:color="auto"/>
            </w:tcBorders>
            <w:gridSpan w:val="4"/>
            <w:vMerge w:val="restart"/>
          </w:tcPr>
          <w:p>
            <w:pPr>
              <w:jc w:val="center"/>
              <w:ind w:right="340"/>
              <w:spacing w:after="0"/>
              <w:rPr>
                <w:sz w:val="20"/>
                <w:szCs w:val="20"/>
                <w:color w:val="auto"/>
              </w:rPr>
            </w:pPr>
            <w:r>
              <w:rPr>
                <w:rFonts w:ascii="Arial" w:cs="Arial" w:eastAsia="Arial" w:hAnsi="Arial"/>
                <w:sz w:val="13"/>
                <w:szCs w:val="13"/>
                <w:color w:val="auto"/>
              </w:rPr>
              <w:t>Fully accelerated</w:t>
            </w:r>
          </w:p>
        </w:tc>
        <w:tc>
          <w:tcPr>
            <w:tcW w:w="1940" w:type="dxa"/>
            <w:vAlign w:val="bottom"/>
            <w:tcBorders>
              <w:right w:val="single" w:sz="8" w:color="auto"/>
            </w:tcBorders>
            <w:gridSpan w:val="5"/>
            <w:vMerge w:val="restart"/>
          </w:tcPr>
          <w:p>
            <w:pPr>
              <w:jc w:val="center"/>
              <w:ind w:right="20"/>
              <w:spacing w:after="0"/>
              <w:rPr>
                <w:sz w:val="20"/>
                <w:szCs w:val="20"/>
                <w:color w:val="auto"/>
              </w:rPr>
            </w:pPr>
            <w:r>
              <w:rPr>
                <w:rFonts w:ascii="Arial" w:cs="Arial" w:eastAsia="Arial" w:hAnsi="Arial"/>
                <w:sz w:val="13"/>
                <w:szCs w:val="13"/>
                <w:color w:val="auto"/>
              </w:rPr>
              <w:t>to completion of new</w:t>
            </w:r>
          </w:p>
        </w:tc>
        <w:tc>
          <w:tcPr>
            <w:tcW w:w="2620" w:type="dxa"/>
            <w:vAlign w:val="bottom"/>
            <w:tcBorders>
              <w:right w:val="single" w:sz="8" w:color="auto"/>
            </w:tcBorders>
            <w:gridSpan w:val="5"/>
            <w:vMerge w:val="restart"/>
          </w:tcPr>
          <w:p>
            <w:pPr>
              <w:jc w:val="center"/>
              <w:ind w:right="20"/>
              <w:spacing w:after="0"/>
              <w:rPr>
                <w:sz w:val="20"/>
                <w:szCs w:val="20"/>
                <w:color w:val="auto"/>
              </w:rPr>
            </w:pPr>
            <w:r>
              <w:rPr>
                <w:rFonts w:ascii="Arial" w:cs="Arial" w:eastAsia="Arial" w:hAnsi="Arial"/>
                <w:sz w:val="13"/>
                <w:szCs w:val="13"/>
                <w:color w:val="auto"/>
              </w:rPr>
              <w:t>to completion of new</w:t>
            </w:r>
          </w:p>
        </w:tc>
        <w:tc>
          <w:tcPr>
            <w:tcW w:w="190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3"/>
                <w:szCs w:val="13"/>
                <w:color w:val="auto"/>
              </w:rPr>
              <w:t>to completion of new</w:t>
            </w:r>
          </w:p>
        </w:tc>
        <w:tc>
          <w:tcPr>
            <w:tcW w:w="0" w:type="dxa"/>
            <w:vAlign w:val="bottom"/>
          </w:tcPr>
          <w:p>
            <w:pPr>
              <w:spacing w:after="0"/>
              <w:rPr>
                <w:sz w:val="1"/>
                <w:szCs w:val="1"/>
                <w:color w:val="auto"/>
              </w:rPr>
            </w:pPr>
          </w:p>
        </w:tc>
      </w:tr>
      <w:tr>
        <w:trPr>
          <w:trHeight w:val="88"/>
        </w:trPr>
        <w:tc>
          <w:tcPr>
            <w:tcW w:w="1300" w:type="dxa"/>
            <w:vAlign w:val="bottom"/>
            <w:tcBorders>
              <w:left w:val="single" w:sz="8" w:color="auto"/>
              <w:right w:val="single" w:sz="8" w:color="auto"/>
            </w:tcBorders>
            <w:vMerge w:val="restart"/>
          </w:tcPr>
          <w:p>
            <w:pPr>
              <w:jc w:val="center"/>
              <w:spacing w:after="0" w:line="210" w:lineRule="exact"/>
              <w:rPr>
                <w:sz w:val="20"/>
                <w:szCs w:val="20"/>
                <w:color w:val="auto"/>
              </w:rPr>
            </w:pPr>
            <w:r>
              <w:rPr>
                <w:rFonts w:ascii="Arial" w:cs="Arial" w:eastAsia="Arial" w:hAnsi="Arial"/>
                <w:sz w:val="13"/>
                <w:szCs w:val="13"/>
                <w:color w:val="auto"/>
                <w:w w:val="96"/>
              </w:rPr>
              <w:t>RSUs</w:t>
            </w:r>
            <w:r>
              <w:rPr>
                <w:rFonts w:ascii="Arial" w:cs="Arial" w:eastAsia="Arial" w:hAnsi="Arial"/>
                <w:sz w:val="22"/>
                <w:szCs w:val="22"/>
                <w:color w:val="auto"/>
                <w:w w:val="96"/>
                <w:vertAlign w:val="superscript"/>
              </w:rPr>
              <w:t>(3)</w:t>
            </w:r>
          </w:p>
        </w:tc>
        <w:tc>
          <w:tcPr>
            <w:tcW w:w="320" w:type="dxa"/>
            <w:vAlign w:val="bottom"/>
          </w:tcPr>
          <w:p>
            <w:pPr>
              <w:spacing w:after="0"/>
              <w:rPr>
                <w:sz w:val="7"/>
                <w:szCs w:val="7"/>
                <w:color w:val="auto"/>
              </w:rPr>
            </w:pPr>
          </w:p>
        </w:tc>
        <w:tc>
          <w:tcPr>
            <w:tcW w:w="1480" w:type="dxa"/>
            <w:vAlign w:val="bottom"/>
            <w:tcBorders>
              <w:right w:val="single" w:sz="8" w:color="auto"/>
            </w:tcBorders>
            <w:gridSpan w:val="4"/>
            <w:vMerge w:val="continue"/>
          </w:tcPr>
          <w:p>
            <w:pPr>
              <w:spacing w:after="0"/>
              <w:rPr>
                <w:sz w:val="7"/>
                <w:szCs w:val="7"/>
                <w:color w:val="auto"/>
              </w:rPr>
            </w:pPr>
          </w:p>
        </w:tc>
        <w:tc>
          <w:tcPr>
            <w:tcW w:w="1940" w:type="dxa"/>
            <w:vAlign w:val="bottom"/>
            <w:tcBorders>
              <w:right w:val="single" w:sz="8" w:color="auto"/>
            </w:tcBorders>
            <w:gridSpan w:val="5"/>
            <w:vMerge w:val="continue"/>
          </w:tcPr>
          <w:p>
            <w:pPr>
              <w:spacing w:after="0"/>
              <w:rPr>
                <w:sz w:val="7"/>
                <w:szCs w:val="7"/>
                <w:color w:val="auto"/>
              </w:rPr>
            </w:pPr>
          </w:p>
        </w:tc>
        <w:tc>
          <w:tcPr>
            <w:tcW w:w="2620" w:type="dxa"/>
            <w:vAlign w:val="bottom"/>
            <w:tcBorders>
              <w:right w:val="single" w:sz="8" w:color="auto"/>
            </w:tcBorders>
            <w:gridSpan w:val="5"/>
            <w:vMerge w:val="continue"/>
          </w:tcPr>
          <w:p>
            <w:pPr>
              <w:spacing w:after="0"/>
              <w:rPr>
                <w:sz w:val="7"/>
                <w:szCs w:val="7"/>
                <w:color w:val="auto"/>
              </w:rPr>
            </w:pPr>
          </w:p>
        </w:tc>
        <w:tc>
          <w:tcPr>
            <w:tcW w:w="1900" w:type="dxa"/>
            <w:vAlign w:val="bottom"/>
            <w:tcBorders>
              <w:right w:val="single" w:sz="8" w:color="auto"/>
            </w:tcBorders>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300" w:type="dxa"/>
            <w:vAlign w:val="bottom"/>
            <w:tcBorders>
              <w:left w:val="single" w:sz="8" w:color="auto"/>
              <w:right w:val="single" w:sz="8" w:color="auto"/>
            </w:tcBorders>
            <w:vMerge w:val="continue"/>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gridSpan w:val="5"/>
            <w:vMerge w:val="restart"/>
          </w:tcPr>
          <w:p>
            <w:pPr>
              <w:jc w:val="center"/>
              <w:ind w:right="20"/>
              <w:spacing w:after="0"/>
              <w:rPr>
                <w:sz w:val="20"/>
                <w:szCs w:val="20"/>
                <w:color w:val="auto"/>
              </w:rPr>
            </w:pPr>
            <w:r>
              <w:rPr>
                <w:rFonts w:ascii="Arial" w:cs="Arial" w:eastAsia="Arial" w:hAnsi="Arial"/>
                <w:sz w:val="13"/>
                <w:szCs w:val="13"/>
                <w:color w:val="auto"/>
              </w:rPr>
              <w:t>non-compete/non-solicit</w:t>
            </w:r>
          </w:p>
        </w:tc>
        <w:tc>
          <w:tcPr>
            <w:tcW w:w="2620" w:type="dxa"/>
            <w:vAlign w:val="bottom"/>
            <w:tcBorders>
              <w:right w:val="single" w:sz="8" w:color="auto"/>
            </w:tcBorders>
            <w:gridSpan w:val="5"/>
            <w:vMerge w:val="restart"/>
          </w:tcPr>
          <w:p>
            <w:pPr>
              <w:jc w:val="center"/>
              <w:ind w:right="40"/>
              <w:spacing w:after="0"/>
              <w:rPr>
                <w:sz w:val="20"/>
                <w:szCs w:val="20"/>
                <w:color w:val="auto"/>
              </w:rPr>
            </w:pPr>
            <w:r>
              <w:rPr>
                <w:rFonts w:ascii="Arial" w:cs="Arial" w:eastAsia="Arial" w:hAnsi="Arial"/>
                <w:sz w:val="13"/>
                <w:szCs w:val="13"/>
                <w:color w:val="auto"/>
              </w:rPr>
              <w:t>non-compete/non-solicit agreement and</w:t>
            </w:r>
          </w:p>
        </w:tc>
        <w:tc>
          <w:tcPr>
            <w:tcW w:w="190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3"/>
                <w:szCs w:val="13"/>
                <w:color w:val="auto"/>
              </w:rPr>
              <w:t>non-compete/non-solicit</w:t>
            </w:r>
          </w:p>
        </w:tc>
        <w:tc>
          <w:tcPr>
            <w:tcW w:w="0" w:type="dxa"/>
            <w:vAlign w:val="bottom"/>
          </w:tcPr>
          <w:p>
            <w:pPr>
              <w:spacing w:after="0"/>
              <w:rPr>
                <w:sz w:val="1"/>
                <w:szCs w:val="1"/>
                <w:color w:val="auto"/>
              </w:rPr>
            </w:pPr>
          </w:p>
        </w:tc>
      </w:tr>
      <w:tr>
        <w:trPr>
          <w:trHeight w:val="26"/>
        </w:trPr>
        <w:tc>
          <w:tcPr>
            <w:tcW w:w="1300" w:type="dxa"/>
            <w:vAlign w:val="bottom"/>
            <w:tcBorders>
              <w:left w:val="single" w:sz="8" w:color="auto"/>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940" w:type="dxa"/>
            <w:vAlign w:val="bottom"/>
            <w:tcBorders>
              <w:right w:val="single" w:sz="8" w:color="auto"/>
            </w:tcBorders>
            <w:gridSpan w:val="5"/>
            <w:vMerge w:val="continue"/>
          </w:tcPr>
          <w:p>
            <w:pPr>
              <w:spacing w:after="0"/>
              <w:rPr>
                <w:sz w:val="2"/>
                <w:szCs w:val="2"/>
                <w:color w:val="auto"/>
              </w:rPr>
            </w:pPr>
          </w:p>
        </w:tc>
        <w:tc>
          <w:tcPr>
            <w:tcW w:w="2620" w:type="dxa"/>
            <w:vAlign w:val="bottom"/>
            <w:tcBorders>
              <w:right w:val="single" w:sz="8" w:color="auto"/>
            </w:tcBorders>
            <w:gridSpan w:val="5"/>
            <w:vMerge w:val="continue"/>
          </w:tcPr>
          <w:p>
            <w:pPr>
              <w:spacing w:after="0"/>
              <w:rPr>
                <w:sz w:val="2"/>
                <w:szCs w:val="2"/>
                <w:color w:val="auto"/>
              </w:rPr>
            </w:pPr>
          </w:p>
        </w:tc>
        <w:tc>
          <w:tcPr>
            <w:tcW w:w="1900" w:type="dxa"/>
            <w:vAlign w:val="bottom"/>
            <w:tcBorders>
              <w:right w:val="single" w:sz="8" w:color="auto"/>
            </w:tcBorders>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300" w:type="dxa"/>
            <w:vAlign w:val="bottom"/>
            <w:tcBorders>
              <w:left w:val="single" w:sz="8" w:color="auto"/>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Borders>
              <w:right w:val="single" w:sz="8" w:color="auto"/>
            </w:tcBorders>
            <w:gridSpan w:val="3"/>
          </w:tcPr>
          <w:p>
            <w:pPr>
              <w:jc w:val="center"/>
              <w:ind w:right="520"/>
              <w:spacing w:after="0"/>
              <w:rPr>
                <w:sz w:val="20"/>
                <w:szCs w:val="20"/>
                <w:color w:val="auto"/>
              </w:rPr>
            </w:pPr>
            <w:r>
              <w:rPr>
                <w:rFonts w:ascii="Arial" w:cs="Arial" w:eastAsia="Arial" w:hAnsi="Arial"/>
                <w:sz w:val="13"/>
                <w:szCs w:val="13"/>
                <w:color w:val="auto"/>
              </w:rPr>
              <w:t>agreement and</w:t>
            </w:r>
          </w:p>
        </w:tc>
        <w:tc>
          <w:tcPr>
            <w:tcW w:w="760" w:type="dxa"/>
            <w:vAlign w:val="bottom"/>
          </w:tcPr>
          <w:p>
            <w:pPr>
              <w:spacing w:after="0"/>
              <w:rPr>
                <w:sz w:val="12"/>
                <w:szCs w:val="12"/>
                <w:color w:val="auto"/>
              </w:rPr>
            </w:pPr>
          </w:p>
        </w:tc>
        <w:tc>
          <w:tcPr>
            <w:tcW w:w="1860" w:type="dxa"/>
            <w:vAlign w:val="bottom"/>
            <w:tcBorders>
              <w:right w:val="single" w:sz="8" w:color="auto"/>
            </w:tcBorders>
            <w:gridSpan w:val="4"/>
          </w:tcPr>
          <w:p>
            <w:pPr>
              <w:jc w:val="center"/>
              <w:ind w:right="800"/>
              <w:spacing w:after="0"/>
              <w:rPr>
                <w:sz w:val="20"/>
                <w:szCs w:val="20"/>
                <w:color w:val="auto"/>
              </w:rPr>
            </w:pPr>
            <w:r>
              <w:rPr>
                <w:rFonts w:ascii="Arial" w:cs="Arial" w:eastAsia="Arial" w:hAnsi="Arial"/>
                <w:sz w:val="13"/>
                <w:szCs w:val="13"/>
                <w:color w:val="auto"/>
              </w:rPr>
              <w:t>reasonable notice</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Borders>
              <w:right w:val="single" w:sz="8" w:color="auto"/>
            </w:tcBorders>
            <w:gridSpan w:val="3"/>
          </w:tcPr>
          <w:p>
            <w:pPr>
              <w:jc w:val="center"/>
              <w:ind w:right="480"/>
              <w:spacing w:after="0"/>
              <w:rPr>
                <w:sz w:val="20"/>
                <w:szCs w:val="20"/>
                <w:color w:val="auto"/>
              </w:rPr>
            </w:pPr>
            <w:r>
              <w:rPr>
                <w:rFonts w:ascii="Arial" w:cs="Arial" w:eastAsia="Arial" w:hAnsi="Arial"/>
                <w:sz w:val="13"/>
                <w:szCs w:val="13"/>
                <w:color w:val="auto"/>
              </w:rPr>
              <w:t>agreement and</w:t>
            </w:r>
          </w:p>
        </w:tc>
        <w:tc>
          <w:tcPr>
            <w:tcW w:w="0" w:type="dxa"/>
            <w:vAlign w:val="bottom"/>
          </w:tcPr>
          <w:p>
            <w:pPr>
              <w:spacing w:after="0"/>
              <w:rPr>
                <w:sz w:val="1"/>
                <w:szCs w:val="1"/>
                <w:color w:val="auto"/>
              </w:rPr>
            </w:pPr>
          </w:p>
        </w:tc>
      </w:tr>
      <w:tr>
        <w:trPr>
          <w:trHeight w:val="162"/>
        </w:trPr>
        <w:tc>
          <w:tcPr>
            <w:tcW w:w="1300" w:type="dxa"/>
            <w:vAlign w:val="bottom"/>
            <w:tcBorders>
              <w:left w:val="single" w:sz="8" w:color="auto"/>
              <w:bottom w:val="single" w:sz="8" w:color="auto"/>
              <w:right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20" w:type="dxa"/>
            <w:vAlign w:val="bottom"/>
            <w:tcBorders>
              <w:bottom w:val="single" w:sz="8" w:color="auto"/>
              <w:right w:val="single" w:sz="8" w:color="auto"/>
            </w:tcBorders>
            <w:gridSpan w:val="4"/>
          </w:tcPr>
          <w:p>
            <w:pPr>
              <w:jc w:val="center"/>
              <w:ind w:right="440"/>
              <w:spacing w:after="0"/>
              <w:rPr>
                <w:sz w:val="20"/>
                <w:szCs w:val="20"/>
                <w:color w:val="auto"/>
              </w:rPr>
            </w:pPr>
            <w:r>
              <w:rPr>
                <w:rFonts w:ascii="Arial" w:cs="Arial" w:eastAsia="Arial" w:hAnsi="Arial"/>
                <w:sz w:val="13"/>
                <w:szCs w:val="13"/>
                <w:color w:val="auto"/>
              </w:rPr>
              <w:t>reasonable notice</w:t>
            </w: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80" w:type="dxa"/>
            <w:vAlign w:val="bottom"/>
            <w:tcBorders>
              <w:bottom w:val="single" w:sz="8" w:color="auto"/>
              <w:right w:val="single" w:sz="8" w:color="auto"/>
            </w:tcBorders>
            <w:gridSpan w:val="4"/>
          </w:tcPr>
          <w:p>
            <w:pPr>
              <w:jc w:val="center"/>
              <w:ind w:right="400"/>
              <w:spacing w:after="0"/>
              <w:rPr>
                <w:sz w:val="20"/>
                <w:szCs w:val="20"/>
                <w:color w:val="auto"/>
              </w:rPr>
            </w:pPr>
            <w:r>
              <w:rPr>
                <w:rFonts w:ascii="Arial" w:cs="Arial" w:eastAsia="Arial" w:hAnsi="Arial"/>
                <w:sz w:val="13"/>
                <w:szCs w:val="13"/>
                <w:color w:val="auto"/>
              </w:rPr>
              <w:t>reasonable notice</w:t>
            </w:r>
          </w:p>
        </w:tc>
        <w:tc>
          <w:tcPr>
            <w:tcW w:w="0" w:type="dxa"/>
            <w:vAlign w:val="bottom"/>
          </w:tcPr>
          <w:p>
            <w:pPr>
              <w:spacing w:after="0"/>
              <w:rPr>
                <w:sz w:val="1"/>
                <w:szCs w:val="1"/>
                <w:color w:val="auto"/>
              </w:rPr>
            </w:pPr>
          </w:p>
        </w:tc>
      </w:tr>
      <w:tr>
        <w:trPr>
          <w:trHeight w:val="142"/>
        </w:trPr>
        <w:tc>
          <w:tcPr>
            <w:tcW w:w="1300" w:type="dxa"/>
            <w:vAlign w:val="bottom"/>
            <w:tcBorders>
              <w:left w:val="single" w:sz="8" w:color="auto"/>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gridSpan w:val="3"/>
          </w:tcPr>
          <w:p>
            <w:pPr>
              <w:jc w:val="center"/>
              <w:spacing w:after="0" w:line="143" w:lineRule="exact"/>
              <w:rPr>
                <w:sz w:val="20"/>
                <w:szCs w:val="20"/>
                <w:color w:val="auto"/>
              </w:rPr>
            </w:pPr>
            <w:r>
              <w:rPr>
                <w:rFonts w:ascii="Arial" w:cs="Arial" w:eastAsia="Arial" w:hAnsi="Arial"/>
                <w:sz w:val="13"/>
                <w:szCs w:val="13"/>
                <w:color w:val="auto"/>
              </w:rPr>
              <w:t>Unvested Options</w:t>
            </w:r>
          </w:p>
        </w:tc>
        <w:tc>
          <w:tcPr>
            <w:tcW w:w="44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gridSpan w:val="5"/>
          </w:tcPr>
          <w:p>
            <w:pPr>
              <w:jc w:val="center"/>
              <w:ind w:right="20"/>
              <w:spacing w:after="0" w:line="143" w:lineRule="exact"/>
              <w:rPr>
                <w:sz w:val="20"/>
                <w:szCs w:val="20"/>
                <w:color w:val="auto"/>
              </w:rPr>
            </w:pPr>
            <w:r>
              <w:rPr>
                <w:rFonts w:ascii="Arial" w:cs="Arial" w:eastAsia="Arial" w:hAnsi="Arial"/>
                <w:sz w:val="13"/>
                <w:szCs w:val="13"/>
                <w:color w:val="auto"/>
              </w:rPr>
              <w:t>Unvested Options</w:t>
            </w:r>
          </w:p>
        </w:tc>
        <w:tc>
          <w:tcPr>
            <w:tcW w:w="1900" w:type="dxa"/>
            <w:vAlign w:val="bottom"/>
            <w:tcBorders>
              <w:right w:val="single" w:sz="8" w:color="auto"/>
            </w:tcBorders>
            <w:gridSpan w:val="5"/>
          </w:tcPr>
          <w:p>
            <w:pPr>
              <w:jc w:val="center"/>
              <w:spacing w:after="0" w:line="143" w:lineRule="exact"/>
              <w:rPr>
                <w:sz w:val="20"/>
                <w:szCs w:val="20"/>
                <w:color w:val="auto"/>
              </w:rPr>
            </w:pPr>
            <w:r>
              <w:rPr>
                <w:rFonts w:ascii="Arial" w:cs="Arial" w:eastAsia="Arial" w:hAnsi="Arial"/>
                <w:sz w:val="13"/>
                <w:szCs w:val="13"/>
                <w:color w:val="auto"/>
              </w:rPr>
              <w:t>Unvested Options</w:t>
            </w:r>
          </w:p>
        </w:tc>
        <w:tc>
          <w:tcPr>
            <w:tcW w:w="0" w:type="dxa"/>
            <w:vAlign w:val="bottom"/>
          </w:tcPr>
          <w:p>
            <w:pPr>
              <w:spacing w:after="0"/>
              <w:rPr>
                <w:sz w:val="1"/>
                <w:szCs w:val="1"/>
                <w:color w:val="auto"/>
              </w:rPr>
            </w:pPr>
          </w:p>
        </w:tc>
      </w:tr>
      <w:tr>
        <w:trPr>
          <w:trHeight w:val="20"/>
        </w:trPr>
        <w:tc>
          <w:tcPr>
            <w:tcW w:w="1300" w:type="dxa"/>
            <w:vAlign w:val="bottom"/>
            <w:tcBorders>
              <w:left w:val="single" w:sz="8" w:color="auto"/>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20" w:type="dxa"/>
            <w:vAlign w:val="bottom"/>
            <w:vMerge w:val="restart"/>
          </w:tcPr>
          <w:p>
            <w:pPr>
              <w:ind w:left="260"/>
              <w:spacing w:after="0"/>
              <w:rPr>
                <w:sz w:val="20"/>
                <w:szCs w:val="20"/>
                <w:color w:val="auto"/>
              </w:rPr>
            </w:pPr>
            <w:r>
              <w:rPr>
                <w:rFonts w:ascii="Arial" w:cs="Arial" w:eastAsia="Arial" w:hAnsi="Arial"/>
                <w:sz w:val="13"/>
                <w:szCs w:val="13"/>
                <w:color w:val="auto"/>
              </w:rPr>
              <w:t>If</w:t>
            </w: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760" w:type="dxa"/>
            <w:vAlign w:val="bottom"/>
            <w:vMerge w:val="restart"/>
          </w:tcPr>
          <w:p>
            <w:pPr>
              <w:ind w:left="600"/>
              <w:spacing w:after="0"/>
              <w:rPr>
                <w:sz w:val="20"/>
                <w:szCs w:val="20"/>
                <w:color w:val="auto"/>
              </w:rPr>
            </w:pPr>
            <w:r>
              <w:rPr>
                <w:rFonts w:ascii="Arial" w:cs="Arial" w:eastAsia="Arial" w:hAnsi="Arial"/>
                <w:sz w:val="13"/>
                <w:szCs w:val="13"/>
                <w:color w:val="auto"/>
              </w:rPr>
              <w:t>If</w:t>
            </w: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420" w:type="dxa"/>
            <w:vAlign w:val="bottom"/>
            <w:vMerge w:val="restart"/>
          </w:tcPr>
          <w:p>
            <w:pPr>
              <w:ind w:left="260"/>
              <w:spacing w:after="0"/>
              <w:rPr>
                <w:sz w:val="20"/>
                <w:szCs w:val="20"/>
                <w:color w:val="auto"/>
              </w:rPr>
            </w:pPr>
            <w:r>
              <w:rPr>
                <w:rFonts w:ascii="Arial" w:cs="Arial" w:eastAsia="Arial" w:hAnsi="Arial"/>
                <w:sz w:val="13"/>
                <w:szCs w:val="13"/>
                <w:color w:val="auto"/>
              </w:rPr>
              <w:t>If</w:t>
            </w: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300" w:type="dxa"/>
            <w:vAlign w:val="bottom"/>
            <w:tcBorders>
              <w:left w:val="single" w:sz="8" w:color="auto"/>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420" w:type="dxa"/>
            <w:vAlign w:val="bottom"/>
            <w:vMerge w:val="continue"/>
          </w:tcPr>
          <w:p>
            <w:pPr>
              <w:spacing w:after="0"/>
              <w:rPr>
                <w:sz w:val="12"/>
                <w:szCs w:val="12"/>
                <w:color w:val="auto"/>
              </w:rPr>
            </w:pPr>
          </w:p>
        </w:tc>
        <w:tc>
          <w:tcPr>
            <w:tcW w:w="1520" w:type="dxa"/>
            <w:vAlign w:val="bottom"/>
            <w:tcBorders>
              <w:right w:val="single" w:sz="8" w:color="auto"/>
            </w:tcBorders>
            <w:gridSpan w:val="4"/>
          </w:tcPr>
          <w:p>
            <w:pPr>
              <w:spacing w:after="0" w:line="141" w:lineRule="exact"/>
              <w:rPr>
                <w:sz w:val="20"/>
                <w:szCs w:val="20"/>
                <w:color w:val="auto"/>
              </w:rPr>
            </w:pPr>
            <w:r>
              <w:rPr>
                <w:rFonts w:ascii="Arial" w:cs="Arial" w:eastAsia="Arial" w:hAnsi="Arial"/>
                <w:sz w:val="13"/>
                <w:szCs w:val="13"/>
                <w:color w:val="auto"/>
              </w:rPr>
              <w:t>retire after 24 months</w:t>
            </w:r>
          </w:p>
        </w:tc>
        <w:tc>
          <w:tcPr>
            <w:tcW w:w="760" w:type="dxa"/>
            <w:vAlign w:val="bottom"/>
            <w:vMerge w:val="continue"/>
          </w:tcPr>
          <w:p>
            <w:pPr>
              <w:spacing w:after="0"/>
              <w:rPr>
                <w:sz w:val="12"/>
                <w:szCs w:val="12"/>
                <w:color w:val="auto"/>
              </w:rPr>
            </w:pPr>
          </w:p>
        </w:tc>
        <w:tc>
          <w:tcPr>
            <w:tcW w:w="1860" w:type="dxa"/>
            <w:vAlign w:val="bottom"/>
            <w:tcBorders>
              <w:right w:val="single" w:sz="8" w:color="auto"/>
            </w:tcBorders>
            <w:gridSpan w:val="4"/>
          </w:tcPr>
          <w:p>
            <w:pPr>
              <w:spacing w:after="0" w:line="141" w:lineRule="exact"/>
              <w:rPr>
                <w:sz w:val="20"/>
                <w:szCs w:val="20"/>
                <w:color w:val="auto"/>
              </w:rPr>
            </w:pPr>
            <w:r>
              <w:rPr>
                <w:rFonts w:ascii="Arial" w:cs="Arial" w:eastAsia="Arial" w:hAnsi="Arial"/>
                <w:sz w:val="13"/>
                <w:szCs w:val="13"/>
                <w:color w:val="auto"/>
              </w:rPr>
              <w:t>retire after 18 months</w:t>
            </w:r>
          </w:p>
        </w:tc>
        <w:tc>
          <w:tcPr>
            <w:tcW w:w="420" w:type="dxa"/>
            <w:vAlign w:val="bottom"/>
            <w:vMerge w:val="continue"/>
          </w:tcPr>
          <w:p>
            <w:pPr>
              <w:spacing w:after="0"/>
              <w:rPr>
                <w:sz w:val="12"/>
                <w:szCs w:val="12"/>
                <w:color w:val="auto"/>
              </w:rPr>
            </w:pPr>
          </w:p>
        </w:tc>
        <w:tc>
          <w:tcPr>
            <w:tcW w:w="1480" w:type="dxa"/>
            <w:vAlign w:val="bottom"/>
            <w:tcBorders>
              <w:right w:val="single" w:sz="8" w:color="auto"/>
            </w:tcBorders>
            <w:gridSpan w:val="4"/>
          </w:tcPr>
          <w:p>
            <w:pPr>
              <w:spacing w:after="0" w:line="141" w:lineRule="exact"/>
              <w:rPr>
                <w:sz w:val="20"/>
                <w:szCs w:val="20"/>
                <w:color w:val="auto"/>
              </w:rPr>
            </w:pPr>
            <w:r>
              <w:rPr>
                <w:rFonts w:ascii="Arial" w:cs="Arial" w:eastAsia="Arial" w:hAnsi="Arial"/>
                <w:sz w:val="13"/>
                <w:szCs w:val="13"/>
                <w:color w:val="auto"/>
              </w:rPr>
              <w:t>retire after 12 months</w:t>
            </w:r>
          </w:p>
        </w:tc>
        <w:tc>
          <w:tcPr>
            <w:tcW w:w="0" w:type="dxa"/>
            <w:vAlign w:val="bottom"/>
          </w:tcPr>
          <w:p>
            <w:pPr>
              <w:spacing w:after="0"/>
              <w:rPr>
                <w:sz w:val="1"/>
                <w:szCs w:val="1"/>
                <w:color w:val="auto"/>
              </w:rPr>
            </w:pPr>
          </w:p>
        </w:tc>
      </w:tr>
      <w:tr>
        <w:trPr>
          <w:trHeight w:val="148"/>
        </w:trPr>
        <w:tc>
          <w:tcPr>
            <w:tcW w:w="1300" w:type="dxa"/>
            <w:vAlign w:val="bottom"/>
            <w:tcBorders>
              <w:left w:val="single" w:sz="8" w:color="auto"/>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following grant date,</w:t>
            </w:r>
          </w:p>
        </w:tc>
        <w:tc>
          <w:tcPr>
            <w:tcW w:w="262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following grant date,</w:t>
            </w:r>
          </w:p>
        </w:tc>
        <w:tc>
          <w:tcPr>
            <w:tcW w:w="1900" w:type="dxa"/>
            <w:vAlign w:val="bottom"/>
            <w:tcBorders>
              <w:right w:val="single" w:sz="8" w:color="auto"/>
            </w:tcBorders>
            <w:gridSpan w:val="5"/>
          </w:tcPr>
          <w:p>
            <w:pPr>
              <w:jc w:val="center"/>
              <w:spacing w:after="0"/>
              <w:rPr>
                <w:sz w:val="20"/>
                <w:szCs w:val="20"/>
                <w:color w:val="auto"/>
              </w:rPr>
            </w:pPr>
            <w:r>
              <w:rPr>
                <w:rFonts w:ascii="Arial" w:cs="Arial" w:eastAsia="Arial" w:hAnsi="Arial"/>
                <w:sz w:val="13"/>
                <w:szCs w:val="13"/>
                <w:color w:val="auto"/>
              </w:rPr>
              <w:t>following grant date,</w:t>
            </w:r>
          </w:p>
        </w:tc>
        <w:tc>
          <w:tcPr>
            <w:tcW w:w="0" w:type="dxa"/>
            <w:vAlign w:val="bottom"/>
          </w:tcPr>
          <w:p>
            <w:pPr>
              <w:spacing w:after="0"/>
              <w:rPr>
                <w:sz w:val="1"/>
                <w:szCs w:val="1"/>
                <w:color w:val="auto"/>
              </w:rPr>
            </w:pPr>
          </w:p>
        </w:tc>
      </w:tr>
      <w:tr>
        <w:trPr>
          <w:trHeight w:val="148"/>
        </w:trPr>
        <w:tc>
          <w:tcPr>
            <w:tcW w:w="1300" w:type="dxa"/>
            <w:vAlign w:val="bottom"/>
            <w:tcBorders>
              <w:left w:val="single" w:sz="8" w:color="auto"/>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continued vesting subject</w:t>
            </w:r>
          </w:p>
        </w:tc>
        <w:tc>
          <w:tcPr>
            <w:tcW w:w="262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continued vesting subject</w:t>
            </w:r>
          </w:p>
        </w:tc>
        <w:tc>
          <w:tcPr>
            <w:tcW w:w="1900" w:type="dxa"/>
            <w:vAlign w:val="bottom"/>
            <w:tcBorders>
              <w:right w:val="single" w:sz="8" w:color="auto"/>
            </w:tcBorders>
            <w:gridSpan w:val="5"/>
          </w:tcPr>
          <w:p>
            <w:pPr>
              <w:jc w:val="center"/>
              <w:spacing w:after="0"/>
              <w:rPr>
                <w:sz w:val="20"/>
                <w:szCs w:val="20"/>
                <w:color w:val="auto"/>
              </w:rPr>
            </w:pPr>
            <w:r>
              <w:rPr>
                <w:rFonts w:ascii="Arial" w:cs="Arial" w:eastAsia="Arial" w:hAnsi="Arial"/>
                <w:sz w:val="13"/>
                <w:szCs w:val="13"/>
                <w:color w:val="auto"/>
              </w:rPr>
              <w:t>continued vesting subject</w:t>
            </w:r>
          </w:p>
        </w:tc>
        <w:tc>
          <w:tcPr>
            <w:tcW w:w="0" w:type="dxa"/>
            <w:vAlign w:val="bottom"/>
          </w:tcPr>
          <w:p>
            <w:pPr>
              <w:spacing w:after="0"/>
              <w:rPr>
                <w:sz w:val="1"/>
                <w:szCs w:val="1"/>
                <w:color w:val="auto"/>
              </w:rPr>
            </w:pPr>
          </w:p>
        </w:tc>
      </w:tr>
      <w:tr>
        <w:trPr>
          <w:trHeight w:val="148"/>
        </w:trPr>
        <w:tc>
          <w:tcPr>
            <w:tcW w:w="1300" w:type="dxa"/>
            <w:vAlign w:val="bottom"/>
            <w:tcBorders>
              <w:left w:val="single" w:sz="8" w:color="auto"/>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to completion of new</w:t>
            </w:r>
          </w:p>
        </w:tc>
        <w:tc>
          <w:tcPr>
            <w:tcW w:w="262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to completion of new</w:t>
            </w:r>
          </w:p>
        </w:tc>
        <w:tc>
          <w:tcPr>
            <w:tcW w:w="1900" w:type="dxa"/>
            <w:vAlign w:val="bottom"/>
            <w:tcBorders>
              <w:right w:val="single" w:sz="8" w:color="auto"/>
            </w:tcBorders>
            <w:gridSpan w:val="5"/>
          </w:tcPr>
          <w:p>
            <w:pPr>
              <w:jc w:val="center"/>
              <w:spacing w:after="0"/>
              <w:rPr>
                <w:sz w:val="20"/>
                <w:szCs w:val="20"/>
                <w:color w:val="auto"/>
              </w:rPr>
            </w:pPr>
            <w:r>
              <w:rPr>
                <w:rFonts w:ascii="Arial" w:cs="Arial" w:eastAsia="Arial" w:hAnsi="Arial"/>
                <w:sz w:val="13"/>
                <w:szCs w:val="13"/>
                <w:color w:val="auto"/>
              </w:rPr>
              <w:t>to completion of new</w:t>
            </w: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9"/>
              </w:rPr>
              <w:t>Stock Options</w:t>
            </w:r>
            <w:r>
              <w:rPr>
                <w:rFonts w:ascii="Arial" w:cs="Arial" w:eastAsia="Arial" w:hAnsi="Arial"/>
                <w:sz w:val="22"/>
                <w:szCs w:val="22"/>
                <w:color w:val="auto"/>
                <w:w w:val="99"/>
                <w:vertAlign w:val="superscript"/>
              </w:rPr>
              <w:t>(4)</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non-compete/non-solicit</w:t>
            </w:r>
          </w:p>
        </w:tc>
        <w:tc>
          <w:tcPr>
            <w:tcW w:w="262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non-compete/non-solicit</w:t>
            </w:r>
          </w:p>
        </w:tc>
        <w:tc>
          <w:tcPr>
            <w:tcW w:w="1900" w:type="dxa"/>
            <w:vAlign w:val="bottom"/>
            <w:tcBorders>
              <w:right w:val="single" w:sz="8" w:color="auto"/>
            </w:tcBorders>
            <w:gridSpan w:val="5"/>
          </w:tcPr>
          <w:p>
            <w:pPr>
              <w:jc w:val="center"/>
              <w:spacing w:after="0"/>
              <w:rPr>
                <w:sz w:val="20"/>
                <w:szCs w:val="20"/>
                <w:color w:val="auto"/>
              </w:rPr>
            </w:pPr>
            <w:r>
              <w:rPr>
                <w:rFonts w:ascii="Arial" w:cs="Arial" w:eastAsia="Arial" w:hAnsi="Arial"/>
                <w:sz w:val="13"/>
                <w:szCs w:val="13"/>
                <w:color w:val="auto"/>
              </w:rPr>
              <w:t>non-compete/non-solicit</w:t>
            </w:r>
          </w:p>
        </w:tc>
        <w:tc>
          <w:tcPr>
            <w:tcW w:w="0" w:type="dxa"/>
            <w:vAlign w:val="bottom"/>
          </w:tcPr>
          <w:p>
            <w:pPr>
              <w:spacing w:after="0"/>
              <w:rPr>
                <w:sz w:val="1"/>
                <w:szCs w:val="1"/>
                <w:color w:val="auto"/>
              </w:rPr>
            </w:pPr>
          </w:p>
        </w:tc>
      </w:tr>
      <w:tr>
        <w:trPr>
          <w:trHeight w:val="148"/>
        </w:trPr>
        <w:tc>
          <w:tcPr>
            <w:tcW w:w="1300" w:type="dxa"/>
            <w:vAlign w:val="bottom"/>
            <w:tcBorders>
              <w:left w:val="single" w:sz="8" w:color="auto"/>
              <w:right w:val="single" w:sz="8" w:color="auto"/>
            </w:tcBorders>
            <w:vMerge w:val="continue"/>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Borders>
              <w:right w:val="single" w:sz="8" w:color="auto"/>
            </w:tcBorders>
            <w:gridSpan w:val="4"/>
          </w:tcPr>
          <w:p>
            <w:pPr>
              <w:jc w:val="center"/>
              <w:ind w:right="340"/>
              <w:spacing w:after="0"/>
              <w:rPr>
                <w:sz w:val="20"/>
                <w:szCs w:val="20"/>
                <w:color w:val="auto"/>
              </w:rPr>
            </w:pPr>
            <w:r>
              <w:rPr>
                <w:rFonts w:ascii="Arial" w:cs="Arial" w:eastAsia="Arial" w:hAnsi="Arial"/>
                <w:sz w:val="13"/>
                <w:szCs w:val="13"/>
                <w:color w:val="auto"/>
              </w:rPr>
              <w:t>Fully accelerated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Borders>
              <w:right w:val="single" w:sz="8" w:color="auto"/>
            </w:tcBorders>
            <w:gridSpan w:val="3"/>
          </w:tcPr>
          <w:p>
            <w:pPr>
              <w:jc w:val="center"/>
              <w:ind w:right="520"/>
              <w:spacing w:after="0"/>
              <w:rPr>
                <w:sz w:val="20"/>
                <w:szCs w:val="20"/>
                <w:color w:val="auto"/>
              </w:rPr>
            </w:pPr>
            <w:r>
              <w:rPr>
                <w:rFonts w:ascii="Arial" w:cs="Arial" w:eastAsia="Arial" w:hAnsi="Arial"/>
                <w:sz w:val="13"/>
                <w:szCs w:val="13"/>
                <w:color w:val="auto"/>
              </w:rPr>
              <w:t>agreement and</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Borders>
              <w:right w:val="single" w:sz="8" w:color="auto"/>
            </w:tcBorders>
            <w:gridSpan w:val="3"/>
          </w:tcPr>
          <w:p>
            <w:pPr>
              <w:jc w:val="center"/>
              <w:ind w:right="860"/>
              <w:spacing w:after="0"/>
              <w:rPr>
                <w:sz w:val="20"/>
                <w:szCs w:val="20"/>
                <w:color w:val="auto"/>
              </w:rPr>
            </w:pPr>
            <w:r>
              <w:rPr>
                <w:rFonts w:ascii="Arial" w:cs="Arial" w:eastAsia="Arial" w:hAnsi="Arial"/>
                <w:sz w:val="13"/>
                <w:szCs w:val="13"/>
                <w:color w:val="auto"/>
              </w:rPr>
              <w:t>agreement and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Borders>
              <w:right w:val="single" w:sz="8" w:color="auto"/>
            </w:tcBorders>
            <w:gridSpan w:val="3"/>
          </w:tcPr>
          <w:p>
            <w:pPr>
              <w:jc w:val="center"/>
              <w:ind w:right="480"/>
              <w:spacing w:after="0"/>
              <w:rPr>
                <w:sz w:val="20"/>
                <w:szCs w:val="20"/>
                <w:color w:val="auto"/>
              </w:rPr>
            </w:pPr>
            <w:r>
              <w:rPr>
                <w:rFonts w:ascii="Arial" w:cs="Arial" w:eastAsia="Arial" w:hAnsi="Arial"/>
                <w:sz w:val="13"/>
                <w:szCs w:val="13"/>
                <w:color w:val="auto"/>
              </w:rPr>
              <w:t>agreement and</w:t>
            </w:r>
          </w:p>
        </w:tc>
        <w:tc>
          <w:tcPr>
            <w:tcW w:w="0" w:type="dxa"/>
            <w:vAlign w:val="bottom"/>
          </w:tcPr>
          <w:p>
            <w:pPr>
              <w:spacing w:after="0"/>
              <w:rPr>
                <w:sz w:val="1"/>
                <w:szCs w:val="1"/>
                <w:color w:val="auto"/>
              </w:rPr>
            </w:pPr>
          </w:p>
        </w:tc>
      </w:tr>
      <w:tr>
        <w:trPr>
          <w:trHeight w:val="162"/>
        </w:trPr>
        <w:tc>
          <w:tcPr>
            <w:tcW w:w="1300" w:type="dxa"/>
            <w:vAlign w:val="bottom"/>
            <w:tcBorders>
              <w:left w:val="single" w:sz="8" w:color="auto"/>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tcBorders>
              <w:right w:val="single" w:sz="8" w:color="auto"/>
            </w:tcBorders>
            <w:gridSpan w:val="4"/>
          </w:tcPr>
          <w:p>
            <w:pPr>
              <w:jc w:val="center"/>
              <w:ind w:right="440"/>
              <w:spacing w:after="0"/>
              <w:rPr>
                <w:sz w:val="20"/>
                <w:szCs w:val="20"/>
                <w:color w:val="auto"/>
              </w:rPr>
            </w:pPr>
            <w:r>
              <w:rPr>
                <w:rFonts w:ascii="Arial" w:cs="Arial" w:eastAsia="Arial" w:hAnsi="Arial"/>
                <w:sz w:val="13"/>
                <w:szCs w:val="13"/>
                <w:color w:val="auto"/>
              </w:rPr>
              <w:t>reasonable notice</w:t>
            </w:r>
          </w:p>
        </w:tc>
        <w:tc>
          <w:tcPr>
            <w:tcW w:w="760" w:type="dxa"/>
            <w:vAlign w:val="bottom"/>
          </w:tcPr>
          <w:p>
            <w:pPr>
              <w:spacing w:after="0"/>
              <w:rPr>
                <w:sz w:val="14"/>
                <w:szCs w:val="14"/>
                <w:color w:val="auto"/>
              </w:rPr>
            </w:pPr>
          </w:p>
        </w:tc>
        <w:tc>
          <w:tcPr>
            <w:tcW w:w="1860" w:type="dxa"/>
            <w:vAlign w:val="bottom"/>
            <w:tcBorders>
              <w:right w:val="single" w:sz="8" w:color="auto"/>
            </w:tcBorders>
            <w:gridSpan w:val="4"/>
          </w:tcPr>
          <w:p>
            <w:pPr>
              <w:jc w:val="center"/>
              <w:ind w:right="800"/>
              <w:spacing w:after="0"/>
              <w:rPr>
                <w:sz w:val="20"/>
                <w:szCs w:val="20"/>
                <w:color w:val="auto"/>
              </w:rPr>
            </w:pPr>
            <w:r>
              <w:rPr>
                <w:rFonts w:ascii="Arial" w:cs="Arial" w:eastAsia="Arial" w:hAnsi="Arial"/>
                <w:sz w:val="13"/>
                <w:szCs w:val="13"/>
                <w:color w:val="auto"/>
              </w:rPr>
              <w:t>reasonable notice</w:t>
            </w:r>
          </w:p>
        </w:tc>
        <w:tc>
          <w:tcPr>
            <w:tcW w:w="420" w:type="dxa"/>
            <w:vAlign w:val="bottom"/>
          </w:tcPr>
          <w:p>
            <w:pPr>
              <w:spacing w:after="0"/>
              <w:rPr>
                <w:sz w:val="14"/>
                <w:szCs w:val="14"/>
                <w:color w:val="auto"/>
              </w:rPr>
            </w:pPr>
          </w:p>
        </w:tc>
        <w:tc>
          <w:tcPr>
            <w:tcW w:w="1480" w:type="dxa"/>
            <w:vAlign w:val="bottom"/>
            <w:tcBorders>
              <w:right w:val="single" w:sz="8" w:color="auto"/>
            </w:tcBorders>
            <w:gridSpan w:val="4"/>
          </w:tcPr>
          <w:p>
            <w:pPr>
              <w:jc w:val="center"/>
              <w:ind w:right="400"/>
              <w:spacing w:after="0"/>
              <w:rPr>
                <w:sz w:val="20"/>
                <w:szCs w:val="20"/>
                <w:color w:val="auto"/>
              </w:rPr>
            </w:pPr>
            <w:r>
              <w:rPr>
                <w:rFonts w:ascii="Arial" w:cs="Arial" w:eastAsia="Arial" w:hAnsi="Arial"/>
                <w:sz w:val="13"/>
                <w:szCs w:val="13"/>
                <w:color w:val="auto"/>
              </w:rPr>
              <w:t>reasonable notice</w:t>
            </w:r>
          </w:p>
        </w:tc>
        <w:tc>
          <w:tcPr>
            <w:tcW w:w="0" w:type="dxa"/>
            <w:vAlign w:val="bottom"/>
          </w:tcPr>
          <w:p>
            <w:pPr>
              <w:spacing w:after="0"/>
              <w:rPr>
                <w:sz w:val="1"/>
                <w:szCs w:val="1"/>
                <w:color w:val="auto"/>
              </w:rPr>
            </w:pPr>
          </w:p>
        </w:tc>
      </w:tr>
      <w:tr>
        <w:trPr>
          <w:trHeight w:val="270"/>
        </w:trPr>
        <w:tc>
          <w:tcPr>
            <w:tcW w:w="1300" w:type="dxa"/>
            <w:vAlign w:val="bottom"/>
            <w:tcBorders>
              <w:left w:val="single" w:sz="8" w:color="auto"/>
              <w:righ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rPr>
              <w:t>Vested Options</w:t>
            </w:r>
          </w:p>
        </w:tc>
        <w:tc>
          <w:tcPr>
            <w:tcW w:w="520" w:type="dxa"/>
            <w:vAlign w:val="bottom"/>
            <w:tcBorders>
              <w:right w:val="single" w:sz="8" w:color="auto"/>
            </w:tcBorders>
            <w:gridSpan w:val="2"/>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rPr>
              <w:t>Vested Options</w:t>
            </w:r>
          </w:p>
        </w:tc>
        <w:tc>
          <w:tcPr>
            <w:tcW w:w="860" w:type="dxa"/>
            <w:vAlign w:val="bottom"/>
            <w:tcBorders>
              <w:right w:val="single" w:sz="8" w:color="auto"/>
            </w:tcBorders>
            <w:gridSpan w:val="2"/>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0" w:type="dxa"/>
            <w:vAlign w:val="bottom"/>
            <w:tcBorders>
              <w:right w:val="single" w:sz="8" w:color="auto"/>
            </w:tcBorders>
            <w:gridSpan w:val="3"/>
          </w:tcPr>
          <w:p>
            <w:pPr>
              <w:jc w:val="center"/>
              <w:ind w:right="480"/>
              <w:spacing w:after="0"/>
              <w:rPr>
                <w:sz w:val="20"/>
                <w:szCs w:val="20"/>
                <w:color w:val="auto"/>
              </w:rPr>
            </w:pPr>
            <w:r>
              <w:rPr>
                <w:rFonts w:ascii="Arial" w:cs="Arial" w:eastAsia="Arial" w:hAnsi="Arial"/>
                <w:sz w:val="13"/>
                <w:szCs w:val="13"/>
                <w:color w:val="auto"/>
              </w:rPr>
              <w:t>Vested Options</w:t>
            </w:r>
          </w:p>
        </w:tc>
        <w:tc>
          <w:tcPr>
            <w:tcW w:w="0" w:type="dxa"/>
            <w:vAlign w:val="bottom"/>
          </w:tcPr>
          <w:p>
            <w:pPr>
              <w:spacing w:after="0"/>
              <w:rPr>
                <w:sz w:val="1"/>
                <w:szCs w:val="1"/>
                <w:color w:val="auto"/>
              </w:rPr>
            </w:pPr>
          </w:p>
        </w:tc>
      </w:tr>
      <w:tr>
        <w:trPr>
          <w:trHeight w:val="20"/>
        </w:trPr>
        <w:tc>
          <w:tcPr>
            <w:tcW w:w="1300" w:type="dxa"/>
            <w:vAlign w:val="bottom"/>
            <w:tcBorders>
              <w:left w:val="single" w:sz="8" w:color="auto"/>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3"/>
                <w:szCs w:val="13"/>
                <w:color w:val="auto"/>
              </w:rPr>
              <w:t>until</w:t>
            </w: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300" w:type="dxa"/>
            <w:vAlign w:val="bottom"/>
            <w:tcBorders>
              <w:left w:val="single" w:sz="8" w:color="auto"/>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420" w:type="dxa"/>
            <w:vAlign w:val="bottom"/>
            <w:gridSpan w:val="3"/>
          </w:tcPr>
          <w:p>
            <w:pPr>
              <w:ind w:left="220"/>
              <w:spacing w:after="0" w:line="141" w:lineRule="exact"/>
              <w:rPr>
                <w:sz w:val="20"/>
                <w:szCs w:val="20"/>
                <w:color w:val="auto"/>
              </w:rPr>
            </w:pPr>
            <w:r>
              <w:rPr>
                <w:rFonts w:ascii="Arial" w:cs="Arial" w:eastAsia="Arial" w:hAnsi="Arial"/>
                <w:sz w:val="13"/>
                <w:szCs w:val="13"/>
                <w:color w:val="auto"/>
              </w:rPr>
              <w:t>Remain exercisable</w:t>
            </w:r>
          </w:p>
        </w:tc>
        <w:tc>
          <w:tcPr>
            <w:tcW w:w="520" w:type="dxa"/>
            <w:vAlign w:val="bottom"/>
            <w:tcBorders>
              <w:right w:val="single" w:sz="8" w:color="auto"/>
            </w:tcBorders>
            <w:gridSpan w:val="2"/>
            <w:vMerge w:val="continue"/>
          </w:tcPr>
          <w:p>
            <w:pPr>
              <w:spacing w:after="0"/>
              <w:rPr>
                <w:sz w:val="12"/>
                <w:szCs w:val="12"/>
                <w:color w:val="auto"/>
              </w:rPr>
            </w:pPr>
          </w:p>
        </w:tc>
        <w:tc>
          <w:tcPr>
            <w:tcW w:w="2620" w:type="dxa"/>
            <w:vAlign w:val="bottom"/>
            <w:tcBorders>
              <w:right w:val="single" w:sz="8" w:color="auto"/>
            </w:tcBorders>
            <w:gridSpan w:val="5"/>
          </w:tcPr>
          <w:p>
            <w:pPr>
              <w:jc w:val="center"/>
              <w:ind w:right="20"/>
              <w:spacing w:after="0" w:line="141" w:lineRule="exact"/>
              <w:rPr>
                <w:sz w:val="20"/>
                <w:szCs w:val="20"/>
                <w:color w:val="auto"/>
              </w:rPr>
            </w:pPr>
            <w:r>
              <w:rPr>
                <w:rFonts w:ascii="Arial" w:cs="Arial" w:eastAsia="Arial" w:hAnsi="Arial"/>
                <w:sz w:val="13"/>
                <w:szCs w:val="13"/>
                <w:color w:val="auto"/>
              </w:rPr>
              <w:t>Remain exercisable until</w:t>
            </w:r>
          </w:p>
        </w:tc>
        <w:tc>
          <w:tcPr>
            <w:tcW w:w="1900" w:type="dxa"/>
            <w:vAlign w:val="bottom"/>
            <w:tcBorders>
              <w:right w:val="single" w:sz="8" w:color="auto"/>
            </w:tcBorders>
            <w:gridSpan w:val="5"/>
          </w:tcPr>
          <w:p>
            <w:pPr>
              <w:jc w:val="center"/>
              <w:spacing w:after="0" w:line="141" w:lineRule="exact"/>
              <w:rPr>
                <w:sz w:val="20"/>
                <w:szCs w:val="20"/>
                <w:color w:val="auto"/>
              </w:rPr>
            </w:pPr>
            <w:r>
              <w:rPr>
                <w:rFonts w:ascii="Arial" w:cs="Arial" w:eastAsia="Arial" w:hAnsi="Arial"/>
                <w:sz w:val="13"/>
                <w:szCs w:val="13"/>
                <w:color w:val="auto"/>
              </w:rPr>
              <w:t>Remain exercisable until</w:t>
            </w:r>
          </w:p>
        </w:tc>
        <w:tc>
          <w:tcPr>
            <w:tcW w:w="0" w:type="dxa"/>
            <w:vAlign w:val="bottom"/>
          </w:tcPr>
          <w:p>
            <w:pPr>
              <w:spacing w:after="0"/>
              <w:rPr>
                <w:sz w:val="1"/>
                <w:szCs w:val="1"/>
                <w:color w:val="auto"/>
              </w:rPr>
            </w:pPr>
          </w:p>
        </w:tc>
      </w:tr>
      <w:tr>
        <w:trPr>
          <w:trHeight w:val="148"/>
        </w:trPr>
        <w:tc>
          <w:tcPr>
            <w:tcW w:w="1300" w:type="dxa"/>
            <w:vAlign w:val="bottom"/>
            <w:tcBorders>
              <w:left w:val="single" w:sz="8" w:color="auto"/>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the original expiration</w:t>
            </w:r>
          </w:p>
        </w:tc>
        <w:tc>
          <w:tcPr>
            <w:tcW w:w="262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the original expiration</w:t>
            </w:r>
          </w:p>
        </w:tc>
        <w:tc>
          <w:tcPr>
            <w:tcW w:w="1900" w:type="dxa"/>
            <w:vAlign w:val="bottom"/>
            <w:tcBorders>
              <w:right w:val="single" w:sz="8" w:color="auto"/>
            </w:tcBorders>
            <w:gridSpan w:val="5"/>
          </w:tcPr>
          <w:p>
            <w:pPr>
              <w:jc w:val="center"/>
              <w:spacing w:after="0"/>
              <w:rPr>
                <w:sz w:val="20"/>
                <w:szCs w:val="20"/>
                <w:color w:val="auto"/>
              </w:rPr>
            </w:pPr>
            <w:r>
              <w:rPr>
                <w:rFonts w:ascii="Arial" w:cs="Arial" w:eastAsia="Arial" w:hAnsi="Arial"/>
                <w:sz w:val="13"/>
                <w:szCs w:val="13"/>
                <w:color w:val="auto"/>
              </w:rPr>
              <w:t>the original expiration</w:t>
            </w:r>
          </w:p>
        </w:tc>
        <w:tc>
          <w:tcPr>
            <w:tcW w:w="0" w:type="dxa"/>
            <w:vAlign w:val="bottom"/>
          </w:tcPr>
          <w:p>
            <w:pPr>
              <w:spacing w:after="0"/>
              <w:rPr>
                <w:sz w:val="1"/>
                <w:szCs w:val="1"/>
                <w:color w:val="auto"/>
              </w:rPr>
            </w:pPr>
          </w:p>
        </w:tc>
      </w:tr>
      <w:tr>
        <w:trPr>
          <w:trHeight w:val="162"/>
        </w:trPr>
        <w:tc>
          <w:tcPr>
            <w:tcW w:w="1300" w:type="dxa"/>
            <w:vAlign w:val="bottom"/>
            <w:tcBorders>
              <w:left w:val="single" w:sz="8" w:color="auto"/>
              <w:bottom w:val="single" w:sz="8" w:color="auto"/>
              <w:right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20" w:type="dxa"/>
            <w:vAlign w:val="bottom"/>
            <w:tcBorders>
              <w:bottom w:val="single" w:sz="8" w:color="auto"/>
              <w:right w:val="single" w:sz="8" w:color="auto"/>
            </w:tcBorders>
            <w:gridSpan w:val="4"/>
          </w:tcPr>
          <w:p>
            <w:pPr>
              <w:jc w:val="center"/>
              <w:ind w:right="420"/>
              <w:spacing w:after="0"/>
              <w:rPr>
                <w:sz w:val="20"/>
                <w:szCs w:val="20"/>
                <w:color w:val="auto"/>
              </w:rPr>
            </w:pPr>
            <w:r>
              <w:rPr>
                <w:rFonts w:ascii="Arial" w:cs="Arial" w:eastAsia="Arial" w:hAnsi="Arial"/>
                <w:sz w:val="13"/>
                <w:szCs w:val="13"/>
                <w:color w:val="auto"/>
              </w:rPr>
              <w:t>date of the grant</w:t>
            </w:r>
          </w:p>
        </w:tc>
        <w:tc>
          <w:tcPr>
            <w:tcW w:w="760" w:type="dxa"/>
            <w:vAlign w:val="bottom"/>
            <w:tcBorders>
              <w:bottom w:val="single" w:sz="8" w:color="auto"/>
            </w:tcBorders>
          </w:tcPr>
          <w:p>
            <w:pPr>
              <w:spacing w:after="0"/>
              <w:rPr>
                <w:sz w:val="14"/>
                <w:szCs w:val="14"/>
                <w:color w:val="auto"/>
              </w:rPr>
            </w:pPr>
          </w:p>
        </w:tc>
        <w:tc>
          <w:tcPr>
            <w:tcW w:w="1860" w:type="dxa"/>
            <w:vAlign w:val="bottom"/>
            <w:tcBorders>
              <w:bottom w:val="single" w:sz="8" w:color="auto"/>
              <w:right w:val="single" w:sz="8" w:color="auto"/>
            </w:tcBorders>
            <w:gridSpan w:val="4"/>
          </w:tcPr>
          <w:p>
            <w:pPr>
              <w:jc w:val="center"/>
              <w:ind w:right="800"/>
              <w:spacing w:after="0"/>
              <w:rPr>
                <w:sz w:val="20"/>
                <w:szCs w:val="20"/>
                <w:color w:val="auto"/>
              </w:rPr>
            </w:pPr>
            <w:r>
              <w:rPr>
                <w:rFonts w:ascii="Arial" w:cs="Arial" w:eastAsia="Arial" w:hAnsi="Arial"/>
                <w:sz w:val="13"/>
                <w:szCs w:val="13"/>
                <w:color w:val="auto"/>
              </w:rPr>
              <w:t>date of the grant</w:t>
            </w:r>
          </w:p>
        </w:tc>
        <w:tc>
          <w:tcPr>
            <w:tcW w:w="420" w:type="dxa"/>
            <w:vAlign w:val="bottom"/>
            <w:tcBorders>
              <w:bottom w:val="single" w:sz="8" w:color="auto"/>
            </w:tcBorders>
          </w:tcPr>
          <w:p>
            <w:pPr>
              <w:spacing w:after="0"/>
              <w:rPr>
                <w:sz w:val="14"/>
                <w:szCs w:val="14"/>
                <w:color w:val="auto"/>
              </w:rPr>
            </w:pPr>
          </w:p>
        </w:tc>
        <w:tc>
          <w:tcPr>
            <w:tcW w:w="1480" w:type="dxa"/>
            <w:vAlign w:val="bottom"/>
            <w:tcBorders>
              <w:bottom w:val="single" w:sz="8" w:color="auto"/>
              <w:right w:val="single" w:sz="8" w:color="auto"/>
            </w:tcBorders>
            <w:gridSpan w:val="4"/>
          </w:tcPr>
          <w:p>
            <w:pPr>
              <w:jc w:val="center"/>
              <w:ind w:right="380"/>
              <w:spacing w:after="0"/>
              <w:rPr>
                <w:sz w:val="20"/>
                <w:szCs w:val="20"/>
                <w:color w:val="auto"/>
              </w:rPr>
            </w:pPr>
            <w:r>
              <w:rPr>
                <w:rFonts w:ascii="Arial" w:cs="Arial" w:eastAsia="Arial" w:hAnsi="Arial"/>
                <w:sz w:val="13"/>
                <w:szCs w:val="13"/>
                <w:color w:val="auto"/>
              </w:rPr>
              <w:t>date of the grant</w:t>
            </w:r>
          </w:p>
        </w:tc>
        <w:tc>
          <w:tcPr>
            <w:tcW w:w="0" w:type="dxa"/>
            <w:vAlign w:val="bottom"/>
          </w:tcPr>
          <w:p>
            <w:pPr>
              <w:spacing w:after="0"/>
              <w:rPr>
                <w:sz w:val="1"/>
                <w:szCs w:val="1"/>
                <w:color w:val="auto"/>
              </w:rPr>
            </w:pPr>
          </w:p>
        </w:tc>
      </w:tr>
      <w:tr>
        <w:trPr>
          <w:trHeight w:val="142"/>
        </w:trPr>
        <w:tc>
          <w:tcPr>
            <w:tcW w:w="1300" w:type="dxa"/>
            <w:vAlign w:val="bottom"/>
            <w:tcBorders>
              <w:left w:val="single" w:sz="8" w:color="auto"/>
              <w:right w:val="single" w:sz="8" w:color="auto"/>
            </w:tcBorders>
          </w:tcPr>
          <w:p>
            <w:pPr>
              <w:spacing w:after="0"/>
              <w:rPr>
                <w:sz w:val="12"/>
                <w:szCs w:val="12"/>
                <w:color w:val="auto"/>
              </w:rPr>
            </w:pPr>
          </w:p>
        </w:tc>
        <w:tc>
          <w:tcPr>
            <w:tcW w:w="1460" w:type="dxa"/>
            <w:vAlign w:val="bottom"/>
            <w:gridSpan w:val="4"/>
          </w:tcPr>
          <w:p>
            <w:pPr>
              <w:jc w:val="center"/>
              <w:ind w:left="253"/>
              <w:spacing w:after="0" w:line="143" w:lineRule="exact"/>
              <w:rPr>
                <w:sz w:val="20"/>
                <w:szCs w:val="20"/>
                <w:color w:val="auto"/>
              </w:rPr>
            </w:pPr>
            <w:r>
              <w:rPr>
                <w:rFonts w:ascii="Arial" w:cs="Arial" w:eastAsia="Arial" w:hAnsi="Arial"/>
                <w:sz w:val="13"/>
                <w:szCs w:val="13"/>
                <w:color w:val="auto"/>
              </w:rPr>
              <w:t>2017, 2018 &amp; 2019</w:t>
            </w:r>
          </w:p>
        </w:tc>
        <w:tc>
          <w:tcPr>
            <w:tcW w:w="34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gridSpan w:val="5"/>
          </w:tcPr>
          <w:p>
            <w:pPr>
              <w:jc w:val="center"/>
              <w:ind w:right="20"/>
              <w:spacing w:after="0" w:line="143" w:lineRule="exact"/>
              <w:rPr>
                <w:sz w:val="20"/>
                <w:szCs w:val="20"/>
                <w:color w:val="auto"/>
              </w:rPr>
            </w:pPr>
            <w:r>
              <w:rPr>
                <w:rFonts w:ascii="Arial" w:cs="Arial" w:eastAsia="Arial" w:hAnsi="Arial"/>
                <w:sz w:val="13"/>
                <w:szCs w:val="13"/>
                <w:color w:val="auto"/>
              </w:rPr>
              <w:t>If retire after 24 months</w:t>
            </w:r>
          </w:p>
        </w:tc>
        <w:tc>
          <w:tcPr>
            <w:tcW w:w="2620" w:type="dxa"/>
            <w:vAlign w:val="bottom"/>
            <w:tcBorders>
              <w:right w:val="single" w:sz="8" w:color="auto"/>
            </w:tcBorders>
            <w:gridSpan w:val="5"/>
          </w:tcPr>
          <w:p>
            <w:pPr>
              <w:jc w:val="center"/>
              <w:ind w:right="20"/>
              <w:spacing w:after="0" w:line="143" w:lineRule="exact"/>
              <w:rPr>
                <w:sz w:val="20"/>
                <w:szCs w:val="20"/>
                <w:color w:val="auto"/>
              </w:rPr>
            </w:pPr>
            <w:r>
              <w:rPr>
                <w:rFonts w:ascii="Arial" w:cs="Arial" w:eastAsia="Arial" w:hAnsi="Arial"/>
                <w:sz w:val="13"/>
                <w:szCs w:val="13"/>
                <w:color w:val="auto"/>
              </w:rPr>
              <w:t>If retire after 18 months</w:t>
            </w:r>
          </w:p>
        </w:tc>
        <w:tc>
          <w:tcPr>
            <w:tcW w:w="1900" w:type="dxa"/>
            <w:vAlign w:val="bottom"/>
            <w:tcBorders>
              <w:right w:val="single" w:sz="8" w:color="auto"/>
            </w:tcBorders>
            <w:gridSpan w:val="5"/>
          </w:tcPr>
          <w:p>
            <w:pPr>
              <w:jc w:val="center"/>
              <w:spacing w:after="0" w:line="143" w:lineRule="exact"/>
              <w:rPr>
                <w:sz w:val="20"/>
                <w:szCs w:val="20"/>
                <w:color w:val="auto"/>
              </w:rPr>
            </w:pPr>
            <w:r>
              <w:rPr>
                <w:rFonts w:ascii="Arial" w:cs="Arial" w:eastAsia="Arial" w:hAnsi="Arial"/>
                <w:sz w:val="13"/>
                <w:szCs w:val="13"/>
                <w:color w:val="auto"/>
              </w:rPr>
              <w:t>If retire after 12 months</w:t>
            </w:r>
          </w:p>
        </w:tc>
        <w:tc>
          <w:tcPr>
            <w:tcW w:w="0" w:type="dxa"/>
            <w:vAlign w:val="bottom"/>
          </w:tcPr>
          <w:p>
            <w:pPr>
              <w:spacing w:after="0"/>
              <w:rPr>
                <w:sz w:val="1"/>
                <w:szCs w:val="1"/>
                <w:color w:val="auto"/>
              </w:rPr>
            </w:pPr>
          </w:p>
        </w:tc>
      </w:tr>
      <w:tr>
        <w:trPr>
          <w:trHeight w:val="128"/>
        </w:trPr>
        <w:tc>
          <w:tcPr>
            <w:tcW w:w="1300" w:type="dxa"/>
            <w:vAlign w:val="bottom"/>
            <w:tcBorders>
              <w:left w:val="single" w:sz="8" w:color="auto"/>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color w:val="auto"/>
              </w:rPr>
              <w:t>Awards</w:t>
            </w:r>
          </w:p>
        </w:tc>
        <w:tc>
          <w:tcPr>
            <w:tcW w:w="340" w:type="dxa"/>
            <w:vAlign w:val="bottom"/>
            <w:tcBorders>
              <w:top w:val="single" w:sz="8" w:color="auto"/>
            </w:tcBorders>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1940" w:type="dxa"/>
            <w:vAlign w:val="bottom"/>
            <w:tcBorders>
              <w:right w:val="single" w:sz="8" w:color="auto"/>
            </w:tcBorders>
            <w:gridSpan w:val="5"/>
          </w:tcPr>
          <w:p>
            <w:pPr>
              <w:jc w:val="center"/>
              <w:ind w:right="20"/>
              <w:spacing w:after="0" w:line="129" w:lineRule="exact"/>
              <w:rPr>
                <w:sz w:val="20"/>
                <w:szCs w:val="20"/>
                <w:color w:val="auto"/>
              </w:rPr>
            </w:pPr>
            <w:r>
              <w:rPr>
                <w:rFonts w:ascii="Arial" w:cs="Arial" w:eastAsia="Arial" w:hAnsi="Arial"/>
                <w:sz w:val="13"/>
                <w:szCs w:val="13"/>
                <w:color w:val="auto"/>
              </w:rPr>
              <w:t>following grant date, shares</w:t>
            </w:r>
          </w:p>
        </w:tc>
        <w:tc>
          <w:tcPr>
            <w:tcW w:w="2620" w:type="dxa"/>
            <w:vAlign w:val="bottom"/>
            <w:tcBorders>
              <w:right w:val="single" w:sz="8" w:color="auto"/>
            </w:tcBorders>
            <w:gridSpan w:val="5"/>
          </w:tcPr>
          <w:p>
            <w:pPr>
              <w:jc w:val="center"/>
              <w:ind w:right="20"/>
              <w:spacing w:after="0" w:line="129" w:lineRule="exact"/>
              <w:rPr>
                <w:sz w:val="20"/>
                <w:szCs w:val="20"/>
                <w:color w:val="auto"/>
              </w:rPr>
            </w:pPr>
            <w:r>
              <w:rPr>
                <w:rFonts w:ascii="Arial" w:cs="Arial" w:eastAsia="Arial" w:hAnsi="Arial"/>
                <w:sz w:val="13"/>
                <w:szCs w:val="13"/>
                <w:color w:val="auto"/>
              </w:rPr>
              <w:t>following grant date, shares</w:t>
            </w:r>
          </w:p>
        </w:tc>
        <w:tc>
          <w:tcPr>
            <w:tcW w:w="1900" w:type="dxa"/>
            <w:vAlign w:val="bottom"/>
            <w:tcBorders>
              <w:right w:val="single" w:sz="8" w:color="auto"/>
            </w:tcBorders>
            <w:gridSpan w:val="5"/>
          </w:tcPr>
          <w:p>
            <w:pPr>
              <w:jc w:val="center"/>
              <w:spacing w:after="0" w:line="129" w:lineRule="exact"/>
              <w:rPr>
                <w:sz w:val="20"/>
                <w:szCs w:val="20"/>
                <w:color w:val="auto"/>
              </w:rPr>
            </w:pPr>
            <w:r>
              <w:rPr>
                <w:rFonts w:ascii="Arial" w:cs="Arial" w:eastAsia="Arial" w:hAnsi="Arial"/>
                <w:sz w:val="13"/>
                <w:szCs w:val="13"/>
                <w:color w:val="auto"/>
              </w:rPr>
              <w:t>following grant date, shares</w:t>
            </w:r>
          </w:p>
        </w:tc>
        <w:tc>
          <w:tcPr>
            <w:tcW w:w="0" w:type="dxa"/>
            <w:vAlign w:val="bottom"/>
          </w:tcPr>
          <w:p>
            <w:pPr>
              <w:spacing w:after="0"/>
              <w:rPr>
                <w:sz w:val="1"/>
                <w:szCs w:val="1"/>
                <w:color w:val="auto"/>
              </w:rPr>
            </w:pPr>
          </w:p>
        </w:tc>
      </w:tr>
      <w:tr>
        <w:trPr>
          <w:trHeight w:val="141"/>
        </w:trPr>
        <w:tc>
          <w:tcPr>
            <w:tcW w:w="1300" w:type="dxa"/>
            <w:vAlign w:val="bottom"/>
            <w:tcBorders>
              <w:left w:val="single" w:sz="8" w:color="auto"/>
              <w:right w:val="single" w:sz="8" w:color="auto"/>
            </w:tcBorders>
          </w:tcPr>
          <w:p>
            <w:pPr>
              <w:spacing w:after="0"/>
              <w:rPr>
                <w:sz w:val="12"/>
                <w:szCs w:val="12"/>
                <w:color w:val="auto"/>
              </w:rPr>
            </w:pPr>
          </w:p>
        </w:tc>
        <w:tc>
          <w:tcPr>
            <w:tcW w:w="660" w:type="dxa"/>
            <w:vAlign w:val="bottom"/>
            <w:gridSpan w:val="2"/>
          </w:tcPr>
          <w:p>
            <w:pPr>
              <w:ind w:left="260"/>
              <w:spacing w:after="0" w:line="141" w:lineRule="exact"/>
              <w:rPr>
                <w:sz w:val="20"/>
                <w:szCs w:val="20"/>
                <w:color w:val="auto"/>
              </w:rPr>
            </w:pPr>
            <w:r>
              <w:rPr>
                <w:rFonts w:ascii="Arial" w:cs="Arial" w:eastAsia="Arial" w:hAnsi="Arial"/>
                <w:sz w:val="13"/>
                <w:szCs w:val="13"/>
                <w:color w:val="auto"/>
                <w:w w:val="92"/>
              </w:rPr>
              <w:t>Shares</w:t>
            </w:r>
          </w:p>
        </w:tc>
        <w:tc>
          <w:tcPr>
            <w:tcW w:w="1140" w:type="dxa"/>
            <w:vAlign w:val="bottom"/>
            <w:tcBorders>
              <w:right w:val="single" w:sz="8" w:color="auto"/>
            </w:tcBorders>
            <w:gridSpan w:val="3"/>
          </w:tcPr>
          <w:p>
            <w:pPr>
              <w:ind w:left="80"/>
              <w:spacing w:after="0" w:line="141" w:lineRule="exact"/>
              <w:rPr>
                <w:sz w:val="20"/>
                <w:szCs w:val="20"/>
                <w:color w:val="auto"/>
              </w:rPr>
            </w:pPr>
            <w:r>
              <w:rPr>
                <w:rFonts w:ascii="Arial" w:cs="Arial" w:eastAsia="Arial" w:hAnsi="Arial"/>
                <w:sz w:val="13"/>
                <w:szCs w:val="13"/>
                <w:color w:val="auto"/>
              </w:rPr>
              <w:t>awarded and</w:t>
            </w:r>
          </w:p>
        </w:tc>
        <w:tc>
          <w:tcPr>
            <w:tcW w:w="1940" w:type="dxa"/>
            <w:vAlign w:val="bottom"/>
            <w:tcBorders>
              <w:right w:val="single" w:sz="8" w:color="auto"/>
            </w:tcBorders>
            <w:gridSpan w:val="5"/>
          </w:tcPr>
          <w:p>
            <w:pPr>
              <w:jc w:val="center"/>
              <w:ind w:right="20"/>
              <w:spacing w:after="0" w:line="141" w:lineRule="exact"/>
              <w:rPr>
                <w:sz w:val="20"/>
                <w:szCs w:val="20"/>
                <w:color w:val="auto"/>
              </w:rPr>
            </w:pPr>
            <w:r>
              <w:rPr>
                <w:rFonts w:ascii="Arial" w:cs="Arial" w:eastAsia="Arial" w:hAnsi="Arial"/>
                <w:sz w:val="13"/>
                <w:szCs w:val="13"/>
                <w:color w:val="auto"/>
              </w:rPr>
              <w:t>awarded at the end of the</w:t>
            </w:r>
          </w:p>
        </w:tc>
        <w:tc>
          <w:tcPr>
            <w:tcW w:w="2620" w:type="dxa"/>
            <w:vAlign w:val="bottom"/>
            <w:tcBorders>
              <w:right w:val="single" w:sz="8" w:color="auto"/>
            </w:tcBorders>
            <w:gridSpan w:val="5"/>
          </w:tcPr>
          <w:p>
            <w:pPr>
              <w:jc w:val="center"/>
              <w:ind w:right="20"/>
              <w:spacing w:after="0" w:line="141" w:lineRule="exact"/>
              <w:rPr>
                <w:sz w:val="20"/>
                <w:szCs w:val="20"/>
                <w:color w:val="auto"/>
              </w:rPr>
            </w:pPr>
            <w:r>
              <w:rPr>
                <w:rFonts w:ascii="Arial" w:cs="Arial" w:eastAsia="Arial" w:hAnsi="Arial"/>
                <w:sz w:val="13"/>
                <w:szCs w:val="13"/>
                <w:color w:val="auto"/>
              </w:rPr>
              <w:t>awarded at the end of the</w:t>
            </w:r>
          </w:p>
        </w:tc>
        <w:tc>
          <w:tcPr>
            <w:tcW w:w="1900" w:type="dxa"/>
            <w:vAlign w:val="bottom"/>
            <w:tcBorders>
              <w:right w:val="single" w:sz="8" w:color="auto"/>
            </w:tcBorders>
            <w:gridSpan w:val="5"/>
          </w:tcPr>
          <w:p>
            <w:pPr>
              <w:jc w:val="center"/>
              <w:spacing w:after="0" w:line="141" w:lineRule="exact"/>
              <w:rPr>
                <w:sz w:val="20"/>
                <w:szCs w:val="20"/>
                <w:color w:val="auto"/>
              </w:rPr>
            </w:pPr>
            <w:r>
              <w:rPr>
                <w:rFonts w:ascii="Arial" w:cs="Arial" w:eastAsia="Arial" w:hAnsi="Arial"/>
                <w:sz w:val="13"/>
                <w:szCs w:val="13"/>
                <w:color w:val="auto"/>
              </w:rPr>
              <w:t>awarded at the end of the</w:t>
            </w:r>
          </w:p>
        </w:tc>
        <w:tc>
          <w:tcPr>
            <w:tcW w:w="0" w:type="dxa"/>
            <w:vAlign w:val="bottom"/>
          </w:tcPr>
          <w:p>
            <w:pPr>
              <w:spacing w:after="0"/>
              <w:rPr>
                <w:sz w:val="1"/>
                <w:szCs w:val="1"/>
                <w:color w:val="auto"/>
              </w:rPr>
            </w:pPr>
          </w:p>
        </w:tc>
      </w:tr>
      <w:tr>
        <w:trPr>
          <w:trHeight w:val="148"/>
        </w:trPr>
        <w:tc>
          <w:tcPr>
            <w:tcW w:w="1300" w:type="dxa"/>
            <w:vAlign w:val="bottom"/>
            <w:tcBorders>
              <w:left w:val="single" w:sz="8" w:color="auto"/>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Borders>
              <w:right w:val="single" w:sz="8" w:color="auto"/>
            </w:tcBorders>
            <w:gridSpan w:val="4"/>
          </w:tcPr>
          <w:p>
            <w:pPr>
              <w:jc w:val="center"/>
              <w:ind w:right="340"/>
              <w:spacing w:after="0"/>
              <w:rPr>
                <w:sz w:val="20"/>
                <w:szCs w:val="20"/>
                <w:color w:val="auto"/>
              </w:rPr>
            </w:pPr>
            <w:r>
              <w:rPr>
                <w:rFonts w:ascii="Arial" w:cs="Arial" w:eastAsia="Arial" w:hAnsi="Arial"/>
                <w:sz w:val="13"/>
                <w:szCs w:val="13"/>
                <w:color w:val="auto"/>
              </w:rPr>
              <w:t>settled based on</w:t>
            </w:r>
          </w:p>
        </w:tc>
        <w:tc>
          <w:tcPr>
            <w:tcW w:w="194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performance period based</w:t>
            </w:r>
          </w:p>
        </w:tc>
        <w:tc>
          <w:tcPr>
            <w:tcW w:w="2620" w:type="dxa"/>
            <w:vAlign w:val="bottom"/>
            <w:tcBorders>
              <w:right w:val="single" w:sz="8" w:color="auto"/>
            </w:tcBorders>
            <w:gridSpan w:val="5"/>
          </w:tcPr>
          <w:p>
            <w:pPr>
              <w:jc w:val="center"/>
              <w:ind w:right="40"/>
              <w:spacing w:after="0"/>
              <w:rPr>
                <w:sz w:val="20"/>
                <w:szCs w:val="20"/>
                <w:color w:val="auto"/>
              </w:rPr>
            </w:pPr>
            <w:r>
              <w:rPr>
                <w:rFonts w:ascii="Arial" w:cs="Arial" w:eastAsia="Arial" w:hAnsi="Arial"/>
                <w:sz w:val="13"/>
                <w:szCs w:val="13"/>
                <w:color w:val="auto"/>
              </w:rPr>
              <w:t>performance period based</w:t>
            </w:r>
          </w:p>
        </w:tc>
        <w:tc>
          <w:tcPr>
            <w:tcW w:w="1900" w:type="dxa"/>
            <w:vAlign w:val="bottom"/>
            <w:tcBorders>
              <w:right w:val="single" w:sz="8" w:color="auto"/>
            </w:tcBorders>
            <w:gridSpan w:val="5"/>
          </w:tcPr>
          <w:p>
            <w:pPr>
              <w:jc w:val="center"/>
              <w:spacing w:after="0"/>
              <w:rPr>
                <w:sz w:val="20"/>
                <w:szCs w:val="20"/>
                <w:color w:val="auto"/>
              </w:rPr>
            </w:pPr>
            <w:r>
              <w:rPr>
                <w:rFonts w:ascii="Arial" w:cs="Arial" w:eastAsia="Arial" w:hAnsi="Arial"/>
                <w:sz w:val="13"/>
                <w:szCs w:val="13"/>
                <w:color w:val="auto"/>
              </w:rPr>
              <w:t>performance period based</w:t>
            </w: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0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actual attainment of</w:t>
            </w:r>
          </w:p>
        </w:tc>
        <w:tc>
          <w:tcPr>
            <w:tcW w:w="194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on actual attainment of</w:t>
            </w:r>
          </w:p>
        </w:tc>
        <w:tc>
          <w:tcPr>
            <w:tcW w:w="262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on actual attainment of</w:t>
            </w:r>
          </w:p>
        </w:tc>
        <w:tc>
          <w:tcPr>
            <w:tcW w:w="1900" w:type="dxa"/>
            <w:vAlign w:val="bottom"/>
            <w:tcBorders>
              <w:right w:val="single" w:sz="8" w:color="auto"/>
            </w:tcBorders>
            <w:gridSpan w:val="5"/>
          </w:tcPr>
          <w:p>
            <w:pPr>
              <w:jc w:val="center"/>
              <w:spacing w:after="0"/>
              <w:rPr>
                <w:sz w:val="20"/>
                <w:szCs w:val="20"/>
                <w:color w:val="auto"/>
              </w:rPr>
            </w:pPr>
            <w:r>
              <w:rPr>
                <w:rFonts w:ascii="Arial" w:cs="Arial" w:eastAsia="Arial" w:hAnsi="Arial"/>
                <w:sz w:val="13"/>
                <w:szCs w:val="13"/>
                <w:color w:val="auto"/>
              </w:rPr>
              <w:t>on actual attainment of</w:t>
            </w:r>
          </w:p>
        </w:tc>
        <w:tc>
          <w:tcPr>
            <w:tcW w:w="0" w:type="dxa"/>
            <w:vAlign w:val="bottom"/>
          </w:tcPr>
          <w:p>
            <w:pPr>
              <w:spacing w:after="0"/>
              <w:rPr>
                <w:sz w:val="1"/>
                <w:szCs w:val="1"/>
                <w:color w:val="auto"/>
              </w:rPr>
            </w:pPr>
          </w:p>
        </w:tc>
      </w:tr>
      <w:tr>
        <w:trPr>
          <w:trHeight w:val="148"/>
        </w:trPr>
        <w:tc>
          <w:tcPr>
            <w:tcW w:w="13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rPr>
              <w:t>Performance-</w:t>
            </w:r>
          </w:p>
        </w:tc>
        <w:tc>
          <w:tcPr>
            <w:tcW w:w="180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performance results as</w:t>
            </w:r>
          </w:p>
        </w:tc>
        <w:tc>
          <w:tcPr>
            <w:tcW w:w="194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performance results as</w:t>
            </w:r>
          </w:p>
        </w:tc>
        <w:tc>
          <w:tcPr>
            <w:tcW w:w="2620" w:type="dxa"/>
            <w:vAlign w:val="bottom"/>
            <w:tcBorders>
              <w:right w:val="single" w:sz="8" w:color="auto"/>
            </w:tcBorders>
            <w:gridSpan w:val="5"/>
          </w:tcPr>
          <w:p>
            <w:pPr>
              <w:jc w:val="center"/>
              <w:ind w:right="40"/>
              <w:spacing w:after="0"/>
              <w:rPr>
                <w:sz w:val="20"/>
                <w:szCs w:val="20"/>
                <w:color w:val="auto"/>
              </w:rPr>
            </w:pPr>
            <w:r>
              <w:rPr>
                <w:rFonts w:ascii="Arial" w:cs="Arial" w:eastAsia="Arial" w:hAnsi="Arial"/>
                <w:sz w:val="13"/>
                <w:szCs w:val="13"/>
                <w:color w:val="auto"/>
              </w:rPr>
              <w:t>performance results as</w:t>
            </w:r>
          </w:p>
        </w:tc>
        <w:tc>
          <w:tcPr>
            <w:tcW w:w="1900" w:type="dxa"/>
            <w:vAlign w:val="bottom"/>
            <w:tcBorders>
              <w:right w:val="single" w:sz="8" w:color="auto"/>
            </w:tcBorders>
            <w:gridSpan w:val="5"/>
          </w:tcPr>
          <w:p>
            <w:pPr>
              <w:jc w:val="center"/>
              <w:spacing w:after="0"/>
              <w:rPr>
                <w:sz w:val="20"/>
                <w:szCs w:val="20"/>
                <w:color w:val="auto"/>
              </w:rPr>
            </w:pPr>
            <w:r>
              <w:rPr>
                <w:rFonts w:ascii="Arial" w:cs="Arial" w:eastAsia="Arial" w:hAnsi="Arial"/>
                <w:sz w:val="13"/>
                <w:szCs w:val="13"/>
                <w:color w:val="auto"/>
              </w:rPr>
              <w:t>performance results as</w:t>
            </w:r>
          </w:p>
        </w:tc>
        <w:tc>
          <w:tcPr>
            <w:tcW w:w="0" w:type="dxa"/>
            <w:vAlign w:val="bottom"/>
          </w:tcPr>
          <w:p>
            <w:pPr>
              <w:spacing w:after="0"/>
              <w:rPr>
                <w:sz w:val="1"/>
                <w:szCs w:val="1"/>
                <w:color w:val="auto"/>
              </w:rPr>
            </w:pPr>
          </w:p>
        </w:tc>
      </w:tr>
      <w:tr>
        <w:trPr>
          <w:trHeight w:val="81"/>
        </w:trPr>
        <w:tc>
          <w:tcPr>
            <w:tcW w:w="1300" w:type="dxa"/>
            <w:vAlign w:val="bottom"/>
            <w:tcBorders>
              <w:left w:val="single" w:sz="8" w:color="auto"/>
              <w:right w:val="single" w:sz="8" w:color="auto"/>
            </w:tcBorders>
            <w:vMerge w:val="continue"/>
          </w:tcPr>
          <w:p>
            <w:pPr>
              <w:spacing w:after="0"/>
              <w:rPr>
                <w:sz w:val="7"/>
                <w:szCs w:val="7"/>
                <w:color w:val="auto"/>
              </w:rPr>
            </w:pPr>
          </w:p>
        </w:tc>
        <w:tc>
          <w:tcPr>
            <w:tcW w:w="180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3"/>
                <w:szCs w:val="13"/>
                <w:color w:val="auto"/>
              </w:rPr>
              <w:t>measured at the end</w:t>
            </w:r>
          </w:p>
        </w:tc>
        <w:tc>
          <w:tcPr>
            <w:tcW w:w="1940" w:type="dxa"/>
            <w:vAlign w:val="bottom"/>
            <w:tcBorders>
              <w:right w:val="single" w:sz="8" w:color="auto"/>
            </w:tcBorders>
            <w:gridSpan w:val="5"/>
            <w:vMerge w:val="restart"/>
          </w:tcPr>
          <w:p>
            <w:pPr>
              <w:jc w:val="center"/>
              <w:ind w:right="20"/>
              <w:spacing w:after="0"/>
              <w:rPr>
                <w:sz w:val="20"/>
                <w:szCs w:val="20"/>
                <w:color w:val="auto"/>
              </w:rPr>
            </w:pPr>
            <w:r>
              <w:rPr>
                <w:rFonts w:ascii="Arial" w:cs="Arial" w:eastAsia="Arial" w:hAnsi="Arial"/>
                <w:sz w:val="13"/>
                <w:szCs w:val="13"/>
                <w:color w:val="auto"/>
              </w:rPr>
              <w:t>measured at the end</w:t>
            </w:r>
          </w:p>
        </w:tc>
        <w:tc>
          <w:tcPr>
            <w:tcW w:w="2620" w:type="dxa"/>
            <w:vAlign w:val="bottom"/>
            <w:tcBorders>
              <w:right w:val="single" w:sz="8" w:color="auto"/>
            </w:tcBorders>
            <w:gridSpan w:val="5"/>
            <w:vMerge w:val="restart"/>
          </w:tcPr>
          <w:p>
            <w:pPr>
              <w:jc w:val="center"/>
              <w:ind w:right="20"/>
              <w:spacing w:after="0"/>
              <w:rPr>
                <w:sz w:val="20"/>
                <w:szCs w:val="20"/>
                <w:color w:val="auto"/>
              </w:rPr>
            </w:pPr>
            <w:r>
              <w:rPr>
                <w:rFonts w:ascii="Arial" w:cs="Arial" w:eastAsia="Arial" w:hAnsi="Arial"/>
                <w:sz w:val="13"/>
                <w:szCs w:val="13"/>
                <w:color w:val="auto"/>
              </w:rPr>
              <w:t>measured at the end</w:t>
            </w:r>
          </w:p>
        </w:tc>
        <w:tc>
          <w:tcPr>
            <w:tcW w:w="190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3"/>
                <w:szCs w:val="13"/>
                <w:color w:val="auto"/>
              </w:rPr>
              <w:t>measured at the end</w:t>
            </w:r>
          </w:p>
        </w:tc>
        <w:tc>
          <w:tcPr>
            <w:tcW w:w="0" w:type="dxa"/>
            <w:vAlign w:val="bottom"/>
          </w:tcPr>
          <w:p>
            <w:pPr>
              <w:spacing w:after="0"/>
              <w:rPr>
                <w:sz w:val="1"/>
                <w:szCs w:val="1"/>
                <w:color w:val="auto"/>
              </w:rPr>
            </w:pPr>
          </w:p>
        </w:tc>
      </w:tr>
      <w:tr>
        <w:trPr>
          <w:trHeight w:val="68"/>
        </w:trPr>
        <w:tc>
          <w:tcPr>
            <w:tcW w:w="1300" w:type="dxa"/>
            <w:vAlign w:val="bottom"/>
            <w:tcBorders>
              <w:left w:val="single" w:sz="8" w:color="auto"/>
              <w:right w:val="single" w:sz="8" w:color="auto"/>
            </w:tcBorders>
            <w:vMerge w:val="restart"/>
          </w:tcPr>
          <w:p>
            <w:pPr>
              <w:jc w:val="center"/>
              <w:ind w:left="54"/>
              <w:spacing w:after="0"/>
              <w:rPr>
                <w:sz w:val="20"/>
                <w:szCs w:val="20"/>
                <w:color w:val="auto"/>
              </w:rPr>
            </w:pPr>
            <w:r>
              <w:rPr>
                <w:rFonts w:ascii="Arial" w:cs="Arial" w:eastAsia="Arial" w:hAnsi="Arial"/>
                <w:sz w:val="13"/>
                <w:szCs w:val="13"/>
                <w:color w:val="auto"/>
              </w:rPr>
              <w:t>Based</w:t>
            </w:r>
          </w:p>
        </w:tc>
        <w:tc>
          <w:tcPr>
            <w:tcW w:w="1800" w:type="dxa"/>
            <w:vAlign w:val="bottom"/>
            <w:tcBorders>
              <w:right w:val="single" w:sz="8" w:color="auto"/>
            </w:tcBorders>
            <w:gridSpan w:val="5"/>
            <w:vMerge w:val="continue"/>
          </w:tcPr>
          <w:p>
            <w:pPr>
              <w:spacing w:after="0"/>
              <w:rPr>
                <w:sz w:val="5"/>
                <w:szCs w:val="5"/>
                <w:color w:val="auto"/>
              </w:rPr>
            </w:pPr>
          </w:p>
        </w:tc>
        <w:tc>
          <w:tcPr>
            <w:tcW w:w="1940" w:type="dxa"/>
            <w:vAlign w:val="bottom"/>
            <w:tcBorders>
              <w:right w:val="single" w:sz="8" w:color="auto"/>
            </w:tcBorders>
            <w:gridSpan w:val="5"/>
            <w:vMerge w:val="continue"/>
          </w:tcPr>
          <w:p>
            <w:pPr>
              <w:spacing w:after="0"/>
              <w:rPr>
                <w:sz w:val="5"/>
                <w:szCs w:val="5"/>
                <w:color w:val="auto"/>
              </w:rPr>
            </w:pPr>
          </w:p>
        </w:tc>
        <w:tc>
          <w:tcPr>
            <w:tcW w:w="2620" w:type="dxa"/>
            <w:vAlign w:val="bottom"/>
            <w:tcBorders>
              <w:right w:val="single" w:sz="8" w:color="auto"/>
            </w:tcBorders>
            <w:gridSpan w:val="5"/>
            <w:vMerge w:val="continue"/>
          </w:tcPr>
          <w:p>
            <w:pPr>
              <w:spacing w:after="0"/>
              <w:rPr>
                <w:sz w:val="5"/>
                <w:szCs w:val="5"/>
                <w:color w:val="auto"/>
              </w:rPr>
            </w:pPr>
          </w:p>
        </w:tc>
        <w:tc>
          <w:tcPr>
            <w:tcW w:w="190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300" w:type="dxa"/>
            <w:vAlign w:val="bottom"/>
            <w:tcBorders>
              <w:left w:val="single" w:sz="8" w:color="auto"/>
              <w:right w:val="single" w:sz="8" w:color="auto"/>
            </w:tcBorders>
            <w:vMerge w:val="continue"/>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Borders>
              <w:right w:val="single" w:sz="8" w:color="auto"/>
            </w:tcBorders>
            <w:gridSpan w:val="4"/>
            <w:vMerge w:val="restart"/>
          </w:tcPr>
          <w:p>
            <w:pPr>
              <w:jc w:val="center"/>
              <w:ind w:right="340"/>
              <w:spacing w:after="0"/>
              <w:rPr>
                <w:sz w:val="20"/>
                <w:szCs w:val="20"/>
                <w:color w:val="auto"/>
              </w:rPr>
            </w:pPr>
            <w:r>
              <w:rPr>
                <w:rFonts w:ascii="Arial" w:cs="Arial" w:eastAsia="Arial" w:hAnsi="Arial"/>
                <w:sz w:val="13"/>
                <w:szCs w:val="13"/>
                <w:color w:val="auto"/>
              </w:rPr>
              <w:t>of the performance</w:t>
            </w:r>
          </w:p>
        </w:tc>
        <w:tc>
          <w:tcPr>
            <w:tcW w:w="1940" w:type="dxa"/>
            <w:vAlign w:val="bottom"/>
            <w:tcBorders>
              <w:right w:val="single" w:sz="8" w:color="auto"/>
            </w:tcBorders>
            <w:gridSpan w:val="5"/>
            <w:vMerge w:val="restart"/>
          </w:tcPr>
          <w:p>
            <w:pPr>
              <w:jc w:val="center"/>
              <w:ind w:right="20"/>
              <w:spacing w:after="0"/>
              <w:rPr>
                <w:sz w:val="20"/>
                <w:szCs w:val="20"/>
                <w:color w:val="auto"/>
              </w:rPr>
            </w:pPr>
            <w:r>
              <w:rPr>
                <w:rFonts w:ascii="Arial" w:cs="Arial" w:eastAsia="Arial" w:hAnsi="Arial"/>
                <w:sz w:val="13"/>
                <w:szCs w:val="13"/>
                <w:color w:val="auto"/>
              </w:rPr>
              <w:t>of the performance</w:t>
            </w:r>
          </w:p>
        </w:tc>
        <w:tc>
          <w:tcPr>
            <w:tcW w:w="2620" w:type="dxa"/>
            <w:vAlign w:val="bottom"/>
            <w:tcBorders>
              <w:right w:val="single" w:sz="8" w:color="auto"/>
            </w:tcBorders>
            <w:gridSpan w:val="5"/>
            <w:vMerge w:val="restart"/>
          </w:tcPr>
          <w:p>
            <w:pPr>
              <w:jc w:val="center"/>
              <w:ind w:right="20"/>
              <w:spacing w:after="0"/>
              <w:rPr>
                <w:sz w:val="20"/>
                <w:szCs w:val="20"/>
                <w:color w:val="auto"/>
              </w:rPr>
            </w:pPr>
            <w:r>
              <w:rPr>
                <w:rFonts w:ascii="Arial" w:cs="Arial" w:eastAsia="Arial" w:hAnsi="Arial"/>
                <w:sz w:val="13"/>
                <w:szCs w:val="13"/>
                <w:color w:val="auto"/>
              </w:rPr>
              <w:t>of the performance</w:t>
            </w:r>
          </w:p>
        </w:tc>
        <w:tc>
          <w:tcPr>
            <w:tcW w:w="190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3"/>
                <w:szCs w:val="13"/>
                <w:color w:val="auto"/>
              </w:rPr>
              <w:t>of the performance</w:t>
            </w:r>
          </w:p>
        </w:tc>
        <w:tc>
          <w:tcPr>
            <w:tcW w:w="0" w:type="dxa"/>
            <w:vAlign w:val="bottom"/>
          </w:tcPr>
          <w:p>
            <w:pPr>
              <w:spacing w:after="0"/>
              <w:rPr>
                <w:sz w:val="1"/>
                <w:szCs w:val="1"/>
                <w:color w:val="auto"/>
              </w:rPr>
            </w:pPr>
          </w:p>
        </w:tc>
      </w:tr>
      <w:tr>
        <w:trPr>
          <w:trHeight w:val="68"/>
        </w:trPr>
        <w:tc>
          <w:tcPr>
            <w:tcW w:w="1300" w:type="dxa"/>
            <w:vAlign w:val="bottom"/>
            <w:tcBorders>
              <w:left w:val="single" w:sz="8" w:color="auto"/>
              <w:right w:val="single" w:sz="8" w:color="auto"/>
            </w:tcBorders>
            <w:vMerge w:val="restart"/>
          </w:tcPr>
          <w:p>
            <w:pPr>
              <w:jc w:val="center"/>
              <w:ind w:left="74"/>
              <w:spacing w:after="0" w:line="142" w:lineRule="exact"/>
              <w:rPr>
                <w:sz w:val="20"/>
                <w:szCs w:val="20"/>
                <w:color w:val="auto"/>
              </w:rPr>
            </w:pPr>
            <w:r>
              <w:rPr>
                <w:rFonts w:ascii="Arial" w:cs="Arial" w:eastAsia="Arial" w:hAnsi="Arial"/>
                <w:sz w:val="13"/>
                <w:szCs w:val="13"/>
                <w:color w:val="auto"/>
              </w:rPr>
              <w:t>RSUs (PRSUs)</w:t>
            </w:r>
          </w:p>
        </w:tc>
        <w:tc>
          <w:tcPr>
            <w:tcW w:w="320" w:type="dxa"/>
            <w:vAlign w:val="bottom"/>
          </w:tcPr>
          <w:p>
            <w:pPr>
              <w:spacing w:after="0"/>
              <w:rPr>
                <w:sz w:val="5"/>
                <w:szCs w:val="5"/>
                <w:color w:val="auto"/>
              </w:rPr>
            </w:pPr>
          </w:p>
        </w:tc>
        <w:tc>
          <w:tcPr>
            <w:tcW w:w="1480" w:type="dxa"/>
            <w:vAlign w:val="bottom"/>
            <w:tcBorders>
              <w:right w:val="single" w:sz="8" w:color="auto"/>
            </w:tcBorders>
            <w:gridSpan w:val="4"/>
            <w:vMerge w:val="continue"/>
          </w:tcPr>
          <w:p>
            <w:pPr>
              <w:spacing w:after="0"/>
              <w:rPr>
                <w:sz w:val="5"/>
                <w:szCs w:val="5"/>
                <w:color w:val="auto"/>
              </w:rPr>
            </w:pPr>
          </w:p>
        </w:tc>
        <w:tc>
          <w:tcPr>
            <w:tcW w:w="1940" w:type="dxa"/>
            <w:vAlign w:val="bottom"/>
            <w:tcBorders>
              <w:right w:val="single" w:sz="8" w:color="auto"/>
            </w:tcBorders>
            <w:gridSpan w:val="5"/>
            <w:vMerge w:val="continue"/>
          </w:tcPr>
          <w:p>
            <w:pPr>
              <w:spacing w:after="0"/>
              <w:rPr>
                <w:sz w:val="5"/>
                <w:szCs w:val="5"/>
                <w:color w:val="auto"/>
              </w:rPr>
            </w:pPr>
          </w:p>
        </w:tc>
        <w:tc>
          <w:tcPr>
            <w:tcW w:w="2620" w:type="dxa"/>
            <w:vAlign w:val="bottom"/>
            <w:tcBorders>
              <w:right w:val="single" w:sz="8" w:color="auto"/>
            </w:tcBorders>
            <w:gridSpan w:val="5"/>
            <w:vMerge w:val="continue"/>
          </w:tcPr>
          <w:p>
            <w:pPr>
              <w:spacing w:after="0"/>
              <w:rPr>
                <w:sz w:val="5"/>
                <w:szCs w:val="5"/>
                <w:color w:val="auto"/>
              </w:rPr>
            </w:pPr>
          </w:p>
        </w:tc>
        <w:tc>
          <w:tcPr>
            <w:tcW w:w="190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300" w:type="dxa"/>
            <w:vAlign w:val="bottom"/>
            <w:tcBorders>
              <w:left w:val="single" w:sz="8" w:color="auto"/>
              <w:right w:val="single" w:sz="8" w:color="auto"/>
            </w:tcBorders>
            <w:vMerge w:val="continue"/>
          </w:tcPr>
          <w:p>
            <w:pPr>
              <w:spacing w:after="0"/>
              <w:rPr>
                <w:sz w:val="6"/>
                <w:szCs w:val="6"/>
                <w:color w:val="auto"/>
              </w:rPr>
            </w:pPr>
          </w:p>
        </w:tc>
        <w:tc>
          <w:tcPr>
            <w:tcW w:w="1800" w:type="dxa"/>
            <w:vAlign w:val="bottom"/>
            <w:tcBorders>
              <w:right w:val="single" w:sz="8" w:color="auto"/>
            </w:tcBorders>
            <w:gridSpan w:val="5"/>
            <w:vMerge w:val="restart"/>
          </w:tcPr>
          <w:p>
            <w:pPr>
              <w:jc w:val="center"/>
              <w:ind w:right="20"/>
              <w:spacing w:after="0"/>
              <w:rPr>
                <w:sz w:val="20"/>
                <w:szCs w:val="20"/>
                <w:color w:val="auto"/>
              </w:rPr>
            </w:pPr>
            <w:r>
              <w:rPr>
                <w:rFonts w:ascii="Arial" w:cs="Arial" w:eastAsia="Arial" w:hAnsi="Arial"/>
                <w:sz w:val="13"/>
                <w:szCs w:val="13"/>
                <w:color w:val="auto"/>
              </w:rPr>
              <w:t>period ending in the</w:t>
            </w:r>
          </w:p>
        </w:tc>
        <w:tc>
          <w:tcPr>
            <w:tcW w:w="1940" w:type="dxa"/>
            <w:vAlign w:val="bottom"/>
            <w:tcBorders>
              <w:right w:val="single" w:sz="8" w:color="auto"/>
            </w:tcBorders>
            <w:gridSpan w:val="5"/>
            <w:vMerge w:val="restart"/>
          </w:tcPr>
          <w:p>
            <w:pPr>
              <w:jc w:val="center"/>
              <w:ind w:right="20"/>
              <w:spacing w:after="0"/>
              <w:rPr>
                <w:sz w:val="20"/>
                <w:szCs w:val="20"/>
                <w:color w:val="auto"/>
              </w:rPr>
            </w:pPr>
            <w:r>
              <w:rPr>
                <w:rFonts w:ascii="Arial" w:cs="Arial" w:eastAsia="Arial" w:hAnsi="Arial"/>
                <w:sz w:val="13"/>
                <w:szCs w:val="13"/>
                <w:color w:val="auto"/>
              </w:rPr>
              <w:t>period. Number of</w:t>
            </w:r>
          </w:p>
        </w:tc>
        <w:tc>
          <w:tcPr>
            <w:tcW w:w="2620" w:type="dxa"/>
            <w:vAlign w:val="bottom"/>
            <w:tcBorders>
              <w:right w:val="single" w:sz="8" w:color="auto"/>
            </w:tcBorders>
            <w:gridSpan w:val="5"/>
            <w:vMerge w:val="restart"/>
          </w:tcPr>
          <w:p>
            <w:pPr>
              <w:jc w:val="center"/>
              <w:ind w:right="20"/>
              <w:spacing w:after="0"/>
              <w:rPr>
                <w:sz w:val="20"/>
                <w:szCs w:val="20"/>
                <w:color w:val="auto"/>
              </w:rPr>
            </w:pPr>
            <w:r>
              <w:rPr>
                <w:rFonts w:ascii="Arial" w:cs="Arial" w:eastAsia="Arial" w:hAnsi="Arial"/>
                <w:sz w:val="13"/>
                <w:szCs w:val="13"/>
                <w:color w:val="auto"/>
              </w:rPr>
              <w:t>period. Number of</w:t>
            </w:r>
          </w:p>
        </w:tc>
        <w:tc>
          <w:tcPr>
            <w:tcW w:w="190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3"/>
                <w:szCs w:val="13"/>
                <w:color w:val="auto"/>
              </w:rPr>
              <w:t>period. Number of</w:t>
            </w:r>
          </w:p>
        </w:tc>
        <w:tc>
          <w:tcPr>
            <w:tcW w:w="0" w:type="dxa"/>
            <w:vAlign w:val="bottom"/>
          </w:tcPr>
          <w:p>
            <w:pPr>
              <w:spacing w:after="0"/>
              <w:rPr>
                <w:sz w:val="1"/>
                <w:szCs w:val="1"/>
                <w:color w:val="auto"/>
              </w:rPr>
            </w:pPr>
          </w:p>
        </w:tc>
      </w:tr>
      <w:tr>
        <w:trPr>
          <w:trHeight w:val="74"/>
        </w:trPr>
        <w:tc>
          <w:tcPr>
            <w:tcW w:w="1300" w:type="dxa"/>
            <w:vAlign w:val="bottom"/>
            <w:tcBorders>
              <w:left w:val="single" w:sz="8" w:color="auto"/>
              <w:right w:val="single" w:sz="8" w:color="auto"/>
            </w:tcBorders>
            <w:vMerge w:val="restart"/>
          </w:tcPr>
          <w:p>
            <w:pPr>
              <w:jc w:val="center"/>
              <w:ind w:left="54"/>
              <w:spacing w:after="0"/>
              <w:rPr>
                <w:sz w:val="20"/>
                <w:szCs w:val="20"/>
                <w:color w:val="auto"/>
              </w:rPr>
            </w:pPr>
            <w:r>
              <w:rPr>
                <w:rFonts w:ascii="Arial" w:cs="Arial" w:eastAsia="Arial" w:hAnsi="Arial"/>
                <w:sz w:val="11"/>
                <w:szCs w:val="11"/>
                <w:color w:val="auto"/>
              </w:rPr>
              <w:t>(5)</w:t>
            </w:r>
          </w:p>
        </w:tc>
        <w:tc>
          <w:tcPr>
            <w:tcW w:w="1800" w:type="dxa"/>
            <w:vAlign w:val="bottom"/>
            <w:tcBorders>
              <w:right w:val="single" w:sz="8" w:color="auto"/>
            </w:tcBorders>
            <w:gridSpan w:val="5"/>
            <w:vMerge w:val="continue"/>
          </w:tcPr>
          <w:p>
            <w:pPr>
              <w:spacing w:after="0"/>
              <w:rPr>
                <w:sz w:val="6"/>
                <w:szCs w:val="6"/>
                <w:color w:val="auto"/>
              </w:rPr>
            </w:pPr>
          </w:p>
        </w:tc>
        <w:tc>
          <w:tcPr>
            <w:tcW w:w="1940" w:type="dxa"/>
            <w:vAlign w:val="bottom"/>
            <w:tcBorders>
              <w:right w:val="single" w:sz="8" w:color="auto"/>
            </w:tcBorders>
            <w:gridSpan w:val="5"/>
            <w:vMerge w:val="continue"/>
          </w:tcPr>
          <w:p>
            <w:pPr>
              <w:spacing w:after="0"/>
              <w:rPr>
                <w:sz w:val="6"/>
                <w:szCs w:val="6"/>
                <w:color w:val="auto"/>
              </w:rPr>
            </w:pPr>
          </w:p>
        </w:tc>
        <w:tc>
          <w:tcPr>
            <w:tcW w:w="2620" w:type="dxa"/>
            <w:vAlign w:val="bottom"/>
            <w:tcBorders>
              <w:right w:val="single" w:sz="8" w:color="auto"/>
            </w:tcBorders>
            <w:gridSpan w:val="5"/>
            <w:vMerge w:val="continue"/>
          </w:tcPr>
          <w:p>
            <w:pPr>
              <w:spacing w:after="0"/>
              <w:rPr>
                <w:sz w:val="6"/>
                <w:szCs w:val="6"/>
                <w:color w:val="auto"/>
              </w:rPr>
            </w:pPr>
          </w:p>
        </w:tc>
        <w:tc>
          <w:tcPr>
            <w:tcW w:w="1900" w:type="dxa"/>
            <w:vAlign w:val="bottom"/>
            <w:tcBorders>
              <w:right w:val="single" w:sz="8" w:color="auto"/>
            </w:tcBorders>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1300" w:type="dxa"/>
            <w:vAlign w:val="bottom"/>
            <w:tcBorders>
              <w:left w:val="single" w:sz="8" w:color="auto"/>
              <w:right w:val="single" w:sz="8" w:color="auto"/>
            </w:tcBorders>
            <w:vMerge w:val="continue"/>
          </w:tcPr>
          <w:p>
            <w:pPr>
              <w:spacing w:after="0"/>
              <w:rPr>
                <w:sz w:val="5"/>
                <w:szCs w:val="5"/>
                <w:color w:val="auto"/>
              </w:rPr>
            </w:pPr>
          </w:p>
        </w:tc>
        <w:tc>
          <w:tcPr>
            <w:tcW w:w="320" w:type="dxa"/>
            <w:vAlign w:val="bottom"/>
          </w:tcPr>
          <w:p>
            <w:pPr>
              <w:spacing w:after="0"/>
              <w:rPr>
                <w:sz w:val="5"/>
                <w:szCs w:val="5"/>
                <w:color w:val="auto"/>
              </w:rPr>
            </w:pPr>
          </w:p>
        </w:tc>
        <w:tc>
          <w:tcPr>
            <w:tcW w:w="1480" w:type="dxa"/>
            <w:vAlign w:val="bottom"/>
            <w:tcBorders>
              <w:right w:val="single" w:sz="8" w:color="auto"/>
            </w:tcBorders>
            <w:gridSpan w:val="4"/>
            <w:vMerge w:val="restart"/>
          </w:tcPr>
          <w:p>
            <w:pPr>
              <w:jc w:val="center"/>
              <w:ind w:right="340"/>
              <w:spacing w:after="0"/>
              <w:rPr>
                <w:sz w:val="20"/>
                <w:szCs w:val="20"/>
                <w:color w:val="auto"/>
              </w:rPr>
            </w:pPr>
            <w:r>
              <w:rPr>
                <w:rFonts w:ascii="Arial" w:cs="Arial" w:eastAsia="Arial" w:hAnsi="Arial"/>
                <w:sz w:val="13"/>
                <w:szCs w:val="13"/>
                <w:color w:val="auto"/>
              </w:rPr>
              <w:t>year of death or</w:t>
            </w:r>
          </w:p>
        </w:tc>
        <w:tc>
          <w:tcPr>
            <w:tcW w:w="1940" w:type="dxa"/>
            <w:vAlign w:val="bottom"/>
            <w:tcBorders>
              <w:right w:val="single" w:sz="8" w:color="auto"/>
            </w:tcBorders>
            <w:gridSpan w:val="5"/>
            <w:vMerge w:val="restart"/>
          </w:tcPr>
          <w:p>
            <w:pPr>
              <w:jc w:val="center"/>
              <w:ind w:right="20"/>
              <w:spacing w:after="0"/>
              <w:rPr>
                <w:sz w:val="20"/>
                <w:szCs w:val="20"/>
                <w:color w:val="auto"/>
              </w:rPr>
            </w:pPr>
            <w:r>
              <w:rPr>
                <w:rFonts w:ascii="Arial" w:cs="Arial" w:eastAsia="Arial" w:hAnsi="Arial"/>
                <w:sz w:val="13"/>
                <w:szCs w:val="13"/>
                <w:color w:val="auto"/>
              </w:rPr>
              <w:t>shares awarded is not</w:t>
            </w:r>
          </w:p>
        </w:tc>
        <w:tc>
          <w:tcPr>
            <w:tcW w:w="2620" w:type="dxa"/>
            <w:vAlign w:val="bottom"/>
            <w:tcBorders>
              <w:right w:val="single" w:sz="8" w:color="auto"/>
            </w:tcBorders>
            <w:gridSpan w:val="5"/>
            <w:vMerge w:val="restart"/>
          </w:tcPr>
          <w:p>
            <w:pPr>
              <w:jc w:val="center"/>
              <w:ind w:right="20"/>
              <w:spacing w:after="0"/>
              <w:rPr>
                <w:sz w:val="20"/>
                <w:szCs w:val="20"/>
                <w:color w:val="auto"/>
              </w:rPr>
            </w:pPr>
            <w:r>
              <w:rPr>
                <w:rFonts w:ascii="Arial" w:cs="Arial" w:eastAsia="Arial" w:hAnsi="Arial"/>
                <w:sz w:val="13"/>
                <w:szCs w:val="13"/>
                <w:color w:val="auto"/>
              </w:rPr>
              <w:t>shares awarded is not</w:t>
            </w:r>
          </w:p>
        </w:tc>
        <w:tc>
          <w:tcPr>
            <w:tcW w:w="190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3"/>
                <w:szCs w:val="13"/>
                <w:color w:val="auto"/>
              </w:rPr>
              <w:t>shares awarded is not</w:t>
            </w:r>
          </w:p>
        </w:tc>
        <w:tc>
          <w:tcPr>
            <w:tcW w:w="0" w:type="dxa"/>
            <w:vAlign w:val="bottom"/>
          </w:tcPr>
          <w:p>
            <w:pPr>
              <w:spacing w:after="0"/>
              <w:rPr>
                <w:sz w:val="1"/>
                <w:szCs w:val="1"/>
                <w:color w:val="auto"/>
              </w:rPr>
            </w:pPr>
          </w:p>
        </w:tc>
      </w:tr>
      <w:tr>
        <w:trPr>
          <w:trHeight w:val="89"/>
        </w:trPr>
        <w:tc>
          <w:tcPr>
            <w:tcW w:w="1300" w:type="dxa"/>
            <w:vAlign w:val="bottom"/>
            <w:tcBorders>
              <w:left w:val="single" w:sz="8" w:color="auto"/>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Borders>
              <w:right w:val="single" w:sz="8" w:color="auto"/>
            </w:tcBorders>
            <w:gridSpan w:val="4"/>
            <w:vMerge w:val="continue"/>
          </w:tcPr>
          <w:p>
            <w:pPr>
              <w:spacing w:after="0"/>
              <w:rPr>
                <w:sz w:val="7"/>
                <w:szCs w:val="7"/>
                <w:color w:val="auto"/>
              </w:rPr>
            </w:pPr>
          </w:p>
        </w:tc>
        <w:tc>
          <w:tcPr>
            <w:tcW w:w="1940" w:type="dxa"/>
            <w:vAlign w:val="bottom"/>
            <w:tcBorders>
              <w:right w:val="single" w:sz="8" w:color="auto"/>
            </w:tcBorders>
            <w:gridSpan w:val="5"/>
            <w:vMerge w:val="continue"/>
          </w:tcPr>
          <w:p>
            <w:pPr>
              <w:spacing w:after="0"/>
              <w:rPr>
                <w:sz w:val="7"/>
                <w:szCs w:val="7"/>
                <w:color w:val="auto"/>
              </w:rPr>
            </w:pPr>
          </w:p>
        </w:tc>
        <w:tc>
          <w:tcPr>
            <w:tcW w:w="2620" w:type="dxa"/>
            <w:vAlign w:val="bottom"/>
            <w:tcBorders>
              <w:right w:val="single" w:sz="8" w:color="auto"/>
            </w:tcBorders>
            <w:gridSpan w:val="5"/>
            <w:vMerge w:val="continue"/>
          </w:tcPr>
          <w:p>
            <w:pPr>
              <w:spacing w:after="0"/>
              <w:rPr>
                <w:sz w:val="7"/>
                <w:szCs w:val="7"/>
                <w:color w:val="auto"/>
              </w:rPr>
            </w:pPr>
          </w:p>
        </w:tc>
        <w:tc>
          <w:tcPr>
            <w:tcW w:w="1900" w:type="dxa"/>
            <w:vAlign w:val="bottom"/>
            <w:tcBorders>
              <w:right w:val="single" w:sz="8" w:color="auto"/>
            </w:tcBorders>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300" w:type="dxa"/>
            <w:vAlign w:val="bottom"/>
            <w:tcBorders>
              <w:left w:val="single" w:sz="8" w:color="auto"/>
              <w:right w:val="single" w:sz="8" w:color="auto"/>
            </w:tcBorders>
          </w:tcPr>
          <w:p>
            <w:pPr>
              <w:spacing w:after="0"/>
              <w:rPr>
                <w:sz w:val="12"/>
                <w:szCs w:val="12"/>
                <w:color w:val="auto"/>
              </w:rPr>
            </w:pPr>
          </w:p>
        </w:tc>
        <w:tc>
          <w:tcPr>
            <w:tcW w:w="180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disability. Number of</w:t>
            </w:r>
          </w:p>
        </w:tc>
        <w:tc>
          <w:tcPr>
            <w:tcW w:w="194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pro-rated for partial</w:t>
            </w:r>
          </w:p>
        </w:tc>
        <w:tc>
          <w:tcPr>
            <w:tcW w:w="262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pro-rated for partial</w:t>
            </w:r>
          </w:p>
        </w:tc>
        <w:tc>
          <w:tcPr>
            <w:tcW w:w="1900" w:type="dxa"/>
            <w:vAlign w:val="bottom"/>
            <w:tcBorders>
              <w:right w:val="single" w:sz="8" w:color="auto"/>
            </w:tcBorders>
            <w:gridSpan w:val="5"/>
          </w:tcPr>
          <w:p>
            <w:pPr>
              <w:jc w:val="center"/>
              <w:spacing w:after="0"/>
              <w:rPr>
                <w:sz w:val="20"/>
                <w:szCs w:val="20"/>
                <w:color w:val="auto"/>
              </w:rPr>
            </w:pPr>
            <w:r>
              <w:rPr>
                <w:rFonts w:ascii="Arial" w:cs="Arial" w:eastAsia="Arial" w:hAnsi="Arial"/>
                <w:sz w:val="13"/>
                <w:szCs w:val="13"/>
                <w:color w:val="auto"/>
              </w:rPr>
              <w:t>pro-rated for partial</w:t>
            </w: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00" w:type="dxa"/>
            <w:vAlign w:val="bottom"/>
            <w:tcBorders>
              <w:right w:val="single" w:sz="8" w:color="auto"/>
            </w:tcBorders>
            <w:gridSpan w:val="5"/>
          </w:tcPr>
          <w:p>
            <w:pPr>
              <w:jc w:val="center"/>
              <w:spacing w:after="0"/>
              <w:rPr>
                <w:sz w:val="20"/>
                <w:szCs w:val="20"/>
                <w:color w:val="auto"/>
              </w:rPr>
            </w:pPr>
            <w:r>
              <w:rPr>
                <w:rFonts w:ascii="Arial" w:cs="Arial" w:eastAsia="Arial" w:hAnsi="Arial"/>
                <w:sz w:val="13"/>
                <w:szCs w:val="13"/>
                <w:color w:val="auto"/>
              </w:rPr>
              <w:t>shares awarded is not</w:t>
            </w:r>
          </w:p>
        </w:tc>
        <w:tc>
          <w:tcPr>
            <w:tcW w:w="194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employment during the</w:t>
            </w:r>
          </w:p>
        </w:tc>
        <w:tc>
          <w:tcPr>
            <w:tcW w:w="2620" w:type="dxa"/>
            <w:vAlign w:val="bottom"/>
            <w:tcBorders>
              <w:right w:val="single" w:sz="8" w:color="auto"/>
            </w:tcBorders>
            <w:gridSpan w:val="5"/>
          </w:tcPr>
          <w:p>
            <w:pPr>
              <w:jc w:val="center"/>
              <w:ind w:right="40"/>
              <w:spacing w:after="0"/>
              <w:rPr>
                <w:sz w:val="20"/>
                <w:szCs w:val="20"/>
                <w:color w:val="auto"/>
              </w:rPr>
            </w:pPr>
            <w:r>
              <w:rPr>
                <w:rFonts w:ascii="Arial" w:cs="Arial" w:eastAsia="Arial" w:hAnsi="Arial"/>
                <w:sz w:val="13"/>
                <w:szCs w:val="13"/>
                <w:color w:val="auto"/>
              </w:rPr>
              <w:t>employment during the</w:t>
            </w:r>
          </w:p>
        </w:tc>
        <w:tc>
          <w:tcPr>
            <w:tcW w:w="1900" w:type="dxa"/>
            <w:vAlign w:val="bottom"/>
            <w:tcBorders>
              <w:right w:val="single" w:sz="8" w:color="auto"/>
            </w:tcBorders>
            <w:gridSpan w:val="5"/>
          </w:tcPr>
          <w:p>
            <w:pPr>
              <w:jc w:val="center"/>
              <w:spacing w:after="0"/>
              <w:rPr>
                <w:sz w:val="20"/>
                <w:szCs w:val="20"/>
                <w:color w:val="auto"/>
              </w:rPr>
            </w:pPr>
            <w:r>
              <w:rPr>
                <w:rFonts w:ascii="Arial" w:cs="Arial" w:eastAsia="Arial" w:hAnsi="Arial"/>
                <w:sz w:val="13"/>
                <w:szCs w:val="13"/>
                <w:color w:val="auto"/>
              </w:rPr>
              <w:t>employment during the</w:t>
            </w:r>
          </w:p>
        </w:tc>
        <w:tc>
          <w:tcPr>
            <w:tcW w:w="0" w:type="dxa"/>
            <w:vAlign w:val="bottom"/>
          </w:tcPr>
          <w:p>
            <w:pPr>
              <w:spacing w:after="0"/>
              <w:rPr>
                <w:sz w:val="1"/>
                <w:szCs w:val="1"/>
                <w:color w:val="auto"/>
              </w:rPr>
            </w:pPr>
          </w:p>
        </w:tc>
      </w:tr>
      <w:tr>
        <w:trPr>
          <w:trHeight w:val="148"/>
        </w:trPr>
        <w:tc>
          <w:tcPr>
            <w:tcW w:w="1300" w:type="dxa"/>
            <w:vAlign w:val="bottom"/>
            <w:tcBorders>
              <w:left w:val="single" w:sz="8" w:color="auto"/>
              <w:right w:val="single" w:sz="8" w:color="auto"/>
            </w:tcBorders>
          </w:tcPr>
          <w:p>
            <w:pPr>
              <w:spacing w:after="0"/>
              <w:rPr>
                <w:sz w:val="12"/>
                <w:szCs w:val="12"/>
                <w:color w:val="auto"/>
              </w:rPr>
            </w:pPr>
          </w:p>
        </w:tc>
        <w:tc>
          <w:tcPr>
            <w:tcW w:w="180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pro-rated for partial</w:t>
            </w:r>
          </w:p>
        </w:tc>
        <w:tc>
          <w:tcPr>
            <w:tcW w:w="194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performance period.</w:t>
            </w:r>
          </w:p>
        </w:tc>
        <w:tc>
          <w:tcPr>
            <w:tcW w:w="262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performance period.</w:t>
            </w:r>
          </w:p>
        </w:tc>
        <w:tc>
          <w:tcPr>
            <w:tcW w:w="1900" w:type="dxa"/>
            <w:vAlign w:val="bottom"/>
            <w:tcBorders>
              <w:right w:val="single" w:sz="8" w:color="auto"/>
            </w:tcBorders>
            <w:gridSpan w:val="5"/>
          </w:tcPr>
          <w:p>
            <w:pPr>
              <w:jc w:val="center"/>
              <w:spacing w:after="0"/>
              <w:rPr>
                <w:sz w:val="20"/>
                <w:szCs w:val="20"/>
                <w:color w:val="auto"/>
              </w:rPr>
            </w:pPr>
            <w:r>
              <w:rPr>
                <w:rFonts w:ascii="Arial" w:cs="Arial" w:eastAsia="Arial" w:hAnsi="Arial"/>
                <w:sz w:val="13"/>
                <w:szCs w:val="13"/>
                <w:color w:val="auto"/>
              </w:rPr>
              <w:t>performance period.</w:t>
            </w:r>
          </w:p>
        </w:tc>
        <w:tc>
          <w:tcPr>
            <w:tcW w:w="0" w:type="dxa"/>
            <w:vAlign w:val="bottom"/>
          </w:tcPr>
          <w:p>
            <w:pPr>
              <w:spacing w:after="0"/>
              <w:rPr>
                <w:sz w:val="1"/>
                <w:szCs w:val="1"/>
                <w:color w:val="auto"/>
              </w:rPr>
            </w:pPr>
          </w:p>
        </w:tc>
      </w:tr>
      <w:tr>
        <w:trPr>
          <w:trHeight w:val="148"/>
        </w:trPr>
        <w:tc>
          <w:tcPr>
            <w:tcW w:w="1300" w:type="dxa"/>
            <w:vAlign w:val="bottom"/>
            <w:tcBorders>
              <w:left w:val="single" w:sz="8" w:color="auto"/>
              <w:right w:val="single" w:sz="8" w:color="auto"/>
            </w:tcBorders>
          </w:tcPr>
          <w:p>
            <w:pPr>
              <w:spacing w:after="0"/>
              <w:rPr>
                <w:sz w:val="12"/>
                <w:szCs w:val="12"/>
                <w:color w:val="auto"/>
              </w:rPr>
            </w:pPr>
          </w:p>
        </w:tc>
        <w:tc>
          <w:tcPr>
            <w:tcW w:w="180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employment during the</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00" w:type="dxa"/>
            <w:vAlign w:val="bottom"/>
            <w:tcBorders>
              <w:left w:val="single" w:sz="8" w:color="auto"/>
              <w:bottom w:val="single" w:sz="8" w:color="auto"/>
              <w:right w:val="single" w:sz="8" w:color="auto"/>
            </w:tcBorders>
          </w:tcPr>
          <w:p>
            <w:pPr>
              <w:spacing w:after="0"/>
              <w:rPr>
                <w:sz w:val="14"/>
                <w:szCs w:val="14"/>
                <w:color w:val="auto"/>
              </w:rPr>
            </w:pPr>
          </w:p>
        </w:tc>
        <w:tc>
          <w:tcPr>
            <w:tcW w:w="1800" w:type="dxa"/>
            <w:vAlign w:val="bottom"/>
            <w:tcBorders>
              <w:bottom w:val="single" w:sz="8" w:color="auto"/>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performance period.</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8483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281" w:lineRule="exact"/>
        <w:rPr>
          <w:sz w:val="20"/>
          <w:szCs w:val="20"/>
          <w:color w:val="auto"/>
        </w:rPr>
      </w:pPr>
    </w:p>
    <w:p>
      <w:pPr>
        <w:ind w:left="360" w:right="20" w:hanging="355"/>
        <w:spacing w:after="0" w:line="254" w:lineRule="auto"/>
        <w:tabs>
          <w:tab w:leader="none" w:pos="360" w:val="left"/>
        </w:tabs>
        <w:numPr>
          <w:ilvl w:val="0"/>
          <w:numId w:val="69"/>
        </w:numPr>
        <w:rPr>
          <w:rFonts w:ascii="Arial" w:cs="Arial" w:eastAsia="Arial" w:hAnsi="Arial"/>
          <w:sz w:val="14"/>
          <w:szCs w:val="14"/>
          <w:color w:val="auto"/>
        </w:rPr>
      </w:pPr>
      <w:r>
        <w:rPr>
          <w:rFonts w:ascii="Arial" w:cs="Arial" w:eastAsia="Arial" w:hAnsi="Arial"/>
          <w:sz w:val="14"/>
          <w:szCs w:val="14"/>
          <w:i w:val="1"/>
          <w:iCs w:val="1"/>
          <w:color w:val="auto"/>
        </w:rPr>
        <w:t xml:space="preserve">Definition of Retirement: </w:t>
      </w:r>
      <w:r>
        <w:rPr>
          <w:rFonts w:ascii="Arial" w:cs="Arial" w:eastAsia="Arial" w:hAnsi="Arial"/>
          <w:sz w:val="14"/>
          <w:szCs w:val="14"/>
          <w:color w:val="auto"/>
        </w:rPr>
        <w:t>For purposes of all awards granted under the Second A&amp;R 2010 Plan to NEOs located in the U.S., “retirement” means</w:t>
      </w:r>
      <w:r>
        <w:rPr>
          <w:rFonts w:ascii="Arial" w:cs="Arial" w:eastAsia="Arial" w:hAnsi="Arial"/>
          <w:sz w:val="14"/>
          <w:szCs w:val="14"/>
          <w:i w:val="1"/>
          <w:iCs w:val="1"/>
          <w:color w:val="auto"/>
        </w:rPr>
        <w:t xml:space="preserve"> </w:t>
      </w:r>
      <w:r>
        <w:rPr>
          <w:rFonts w:ascii="Arial" w:cs="Arial" w:eastAsia="Arial" w:hAnsi="Arial"/>
          <w:sz w:val="14"/>
          <w:szCs w:val="14"/>
          <w:color w:val="auto"/>
        </w:rPr>
        <w:t>voluntary termination of employment after the date on which the award recipient has reached (i) the age of 55 and has a total of at least 10 years of continuous employment with Itron or (ii) the age of 60 and has a total of at least 5 years of continuous employment with Itron. For stock options granted in fiscal 2016 or prior, “retirement” means the earlier of age 65 or age 55 with at least 10 years of service with Itron.</w:t>
      </w:r>
    </w:p>
    <w:p>
      <w:pPr>
        <w:spacing w:after="0" w:line="74" w:lineRule="exact"/>
        <w:rPr>
          <w:rFonts w:ascii="Arial" w:cs="Arial" w:eastAsia="Arial" w:hAnsi="Arial"/>
          <w:sz w:val="14"/>
          <w:szCs w:val="14"/>
          <w:color w:val="auto"/>
        </w:rPr>
      </w:pPr>
    </w:p>
    <w:p>
      <w:pPr>
        <w:ind w:left="360" w:right="240" w:hanging="355"/>
        <w:spacing w:after="0" w:line="260" w:lineRule="auto"/>
        <w:tabs>
          <w:tab w:leader="none" w:pos="360" w:val="left"/>
        </w:tabs>
        <w:numPr>
          <w:ilvl w:val="0"/>
          <w:numId w:val="69"/>
        </w:numPr>
        <w:rPr>
          <w:rFonts w:ascii="Arial" w:cs="Arial" w:eastAsia="Arial" w:hAnsi="Arial"/>
          <w:sz w:val="14"/>
          <w:szCs w:val="14"/>
          <w:color w:val="auto"/>
        </w:rPr>
      </w:pPr>
      <w:r>
        <w:rPr>
          <w:rFonts w:ascii="Arial" w:cs="Arial" w:eastAsia="Arial" w:hAnsi="Arial"/>
          <w:sz w:val="14"/>
          <w:szCs w:val="14"/>
          <w:i w:val="1"/>
          <w:iCs w:val="1"/>
          <w:color w:val="auto"/>
        </w:rPr>
        <w:t xml:space="preserve">Annual Incentive Plan: </w:t>
      </w:r>
      <w:r>
        <w:rPr>
          <w:rFonts w:ascii="Arial" w:cs="Arial" w:eastAsia="Arial" w:hAnsi="Arial"/>
          <w:sz w:val="14"/>
          <w:szCs w:val="14"/>
          <w:color w:val="auto"/>
        </w:rPr>
        <w:t>For awards under the EMIP, participants would receive a prorated award (assuming an award is earned) based on the</w:t>
      </w:r>
      <w:r>
        <w:rPr>
          <w:rFonts w:ascii="Arial" w:cs="Arial" w:eastAsia="Arial" w:hAnsi="Arial"/>
          <w:sz w:val="14"/>
          <w:szCs w:val="14"/>
          <w:i w:val="1"/>
          <w:iCs w:val="1"/>
          <w:color w:val="auto"/>
        </w:rPr>
        <w:t xml:space="preserve"> </w:t>
      </w:r>
      <w:r>
        <w:rPr>
          <w:rFonts w:ascii="Arial" w:cs="Arial" w:eastAsia="Arial" w:hAnsi="Arial"/>
          <w:sz w:val="14"/>
          <w:szCs w:val="14"/>
          <w:color w:val="auto"/>
        </w:rPr>
        <w:t>number of calendar days employed during the performance period and such payout, if any, will be made at the same time as the other participants.</w:t>
      </w:r>
    </w:p>
    <w:p>
      <w:pPr>
        <w:spacing w:after="0" w:line="70" w:lineRule="exact"/>
        <w:rPr>
          <w:rFonts w:ascii="Arial" w:cs="Arial" w:eastAsia="Arial" w:hAnsi="Arial"/>
          <w:sz w:val="14"/>
          <w:szCs w:val="14"/>
          <w:color w:val="auto"/>
        </w:rPr>
      </w:pPr>
    </w:p>
    <w:p>
      <w:pPr>
        <w:ind w:left="360" w:hanging="355"/>
        <w:spacing w:after="0" w:line="246" w:lineRule="auto"/>
        <w:tabs>
          <w:tab w:leader="none" w:pos="360" w:val="left"/>
        </w:tabs>
        <w:numPr>
          <w:ilvl w:val="0"/>
          <w:numId w:val="69"/>
        </w:numPr>
        <w:rPr>
          <w:rFonts w:ascii="Arial" w:cs="Arial" w:eastAsia="Arial" w:hAnsi="Arial"/>
          <w:sz w:val="14"/>
          <w:szCs w:val="14"/>
          <w:color w:val="auto"/>
        </w:rPr>
      </w:pPr>
      <w:r>
        <w:rPr>
          <w:rFonts w:ascii="Arial" w:cs="Arial" w:eastAsia="Arial" w:hAnsi="Arial"/>
          <w:sz w:val="14"/>
          <w:szCs w:val="14"/>
          <w:i w:val="1"/>
          <w:iCs w:val="1"/>
          <w:color w:val="auto"/>
        </w:rPr>
        <w:t xml:space="preserve">Time-vested RSUs: </w:t>
      </w:r>
      <w:r>
        <w:rPr>
          <w:rFonts w:ascii="Arial" w:cs="Arial" w:eastAsia="Arial" w:hAnsi="Arial"/>
          <w:sz w:val="14"/>
          <w:szCs w:val="14"/>
          <w:color w:val="auto"/>
        </w:rPr>
        <w:t>For the awards granted in fiscal 2017, if a retirement occurs after 24 months following the grant date, RSUs will continue to</w:t>
      </w:r>
      <w:r>
        <w:rPr>
          <w:rFonts w:ascii="Arial" w:cs="Arial" w:eastAsia="Arial" w:hAnsi="Arial"/>
          <w:sz w:val="14"/>
          <w:szCs w:val="14"/>
          <w:i w:val="1"/>
          <w:iCs w:val="1"/>
          <w:color w:val="auto"/>
        </w:rPr>
        <w:t xml:space="preserve"> </w:t>
      </w:r>
      <w:r>
        <w:rPr>
          <w:rFonts w:ascii="Arial" w:cs="Arial" w:eastAsia="Arial" w:hAnsi="Arial"/>
          <w:sz w:val="14"/>
          <w:szCs w:val="14"/>
          <w:color w:val="auto"/>
        </w:rPr>
        <w:t>vest subject to non-compete/non-solicit and reasonable notice restrictions. For the awards granted in fiscal 2018, if a retirement occurs after 18 months following the grant date, RSUs will continue to vest subject to non-compete/non-solicit and reasonable notice restrictions. For the awards granted in fiscal 2019, if a retirement occurs after 12 months following the grant date, RSUs will continue to vest subject to non-compete/non-solicit and reasonable notice restrictions. Further, for the awards granted in fiscal 2019 for Messrs. Deitrich (prior to his promotion to President and CEO) and Cadieux, and for Mses. Hooper and Hlavinka, if a termination occurs within twelve months following the employment commencement date of the Company’s new chief executive officer, the awards will vest in accordance with their vesting schedule. If termination is due to death or disability (as defined in the Second A&amp;R 2010 Plan), any unvested RSUs will vest immediately.</w:t>
      </w:r>
    </w:p>
    <w:p>
      <w:pPr>
        <w:spacing w:after="0" w:line="83" w:lineRule="exact"/>
        <w:rPr>
          <w:rFonts w:ascii="Arial" w:cs="Arial" w:eastAsia="Arial" w:hAnsi="Arial"/>
          <w:sz w:val="14"/>
          <w:szCs w:val="14"/>
          <w:color w:val="auto"/>
        </w:rPr>
      </w:pPr>
    </w:p>
    <w:p>
      <w:pPr>
        <w:ind w:left="360" w:hanging="355"/>
        <w:spacing w:after="0" w:line="279" w:lineRule="auto"/>
        <w:tabs>
          <w:tab w:leader="none" w:pos="360" w:val="left"/>
        </w:tabs>
        <w:numPr>
          <w:ilvl w:val="0"/>
          <w:numId w:val="69"/>
        </w:numPr>
        <w:rPr>
          <w:rFonts w:ascii="Arial" w:cs="Arial" w:eastAsia="Arial" w:hAnsi="Arial"/>
          <w:sz w:val="14"/>
          <w:szCs w:val="14"/>
          <w:color w:val="auto"/>
        </w:rPr>
      </w:pPr>
      <w:r>
        <w:rPr>
          <w:rFonts w:ascii="Arial" w:cs="Arial" w:eastAsia="Arial" w:hAnsi="Arial"/>
          <w:sz w:val="14"/>
          <w:szCs w:val="14"/>
          <w:i w:val="1"/>
          <w:iCs w:val="1"/>
          <w:color w:val="auto"/>
        </w:rPr>
        <w:t xml:space="preserve">Stock Options: </w:t>
      </w:r>
      <w:r>
        <w:rPr>
          <w:rFonts w:ascii="Arial" w:cs="Arial" w:eastAsia="Arial" w:hAnsi="Arial"/>
          <w:sz w:val="14"/>
          <w:szCs w:val="14"/>
          <w:color w:val="auto"/>
        </w:rPr>
        <w:t>Upon retirement, all unvested options automatically expire. Vested options granted in 2016 or prior would remain exercisable until</w:t>
      </w:r>
      <w:r>
        <w:rPr>
          <w:rFonts w:ascii="Arial" w:cs="Arial" w:eastAsia="Arial" w:hAnsi="Arial"/>
          <w:sz w:val="14"/>
          <w:szCs w:val="14"/>
          <w:i w:val="1"/>
          <w:iCs w:val="1"/>
          <w:color w:val="auto"/>
        </w:rPr>
        <w:t xml:space="preserve"> </w:t>
      </w:r>
      <w:r>
        <w:rPr>
          <w:rFonts w:ascii="Arial" w:cs="Arial" w:eastAsia="Arial" w:hAnsi="Arial"/>
          <w:sz w:val="14"/>
          <w:szCs w:val="14"/>
          <w:color w:val="auto"/>
        </w:rPr>
        <w:t>the earlier of three years following retirement or the option expiration date. However, for the awards granted in fiscal</w:t>
      </w:r>
    </w:p>
    <w:p>
      <w:pPr>
        <w:spacing w:after="0" w:line="188"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360" w:right="100"/>
        <w:spacing w:after="0" w:line="244" w:lineRule="auto"/>
        <w:rPr>
          <w:sz w:val="20"/>
          <w:szCs w:val="20"/>
          <w:color w:val="auto"/>
        </w:rPr>
      </w:pPr>
      <w:r>
        <w:rPr>
          <w:rFonts w:ascii="Arial" w:cs="Arial" w:eastAsia="Arial" w:hAnsi="Arial"/>
          <w:sz w:val="14"/>
          <w:szCs w:val="14"/>
          <w:color w:val="auto"/>
        </w:rPr>
        <w:t>2017, if a retirement occurs after 24 months following the grant date, options will continue to vest subject to non-compete/non-solicit and reasonable notice restrictions. For the awards granted in fiscal 2018, if a retirement occurs after 18 months following the grant date, options will continue to vest subject to non-compete/non-solicit and reasonable notice restrictions. For the awards granted in fiscal 2019, if a retirement occurs after 12 months following the grant date, options will continue to vest subject to non-compete/non-solicit and reasonable notice restrictions. If termination is due to death or disability, all unvested options become exercisable and remain exercisable until the earlier of one year following the date of death or disability, or the date on which the options expire by their terms.</w:t>
      </w:r>
    </w:p>
    <w:p>
      <w:pPr>
        <w:spacing w:after="0" w:line="84" w:lineRule="exact"/>
        <w:rPr>
          <w:sz w:val="20"/>
          <w:szCs w:val="20"/>
          <w:color w:val="auto"/>
        </w:rPr>
      </w:pPr>
    </w:p>
    <w:p>
      <w:pPr>
        <w:ind w:left="360" w:hanging="355"/>
        <w:spacing w:after="0" w:line="244" w:lineRule="auto"/>
        <w:tabs>
          <w:tab w:leader="none" w:pos="360" w:val="left"/>
        </w:tabs>
        <w:numPr>
          <w:ilvl w:val="0"/>
          <w:numId w:val="70"/>
        </w:numPr>
        <w:rPr>
          <w:rFonts w:ascii="Arial" w:cs="Arial" w:eastAsia="Arial" w:hAnsi="Arial"/>
          <w:sz w:val="14"/>
          <w:szCs w:val="14"/>
          <w:color w:val="auto"/>
        </w:rPr>
      </w:pPr>
      <w:r>
        <w:rPr>
          <w:rFonts w:ascii="Arial" w:cs="Arial" w:eastAsia="Arial" w:hAnsi="Arial"/>
          <w:sz w:val="14"/>
          <w:szCs w:val="14"/>
          <w:i w:val="1"/>
          <w:iCs w:val="1"/>
          <w:color w:val="auto"/>
        </w:rPr>
        <w:t xml:space="preserve">Performance-Based RSUs (PRSUs): </w:t>
      </w:r>
      <w:r>
        <w:rPr>
          <w:rFonts w:ascii="Arial" w:cs="Arial" w:eastAsia="Arial" w:hAnsi="Arial"/>
          <w:sz w:val="14"/>
          <w:szCs w:val="14"/>
          <w:color w:val="auto"/>
        </w:rPr>
        <w:t>If termination occurs due to death or disability during the performance period, for the awards granted in</w:t>
      </w:r>
      <w:r>
        <w:rPr>
          <w:rFonts w:ascii="Arial" w:cs="Arial" w:eastAsia="Arial" w:hAnsi="Arial"/>
          <w:sz w:val="14"/>
          <w:szCs w:val="14"/>
          <w:i w:val="1"/>
          <w:iCs w:val="1"/>
          <w:color w:val="auto"/>
        </w:rPr>
        <w:t xml:space="preserve"> </w:t>
      </w:r>
      <w:r>
        <w:rPr>
          <w:rFonts w:ascii="Arial" w:cs="Arial" w:eastAsia="Arial" w:hAnsi="Arial"/>
          <w:sz w:val="14"/>
          <w:szCs w:val="14"/>
          <w:color w:val="auto"/>
        </w:rPr>
        <w:t>fiscal 2017, 2018, and 2019, shares will be awarded and settled based on the performance period and results ending in the year of death or disability, and will not be pro-rated for partial employment during the performance period. If termination occurs due to retirement, for the awards granted in fiscal 2017, if a retirement occurs after 24 months following the grant date, awards will vest in full based on actual performance and the applied TSR multiplier calculated at the end of the performance period, subject to non-compete/non-solicit and reasonable notice restrictions. For the awards granted in fiscal 2018, if a retirement occurs after 18 months following the grant date, awards will vest in full based on actual performance and the applied TSR multiplier calculated at the end of the performance period, subject to non-compete/non-solicit and reasonable notice restrictions. For the awards granted in fiscal 2019, if a retirement occurs after 12 months following the grant date, awards will vest in full based on actual performance and the applied TSR multiplier calculated at the end of the performance period, subject to non-compete/non-solicit and reasonable notice restrictions. Further, for the awards granted in fiscal 2019 for Messrs. Deitrich (prior to his promotion to CEO) and Cadieux, and for Mses. Hooper and Hlavinka, if termination occurs within twelve months following the employment commencement date of the Company’s new chief executive officer, the awards will vest based on the actual attainment of the performance goals as assessed after the end of the performance period. Vested units generally will be settled at the original vesting date set forth in the award agreement, and in accordance with the provisions of Section 409A of the Code.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Voluntary Termination or Termination without Cause</w:t>
      </w:r>
    </w:p>
    <w:p>
      <w:pPr>
        <w:spacing w:after="0" w:line="108" w:lineRule="exact"/>
        <w:rPr>
          <w:sz w:val="20"/>
          <w:szCs w:val="20"/>
          <w:color w:val="auto"/>
        </w:rPr>
      </w:pPr>
    </w:p>
    <w:p>
      <w:pPr>
        <w:jc w:val="both"/>
        <w:ind w:left="700" w:right="380" w:hanging="344"/>
        <w:spacing w:after="0" w:line="250" w:lineRule="auto"/>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All unvested options automatically expire due to voluntary termination or termination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without cause. Any vested options would remain exercisable until the earlier of 90 days following termination of employment or the date on which the options expire by their terms.</w:t>
      </w:r>
    </w:p>
    <w:p>
      <w:pPr>
        <w:spacing w:after="0" w:line="68" w:lineRule="exact"/>
        <w:rPr>
          <w:rFonts w:ascii="Arial" w:cs="Arial" w:eastAsia="Arial" w:hAnsi="Arial"/>
          <w:sz w:val="18"/>
          <w:szCs w:val="18"/>
          <w:color w:val="auto"/>
        </w:rPr>
      </w:pPr>
    </w:p>
    <w:p>
      <w:pPr>
        <w:ind w:left="700" w:hanging="344"/>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Time-vested RSUs: </w:t>
      </w:r>
      <w:r>
        <w:rPr>
          <w:rFonts w:ascii="Arial" w:cs="Arial" w:eastAsia="Arial" w:hAnsi="Arial"/>
          <w:sz w:val="18"/>
          <w:szCs w:val="18"/>
          <w:color w:val="auto"/>
        </w:rPr>
        <w:t>All unvested RSUs are forfeited upon voluntary termination or termination without cause.</w:t>
      </w:r>
    </w:p>
    <w:p>
      <w:pPr>
        <w:spacing w:after="0" w:line="103" w:lineRule="exact"/>
        <w:rPr>
          <w:rFonts w:ascii="Arial" w:cs="Arial" w:eastAsia="Arial" w:hAnsi="Arial"/>
          <w:sz w:val="18"/>
          <w:szCs w:val="18"/>
          <w:color w:val="auto"/>
        </w:rPr>
      </w:pPr>
    </w:p>
    <w:p>
      <w:pPr>
        <w:ind w:left="700" w:right="80" w:hanging="344"/>
        <w:spacing w:after="0" w:line="250" w:lineRule="auto"/>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Performance-Based RSUs (PRSUs): </w:t>
      </w:r>
      <w:r>
        <w:rPr>
          <w:rFonts w:ascii="Arial" w:cs="Arial" w:eastAsia="Arial" w:hAnsi="Arial"/>
          <w:sz w:val="18"/>
          <w:szCs w:val="18"/>
          <w:color w:val="auto"/>
        </w:rPr>
        <w:t>All unvested PRSUs are forfeited upon voluntary termination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without cause. Vested units will be settled in accordance with the provisions of Section 409A of the Code.</w:t>
      </w:r>
    </w:p>
    <w:p>
      <w:pPr>
        <w:spacing w:after="0" w:line="68" w:lineRule="exact"/>
        <w:rPr>
          <w:rFonts w:ascii="Arial" w:cs="Arial" w:eastAsia="Arial" w:hAnsi="Arial"/>
          <w:sz w:val="18"/>
          <w:szCs w:val="18"/>
          <w:color w:val="auto"/>
        </w:rPr>
      </w:pPr>
    </w:p>
    <w:p>
      <w:pPr>
        <w:ind w:left="700" w:right="140" w:hanging="344"/>
        <w:spacing w:after="0" w:line="267" w:lineRule="auto"/>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Annual Incentive Plan: </w:t>
      </w:r>
      <w:r>
        <w:rPr>
          <w:rFonts w:ascii="Arial" w:cs="Arial" w:eastAsia="Arial" w:hAnsi="Arial"/>
          <w:sz w:val="18"/>
          <w:szCs w:val="18"/>
          <w:color w:val="auto"/>
        </w:rPr>
        <w:t>The bonus under the EMIP would be forfeited in its entirety if the NEO is not employed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Company or working as a service contractor for the Company at the time of the payout.</w:t>
      </w:r>
    </w:p>
    <w:p>
      <w:pPr>
        <w:spacing w:after="0" w:line="13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For Mr. Reeves, pursuant to his offer letter from the Company, if he is terminated involuntarily without cause on or before May 10, 2020, in addition to his entitlement to the Company’s standard severance policy more fully described in “</w:t>
      </w:r>
      <w:r>
        <w:rPr>
          <w:rFonts w:ascii="Arial" w:cs="Arial" w:eastAsia="Arial" w:hAnsi="Arial"/>
          <w:sz w:val="17"/>
          <w:szCs w:val="17"/>
          <w:i w:val="1"/>
          <w:iCs w:val="1"/>
          <w:color w:val="auto"/>
        </w:rPr>
        <w:t>Executive Officer Severance Policy</w:t>
      </w:r>
      <w:r>
        <w:rPr>
          <w:rFonts w:ascii="Arial" w:cs="Arial" w:eastAsia="Arial" w:hAnsi="Arial"/>
          <w:sz w:val="17"/>
          <w:szCs w:val="17"/>
          <w:color w:val="auto"/>
        </w:rPr>
        <w:t>” below, and provided he enters into the Company’s standard form of agreement providing that he (1) releases all claims that he may have against the Company, (2) enters into a one year non-compete agreement (where enforceable), (3) agrees not to solicit employees for a period of one year, and (4) agrees not to disparage the Company, he will be entitled to become vested in 100% of any then-unvested shares subject to the equity awards that were assumed by the Company pursuant to the acquisition of Silver Spring Networks, Inc. by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Change-in-Control</w:t>
      </w:r>
    </w:p>
    <w:p>
      <w:pPr>
        <w:spacing w:after="0" w:line="20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following describes the material provisions of the change-in-control agreements that we have entered into with our NEOs except for Mr. Reeves, who is not party to a change-in-control agreement. The change-in-control agreements provide for the following benefits if there is a change-in-control and the NEO’s employment is terminated within 24 months by the Company without cause or by the NEO for “good reason”:</w:t>
      </w:r>
    </w:p>
    <w:p>
      <w:pPr>
        <w:spacing w:after="0" w:line="78" w:lineRule="exact"/>
        <w:rPr>
          <w:sz w:val="20"/>
          <w:szCs w:val="20"/>
          <w:color w:val="auto"/>
        </w:rPr>
      </w:pPr>
    </w:p>
    <w:p>
      <w:pPr>
        <w:ind w:left="700" w:right="80" w:hanging="344"/>
        <w:spacing w:after="0" w:line="245" w:lineRule="auto"/>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Severance Benefit: </w:t>
      </w:r>
      <w:r>
        <w:rPr>
          <w:rFonts w:ascii="Arial" w:cs="Arial" w:eastAsia="Arial" w:hAnsi="Arial"/>
          <w:sz w:val="18"/>
          <w:szCs w:val="18"/>
          <w:color w:val="auto"/>
        </w:rPr>
        <w:t>The change-in-control agreements provide Mr. Deitrich with a severance benefit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2.5 times the sum of base salary and target annual incentive opportunity. For Ms. Hlavinka, Ms. Hooper, and Mr. Cadieux, the benefit is equal to 2 times the sum of base salary and target annual incentive opportunity. For all, the benefit is paid in cash in one lump sum.</w:t>
      </w:r>
    </w:p>
    <w:p>
      <w:pPr>
        <w:spacing w:after="0" w:line="72" w:lineRule="exact"/>
        <w:rPr>
          <w:rFonts w:ascii="Arial" w:cs="Arial" w:eastAsia="Arial" w:hAnsi="Arial"/>
          <w:sz w:val="18"/>
          <w:szCs w:val="18"/>
          <w:color w:val="auto"/>
        </w:rPr>
      </w:pPr>
    </w:p>
    <w:p>
      <w:pPr>
        <w:ind w:left="700" w:right="40" w:hanging="344"/>
        <w:spacing w:after="0" w:line="250" w:lineRule="auto"/>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Pro-Rata Annual Incentive for Year of Termination: </w:t>
      </w:r>
      <w:r>
        <w:rPr>
          <w:rFonts w:ascii="Arial" w:cs="Arial" w:eastAsia="Arial" w:hAnsi="Arial"/>
          <w:sz w:val="18"/>
          <w:szCs w:val="18"/>
          <w:color w:val="auto"/>
        </w:rPr>
        <w:t>The change-in-control agreements provide for a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greater of target opportunity or actual performance (as determined by the Board), prorated for the time worked during the year of termination.</w:t>
      </w:r>
    </w:p>
    <w:p>
      <w:pPr>
        <w:spacing w:after="0" w:line="208"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6" w:lineRule="exact"/>
        <w:rPr>
          <w:sz w:val="20"/>
          <w:szCs w:val="20"/>
          <w:color w:val="auto"/>
        </w:rPr>
      </w:pPr>
    </w:p>
    <w:p>
      <w:pPr>
        <w:ind w:left="700" w:right="20" w:hanging="344"/>
        <w:spacing w:after="0" w:line="245" w:lineRule="auto"/>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Welfare Benefit Continuation: </w:t>
      </w:r>
      <w:r>
        <w:rPr>
          <w:rFonts w:ascii="Arial" w:cs="Arial" w:eastAsia="Arial" w:hAnsi="Arial"/>
          <w:sz w:val="18"/>
          <w:szCs w:val="18"/>
          <w:color w:val="auto"/>
        </w:rPr>
        <w:t>The change-in-control agreements provide Mr. Deitrich with 2.5 years of life and</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insurance coverage (with no tax gross-up). For Ms. Hlavinka, Ms. Hooper, and Mr. Cadieux, this benefit is equal to 2 years of life and disability insurance coverage (with no tax gross-up). The Agreements also provide our NEOs and their dependents with the same respective years of health care coverage.</w:t>
      </w:r>
    </w:p>
    <w:p>
      <w:pPr>
        <w:spacing w:after="0" w:line="72" w:lineRule="exact"/>
        <w:rPr>
          <w:rFonts w:ascii="Arial" w:cs="Arial" w:eastAsia="Arial" w:hAnsi="Arial"/>
          <w:sz w:val="18"/>
          <w:szCs w:val="18"/>
          <w:color w:val="auto"/>
        </w:rPr>
      </w:pPr>
    </w:p>
    <w:p>
      <w:pPr>
        <w:ind w:left="700" w:right="240" w:hanging="344"/>
        <w:spacing w:after="0" w:line="245" w:lineRule="auto"/>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Equity Award Vesting and Acceleration (Double Trigger): </w:t>
      </w:r>
      <w:r>
        <w:rPr>
          <w:rFonts w:ascii="Arial" w:cs="Arial" w:eastAsia="Arial" w:hAnsi="Arial"/>
          <w:sz w:val="18"/>
          <w:szCs w:val="18"/>
          <w:color w:val="auto"/>
        </w:rPr>
        <w:t>The change-in-control agreements provide that any</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acceleration for equity awards is “double trigger” and thus will occur only upon a change-in-control and a qualifying termination (a termination without cause or for good reason). All vesting acceleration is subject to consummation of the change-in-control transaction.</w:t>
      </w:r>
    </w:p>
    <w:p>
      <w:pPr>
        <w:spacing w:after="0" w:line="72" w:lineRule="exact"/>
        <w:rPr>
          <w:rFonts w:ascii="Arial" w:cs="Arial" w:eastAsia="Arial" w:hAnsi="Arial"/>
          <w:sz w:val="18"/>
          <w:szCs w:val="18"/>
          <w:color w:val="auto"/>
        </w:rPr>
      </w:pPr>
    </w:p>
    <w:p>
      <w:pPr>
        <w:ind w:left="700" w:hanging="344"/>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Excise Tax Gross-Up: </w:t>
      </w:r>
      <w:r>
        <w:rPr>
          <w:rFonts w:ascii="Arial" w:cs="Arial" w:eastAsia="Arial" w:hAnsi="Arial"/>
          <w:sz w:val="18"/>
          <w:szCs w:val="18"/>
          <w:color w:val="auto"/>
        </w:rPr>
        <w:t>There are no effective provisions for an excise tax gross-up.</w:t>
      </w:r>
    </w:p>
    <w:p>
      <w:pPr>
        <w:spacing w:after="0" w:line="103" w:lineRule="exact"/>
        <w:rPr>
          <w:rFonts w:ascii="Arial" w:cs="Arial" w:eastAsia="Arial" w:hAnsi="Arial"/>
          <w:sz w:val="18"/>
          <w:szCs w:val="18"/>
          <w:color w:val="auto"/>
        </w:rPr>
      </w:pPr>
    </w:p>
    <w:p>
      <w:pPr>
        <w:ind w:left="700" w:right="660" w:hanging="344"/>
        <w:spacing w:after="0" w:line="267" w:lineRule="auto"/>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Legal Fees: </w:t>
      </w:r>
      <w:r>
        <w:rPr>
          <w:rFonts w:ascii="Arial" w:cs="Arial" w:eastAsia="Arial" w:hAnsi="Arial"/>
          <w:sz w:val="18"/>
          <w:szCs w:val="18"/>
          <w:color w:val="auto"/>
        </w:rPr>
        <w:t>The change-in-control agreements provide that NEOs will be reimbursed for legal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incurred in seeking to enforce the change-in-control agreement.</w:t>
      </w:r>
    </w:p>
    <w:p>
      <w:pPr>
        <w:spacing w:after="0" w:line="52" w:lineRule="exact"/>
        <w:rPr>
          <w:rFonts w:ascii="Arial" w:cs="Arial" w:eastAsia="Arial" w:hAnsi="Arial"/>
          <w:sz w:val="18"/>
          <w:szCs w:val="18"/>
          <w:color w:val="auto"/>
        </w:rPr>
      </w:pPr>
    </w:p>
    <w:p>
      <w:pPr>
        <w:ind w:left="700" w:right="140" w:hanging="344"/>
        <w:spacing w:after="0" w:line="250" w:lineRule="auto"/>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Restrictive Covenants: </w:t>
      </w:r>
      <w:r>
        <w:rPr>
          <w:rFonts w:ascii="Arial" w:cs="Arial" w:eastAsia="Arial" w:hAnsi="Arial"/>
          <w:sz w:val="18"/>
          <w:szCs w:val="18"/>
          <w:color w:val="auto"/>
        </w:rPr>
        <w:t>The change-in-control agreements include restrictive covenants relating to non-solicitation (one-year), non-disparagement, and non-competition (one-year, where enforceable), and require a release of all claims against the Company.</w:t>
      </w:r>
    </w:p>
    <w:p>
      <w:pPr>
        <w:spacing w:after="0" w:line="68" w:lineRule="exact"/>
        <w:rPr>
          <w:rFonts w:ascii="Arial" w:cs="Arial" w:eastAsia="Arial" w:hAnsi="Arial"/>
          <w:sz w:val="18"/>
          <w:szCs w:val="18"/>
          <w:color w:val="auto"/>
        </w:rPr>
      </w:pPr>
    </w:p>
    <w:p>
      <w:pPr>
        <w:ind w:left="700" w:right="520" w:hanging="344"/>
        <w:spacing w:after="0" w:line="267" w:lineRule="auto"/>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Definition of Change-in-Control: </w:t>
      </w:r>
      <w:r>
        <w:rPr>
          <w:rFonts w:ascii="Arial" w:cs="Arial" w:eastAsia="Arial" w:hAnsi="Arial"/>
          <w:sz w:val="18"/>
          <w:szCs w:val="18"/>
          <w:color w:val="auto"/>
        </w:rPr>
        <w:t>For purposes of the change-in-control agreements, a “change-in-control”</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consists of any of the following:</w:t>
      </w:r>
    </w:p>
    <w:p>
      <w:pPr>
        <w:spacing w:after="0" w:line="70" w:lineRule="exact"/>
        <w:rPr>
          <w:rFonts w:ascii="Arial" w:cs="Arial" w:eastAsia="Arial" w:hAnsi="Arial"/>
          <w:sz w:val="18"/>
          <w:szCs w:val="18"/>
          <w:color w:val="auto"/>
        </w:rPr>
      </w:pPr>
    </w:p>
    <w:p>
      <w:pPr>
        <w:ind w:left="1080" w:hanging="360"/>
        <w:spacing w:after="0"/>
        <w:tabs>
          <w:tab w:leader="none" w:pos="10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 acquisition of 25 percent or more of our voting securities;</w:t>
      </w:r>
    </w:p>
    <w:p>
      <w:pPr>
        <w:spacing w:after="0" w:line="103" w:lineRule="exact"/>
        <w:rPr>
          <w:rFonts w:ascii="Arial" w:cs="Arial" w:eastAsia="Arial" w:hAnsi="Arial"/>
          <w:sz w:val="18"/>
          <w:szCs w:val="18"/>
          <w:color w:val="auto"/>
        </w:rPr>
      </w:pPr>
    </w:p>
    <w:p>
      <w:pPr>
        <w:ind w:left="1080" w:right="440" w:hanging="360"/>
        <w:spacing w:after="0" w:line="246" w:lineRule="auto"/>
        <w:tabs>
          <w:tab w:leader="none" w:pos="10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Our current Board of Directors (and their approved successors) ceasing to constitute a majority of the Board;</w:t>
      </w:r>
    </w:p>
    <w:p>
      <w:pPr>
        <w:spacing w:after="0" w:line="88" w:lineRule="exact"/>
        <w:rPr>
          <w:rFonts w:ascii="Arial" w:cs="Arial" w:eastAsia="Arial" w:hAnsi="Arial"/>
          <w:sz w:val="18"/>
          <w:szCs w:val="18"/>
          <w:color w:val="auto"/>
        </w:rPr>
      </w:pPr>
    </w:p>
    <w:p>
      <w:pPr>
        <w:ind w:left="1080" w:right="140" w:hanging="360"/>
        <w:spacing w:after="0"/>
        <w:tabs>
          <w:tab w:leader="none" w:pos="10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Consummation of any merger or consolidation with or into another corporation, the effect of which would be that our Board would consist of a majority of directors who were not members of the Board prior to the merger or consolidation; or</w:t>
      </w:r>
    </w:p>
    <w:p>
      <w:pPr>
        <w:spacing w:after="0" w:line="94" w:lineRule="exact"/>
        <w:rPr>
          <w:rFonts w:ascii="Arial" w:cs="Arial" w:eastAsia="Arial" w:hAnsi="Arial"/>
          <w:sz w:val="18"/>
          <w:szCs w:val="18"/>
          <w:color w:val="auto"/>
        </w:rPr>
      </w:pPr>
    </w:p>
    <w:p>
      <w:pPr>
        <w:ind w:left="1080" w:right="400" w:hanging="360"/>
        <w:spacing w:after="0" w:line="246" w:lineRule="auto"/>
        <w:tabs>
          <w:tab w:leader="none" w:pos="10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Consummation of any sale or disposition of all or substantially all of our assets, or the approval by our shareholders of a plan of complete liquidation or dissolution of the Company.</w:t>
      </w:r>
    </w:p>
    <w:p>
      <w:pPr>
        <w:spacing w:after="0" w:line="70" w:lineRule="exact"/>
        <w:rPr>
          <w:rFonts w:ascii="Arial" w:cs="Arial" w:eastAsia="Arial" w:hAnsi="Arial"/>
          <w:sz w:val="18"/>
          <w:szCs w:val="18"/>
          <w:color w:val="auto"/>
        </w:rPr>
      </w:pPr>
    </w:p>
    <w:p>
      <w:pPr>
        <w:ind w:left="700" w:right="100" w:hanging="344"/>
        <w:spacing w:after="0" w:line="250" w:lineRule="auto"/>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Definition of Good Reason: </w:t>
      </w:r>
      <w:r>
        <w:rPr>
          <w:rFonts w:ascii="Arial" w:cs="Arial" w:eastAsia="Arial" w:hAnsi="Arial"/>
          <w:sz w:val="18"/>
          <w:szCs w:val="18"/>
          <w:color w:val="auto"/>
        </w:rPr>
        <w:t>For purposes of the change-in-control agreements, “good reason” for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by the NEO of his or her employment generally means any one of the following acts by the Company following a change-in-control:</w:t>
      </w:r>
    </w:p>
    <w:p>
      <w:pPr>
        <w:spacing w:after="0" w:line="86" w:lineRule="exact"/>
        <w:rPr>
          <w:rFonts w:ascii="Arial" w:cs="Arial" w:eastAsia="Arial" w:hAnsi="Arial"/>
          <w:sz w:val="18"/>
          <w:szCs w:val="18"/>
          <w:color w:val="auto"/>
        </w:rPr>
      </w:pPr>
    </w:p>
    <w:p>
      <w:pPr>
        <w:ind w:left="1080" w:hanging="360"/>
        <w:spacing w:after="0"/>
        <w:tabs>
          <w:tab w:leader="none" w:pos="10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 adverse change in the NEO’s duties, status or position as an executive officer;</w:t>
      </w:r>
    </w:p>
    <w:p>
      <w:pPr>
        <w:spacing w:after="0" w:line="103" w:lineRule="exact"/>
        <w:rPr>
          <w:rFonts w:ascii="Arial" w:cs="Arial" w:eastAsia="Arial" w:hAnsi="Arial"/>
          <w:sz w:val="18"/>
          <w:szCs w:val="18"/>
          <w:color w:val="auto"/>
        </w:rPr>
      </w:pPr>
    </w:p>
    <w:p>
      <w:pPr>
        <w:ind w:left="1080" w:hanging="360"/>
        <w:spacing w:after="0"/>
        <w:tabs>
          <w:tab w:leader="none" w:pos="10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 reduction in the NEO’s base salary;</w:t>
      </w:r>
    </w:p>
    <w:p>
      <w:pPr>
        <w:spacing w:after="0" w:line="103" w:lineRule="exact"/>
        <w:rPr>
          <w:rFonts w:ascii="Arial" w:cs="Arial" w:eastAsia="Arial" w:hAnsi="Arial"/>
          <w:sz w:val="18"/>
          <w:szCs w:val="18"/>
          <w:color w:val="auto"/>
        </w:rPr>
      </w:pPr>
    </w:p>
    <w:p>
      <w:pPr>
        <w:ind w:left="1080" w:hanging="360"/>
        <w:spacing w:after="0"/>
        <w:tabs>
          <w:tab w:leader="none" w:pos="10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 reduction in the NEO’s annual bonus or long-term incentive opportunity;</w:t>
      </w:r>
    </w:p>
    <w:p>
      <w:pPr>
        <w:spacing w:after="0" w:line="103" w:lineRule="exact"/>
        <w:rPr>
          <w:rFonts w:ascii="Arial" w:cs="Arial" w:eastAsia="Arial" w:hAnsi="Arial"/>
          <w:sz w:val="18"/>
          <w:szCs w:val="18"/>
          <w:color w:val="auto"/>
        </w:rPr>
      </w:pPr>
    </w:p>
    <w:p>
      <w:pPr>
        <w:ind w:left="1080" w:right="300" w:hanging="360"/>
        <w:spacing w:after="0" w:line="246" w:lineRule="auto"/>
        <w:tabs>
          <w:tab w:leader="none" w:pos="10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failure to continue to provide welfare, medical, and other fringe benefits which in the aggregate are substantially similar to those provided immediately prior to the change-in-control;</w:t>
      </w:r>
    </w:p>
    <w:p>
      <w:pPr>
        <w:spacing w:after="0" w:line="88" w:lineRule="exact"/>
        <w:rPr>
          <w:rFonts w:ascii="Arial" w:cs="Arial" w:eastAsia="Arial" w:hAnsi="Arial"/>
          <w:sz w:val="18"/>
          <w:szCs w:val="18"/>
          <w:color w:val="auto"/>
        </w:rPr>
      </w:pPr>
    </w:p>
    <w:p>
      <w:pPr>
        <w:ind w:left="1080" w:hanging="360"/>
        <w:spacing w:after="0" w:line="246" w:lineRule="auto"/>
        <w:tabs>
          <w:tab w:leader="none" w:pos="10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requirement for the NEO to be based at an office more than 50 miles from the NEO’s office prior to the change-in-control; or</w:t>
      </w:r>
    </w:p>
    <w:p>
      <w:pPr>
        <w:spacing w:after="0" w:line="88" w:lineRule="exact"/>
        <w:rPr>
          <w:rFonts w:ascii="Arial" w:cs="Arial" w:eastAsia="Arial" w:hAnsi="Arial"/>
          <w:sz w:val="18"/>
          <w:szCs w:val="18"/>
          <w:color w:val="auto"/>
        </w:rPr>
      </w:pPr>
    </w:p>
    <w:p>
      <w:pPr>
        <w:ind w:left="1080" w:right="300" w:hanging="360"/>
        <w:spacing w:after="0" w:line="246" w:lineRule="auto"/>
        <w:tabs>
          <w:tab w:leader="none" w:pos="10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failure by the Company or successor company to assume or agree to perform the provisions of the change-in-control agreement.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also “Termination Payment Tables for NEOs” below.</w:t>
      </w:r>
    </w:p>
    <w:p>
      <w:pPr>
        <w:spacing w:after="0" w:line="24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A&amp;R 2010 Plan Change-in-Control Provisions</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Second A&amp;R 2010 Plan provides that in the event of a change-in-control, as defined in our change-in-control agreements described above, unless otherwise provided in the award agreement, generally awards will be assumed or substituted for by the surviving corporation, and will accelerate only if not so assumed or substituted. The vesting and payout of PRSUs will be governed by the award agreement, as described below.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Performance-Based (PRSU) Change-in-Control Provisions</w:t>
      </w:r>
    </w:p>
    <w:p>
      <w:pPr>
        <w:spacing w:after="0" w:line="19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If a change-in-control occurs during the following performance periods; (2017-2019) under the 2017 grant, (2018-2020) under the 2018 grant, or (2019-2021) under the 2019 grant, the PRSU awards will be vested at the greater of target or actual performance for the year, and pro-rated based on the number of calendar days between the beginning of the performance period and the change-in-control (i) in the event the awards are not assumed by the acquiring entity, or (ii) the beginning of the performance period and the date of termination of employment in the event the awards are assumed by the acquiring entity.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Officer Severance Policy</w:t>
      </w:r>
    </w:p>
    <w:p>
      <w:pPr>
        <w:spacing w:after="0" w:line="2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recognizes that it is usually difficult for executive officers whose employment is terminated involuntarily to obtain a position comparable to the one he or she has with the Company. In view of this, any executive officer who is terminated involuntarily, except if terminated for disciplinary reasons, will be entitled to receive severance pay equal to one year’s base salary, employer benefit premium payments/reimbursement for one year and outplacement assistance provided that the executive (1) releases all claims that he or she may have against the Company, (2) enters into a one year non-compete agreement (where enforceable), (3) agrees not to solicit employees for a period of one year, and (4) agrees not to disparage the Company.</w:t>
      </w:r>
    </w:p>
    <w:p>
      <w:pPr>
        <w:spacing w:after="0" w:line="148"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Temporary Plan Modification(s). </w:t>
      </w:r>
      <w:r>
        <w:rPr>
          <w:rFonts w:ascii="Arial" w:cs="Arial" w:eastAsia="Arial" w:hAnsi="Arial"/>
          <w:sz w:val="18"/>
          <w:szCs w:val="18"/>
          <w:color w:val="auto"/>
        </w:rPr>
        <w:t>Due to the CEO transition during 2019, effective February 20, 2019,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Committee approved a temporary enhancement to the Executive Severance Policy for the NEOs, except for Mr. Reeves who was not an NEO on that date. </w:t>
      </w:r>
      <w:r>
        <w:rPr>
          <w:rFonts w:ascii="Arial" w:cs="Arial" w:eastAsia="Arial" w:hAnsi="Arial"/>
          <w:sz w:val="18"/>
          <w:szCs w:val="18"/>
          <w:i w:val="1"/>
          <w:iCs w:val="1"/>
          <w:color w:val="auto"/>
        </w:rPr>
        <w:t>See “Other Practices, Policies and Guidelines - Employment Agreements;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Severance Policy” </w:t>
      </w:r>
      <w:r>
        <w:rPr>
          <w:rFonts w:ascii="Arial" w:cs="Arial" w:eastAsia="Arial" w:hAnsi="Arial"/>
          <w:sz w:val="18"/>
          <w:szCs w:val="18"/>
          <w:color w:val="auto"/>
        </w:rPr>
        <w:t>in the CD&amp;A for a more detailed description</w:t>
      </w:r>
      <w:r>
        <w:rPr>
          <w:rFonts w:ascii="Arial" w:cs="Arial" w:eastAsia="Arial" w:hAnsi="Arial"/>
          <w:sz w:val="18"/>
          <w:szCs w:val="18"/>
          <w:i w:val="1"/>
          <w:iCs w:val="1"/>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Payment Tables for NEOs</w:t>
      </w:r>
    </w:p>
    <w:p>
      <w:pPr>
        <w:spacing w:after="0" w:line="20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tables below reflect the estimated amount of incremental compensation payable to each of our NEOs (other than Mr. Mezey) in the event of termination of employment or change-in-control. The tables do not include benefits generally available to all employees on a non-discriminatory basis or payments and benefits that the NEOs would have already earned during their employment with us, whether or not a termination or change-in-control event had occurred. The amounts shown assume that such termination or change-in-control was effective as of December 31, 2019. The actual amounts to be paid out can only be determined at the time of such executive’s termination or upon a change-in-control, as applicable.</w:t>
      </w:r>
    </w:p>
    <w:p>
      <w:pPr>
        <w:spacing w:after="0" w:line="16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Mr. Mezey is not included in the following tables because he retired on August 31, 2019. As part of his Transition and Retirement Agreement, Mr. Mezey continued to serve as President and CEO and member of the Company’s Board of Directors until August 6, 2019. During this time and through August 31, 2019, Mr. Mezey continued to receive the same base salary and benefits and continued to vest in his outstanding equity awards in accordance with their existing terms. He was also eligible to receive a pro-rated annual cash bonus for fiscal 2019, continues to vest in his outstanding equity awards per their terms for terminations due to retirement, and will be eligible to exercise his vested stock options for up to three years following his retirement. He also received post-employment consulting pay through December 31, 2019. </w:t>
      </w:r>
      <w:r>
        <w:rPr>
          <w:rFonts w:ascii="Arial" w:cs="Arial" w:eastAsia="Arial" w:hAnsi="Arial"/>
          <w:sz w:val="18"/>
          <w:szCs w:val="18"/>
          <w:i w:val="1"/>
          <w:iCs w:val="1"/>
          <w:color w:val="auto"/>
        </w:rPr>
        <w:t>See Summary Compensation Table</w:t>
      </w:r>
      <w:r>
        <w:rPr>
          <w:rFonts w:ascii="Arial" w:cs="Arial" w:eastAsia="Arial" w:hAnsi="Arial"/>
          <w:sz w:val="18"/>
          <w:szCs w:val="18"/>
          <w:color w:val="auto"/>
        </w:rPr>
        <w:t>,</w:t>
      </w:r>
      <w:r>
        <w:rPr>
          <w:rFonts w:ascii="Arial" w:cs="Arial" w:eastAsia="Arial" w:hAnsi="Arial"/>
          <w:sz w:val="18"/>
          <w:szCs w:val="18"/>
          <w:i w:val="1"/>
          <w:iCs w:val="1"/>
          <w:color w:val="auto"/>
        </w:rPr>
        <w:t xml:space="preserve"> Nonqualified Deferred Compensation Table</w:t>
      </w:r>
      <w:r>
        <w:rPr>
          <w:rFonts w:ascii="Arial" w:cs="Arial" w:eastAsia="Arial" w:hAnsi="Arial"/>
          <w:sz w:val="18"/>
          <w:szCs w:val="18"/>
          <w:color w:val="auto"/>
        </w:rPr>
        <w:t>, and</w:t>
      </w:r>
      <w:r>
        <w:rPr>
          <w:rFonts w:ascii="Arial" w:cs="Arial" w:eastAsia="Arial" w:hAnsi="Arial"/>
          <w:sz w:val="18"/>
          <w:szCs w:val="18"/>
          <w:i w:val="1"/>
          <w:iCs w:val="1"/>
          <w:color w:val="auto"/>
        </w:rPr>
        <w:t xml:space="preserve"> Outstanding Equity Awards Table </w:t>
      </w:r>
      <w:r>
        <w:rPr>
          <w:rFonts w:ascii="Arial" w:cs="Arial" w:eastAsia="Arial" w:hAnsi="Arial"/>
          <w:sz w:val="18"/>
          <w:szCs w:val="18"/>
          <w:color w:val="auto"/>
        </w:rPr>
        <w:t>for additional quantified elements of Mr. Mezey’s pay in connection with his retirement.</w:t>
      </w:r>
    </w:p>
    <w:p>
      <w:pPr>
        <w:spacing w:after="0" w:line="22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Summary of Termination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60090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2"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Thomas Deitrich</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5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tcPr>
          <w:p>
            <w:pPr>
              <w:ind w:left="40"/>
              <w:spacing w:after="0" w:line="156" w:lineRule="exact"/>
              <w:rPr>
                <w:sz w:val="20"/>
                <w:szCs w:val="20"/>
                <w:color w:val="auto"/>
              </w:rPr>
            </w:pPr>
            <w:r>
              <w:rPr>
                <w:rFonts w:ascii="Arial" w:cs="Arial" w:eastAsia="Arial" w:hAnsi="Arial"/>
                <w:sz w:val="14"/>
                <w:szCs w:val="14"/>
                <w:b w:val="1"/>
                <w:bCs w:val="1"/>
                <w:color w:val="auto"/>
              </w:rPr>
              <w:t>Termination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Without</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Cause</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or by</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Executive</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for Good</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Reason</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Termination</w:t>
            </w:r>
          </w:p>
        </w:tc>
        <w:tc>
          <w:tcPr>
            <w:tcW w:w="9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Following a</w:t>
            </w:r>
          </w:p>
        </w:tc>
        <w:tc>
          <w:tcPr>
            <w:tcW w:w="0" w:type="dxa"/>
            <w:vAlign w:val="bottom"/>
          </w:tcPr>
          <w:p>
            <w:pPr>
              <w:spacing w:after="0"/>
              <w:rPr>
                <w:sz w:val="1"/>
                <w:szCs w:val="1"/>
                <w:color w:val="auto"/>
              </w:rPr>
            </w:pPr>
          </w:p>
        </w:tc>
      </w:tr>
      <w:tr>
        <w:trPr>
          <w:trHeight w:val="162"/>
        </w:trPr>
        <w:tc>
          <w:tcPr>
            <w:tcW w:w="15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Executive Benefits</w:t>
            </w:r>
            <w:r>
              <w:rPr>
                <w:rFonts w:ascii="Arial" w:cs="Arial" w:eastAsia="Arial" w:hAnsi="Arial"/>
                <w:sz w:val="24"/>
                <w:szCs w:val="24"/>
                <w:b w:val="1"/>
                <w:bCs w:val="1"/>
                <w:color w:val="auto"/>
                <w:vertAlign w:val="superscript"/>
              </w:rPr>
              <w:t>(1)</w:t>
            </w:r>
          </w:p>
        </w:tc>
        <w:tc>
          <w:tcPr>
            <w:tcW w:w="18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Termination</w:t>
            </w:r>
          </w:p>
        </w:tc>
        <w:tc>
          <w:tcPr>
            <w:tcW w:w="10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Voluntary</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Without</w:t>
            </w:r>
          </w:p>
        </w:tc>
        <w:tc>
          <w:tcPr>
            <w:tcW w:w="10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w:t>
            </w: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Change-in-</w:t>
            </w:r>
          </w:p>
        </w:tc>
        <w:tc>
          <w:tcPr>
            <w:tcW w:w="0" w:type="dxa"/>
            <w:vAlign w:val="bottom"/>
          </w:tcPr>
          <w:p>
            <w:pPr>
              <w:spacing w:after="0"/>
              <w:rPr>
                <w:sz w:val="1"/>
                <w:szCs w:val="1"/>
                <w:color w:val="auto"/>
              </w:rPr>
            </w:pPr>
          </w:p>
        </w:tc>
      </w:tr>
      <w:tr>
        <w:trPr>
          <w:trHeight w:val="189"/>
        </w:trPr>
        <w:tc>
          <w:tcPr>
            <w:tcW w:w="15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Cause</w:t>
            </w:r>
          </w:p>
        </w:tc>
        <w:tc>
          <w:tcPr>
            <w:tcW w:w="180" w:type="dxa"/>
            <w:vAlign w:val="bottom"/>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Termination</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Death</w:t>
            </w:r>
          </w:p>
        </w:tc>
        <w:tc>
          <w:tcPr>
            <w:tcW w:w="180" w:type="dxa"/>
            <w:vAlign w:val="bottom"/>
          </w:tcPr>
          <w:p>
            <w:pPr>
              <w:spacing w:after="0"/>
              <w:rPr>
                <w:sz w:val="16"/>
                <w:szCs w:val="16"/>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Disability</w:t>
            </w:r>
          </w:p>
        </w:tc>
        <w:tc>
          <w:tcPr>
            <w:tcW w:w="180" w:type="dxa"/>
            <w:vAlign w:val="bottom"/>
          </w:tcPr>
          <w:p>
            <w:pPr>
              <w:spacing w:after="0"/>
              <w:rPr>
                <w:sz w:val="16"/>
                <w:szCs w:val="16"/>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Retirement</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9"/>
              </w:rPr>
              <w:t>Cause</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Control</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rPr>
              <w:t>Control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560" w:type="dxa"/>
            <w:vAlign w:val="bottom"/>
            <w:shd w:val="clear" w:color="auto" w:fill="CCEEFF"/>
          </w:tcPr>
          <w:p>
            <w:pPr>
              <w:ind w:left="40"/>
              <w:spacing w:after="0" w:line="156" w:lineRule="exact"/>
              <w:rPr>
                <w:sz w:val="20"/>
                <w:szCs w:val="20"/>
                <w:color w:val="auto"/>
              </w:rPr>
            </w:pPr>
            <w:r>
              <w:rPr>
                <w:rFonts w:ascii="Arial" w:cs="Arial" w:eastAsia="Arial" w:hAnsi="Arial"/>
                <w:sz w:val="12"/>
                <w:szCs w:val="12"/>
                <w:color w:val="auto"/>
              </w:rPr>
              <w:t>Annual Incentive</w:t>
            </w:r>
            <w:r>
              <w:rPr>
                <w:rFonts w:ascii="Arial" w:cs="Arial" w:eastAsia="Arial" w:hAnsi="Arial"/>
                <w:sz w:val="18"/>
                <w:szCs w:val="18"/>
                <w:color w:val="auto"/>
                <w:vertAlign w:val="superscript"/>
              </w:rPr>
              <w:t>(2)</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164,807</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164,807</w:t>
            </w:r>
          </w:p>
        </w:tc>
        <w:tc>
          <w:tcPr>
            <w:tcW w:w="0" w:type="dxa"/>
            <w:vAlign w:val="bottom"/>
          </w:tcPr>
          <w:p>
            <w:pPr>
              <w:spacing w:after="0"/>
              <w:rPr>
                <w:sz w:val="1"/>
                <w:szCs w:val="1"/>
                <w:color w:val="auto"/>
              </w:rPr>
            </w:pPr>
          </w:p>
        </w:tc>
      </w:tr>
      <w:tr>
        <w:trPr>
          <w:trHeight w:val="135"/>
        </w:trPr>
        <w:tc>
          <w:tcPr>
            <w:tcW w:w="1560" w:type="dxa"/>
            <w:vAlign w:val="bottom"/>
          </w:tcPr>
          <w:p>
            <w:pPr>
              <w:ind w:left="40"/>
              <w:spacing w:after="0" w:line="135" w:lineRule="exact"/>
              <w:rPr>
                <w:sz w:val="20"/>
                <w:szCs w:val="20"/>
                <w:color w:val="auto"/>
              </w:rPr>
            </w:pPr>
            <w:r>
              <w:rPr>
                <w:rFonts w:ascii="Arial" w:cs="Arial" w:eastAsia="Arial" w:hAnsi="Arial"/>
                <w:sz w:val="13"/>
                <w:szCs w:val="13"/>
                <w:color w:val="auto"/>
              </w:rPr>
              <w:t>Accelerated Stock</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560" w:type="dxa"/>
            <w:vAlign w:val="bottom"/>
          </w:tcPr>
          <w:p>
            <w:pPr>
              <w:ind w:left="40"/>
              <w:spacing w:after="0" w:line="163" w:lineRule="exact"/>
              <w:rPr>
                <w:sz w:val="20"/>
                <w:szCs w:val="20"/>
                <w:color w:val="auto"/>
              </w:rPr>
            </w:pPr>
            <w:r>
              <w:rPr>
                <w:rFonts w:ascii="Arial" w:cs="Arial" w:eastAsia="Arial" w:hAnsi="Arial"/>
                <w:sz w:val="12"/>
                <w:szCs w:val="12"/>
                <w:color w:val="auto"/>
              </w:rPr>
              <w:t>Options</w:t>
            </w:r>
            <w:r>
              <w:rPr>
                <w:rFonts w:ascii="Arial" w:cs="Arial" w:eastAsia="Arial" w:hAnsi="Arial"/>
                <w:sz w:val="18"/>
                <w:szCs w:val="18"/>
                <w:color w:val="auto"/>
                <w:vertAlign w:val="superscript"/>
              </w:rPr>
              <w:t>(3)</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900,598</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900,598</w:t>
            </w:r>
          </w:p>
        </w:tc>
        <w:tc>
          <w:tcPr>
            <w:tcW w:w="18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335,704</w:t>
            </w:r>
          </w:p>
        </w:tc>
        <w:tc>
          <w:tcPr>
            <w:tcW w:w="18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900,598</w:t>
            </w:r>
          </w:p>
        </w:tc>
        <w:tc>
          <w:tcPr>
            <w:tcW w:w="0" w:type="dxa"/>
            <w:vAlign w:val="bottom"/>
          </w:tcPr>
          <w:p>
            <w:pPr>
              <w:spacing w:after="0"/>
              <w:rPr>
                <w:sz w:val="1"/>
                <w:szCs w:val="1"/>
                <w:color w:val="auto"/>
              </w:rPr>
            </w:pPr>
          </w:p>
        </w:tc>
      </w:tr>
      <w:tr>
        <w:trPr>
          <w:trHeight w:val="162"/>
        </w:trPr>
        <w:tc>
          <w:tcPr>
            <w:tcW w:w="1560" w:type="dxa"/>
            <w:vAlign w:val="bottom"/>
            <w:shd w:val="clear" w:color="auto" w:fill="CCEEFF"/>
          </w:tcPr>
          <w:p>
            <w:pPr>
              <w:ind w:left="40"/>
              <w:spacing w:after="0" w:line="162" w:lineRule="exact"/>
              <w:rPr>
                <w:sz w:val="20"/>
                <w:szCs w:val="20"/>
                <w:color w:val="auto"/>
              </w:rPr>
            </w:pPr>
            <w:r>
              <w:rPr>
                <w:rFonts w:ascii="Arial" w:cs="Arial" w:eastAsia="Arial" w:hAnsi="Arial"/>
                <w:sz w:val="12"/>
                <w:szCs w:val="12"/>
                <w:color w:val="auto"/>
              </w:rPr>
              <w:t>Severance</w:t>
            </w:r>
            <w:r>
              <w:rPr>
                <w:rFonts w:ascii="Arial" w:cs="Arial" w:eastAsia="Arial" w:hAnsi="Arial"/>
                <w:sz w:val="18"/>
                <w:szCs w:val="18"/>
                <w:color w:val="auto"/>
                <w:vertAlign w:val="superscript"/>
              </w:rPr>
              <w:t>(4)</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1,255,157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4,500,000</w:t>
            </w:r>
          </w:p>
        </w:tc>
        <w:tc>
          <w:tcPr>
            <w:tcW w:w="0" w:type="dxa"/>
            <w:vAlign w:val="bottom"/>
          </w:tcPr>
          <w:p>
            <w:pPr>
              <w:spacing w:after="0"/>
              <w:rPr>
                <w:sz w:val="1"/>
                <w:szCs w:val="1"/>
                <w:color w:val="auto"/>
              </w:rPr>
            </w:pPr>
          </w:p>
        </w:tc>
      </w:tr>
      <w:tr>
        <w:trPr>
          <w:trHeight w:val="161"/>
        </w:trPr>
        <w:tc>
          <w:tcPr>
            <w:tcW w:w="1560" w:type="dxa"/>
            <w:vAlign w:val="bottom"/>
          </w:tcPr>
          <w:p>
            <w:pPr>
              <w:ind w:left="40"/>
              <w:spacing w:after="0"/>
              <w:rPr>
                <w:sz w:val="20"/>
                <w:szCs w:val="20"/>
                <w:color w:val="auto"/>
              </w:rPr>
            </w:pPr>
            <w:r>
              <w:rPr>
                <w:rFonts w:ascii="Arial" w:cs="Arial" w:eastAsia="Arial" w:hAnsi="Arial"/>
                <w:sz w:val="13"/>
                <w:szCs w:val="13"/>
                <w:color w:val="auto"/>
              </w:rPr>
              <w:t>Benefit Continuation</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69,428</w:t>
            </w:r>
          </w:p>
        </w:tc>
        <w:tc>
          <w:tcPr>
            <w:tcW w:w="0" w:type="dxa"/>
            <w:vAlign w:val="bottom"/>
          </w:tcPr>
          <w:p>
            <w:pPr>
              <w:spacing w:after="0"/>
              <w:rPr>
                <w:sz w:val="1"/>
                <w:szCs w:val="1"/>
                <w:color w:val="auto"/>
              </w:rPr>
            </w:pPr>
          </w:p>
        </w:tc>
      </w:tr>
      <w:tr>
        <w:trPr>
          <w:trHeight w:val="163"/>
        </w:trPr>
        <w:tc>
          <w:tcPr>
            <w:tcW w:w="1560" w:type="dxa"/>
            <w:vAlign w:val="bottom"/>
            <w:shd w:val="clear" w:color="auto" w:fill="CCEEFF"/>
          </w:tcPr>
          <w:p>
            <w:pPr>
              <w:ind w:left="40"/>
              <w:spacing w:after="0" w:line="164" w:lineRule="exact"/>
              <w:rPr>
                <w:sz w:val="20"/>
                <w:szCs w:val="20"/>
                <w:color w:val="auto"/>
              </w:rPr>
            </w:pPr>
            <w:r>
              <w:rPr>
                <w:rFonts w:ascii="Arial" w:cs="Arial" w:eastAsia="Arial" w:hAnsi="Arial"/>
                <w:sz w:val="12"/>
                <w:szCs w:val="12"/>
                <w:color w:val="auto"/>
              </w:rPr>
              <w:t>Accelerated RSUs</w:t>
            </w:r>
            <w:r>
              <w:rPr>
                <w:rFonts w:ascii="Arial" w:cs="Arial" w:eastAsia="Arial" w:hAnsi="Arial"/>
                <w:sz w:val="18"/>
                <w:szCs w:val="18"/>
                <w:color w:val="auto"/>
                <w:vertAlign w:val="superscript"/>
              </w:rPr>
              <w:t>(5)</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3"/>
              </w:rPr>
              <w:t>3,640,492</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6"/>
              </w:rPr>
              <w:t>3,640,492</w:t>
            </w:r>
          </w:p>
        </w:tc>
        <w:tc>
          <w:tcPr>
            <w:tcW w:w="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617,284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3,023,207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3,640,492</w:t>
            </w:r>
          </w:p>
        </w:tc>
        <w:tc>
          <w:tcPr>
            <w:tcW w:w="0" w:type="dxa"/>
            <w:vAlign w:val="bottom"/>
          </w:tcPr>
          <w:p>
            <w:pPr>
              <w:spacing w:after="0"/>
              <w:rPr>
                <w:sz w:val="1"/>
                <w:szCs w:val="1"/>
                <w:color w:val="auto"/>
              </w:rPr>
            </w:pPr>
          </w:p>
        </w:tc>
      </w:tr>
      <w:tr>
        <w:trPr>
          <w:trHeight w:val="135"/>
        </w:trPr>
        <w:tc>
          <w:tcPr>
            <w:tcW w:w="1560" w:type="dxa"/>
            <w:vAlign w:val="bottom"/>
          </w:tcPr>
          <w:p>
            <w:pPr>
              <w:ind w:left="40"/>
              <w:spacing w:after="0" w:line="135" w:lineRule="exact"/>
              <w:rPr>
                <w:sz w:val="20"/>
                <w:szCs w:val="20"/>
                <w:color w:val="auto"/>
              </w:rPr>
            </w:pPr>
            <w:r>
              <w:rPr>
                <w:rFonts w:ascii="Arial" w:cs="Arial" w:eastAsia="Arial" w:hAnsi="Arial"/>
                <w:sz w:val="13"/>
                <w:szCs w:val="13"/>
                <w:color w:val="auto"/>
              </w:rPr>
              <w:t>Accelerated Performance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1560" w:type="dxa"/>
            <w:vAlign w:val="bottom"/>
          </w:tcPr>
          <w:p>
            <w:pPr>
              <w:ind w:left="220"/>
              <w:spacing w:after="0"/>
              <w:rPr>
                <w:sz w:val="20"/>
                <w:szCs w:val="20"/>
                <w:color w:val="auto"/>
              </w:rPr>
            </w:pPr>
            <w:r>
              <w:rPr>
                <w:rFonts w:ascii="Arial" w:cs="Arial" w:eastAsia="Arial" w:hAnsi="Arial"/>
                <w:sz w:val="13"/>
                <w:szCs w:val="13"/>
                <w:color w:val="auto"/>
              </w:rPr>
              <w:t>RSUs (PRSUs)</w:t>
            </w:r>
            <w:r>
              <w:rPr>
                <w:rFonts w:ascii="Arial" w:cs="Arial" w:eastAsia="Arial" w:hAnsi="Arial"/>
                <w:sz w:val="20"/>
                <w:szCs w:val="20"/>
                <w:color w:val="auto"/>
                <w:vertAlign w:val="superscript"/>
              </w:rPr>
              <w:t>(6)</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w w:val="93"/>
              </w:rPr>
              <w:t>3,757,854</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w w:val="96"/>
              </w:rPr>
              <w:t>3,757,854</w:t>
            </w:r>
          </w:p>
        </w:tc>
        <w:tc>
          <w:tcPr>
            <w:tcW w:w="180" w:type="dxa"/>
            <w:vAlign w:val="bottom"/>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2,379,731</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1,378,123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112,325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-854710</wp:posOffset>
            </wp:positionV>
            <wp:extent cx="6069330" cy="7886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69330" cy="7886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53340</wp:posOffset>
            </wp:positionV>
            <wp:extent cx="8483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190" w:lineRule="exact"/>
        <w:rPr>
          <w:sz w:val="20"/>
          <w:szCs w:val="20"/>
          <w:color w:val="auto"/>
        </w:rPr>
      </w:pPr>
    </w:p>
    <w:p>
      <w:pPr>
        <w:ind w:left="360" w:right="100" w:hanging="355"/>
        <w:spacing w:after="0" w:line="244" w:lineRule="auto"/>
        <w:tabs>
          <w:tab w:leader="none" w:pos="3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2.5 times the sum of the executive's base salary and target annual bonus. Each form of payment is mutually exclusive based on the individual circumstances or events and therefore represents a single payment and should not be added together.</w:t>
      </w:r>
    </w:p>
    <w:p>
      <w:pPr>
        <w:spacing w:after="0" w:line="96" w:lineRule="exact"/>
        <w:rPr>
          <w:rFonts w:ascii="Arial" w:cs="Arial" w:eastAsia="Arial" w:hAnsi="Arial"/>
          <w:sz w:val="14"/>
          <w:szCs w:val="14"/>
          <w:color w:val="auto"/>
        </w:rPr>
      </w:pPr>
    </w:p>
    <w:p>
      <w:pPr>
        <w:ind w:left="360" w:right="60" w:hanging="355"/>
        <w:spacing w:after="0" w:line="249" w:lineRule="auto"/>
        <w:tabs>
          <w:tab w:leader="none" w:pos="3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The annual incentive plan paid out below target in 2019, so the value represents the incremental difference between the target and actual bonus paid.</w:t>
      </w:r>
    </w:p>
    <w:p>
      <w:pPr>
        <w:spacing w:after="0" w:line="92" w:lineRule="exact"/>
        <w:rPr>
          <w:rFonts w:ascii="Arial" w:cs="Arial" w:eastAsia="Arial" w:hAnsi="Arial"/>
          <w:sz w:val="14"/>
          <w:szCs w:val="14"/>
          <w:color w:val="auto"/>
        </w:rPr>
      </w:pPr>
    </w:p>
    <w:p>
      <w:pPr>
        <w:ind w:left="360" w:right="40" w:hanging="355"/>
        <w:spacing w:after="0" w:line="243" w:lineRule="auto"/>
        <w:tabs>
          <w:tab w:leader="none" w:pos="3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Represents in-the-money value of accelerated stock options based on the closing price of our common stock on December 31, 2019 ($83.95). For the awards in fiscal 2017, upon a termination due to retirement after the second anniversary of the grant date, stock options will continue to vest subject to non-compete/non-solicit and reasonable notice restrictions. For the awards in fiscal 2018, upon a termination due to retirement after 18 months from the grant date, stock options will continue to vest subject to non-compete/non-solicit and reasonable notice restrictions. For the awards in fiscal 2019, upon a termination due to retirement after the first anniversary of the grant date, stock options will continue to vest subject to non-compete/non-solicit and reasonable notice restrictions. 2019 awards are assumed forfeited, as retirement at December 31, 2019 is before the first anniversary from the grant date. Upon a change-in-control, stock options will accelerate only if they are not assumed or substituted, and otherwise provide for a double trigger; values presume that the acquirer assumes outstanding stock options.</w:t>
      </w:r>
    </w:p>
    <w:p>
      <w:pPr>
        <w:spacing w:after="0" w:line="99" w:lineRule="exact"/>
        <w:rPr>
          <w:rFonts w:ascii="Arial" w:cs="Arial" w:eastAsia="Arial" w:hAnsi="Arial"/>
          <w:sz w:val="14"/>
          <w:szCs w:val="14"/>
          <w:color w:val="auto"/>
        </w:rPr>
      </w:pPr>
    </w:p>
    <w:p>
      <w:pPr>
        <w:ind w:left="360" w:right="60" w:hanging="355"/>
        <w:spacing w:after="0" w:line="245" w:lineRule="auto"/>
        <w:tabs>
          <w:tab w:leader="none" w:pos="3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Effective April 29, 2014, the Executive Officer Severance Pay Policy provides an executive officer, who is terminated involuntarily, a severance payment equal to 1 times base salary plus one year of continued benefits and outplacement. In 2019, the Compensation Committee approved a temporary modification to the plan. This modification states that if an executive is terminated involuntarily within twelve months of the new CEO hire date, severance payment equal to 1.5 times base salary plus 18 months of continued benefits and outplacement will be made. The change-in-control agreement provides for a severance payment equal to 2.5 times the sum of base salary and target annual bonus.</w:t>
      </w:r>
    </w:p>
    <w:p>
      <w:pPr>
        <w:spacing w:after="0" w:line="96" w:lineRule="exact"/>
        <w:rPr>
          <w:rFonts w:ascii="Arial" w:cs="Arial" w:eastAsia="Arial" w:hAnsi="Arial"/>
          <w:sz w:val="14"/>
          <w:szCs w:val="14"/>
          <w:color w:val="auto"/>
        </w:rPr>
      </w:pPr>
    </w:p>
    <w:p>
      <w:pPr>
        <w:ind w:left="360" w:right="20" w:hanging="355"/>
        <w:spacing w:after="0" w:line="243" w:lineRule="auto"/>
        <w:tabs>
          <w:tab w:leader="none" w:pos="3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For the time-vested RSUs, upon termination due to death or disability, represents the accelerated value of the RSUs based on the closing price of our common stock on December 31, 2019 ($83.95). For the awards in fiscal 2017, upon a termination due to retirement after the second anniversary of the grant date, RSUs will continue to vest subject to non-compete/non-solicit and reasonable notice restrictions. For the awards in fiscal 2018, upon a termination due to retirement after 18 months from the grant date, RSUs will continue to vest subject to non-compete/non-solicit and reasonable notice restrictions. For the awards in fiscal 2019, upon a termination due to retirement after the first anniversary of the grant date, RSUs will continue to vest subject to non-compete/non-solicit and reasonable notice restrictions. 2019 awards are assumed forfeited, as retirement at December 31, 2019 is before the first anniversary of the the grant date. For awards in fiscal 2019, upon termination without cause within 12 months of the employment commencement of the new Chief Executive Officer, RSUs continue to vest. Upon a change-in-control only (single trigger), RSUs that are not assumed by an acquirer will accelerate; values presume that the acquirer assumes applicable outstanding RSUs.</w:t>
      </w:r>
    </w:p>
    <w:p>
      <w:pPr>
        <w:spacing w:after="0" w:line="260" w:lineRule="exact"/>
        <w:rPr>
          <w:rFonts w:ascii="Arial" w:cs="Arial" w:eastAsia="Arial" w:hAnsi="Arial"/>
          <w:sz w:val="14"/>
          <w:szCs w:val="14"/>
          <w:color w:val="auto"/>
        </w:rPr>
      </w:pPr>
    </w:p>
    <w:p>
      <w:pPr>
        <w:ind w:left="360" w:hanging="355"/>
        <w:spacing w:after="0" w:line="242" w:lineRule="auto"/>
        <w:tabs>
          <w:tab w:leader="none" w:pos="3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Upon a termination due to death or disability, awards will vest based on actual performance at the conclusion of the performance periods. Shares continue to vest through the year of death or disability and all unvested shares are accelerated. Fiscal 2018 values assume target performance will be achieved, while fiscal 2019 values assume maximum performance will be achieved. For the awards granted in fiscal 2017, upon a termination due to retirement after the second anniversary of the grant date, awards will vest in full based on actual performance at the end of the performance period (no pro-rated payout). For the awards granted in fiscal 2018, upon a termination due to retirement after 18 months from the grant date, awards will vest in full based on actual performance at the end of the performance period (no pro-rated payout). For the awards granted in fiscal 2019, upon a termination due to retirement after the first anniversary of the grant date, awards will vest in full based on actual performance at the end of the performance period (no pro-rated payout). 2019 awards are assumed forfeited, as retirement at December 31, 2019 is before the first anniversary of the grant date. For awards in fiscal 2019, upon termination without cause within 12 months of the employment commencement of the new Chief Executive Officer, PRSUs continue to vest. 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As of December 31, 2019, two three-year performance cycles (2018-2020 and 2019-2021) are not yet complete and target payouts are used. For the 2017-2019 performance cycle, actual payouts were less than target. Upon a termination following a change-in-control, value represents the incremental difference in values between target and actual performance (e.g. no value for cycles where actual payouts are greater than or equal to target amounts). Values are based on the closing price of our common stock on December 31, 2019 ($83.95).</w:t>
      </w:r>
    </w:p>
    <w:p>
      <w:pPr>
        <w:spacing w:after="0" w:line="218"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Summary of Termination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60090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2"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Joan Hooper</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5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tcPr>
          <w:p>
            <w:pPr>
              <w:ind w:left="40"/>
              <w:spacing w:after="0" w:line="156" w:lineRule="exact"/>
              <w:rPr>
                <w:sz w:val="20"/>
                <w:szCs w:val="20"/>
                <w:color w:val="auto"/>
              </w:rPr>
            </w:pPr>
            <w:r>
              <w:rPr>
                <w:rFonts w:ascii="Arial" w:cs="Arial" w:eastAsia="Arial" w:hAnsi="Arial"/>
                <w:sz w:val="14"/>
                <w:szCs w:val="14"/>
                <w:b w:val="1"/>
                <w:bCs w:val="1"/>
                <w:color w:val="auto"/>
              </w:rPr>
              <w:t>Termination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Without</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Cause</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or by</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Executive</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for Good</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Reason</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Termination</w:t>
            </w:r>
          </w:p>
        </w:tc>
        <w:tc>
          <w:tcPr>
            <w:tcW w:w="9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Following a</w:t>
            </w:r>
          </w:p>
        </w:tc>
        <w:tc>
          <w:tcPr>
            <w:tcW w:w="0" w:type="dxa"/>
            <w:vAlign w:val="bottom"/>
          </w:tcPr>
          <w:p>
            <w:pPr>
              <w:spacing w:after="0"/>
              <w:rPr>
                <w:sz w:val="1"/>
                <w:szCs w:val="1"/>
                <w:color w:val="auto"/>
              </w:rPr>
            </w:pPr>
          </w:p>
        </w:tc>
      </w:tr>
      <w:tr>
        <w:trPr>
          <w:trHeight w:val="162"/>
        </w:trPr>
        <w:tc>
          <w:tcPr>
            <w:tcW w:w="15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Executive Benefits</w:t>
            </w:r>
            <w:r>
              <w:rPr>
                <w:rFonts w:ascii="Arial" w:cs="Arial" w:eastAsia="Arial" w:hAnsi="Arial"/>
                <w:sz w:val="24"/>
                <w:szCs w:val="24"/>
                <w:b w:val="1"/>
                <w:bCs w:val="1"/>
                <w:color w:val="auto"/>
                <w:vertAlign w:val="superscript"/>
              </w:rPr>
              <w:t>(1)</w:t>
            </w:r>
          </w:p>
        </w:tc>
        <w:tc>
          <w:tcPr>
            <w:tcW w:w="18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Termination</w:t>
            </w:r>
          </w:p>
        </w:tc>
        <w:tc>
          <w:tcPr>
            <w:tcW w:w="10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Voluntary</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Without</w:t>
            </w:r>
          </w:p>
        </w:tc>
        <w:tc>
          <w:tcPr>
            <w:tcW w:w="10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w:t>
            </w: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Change-in-</w:t>
            </w:r>
          </w:p>
        </w:tc>
        <w:tc>
          <w:tcPr>
            <w:tcW w:w="0" w:type="dxa"/>
            <w:vAlign w:val="bottom"/>
          </w:tcPr>
          <w:p>
            <w:pPr>
              <w:spacing w:after="0"/>
              <w:rPr>
                <w:sz w:val="1"/>
                <w:szCs w:val="1"/>
                <w:color w:val="auto"/>
              </w:rPr>
            </w:pPr>
          </w:p>
        </w:tc>
      </w:tr>
      <w:tr>
        <w:trPr>
          <w:trHeight w:val="189"/>
        </w:trPr>
        <w:tc>
          <w:tcPr>
            <w:tcW w:w="15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Cause</w:t>
            </w:r>
          </w:p>
        </w:tc>
        <w:tc>
          <w:tcPr>
            <w:tcW w:w="180" w:type="dxa"/>
            <w:vAlign w:val="bottom"/>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Termination</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Death</w:t>
            </w:r>
          </w:p>
        </w:tc>
        <w:tc>
          <w:tcPr>
            <w:tcW w:w="180" w:type="dxa"/>
            <w:vAlign w:val="bottom"/>
          </w:tcPr>
          <w:p>
            <w:pPr>
              <w:spacing w:after="0"/>
              <w:rPr>
                <w:sz w:val="16"/>
                <w:szCs w:val="16"/>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Disability</w:t>
            </w:r>
          </w:p>
        </w:tc>
        <w:tc>
          <w:tcPr>
            <w:tcW w:w="180" w:type="dxa"/>
            <w:vAlign w:val="bottom"/>
          </w:tcPr>
          <w:p>
            <w:pPr>
              <w:spacing w:after="0"/>
              <w:rPr>
                <w:sz w:val="16"/>
                <w:szCs w:val="16"/>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Retirement</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Cause</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Control</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rPr>
              <w:t>Control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560" w:type="dxa"/>
            <w:vAlign w:val="bottom"/>
            <w:shd w:val="clear" w:color="auto" w:fill="CCEEFF"/>
          </w:tcPr>
          <w:p>
            <w:pPr>
              <w:ind w:left="40"/>
              <w:spacing w:after="0" w:line="156" w:lineRule="exact"/>
              <w:rPr>
                <w:sz w:val="20"/>
                <w:szCs w:val="20"/>
                <w:color w:val="auto"/>
              </w:rPr>
            </w:pPr>
            <w:r>
              <w:rPr>
                <w:rFonts w:ascii="Arial" w:cs="Arial" w:eastAsia="Arial" w:hAnsi="Arial"/>
                <w:sz w:val="12"/>
                <w:szCs w:val="12"/>
                <w:color w:val="auto"/>
              </w:rPr>
              <w:t>Annual Incentive</w:t>
            </w:r>
            <w:r>
              <w:rPr>
                <w:rFonts w:ascii="Arial" w:cs="Arial" w:eastAsia="Arial" w:hAnsi="Arial"/>
                <w:sz w:val="18"/>
                <w:szCs w:val="18"/>
                <w:color w:val="auto"/>
                <w:vertAlign w:val="superscript"/>
              </w:rPr>
              <w:t>(2)</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53,653</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53,653</w:t>
            </w:r>
          </w:p>
        </w:tc>
        <w:tc>
          <w:tcPr>
            <w:tcW w:w="0" w:type="dxa"/>
            <w:vAlign w:val="bottom"/>
          </w:tcPr>
          <w:p>
            <w:pPr>
              <w:spacing w:after="0"/>
              <w:rPr>
                <w:sz w:val="1"/>
                <w:szCs w:val="1"/>
                <w:color w:val="auto"/>
              </w:rPr>
            </w:pPr>
          </w:p>
        </w:tc>
      </w:tr>
      <w:tr>
        <w:trPr>
          <w:trHeight w:val="135"/>
        </w:trPr>
        <w:tc>
          <w:tcPr>
            <w:tcW w:w="1560" w:type="dxa"/>
            <w:vAlign w:val="bottom"/>
          </w:tcPr>
          <w:p>
            <w:pPr>
              <w:ind w:left="40"/>
              <w:spacing w:after="0" w:line="135" w:lineRule="exact"/>
              <w:rPr>
                <w:sz w:val="20"/>
                <w:szCs w:val="20"/>
                <w:color w:val="auto"/>
              </w:rPr>
            </w:pPr>
            <w:r>
              <w:rPr>
                <w:rFonts w:ascii="Arial" w:cs="Arial" w:eastAsia="Arial" w:hAnsi="Arial"/>
                <w:sz w:val="13"/>
                <w:szCs w:val="13"/>
                <w:color w:val="auto"/>
              </w:rPr>
              <w:t>Accelerated Stock</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560" w:type="dxa"/>
            <w:vAlign w:val="bottom"/>
          </w:tcPr>
          <w:p>
            <w:pPr>
              <w:ind w:left="40"/>
              <w:spacing w:after="0" w:line="163" w:lineRule="exact"/>
              <w:rPr>
                <w:sz w:val="20"/>
                <w:szCs w:val="20"/>
                <w:color w:val="auto"/>
              </w:rPr>
            </w:pPr>
            <w:r>
              <w:rPr>
                <w:rFonts w:ascii="Arial" w:cs="Arial" w:eastAsia="Arial" w:hAnsi="Arial"/>
                <w:sz w:val="12"/>
                <w:szCs w:val="12"/>
                <w:color w:val="auto"/>
              </w:rPr>
              <w:t>Options</w:t>
            </w:r>
            <w:r>
              <w:rPr>
                <w:rFonts w:ascii="Arial" w:cs="Arial" w:eastAsia="Arial" w:hAnsi="Arial"/>
                <w:sz w:val="18"/>
                <w:szCs w:val="18"/>
                <w:color w:val="auto"/>
                <w:vertAlign w:val="superscript"/>
              </w:rPr>
              <w:t>(3)</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157,747</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157,747</w:t>
            </w:r>
          </w:p>
        </w:tc>
        <w:tc>
          <w:tcPr>
            <w:tcW w:w="180" w:type="dxa"/>
            <w:vAlign w:val="bottom"/>
          </w:tcPr>
          <w:p>
            <w:pPr>
              <w:spacing w:after="0"/>
              <w:rPr>
                <w:sz w:val="14"/>
                <w:szCs w:val="14"/>
                <w:color w:val="auto"/>
              </w:rPr>
            </w:pPr>
          </w:p>
        </w:tc>
        <w:tc>
          <w:tcPr>
            <w:tcW w:w="240" w:type="dxa"/>
            <w:vAlign w:val="bottom"/>
          </w:tcPr>
          <w:p>
            <w:pPr>
              <w:ind w:left="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157,747</w:t>
            </w:r>
          </w:p>
        </w:tc>
        <w:tc>
          <w:tcPr>
            <w:tcW w:w="18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157,747</w:t>
            </w:r>
          </w:p>
        </w:tc>
        <w:tc>
          <w:tcPr>
            <w:tcW w:w="0" w:type="dxa"/>
            <w:vAlign w:val="bottom"/>
          </w:tcPr>
          <w:p>
            <w:pPr>
              <w:spacing w:after="0"/>
              <w:rPr>
                <w:sz w:val="1"/>
                <w:szCs w:val="1"/>
                <w:color w:val="auto"/>
              </w:rPr>
            </w:pPr>
          </w:p>
        </w:tc>
      </w:tr>
      <w:tr>
        <w:trPr>
          <w:trHeight w:val="162"/>
        </w:trPr>
        <w:tc>
          <w:tcPr>
            <w:tcW w:w="1560" w:type="dxa"/>
            <w:vAlign w:val="bottom"/>
            <w:shd w:val="clear" w:color="auto" w:fill="CCEEFF"/>
          </w:tcPr>
          <w:p>
            <w:pPr>
              <w:ind w:left="40"/>
              <w:spacing w:after="0" w:line="162" w:lineRule="exact"/>
              <w:rPr>
                <w:sz w:val="20"/>
                <w:szCs w:val="20"/>
                <w:color w:val="auto"/>
              </w:rPr>
            </w:pPr>
            <w:r>
              <w:rPr>
                <w:rFonts w:ascii="Arial" w:cs="Arial" w:eastAsia="Arial" w:hAnsi="Arial"/>
                <w:sz w:val="12"/>
                <w:szCs w:val="12"/>
                <w:color w:val="auto"/>
              </w:rPr>
              <w:t>Severance</w:t>
            </w:r>
            <w:r>
              <w:rPr>
                <w:rFonts w:ascii="Arial" w:cs="Arial" w:eastAsia="Arial" w:hAnsi="Arial"/>
                <w:sz w:val="18"/>
                <w:szCs w:val="18"/>
                <w:color w:val="auto"/>
                <w:vertAlign w:val="superscript"/>
              </w:rPr>
              <w:t>(4)</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768,786</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1,697,500</w:t>
            </w:r>
          </w:p>
        </w:tc>
        <w:tc>
          <w:tcPr>
            <w:tcW w:w="0" w:type="dxa"/>
            <w:vAlign w:val="bottom"/>
          </w:tcPr>
          <w:p>
            <w:pPr>
              <w:spacing w:after="0"/>
              <w:rPr>
                <w:sz w:val="1"/>
                <w:szCs w:val="1"/>
                <w:color w:val="auto"/>
              </w:rPr>
            </w:pPr>
          </w:p>
        </w:tc>
      </w:tr>
      <w:tr>
        <w:trPr>
          <w:trHeight w:val="161"/>
        </w:trPr>
        <w:tc>
          <w:tcPr>
            <w:tcW w:w="1560" w:type="dxa"/>
            <w:vAlign w:val="bottom"/>
          </w:tcPr>
          <w:p>
            <w:pPr>
              <w:ind w:left="40"/>
              <w:spacing w:after="0"/>
              <w:rPr>
                <w:sz w:val="20"/>
                <w:szCs w:val="20"/>
                <w:color w:val="auto"/>
              </w:rPr>
            </w:pPr>
            <w:r>
              <w:rPr>
                <w:rFonts w:ascii="Arial" w:cs="Arial" w:eastAsia="Arial" w:hAnsi="Arial"/>
                <w:sz w:val="13"/>
                <w:szCs w:val="13"/>
                <w:color w:val="auto"/>
              </w:rPr>
              <w:t>Benefit Continuation</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ind w:left="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37,048</w:t>
            </w:r>
          </w:p>
        </w:tc>
        <w:tc>
          <w:tcPr>
            <w:tcW w:w="0" w:type="dxa"/>
            <w:vAlign w:val="bottom"/>
          </w:tcPr>
          <w:p>
            <w:pPr>
              <w:spacing w:after="0"/>
              <w:rPr>
                <w:sz w:val="1"/>
                <w:szCs w:val="1"/>
                <w:color w:val="auto"/>
              </w:rPr>
            </w:pPr>
          </w:p>
        </w:tc>
      </w:tr>
      <w:tr>
        <w:trPr>
          <w:trHeight w:val="163"/>
        </w:trPr>
        <w:tc>
          <w:tcPr>
            <w:tcW w:w="1560" w:type="dxa"/>
            <w:vAlign w:val="bottom"/>
            <w:shd w:val="clear" w:color="auto" w:fill="CCEEFF"/>
          </w:tcPr>
          <w:p>
            <w:pPr>
              <w:ind w:left="40"/>
              <w:spacing w:after="0" w:line="164" w:lineRule="exact"/>
              <w:rPr>
                <w:sz w:val="20"/>
                <w:szCs w:val="20"/>
                <w:color w:val="auto"/>
              </w:rPr>
            </w:pPr>
            <w:r>
              <w:rPr>
                <w:rFonts w:ascii="Arial" w:cs="Arial" w:eastAsia="Arial" w:hAnsi="Arial"/>
                <w:sz w:val="12"/>
                <w:szCs w:val="12"/>
                <w:color w:val="auto"/>
              </w:rPr>
              <w:t>Accelerated RSUs</w:t>
            </w:r>
            <w:r>
              <w:rPr>
                <w:rFonts w:ascii="Arial" w:cs="Arial" w:eastAsia="Arial" w:hAnsi="Arial"/>
                <w:sz w:val="18"/>
                <w:szCs w:val="18"/>
                <w:color w:val="auto"/>
                <w:vertAlign w:val="superscript"/>
              </w:rPr>
              <w:t>(5)</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3"/>
              </w:rPr>
              <w:t>1,742,550</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6"/>
              </w:rPr>
              <w:t>1,742,550</w:t>
            </w:r>
          </w:p>
        </w:tc>
        <w:tc>
          <w:tcPr>
            <w:tcW w:w="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512,179</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1,230,371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1,742,550</w:t>
            </w:r>
          </w:p>
        </w:tc>
        <w:tc>
          <w:tcPr>
            <w:tcW w:w="0" w:type="dxa"/>
            <w:vAlign w:val="bottom"/>
          </w:tcPr>
          <w:p>
            <w:pPr>
              <w:spacing w:after="0"/>
              <w:rPr>
                <w:sz w:val="1"/>
                <w:szCs w:val="1"/>
                <w:color w:val="auto"/>
              </w:rPr>
            </w:pPr>
          </w:p>
        </w:tc>
      </w:tr>
      <w:tr>
        <w:trPr>
          <w:trHeight w:val="135"/>
        </w:trPr>
        <w:tc>
          <w:tcPr>
            <w:tcW w:w="1560" w:type="dxa"/>
            <w:vAlign w:val="bottom"/>
          </w:tcPr>
          <w:p>
            <w:pPr>
              <w:ind w:left="40"/>
              <w:spacing w:after="0" w:line="135" w:lineRule="exact"/>
              <w:rPr>
                <w:sz w:val="20"/>
                <w:szCs w:val="20"/>
                <w:color w:val="auto"/>
              </w:rPr>
            </w:pPr>
            <w:r>
              <w:rPr>
                <w:rFonts w:ascii="Arial" w:cs="Arial" w:eastAsia="Arial" w:hAnsi="Arial"/>
                <w:sz w:val="13"/>
                <w:szCs w:val="13"/>
                <w:color w:val="auto"/>
              </w:rPr>
              <w:t>Accelerated Performance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1560" w:type="dxa"/>
            <w:vAlign w:val="bottom"/>
          </w:tcPr>
          <w:p>
            <w:pPr>
              <w:ind w:left="220"/>
              <w:spacing w:after="0"/>
              <w:rPr>
                <w:sz w:val="20"/>
                <w:szCs w:val="20"/>
                <w:color w:val="auto"/>
              </w:rPr>
            </w:pPr>
            <w:r>
              <w:rPr>
                <w:rFonts w:ascii="Arial" w:cs="Arial" w:eastAsia="Arial" w:hAnsi="Arial"/>
                <w:sz w:val="13"/>
                <w:szCs w:val="13"/>
                <w:color w:val="auto"/>
              </w:rPr>
              <w:t>RSUs (PRSUs)</w:t>
            </w:r>
            <w:r>
              <w:rPr>
                <w:rFonts w:ascii="Arial" w:cs="Arial" w:eastAsia="Arial" w:hAnsi="Arial"/>
                <w:sz w:val="20"/>
                <w:szCs w:val="20"/>
                <w:color w:val="auto"/>
                <w:vertAlign w:val="superscript"/>
              </w:rPr>
              <w:t>(6)</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w w:val="93"/>
              </w:rPr>
              <w:t>2,026,385</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w w:val="96"/>
              </w:rPr>
              <w:t>2,026,385</w:t>
            </w:r>
          </w:p>
        </w:tc>
        <w:tc>
          <w:tcPr>
            <w:tcW w:w="240" w:type="dxa"/>
            <w:vAlign w:val="bottom"/>
          </w:tcPr>
          <w:p>
            <w:pPr>
              <w:ind w:left="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861,327</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53,812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-854710</wp:posOffset>
            </wp:positionV>
            <wp:extent cx="6069330" cy="7886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69330" cy="7886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53340</wp:posOffset>
            </wp:positionV>
            <wp:extent cx="8483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190" w:lineRule="exact"/>
        <w:rPr>
          <w:sz w:val="20"/>
          <w:szCs w:val="20"/>
          <w:color w:val="auto"/>
        </w:rPr>
      </w:pPr>
    </w:p>
    <w:p>
      <w:pPr>
        <w:ind w:left="360" w:right="120" w:hanging="355"/>
        <w:spacing w:after="0" w:line="244" w:lineRule="auto"/>
        <w:tabs>
          <w:tab w:leader="none" w:pos="3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96" w:lineRule="exact"/>
        <w:rPr>
          <w:rFonts w:ascii="Arial" w:cs="Arial" w:eastAsia="Arial" w:hAnsi="Arial"/>
          <w:sz w:val="14"/>
          <w:szCs w:val="14"/>
          <w:color w:val="auto"/>
        </w:rPr>
      </w:pPr>
    </w:p>
    <w:p>
      <w:pPr>
        <w:ind w:left="360" w:right="60" w:hanging="355"/>
        <w:spacing w:after="0" w:line="249" w:lineRule="auto"/>
        <w:tabs>
          <w:tab w:leader="none" w:pos="3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The annual incentive plan paid out below target in 2019, so the value represents the incremental difference between the target and actual bonus paid.</w:t>
      </w:r>
    </w:p>
    <w:p>
      <w:pPr>
        <w:spacing w:after="0" w:line="92" w:lineRule="exact"/>
        <w:rPr>
          <w:rFonts w:ascii="Arial" w:cs="Arial" w:eastAsia="Arial" w:hAnsi="Arial"/>
          <w:sz w:val="14"/>
          <w:szCs w:val="14"/>
          <w:color w:val="auto"/>
        </w:rPr>
      </w:pPr>
    </w:p>
    <w:p>
      <w:pPr>
        <w:ind w:left="360" w:right="120" w:hanging="355"/>
        <w:spacing w:after="0" w:line="244" w:lineRule="auto"/>
        <w:tabs>
          <w:tab w:leader="none" w:pos="3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Represents in-the-money value of accelerated stock options based on the closing price of our common stock on December 31, 2019 ($83.95). For the awards in fiscal 2017, upon a termination due to retirement after the second anniversary of the grant date, stock options will continue to vest subject to non-compete/non-solicit and reasonable notice restrictions. For the awards in fiscal 2018, upon a termination due to retirement after 18 months from the grant date, stock options will continue to vest subject to non-compete/non-solicit and reasonable notice restrictions. Upon a change-in-control, stock options will accelerate only if they are not assumed or substituted, and otherwise provide for a double trigger; values presume that the acquirer assumes outstanding stock options.</w:t>
      </w:r>
    </w:p>
    <w:p>
      <w:pPr>
        <w:spacing w:after="0" w:line="97" w:lineRule="exact"/>
        <w:rPr>
          <w:rFonts w:ascii="Arial" w:cs="Arial" w:eastAsia="Arial" w:hAnsi="Arial"/>
          <w:sz w:val="14"/>
          <w:szCs w:val="14"/>
          <w:color w:val="auto"/>
        </w:rPr>
      </w:pPr>
    </w:p>
    <w:p>
      <w:pPr>
        <w:ind w:left="360" w:right="60" w:hanging="355"/>
        <w:spacing w:after="0" w:line="245" w:lineRule="auto"/>
        <w:tabs>
          <w:tab w:leader="none" w:pos="3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Effective April 29, 2014, the Executive Officer Severance Pay Policy provides an executive officer, who is terminated involuntarily, a severance payment equal to 1 times base salary plus one year of continued benefits and outplacement. In 2019, the Compensation Committee approved a temporary modification to the plan. This modification states that if an executive is terminated involuntarily within twelve months of the new CEO hire date, severance payment equal to 1.5 times base salary plus 18 months of continued benefits and outplacement will be made. The change-in-control agreement provides for a severance payment equal to 2 times the sum of base salary and target annual bonus.</w:t>
      </w:r>
    </w:p>
    <w:p>
      <w:pPr>
        <w:spacing w:after="0" w:line="96" w:lineRule="exact"/>
        <w:rPr>
          <w:rFonts w:ascii="Arial" w:cs="Arial" w:eastAsia="Arial" w:hAnsi="Arial"/>
          <w:sz w:val="14"/>
          <w:szCs w:val="14"/>
          <w:color w:val="auto"/>
        </w:rPr>
      </w:pPr>
    </w:p>
    <w:p>
      <w:pPr>
        <w:ind w:left="360" w:right="20" w:hanging="355"/>
        <w:spacing w:after="0" w:line="243" w:lineRule="auto"/>
        <w:tabs>
          <w:tab w:leader="none" w:pos="3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For the time-vested RSUs, upon termination due to death or disability, represents the accelerated value of the RSUs based on the closing price of our common stock on December 31, 2019 ($83.95). For the awards in fiscal 2017, upon a termination due to retirement after the second anniversary of the grant date, RSUs will continue to vest subject to non-compete/non-solicit and reasonable notice restrictions. For the awards in fiscal 2018, upon a termination due to retirement after 18 months from the grant date, RSUs will continue to vest subject to non-compete/non-solicit and reasonable notice restrictions. For the awards in fiscal 2019, upon a termination due to retirement after the first anniversary of the grant date, stock options will continue to vest subject to non-compete/non-solicit and reasonable notice restrictions. 2019 awards are assumed forfeited, as retirement at December 31, 2019 is before the first anniversary from the grant date. For awards in fiscal 2019, upon termination without cause within 12 months of the employment commencement of the new Chief Executive Officer, RSUs continue to vest. Upon a change-in-control only (single trigger), RSUs that are not assumed by an acquirer will accelerate; values presume that the acquirer assumes applicable outstanding RSUs.</w:t>
      </w:r>
    </w:p>
    <w:p>
      <w:pPr>
        <w:spacing w:after="0" w:line="260" w:lineRule="exact"/>
        <w:rPr>
          <w:rFonts w:ascii="Arial" w:cs="Arial" w:eastAsia="Arial" w:hAnsi="Arial"/>
          <w:sz w:val="14"/>
          <w:szCs w:val="14"/>
          <w:color w:val="auto"/>
        </w:rPr>
      </w:pPr>
    </w:p>
    <w:p>
      <w:pPr>
        <w:ind w:left="360" w:hanging="355"/>
        <w:spacing w:after="0" w:line="242" w:lineRule="auto"/>
        <w:tabs>
          <w:tab w:leader="none" w:pos="3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Upon a termination due to death or disability, awards will vest based on actual performance at the conclusion of the performance periods. Shares continue to vest through the year of death or disability and all unvested shares are accelerated. Fiscal 2018 values assumes target performance will be achieved, while fiscal 2019 values assumes maximum performance will be achieved. For the awards granted in fiscal 2017, upon a termination due to retirement after the second anniversary of the grant date, awards will vest in full based on actual performance at the end of the performance period (no pro-rated payout). For the awards granted in fiscal 2018, upon a termination due to retirement after 18 months from the grant date, awards will vest in full based on actual performance at the end of the performance period (no pro-rated payout). For the awards granted in fiscal 2019, upon a termination due to retirement after the first anniversary of the grant date, awards will vest in full based on actual performance at the end of the performance period (no pro-rated payout). 2019 awards are assumed forfeited, as retirement at December 31, 2019 is before the first anniversary of the grant date. For awards in fiscal 2019, upon termination without cause within 12 months of the employment commencement of the new Chief Executive Officer, PRSUs continue to vest. 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As of December 31, 2019, two three-year performance cycles (2018-2020 and 2019-2021) are not yet complete; target payouts are being used for the 2018-2020 cycle, while maximum payouts are being used for the 2019-2021 cycle. For the 2017-2019 performance cycle, actual payouts were less than target. Upon a termination following a change-in-control, value represents the incremental difference in values between target and actual performance (e.g. no value for cycles where actual payouts are greater than or equal to target amounts). Values are based on the closing price of our common stock on December 31, 2019 ($83.95).</w:t>
      </w:r>
    </w:p>
    <w:p>
      <w:pPr>
        <w:spacing w:after="0" w:line="218"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Summary of Termination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60090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2"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Sarah Hlavinka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5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tcPr>
          <w:p>
            <w:pPr>
              <w:ind w:left="40"/>
              <w:spacing w:after="0" w:line="156" w:lineRule="exact"/>
              <w:rPr>
                <w:sz w:val="20"/>
                <w:szCs w:val="20"/>
                <w:color w:val="auto"/>
              </w:rPr>
            </w:pPr>
            <w:r>
              <w:rPr>
                <w:rFonts w:ascii="Arial" w:cs="Arial" w:eastAsia="Arial" w:hAnsi="Arial"/>
                <w:sz w:val="14"/>
                <w:szCs w:val="14"/>
                <w:b w:val="1"/>
                <w:bCs w:val="1"/>
                <w:color w:val="auto"/>
              </w:rPr>
              <w:t>Termination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Without</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Cause</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or by</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Executive</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for Good</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Reason</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Termination</w:t>
            </w:r>
          </w:p>
        </w:tc>
        <w:tc>
          <w:tcPr>
            <w:tcW w:w="9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Following a</w:t>
            </w:r>
          </w:p>
        </w:tc>
        <w:tc>
          <w:tcPr>
            <w:tcW w:w="0" w:type="dxa"/>
            <w:vAlign w:val="bottom"/>
          </w:tcPr>
          <w:p>
            <w:pPr>
              <w:spacing w:after="0"/>
              <w:rPr>
                <w:sz w:val="1"/>
                <w:szCs w:val="1"/>
                <w:color w:val="auto"/>
              </w:rPr>
            </w:pPr>
          </w:p>
        </w:tc>
      </w:tr>
      <w:tr>
        <w:trPr>
          <w:trHeight w:val="162"/>
        </w:trPr>
        <w:tc>
          <w:tcPr>
            <w:tcW w:w="15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Executive Benefits</w:t>
            </w:r>
            <w:r>
              <w:rPr>
                <w:rFonts w:ascii="Arial" w:cs="Arial" w:eastAsia="Arial" w:hAnsi="Arial"/>
                <w:sz w:val="24"/>
                <w:szCs w:val="24"/>
                <w:b w:val="1"/>
                <w:bCs w:val="1"/>
                <w:color w:val="auto"/>
                <w:vertAlign w:val="superscript"/>
              </w:rPr>
              <w:t>(1)</w:t>
            </w:r>
          </w:p>
        </w:tc>
        <w:tc>
          <w:tcPr>
            <w:tcW w:w="18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Termination</w:t>
            </w:r>
          </w:p>
        </w:tc>
        <w:tc>
          <w:tcPr>
            <w:tcW w:w="10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Voluntary</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Without</w:t>
            </w:r>
          </w:p>
        </w:tc>
        <w:tc>
          <w:tcPr>
            <w:tcW w:w="10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w:t>
            </w: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Change-in-</w:t>
            </w:r>
          </w:p>
        </w:tc>
        <w:tc>
          <w:tcPr>
            <w:tcW w:w="0" w:type="dxa"/>
            <w:vAlign w:val="bottom"/>
          </w:tcPr>
          <w:p>
            <w:pPr>
              <w:spacing w:after="0"/>
              <w:rPr>
                <w:sz w:val="1"/>
                <w:szCs w:val="1"/>
                <w:color w:val="auto"/>
              </w:rPr>
            </w:pPr>
          </w:p>
        </w:tc>
      </w:tr>
      <w:tr>
        <w:trPr>
          <w:trHeight w:val="189"/>
        </w:trPr>
        <w:tc>
          <w:tcPr>
            <w:tcW w:w="15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Cause</w:t>
            </w:r>
          </w:p>
        </w:tc>
        <w:tc>
          <w:tcPr>
            <w:tcW w:w="180" w:type="dxa"/>
            <w:vAlign w:val="bottom"/>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Termination</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Death</w:t>
            </w:r>
          </w:p>
        </w:tc>
        <w:tc>
          <w:tcPr>
            <w:tcW w:w="180" w:type="dxa"/>
            <w:vAlign w:val="bottom"/>
          </w:tcPr>
          <w:p>
            <w:pPr>
              <w:spacing w:after="0"/>
              <w:rPr>
                <w:sz w:val="16"/>
                <w:szCs w:val="16"/>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Disability</w:t>
            </w:r>
          </w:p>
        </w:tc>
        <w:tc>
          <w:tcPr>
            <w:tcW w:w="180" w:type="dxa"/>
            <w:vAlign w:val="bottom"/>
          </w:tcPr>
          <w:p>
            <w:pPr>
              <w:spacing w:after="0"/>
              <w:rPr>
                <w:sz w:val="16"/>
                <w:szCs w:val="16"/>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Retirement</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Cause</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Control</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rPr>
              <w:t>Control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560" w:type="dxa"/>
            <w:vAlign w:val="bottom"/>
            <w:shd w:val="clear" w:color="auto" w:fill="CCEEFF"/>
          </w:tcPr>
          <w:p>
            <w:pPr>
              <w:ind w:left="40"/>
              <w:spacing w:after="0" w:line="156" w:lineRule="exact"/>
              <w:rPr>
                <w:sz w:val="20"/>
                <w:szCs w:val="20"/>
                <w:color w:val="auto"/>
              </w:rPr>
            </w:pPr>
            <w:r>
              <w:rPr>
                <w:rFonts w:ascii="Arial" w:cs="Arial" w:eastAsia="Arial" w:hAnsi="Arial"/>
                <w:sz w:val="12"/>
                <w:szCs w:val="12"/>
                <w:color w:val="auto"/>
              </w:rPr>
              <w:t>Annual Incentive</w:t>
            </w:r>
            <w:r>
              <w:rPr>
                <w:rFonts w:ascii="Arial" w:cs="Arial" w:eastAsia="Arial" w:hAnsi="Arial"/>
                <w:sz w:val="18"/>
                <w:szCs w:val="18"/>
                <w:color w:val="auto"/>
                <w:vertAlign w:val="superscript"/>
              </w:rPr>
              <w:t>(2)</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107,766</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107,766</w:t>
            </w:r>
          </w:p>
        </w:tc>
        <w:tc>
          <w:tcPr>
            <w:tcW w:w="0" w:type="dxa"/>
            <w:vAlign w:val="bottom"/>
          </w:tcPr>
          <w:p>
            <w:pPr>
              <w:spacing w:after="0"/>
              <w:rPr>
                <w:sz w:val="1"/>
                <w:szCs w:val="1"/>
                <w:color w:val="auto"/>
              </w:rPr>
            </w:pPr>
          </w:p>
        </w:tc>
      </w:tr>
      <w:tr>
        <w:trPr>
          <w:trHeight w:val="135"/>
        </w:trPr>
        <w:tc>
          <w:tcPr>
            <w:tcW w:w="1560" w:type="dxa"/>
            <w:vAlign w:val="bottom"/>
          </w:tcPr>
          <w:p>
            <w:pPr>
              <w:ind w:left="40"/>
              <w:spacing w:after="0" w:line="135" w:lineRule="exact"/>
              <w:rPr>
                <w:sz w:val="20"/>
                <w:szCs w:val="20"/>
                <w:color w:val="auto"/>
              </w:rPr>
            </w:pPr>
            <w:r>
              <w:rPr>
                <w:rFonts w:ascii="Arial" w:cs="Arial" w:eastAsia="Arial" w:hAnsi="Arial"/>
                <w:sz w:val="13"/>
                <w:szCs w:val="13"/>
                <w:color w:val="auto"/>
              </w:rPr>
              <w:t>Accelerated Stock</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560" w:type="dxa"/>
            <w:vAlign w:val="bottom"/>
          </w:tcPr>
          <w:p>
            <w:pPr>
              <w:ind w:left="40"/>
              <w:spacing w:after="0" w:line="163" w:lineRule="exact"/>
              <w:rPr>
                <w:sz w:val="20"/>
                <w:szCs w:val="20"/>
                <w:color w:val="auto"/>
              </w:rPr>
            </w:pPr>
            <w:r>
              <w:rPr>
                <w:rFonts w:ascii="Arial" w:cs="Arial" w:eastAsia="Arial" w:hAnsi="Arial"/>
                <w:sz w:val="12"/>
                <w:szCs w:val="12"/>
                <w:color w:val="auto"/>
              </w:rPr>
              <w:t>Options</w:t>
            </w:r>
            <w:r>
              <w:rPr>
                <w:rFonts w:ascii="Arial" w:cs="Arial" w:eastAsia="Arial" w:hAnsi="Arial"/>
                <w:sz w:val="18"/>
                <w:szCs w:val="18"/>
                <w:color w:val="auto"/>
                <w:vertAlign w:val="superscript"/>
              </w:rPr>
              <w:t>(3)</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103,553</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103,553</w:t>
            </w:r>
          </w:p>
        </w:tc>
        <w:tc>
          <w:tcPr>
            <w:tcW w:w="18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Arial" w:cs="Arial" w:eastAsia="Arial" w:hAnsi="Arial"/>
                <w:sz w:val="13"/>
                <w:szCs w:val="13"/>
                <w:color w:val="auto"/>
              </w:rPr>
              <w:t>$</w:t>
            </w: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103,553</w:t>
            </w:r>
          </w:p>
        </w:tc>
        <w:tc>
          <w:tcPr>
            <w:tcW w:w="0" w:type="dxa"/>
            <w:vAlign w:val="bottom"/>
          </w:tcPr>
          <w:p>
            <w:pPr>
              <w:spacing w:after="0"/>
              <w:rPr>
                <w:sz w:val="1"/>
                <w:szCs w:val="1"/>
                <w:color w:val="auto"/>
              </w:rPr>
            </w:pPr>
          </w:p>
        </w:tc>
      </w:tr>
      <w:tr>
        <w:trPr>
          <w:trHeight w:val="162"/>
        </w:trPr>
        <w:tc>
          <w:tcPr>
            <w:tcW w:w="1560" w:type="dxa"/>
            <w:vAlign w:val="bottom"/>
            <w:shd w:val="clear" w:color="auto" w:fill="CCEEFF"/>
          </w:tcPr>
          <w:p>
            <w:pPr>
              <w:ind w:left="40"/>
              <w:spacing w:after="0" w:line="162" w:lineRule="exact"/>
              <w:rPr>
                <w:sz w:val="20"/>
                <w:szCs w:val="20"/>
                <w:color w:val="auto"/>
              </w:rPr>
            </w:pPr>
            <w:r>
              <w:rPr>
                <w:rFonts w:ascii="Arial" w:cs="Arial" w:eastAsia="Arial" w:hAnsi="Arial"/>
                <w:sz w:val="12"/>
                <w:szCs w:val="12"/>
                <w:color w:val="auto"/>
              </w:rPr>
              <w:t xml:space="preserve">Severance </w:t>
            </w:r>
            <w:r>
              <w:rPr>
                <w:rFonts w:ascii="Arial" w:cs="Arial" w:eastAsia="Arial" w:hAnsi="Arial"/>
                <w:sz w:val="18"/>
                <w:szCs w:val="18"/>
                <w:color w:val="auto"/>
                <w:vertAlign w:val="superscript"/>
              </w:rPr>
              <w:t>(4)</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740,717</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1,662,500</w:t>
            </w:r>
          </w:p>
        </w:tc>
        <w:tc>
          <w:tcPr>
            <w:tcW w:w="0" w:type="dxa"/>
            <w:vAlign w:val="bottom"/>
          </w:tcPr>
          <w:p>
            <w:pPr>
              <w:spacing w:after="0"/>
              <w:rPr>
                <w:sz w:val="1"/>
                <w:szCs w:val="1"/>
                <w:color w:val="auto"/>
              </w:rPr>
            </w:pPr>
          </w:p>
        </w:tc>
      </w:tr>
      <w:tr>
        <w:trPr>
          <w:trHeight w:val="161"/>
        </w:trPr>
        <w:tc>
          <w:tcPr>
            <w:tcW w:w="1560" w:type="dxa"/>
            <w:vAlign w:val="bottom"/>
          </w:tcPr>
          <w:p>
            <w:pPr>
              <w:ind w:left="40"/>
              <w:spacing w:after="0"/>
              <w:rPr>
                <w:sz w:val="20"/>
                <w:szCs w:val="20"/>
                <w:color w:val="auto"/>
              </w:rPr>
            </w:pPr>
            <w:r>
              <w:rPr>
                <w:rFonts w:ascii="Arial" w:cs="Arial" w:eastAsia="Arial" w:hAnsi="Arial"/>
                <w:sz w:val="13"/>
                <w:szCs w:val="13"/>
                <w:color w:val="auto"/>
              </w:rPr>
              <w:t>Benefit Continuation</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00" w:type="dxa"/>
            <w:vAlign w:val="bottom"/>
          </w:tcPr>
          <w:p>
            <w:pPr>
              <w:ind w:left="40"/>
              <w:spacing w:after="0"/>
              <w:rPr>
                <w:sz w:val="20"/>
                <w:szCs w:val="20"/>
                <w:color w:val="auto"/>
              </w:rPr>
            </w:pPr>
            <w:r>
              <w:rPr>
                <w:rFonts w:ascii="Arial" w:cs="Arial" w:eastAsia="Arial" w:hAnsi="Arial"/>
                <w:sz w:val="13"/>
                <w:szCs w:val="13"/>
                <w:color w:val="auto"/>
              </w:rPr>
              <w:t>$</w:t>
            </w: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19,623</w:t>
            </w:r>
          </w:p>
        </w:tc>
        <w:tc>
          <w:tcPr>
            <w:tcW w:w="0" w:type="dxa"/>
            <w:vAlign w:val="bottom"/>
          </w:tcPr>
          <w:p>
            <w:pPr>
              <w:spacing w:after="0"/>
              <w:rPr>
                <w:sz w:val="1"/>
                <w:szCs w:val="1"/>
                <w:color w:val="auto"/>
              </w:rPr>
            </w:pPr>
          </w:p>
        </w:tc>
      </w:tr>
      <w:tr>
        <w:trPr>
          <w:trHeight w:val="163"/>
        </w:trPr>
        <w:tc>
          <w:tcPr>
            <w:tcW w:w="1560" w:type="dxa"/>
            <w:vAlign w:val="bottom"/>
            <w:shd w:val="clear" w:color="auto" w:fill="CCEEFF"/>
          </w:tcPr>
          <w:p>
            <w:pPr>
              <w:ind w:left="40"/>
              <w:spacing w:after="0" w:line="164" w:lineRule="exact"/>
              <w:rPr>
                <w:sz w:val="20"/>
                <w:szCs w:val="20"/>
                <w:color w:val="auto"/>
              </w:rPr>
            </w:pPr>
            <w:r>
              <w:rPr>
                <w:rFonts w:ascii="Arial" w:cs="Arial" w:eastAsia="Arial" w:hAnsi="Arial"/>
                <w:sz w:val="12"/>
                <w:szCs w:val="12"/>
                <w:color w:val="auto"/>
              </w:rPr>
              <w:t>Accelerated RSUs</w:t>
            </w:r>
            <w:r>
              <w:rPr>
                <w:rFonts w:ascii="Arial" w:cs="Arial" w:eastAsia="Arial" w:hAnsi="Arial"/>
                <w:sz w:val="18"/>
                <w:szCs w:val="18"/>
                <w:color w:val="auto"/>
                <w:vertAlign w:val="superscript"/>
              </w:rPr>
              <w:t>(5)</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720,123</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720,123</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551,300</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720,123</w:t>
            </w:r>
          </w:p>
        </w:tc>
        <w:tc>
          <w:tcPr>
            <w:tcW w:w="0" w:type="dxa"/>
            <w:vAlign w:val="bottom"/>
          </w:tcPr>
          <w:p>
            <w:pPr>
              <w:spacing w:after="0"/>
              <w:rPr>
                <w:sz w:val="1"/>
                <w:szCs w:val="1"/>
                <w:color w:val="auto"/>
              </w:rPr>
            </w:pPr>
          </w:p>
        </w:tc>
      </w:tr>
      <w:tr>
        <w:trPr>
          <w:trHeight w:val="135"/>
        </w:trPr>
        <w:tc>
          <w:tcPr>
            <w:tcW w:w="1560" w:type="dxa"/>
            <w:vAlign w:val="bottom"/>
          </w:tcPr>
          <w:p>
            <w:pPr>
              <w:ind w:left="40"/>
              <w:spacing w:after="0" w:line="135" w:lineRule="exact"/>
              <w:rPr>
                <w:sz w:val="20"/>
                <w:szCs w:val="20"/>
                <w:color w:val="auto"/>
              </w:rPr>
            </w:pPr>
            <w:r>
              <w:rPr>
                <w:rFonts w:ascii="Arial" w:cs="Arial" w:eastAsia="Arial" w:hAnsi="Arial"/>
                <w:sz w:val="13"/>
                <w:szCs w:val="13"/>
                <w:color w:val="auto"/>
              </w:rPr>
              <w:t>Accelerated Performance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1560" w:type="dxa"/>
            <w:vAlign w:val="bottom"/>
          </w:tcPr>
          <w:p>
            <w:pPr>
              <w:ind w:left="220"/>
              <w:spacing w:after="0"/>
              <w:rPr>
                <w:sz w:val="20"/>
                <w:szCs w:val="20"/>
                <w:color w:val="auto"/>
              </w:rPr>
            </w:pPr>
            <w:r>
              <w:rPr>
                <w:rFonts w:ascii="Arial" w:cs="Arial" w:eastAsia="Arial" w:hAnsi="Arial"/>
                <w:sz w:val="13"/>
                <w:szCs w:val="13"/>
                <w:color w:val="auto"/>
              </w:rPr>
              <w:t>RSUs (PRSUs)</w:t>
            </w:r>
            <w:r>
              <w:rPr>
                <w:rFonts w:ascii="Arial" w:cs="Arial" w:eastAsia="Arial" w:hAnsi="Arial"/>
                <w:sz w:val="20"/>
                <w:szCs w:val="20"/>
                <w:color w:val="auto"/>
                <w:vertAlign w:val="superscript"/>
              </w:rPr>
              <w:t>(6)</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w w:val="93"/>
              </w:rPr>
              <w:t>1,156,915</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w w:val="96"/>
              </w:rPr>
              <w:t>1,156,915</w:t>
            </w:r>
          </w:p>
        </w:tc>
        <w:tc>
          <w:tcPr>
            <w:tcW w:w="400" w:type="dxa"/>
            <w:vAlign w:val="bottom"/>
          </w:tcPr>
          <w:p>
            <w:pPr>
              <w:ind w:left="40"/>
              <w:spacing w:after="0"/>
              <w:rPr>
                <w:sz w:val="20"/>
                <w:szCs w:val="20"/>
                <w:color w:val="auto"/>
              </w:rPr>
            </w:pPr>
            <w:r>
              <w:rPr>
                <w:rFonts w:ascii="Arial" w:cs="Arial" w:eastAsia="Arial" w:hAnsi="Arial"/>
                <w:sz w:val="13"/>
                <w:szCs w:val="13"/>
                <w:color w:val="auto"/>
              </w:rPr>
              <w:t>$</w:t>
            </w: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551,216</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-854710</wp:posOffset>
            </wp:positionV>
            <wp:extent cx="6069330" cy="7886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69330" cy="7886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53340</wp:posOffset>
            </wp:positionV>
            <wp:extent cx="8483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190" w:lineRule="exact"/>
        <w:rPr>
          <w:sz w:val="20"/>
          <w:szCs w:val="20"/>
          <w:color w:val="auto"/>
        </w:rPr>
      </w:pPr>
    </w:p>
    <w:p>
      <w:pPr>
        <w:ind w:left="360" w:right="120" w:hanging="355"/>
        <w:spacing w:after="0" w:line="244" w:lineRule="auto"/>
        <w:tabs>
          <w:tab w:leader="none" w:pos="3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96" w:lineRule="exact"/>
        <w:rPr>
          <w:rFonts w:ascii="Arial" w:cs="Arial" w:eastAsia="Arial" w:hAnsi="Arial"/>
          <w:sz w:val="14"/>
          <w:szCs w:val="14"/>
          <w:color w:val="auto"/>
        </w:rPr>
      </w:pPr>
    </w:p>
    <w:p>
      <w:pPr>
        <w:ind w:left="360" w:right="60" w:hanging="355"/>
        <w:spacing w:after="0" w:line="249" w:lineRule="auto"/>
        <w:tabs>
          <w:tab w:leader="none" w:pos="3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The annual incentive plan paid out below target in 2019, so the value represents the incremental difference between the target and actual bonus paid.</w:t>
      </w:r>
    </w:p>
    <w:p>
      <w:pPr>
        <w:spacing w:after="0" w:line="92" w:lineRule="exact"/>
        <w:rPr>
          <w:rFonts w:ascii="Arial" w:cs="Arial" w:eastAsia="Arial" w:hAnsi="Arial"/>
          <w:sz w:val="14"/>
          <w:szCs w:val="14"/>
          <w:color w:val="auto"/>
        </w:rPr>
      </w:pPr>
    </w:p>
    <w:p>
      <w:pPr>
        <w:ind w:left="360" w:right="100" w:hanging="355"/>
        <w:spacing w:after="0" w:line="245" w:lineRule="auto"/>
        <w:tabs>
          <w:tab w:leader="none" w:pos="3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Represents in-the-money value of accelerated stock options based on the closing price of our common stock on December 31, 2019 ($83.95). For the awards in fiscal 2018, upon a termination due to retirement after 18 months from the grant date, stock options will continue to vest subject to non-compete/non-solicit and reasonable notice restrictions; 2018 awards are assumed forfeited, as retirement at December 31, 2019 is within 18 months from the grant date. Upon a change-in-control, stock options will accelerate only if they are not assumed or substituted, and otherwise provide for a double trigger; values presume that the acquirer assumes outstanding stock options.</w:t>
      </w:r>
    </w:p>
    <w:p>
      <w:pPr>
        <w:spacing w:after="0" w:line="96" w:lineRule="exact"/>
        <w:rPr>
          <w:rFonts w:ascii="Arial" w:cs="Arial" w:eastAsia="Arial" w:hAnsi="Arial"/>
          <w:sz w:val="14"/>
          <w:szCs w:val="14"/>
          <w:color w:val="auto"/>
        </w:rPr>
      </w:pPr>
    </w:p>
    <w:p>
      <w:pPr>
        <w:ind w:left="360" w:right="60" w:hanging="355"/>
        <w:spacing w:after="0" w:line="245" w:lineRule="auto"/>
        <w:tabs>
          <w:tab w:leader="none" w:pos="3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Effective April 29, 2014, the Executive Officer Severance Pay Policy provides an executive officer, who is terminated involuntarily, a severance payment equal to 1 times base salary plus one year of continued benefits and outplacement. In 2019, the Compensation Committee approved a temporary modification to the plan. This modification states that if an executive is terminated involuntarily within twelve months of the new CEO hire date, severance payment equal to 1.5 times base salary plus 18 months of continued benefits and outplacement will be made. The change-in-control agreement provides for a severance payment equal to 2 times the sum of base salary and target annual bonus.</w:t>
      </w:r>
    </w:p>
    <w:p>
      <w:pPr>
        <w:spacing w:after="0" w:line="96" w:lineRule="exact"/>
        <w:rPr>
          <w:rFonts w:ascii="Arial" w:cs="Arial" w:eastAsia="Arial" w:hAnsi="Arial"/>
          <w:sz w:val="14"/>
          <w:szCs w:val="14"/>
          <w:color w:val="auto"/>
        </w:rPr>
      </w:pPr>
    </w:p>
    <w:p>
      <w:pPr>
        <w:ind w:left="360" w:right="40" w:hanging="355"/>
        <w:spacing w:after="0" w:line="243" w:lineRule="auto"/>
        <w:tabs>
          <w:tab w:leader="none" w:pos="3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For the time-vested RSUs, upon termination due to death or disability, represents the accelerated value of the RSUs based on the closing price of our common stock on December 31, 2019 ($83.95). For the awards in fiscal 2018, upon a termination due to retirement after 18 months from the grant date, RSUs will continue to vest subject to non-compete/non-solicit and reasonable notice restrictions. For the awards in fiscal 2019, upon a termination due to retirement after the first anniversary of the grant date, stock options will continue to vest subject to non-compete/non-solicit and reasonable notice restrictions. 2018 and 2019 awards are assumed forfeited, as retirement at December 31, 2019 is within 18 months from the the grant date of the 2018 awards and within 12 months of the grant date of the 2019 awards. For awards in fiscal 2019, upon termination without cause within 12 months of the employment commencement of the new Chief Executive Officer, RSUs continue to vest. Upon a change-in-control only (single trigger), RSUs that are not assumed by an acquirer will accelerate; values presume that the acquirer assumes applicable outstanding RSUs.</w:t>
      </w:r>
    </w:p>
    <w:p>
      <w:pPr>
        <w:spacing w:after="0" w:line="261" w:lineRule="exact"/>
        <w:rPr>
          <w:rFonts w:ascii="Arial" w:cs="Arial" w:eastAsia="Arial" w:hAnsi="Arial"/>
          <w:sz w:val="14"/>
          <w:szCs w:val="14"/>
          <w:color w:val="auto"/>
        </w:rPr>
      </w:pPr>
    </w:p>
    <w:p>
      <w:pPr>
        <w:ind w:left="360" w:right="100" w:hanging="355"/>
        <w:spacing w:after="0" w:line="241" w:lineRule="auto"/>
        <w:tabs>
          <w:tab w:leader="none" w:pos="3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Upon a termination due to death or disability, awards will vest based on actual performance at the conclusion of the performance periods. Shares continue to vest through the year of death or disability and all unvested shares are accelerated. Fiscal 2018 values assume target performance will be achieved, while fiscal 2019 values assume maximum performance will be achieved. For the awards granted in fiscal 2018, upon a termination due to retirement after 18 months from the grant date, awards will vest in full based on actual performance at the end of the performance period (no pro-rated payout). For the awards granted in fiscal 2019, upon a termination due to retirement after the first anniversary of the grant date, awards will vest in full based on actual performance at the end of the performance period (no pro-rated payout). 2018 and</w:t>
      </w:r>
    </w:p>
    <w:p>
      <w:pPr>
        <w:spacing w:after="0" w:line="2" w:lineRule="exact"/>
        <w:rPr>
          <w:rFonts w:ascii="Arial" w:cs="Arial" w:eastAsia="Arial" w:hAnsi="Arial"/>
          <w:sz w:val="14"/>
          <w:szCs w:val="14"/>
          <w:color w:val="auto"/>
        </w:rPr>
      </w:pPr>
    </w:p>
    <w:p>
      <w:pPr>
        <w:ind w:left="360" w:right="20"/>
        <w:spacing w:after="0" w:line="243" w:lineRule="auto"/>
        <w:rPr>
          <w:rFonts w:ascii="Arial" w:cs="Arial" w:eastAsia="Arial" w:hAnsi="Arial"/>
          <w:sz w:val="14"/>
          <w:szCs w:val="14"/>
          <w:color w:val="auto"/>
        </w:rPr>
      </w:pPr>
      <w:r>
        <w:rPr>
          <w:rFonts w:ascii="Arial" w:cs="Arial" w:eastAsia="Arial" w:hAnsi="Arial"/>
          <w:sz w:val="14"/>
          <w:szCs w:val="14"/>
          <w:color w:val="auto"/>
        </w:rPr>
        <w:t>2019 awards are assumed forfeited, as retirement at December 31, 2019 is within 18 months from the grant date of the 2018 awards and within 12 months from the grant date of the 2019 awards. For awards in fiscal 2019, upon termination without cause within 12 months of the employment commencement of the new Chief Executive Officer, PRSUs continue to vest. 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As of December 31, 2019, two three-year performance cycles (2018-2020 and 2019-2021) are not yet complete; target payouts are being used for the 2018-2020 cycle, while maximum payouts are being used for the 2019-2021 cycle. Upon a termination following a change-in-control, value represents the incremental difference in values between target and actual performance (e.g. no value for cycles where actual payouts are greater than or equal to target amounts). Values are based on the closing price of our common stock on December 31, 2019 ($83.95).</w:t>
      </w:r>
    </w:p>
    <w:p>
      <w:pPr>
        <w:spacing w:after="0" w:line="376"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Summary of Termination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60090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2"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Michel Cadieux</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5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tcPr>
          <w:p>
            <w:pPr>
              <w:ind w:left="40"/>
              <w:spacing w:after="0" w:line="156" w:lineRule="exact"/>
              <w:rPr>
                <w:sz w:val="20"/>
                <w:szCs w:val="20"/>
                <w:color w:val="auto"/>
              </w:rPr>
            </w:pPr>
            <w:r>
              <w:rPr>
                <w:rFonts w:ascii="Arial" w:cs="Arial" w:eastAsia="Arial" w:hAnsi="Arial"/>
                <w:sz w:val="14"/>
                <w:szCs w:val="14"/>
                <w:b w:val="1"/>
                <w:bCs w:val="1"/>
                <w:color w:val="auto"/>
              </w:rPr>
              <w:t>Termination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Without</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Cause</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or by</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Executive</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for Good</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Reason</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Termination</w:t>
            </w:r>
          </w:p>
        </w:tc>
        <w:tc>
          <w:tcPr>
            <w:tcW w:w="9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Following a</w:t>
            </w:r>
          </w:p>
        </w:tc>
        <w:tc>
          <w:tcPr>
            <w:tcW w:w="0" w:type="dxa"/>
            <w:vAlign w:val="bottom"/>
          </w:tcPr>
          <w:p>
            <w:pPr>
              <w:spacing w:after="0"/>
              <w:rPr>
                <w:sz w:val="1"/>
                <w:szCs w:val="1"/>
                <w:color w:val="auto"/>
              </w:rPr>
            </w:pPr>
          </w:p>
        </w:tc>
      </w:tr>
      <w:tr>
        <w:trPr>
          <w:trHeight w:val="162"/>
        </w:trPr>
        <w:tc>
          <w:tcPr>
            <w:tcW w:w="15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Executive Benefits</w:t>
            </w:r>
            <w:r>
              <w:rPr>
                <w:rFonts w:ascii="Arial" w:cs="Arial" w:eastAsia="Arial" w:hAnsi="Arial"/>
                <w:sz w:val="24"/>
                <w:szCs w:val="24"/>
                <w:b w:val="1"/>
                <w:bCs w:val="1"/>
                <w:color w:val="auto"/>
                <w:vertAlign w:val="superscript"/>
              </w:rPr>
              <w:t>(1)</w:t>
            </w:r>
          </w:p>
        </w:tc>
        <w:tc>
          <w:tcPr>
            <w:tcW w:w="18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Termination</w:t>
            </w:r>
          </w:p>
        </w:tc>
        <w:tc>
          <w:tcPr>
            <w:tcW w:w="10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Voluntary</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Without</w:t>
            </w:r>
          </w:p>
        </w:tc>
        <w:tc>
          <w:tcPr>
            <w:tcW w:w="10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w:t>
            </w: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Change-in-</w:t>
            </w:r>
          </w:p>
        </w:tc>
        <w:tc>
          <w:tcPr>
            <w:tcW w:w="0" w:type="dxa"/>
            <w:vAlign w:val="bottom"/>
          </w:tcPr>
          <w:p>
            <w:pPr>
              <w:spacing w:after="0"/>
              <w:rPr>
                <w:sz w:val="1"/>
                <w:szCs w:val="1"/>
                <w:color w:val="auto"/>
              </w:rPr>
            </w:pPr>
          </w:p>
        </w:tc>
      </w:tr>
      <w:tr>
        <w:trPr>
          <w:trHeight w:val="189"/>
        </w:trPr>
        <w:tc>
          <w:tcPr>
            <w:tcW w:w="15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Cause</w:t>
            </w:r>
          </w:p>
        </w:tc>
        <w:tc>
          <w:tcPr>
            <w:tcW w:w="180" w:type="dxa"/>
            <w:vAlign w:val="bottom"/>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Termination</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Death</w:t>
            </w:r>
          </w:p>
        </w:tc>
        <w:tc>
          <w:tcPr>
            <w:tcW w:w="180" w:type="dxa"/>
            <w:vAlign w:val="bottom"/>
          </w:tcPr>
          <w:p>
            <w:pPr>
              <w:spacing w:after="0"/>
              <w:rPr>
                <w:sz w:val="16"/>
                <w:szCs w:val="16"/>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Disability</w:t>
            </w:r>
          </w:p>
        </w:tc>
        <w:tc>
          <w:tcPr>
            <w:tcW w:w="180" w:type="dxa"/>
            <w:vAlign w:val="bottom"/>
          </w:tcPr>
          <w:p>
            <w:pPr>
              <w:spacing w:after="0"/>
              <w:rPr>
                <w:sz w:val="16"/>
                <w:szCs w:val="16"/>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Retirement</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Cause</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Control</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rPr>
              <w:t>Control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560" w:type="dxa"/>
            <w:vAlign w:val="bottom"/>
            <w:shd w:val="clear" w:color="auto" w:fill="CCEEFF"/>
          </w:tcPr>
          <w:p>
            <w:pPr>
              <w:ind w:left="40"/>
              <w:spacing w:after="0" w:line="156" w:lineRule="exact"/>
              <w:rPr>
                <w:sz w:val="20"/>
                <w:szCs w:val="20"/>
                <w:color w:val="auto"/>
              </w:rPr>
            </w:pPr>
            <w:r>
              <w:rPr>
                <w:rFonts w:ascii="Arial" w:cs="Arial" w:eastAsia="Arial" w:hAnsi="Arial"/>
                <w:sz w:val="12"/>
                <w:szCs w:val="12"/>
                <w:color w:val="auto"/>
              </w:rPr>
              <w:t>Annual Incentive</w:t>
            </w:r>
            <w:r>
              <w:rPr>
                <w:rFonts w:ascii="Arial" w:cs="Arial" w:eastAsia="Arial" w:hAnsi="Arial"/>
                <w:sz w:val="18"/>
                <w:szCs w:val="18"/>
                <w:color w:val="auto"/>
                <w:vertAlign w:val="superscript"/>
              </w:rPr>
              <w:t>(2)</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67,500</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67,500</w:t>
            </w:r>
          </w:p>
        </w:tc>
        <w:tc>
          <w:tcPr>
            <w:tcW w:w="0" w:type="dxa"/>
            <w:vAlign w:val="bottom"/>
          </w:tcPr>
          <w:p>
            <w:pPr>
              <w:spacing w:after="0"/>
              <w:rPr>
                <w:sz w:val="1"/>
                <w:szCs w:val="1"/>
                <w:color w:val="auto"/>
              </w:rPr>
            </w:pPr>
          </w:p>
        </w:tc>
      </w:tr>
      <w:tr>
        <w:trPr>
          <w:trHeight w:val="135"/>
        </w:trPr>
        <w:tc>
          <w:tcPr>
            <w:tcW w:w="1560" w:type="dxa"/>
            <w:vAlign w:val="bottom"/>
          </w:tcPr>
          <w:p>
            <w:pPr>
              <w:ind w:left="40"/>
              <w:spacing w:after="0" w:line="135" w:lineRule="exact"/>
              <w:rPr>
                <w:sz w:val="20"/>
                <w:szCs w:val="20"/>
                <w:color w:val="auto"/>
              </w:rPr>
            </w:pPr>
            <w:r>
              <w:rPr>
                <w:rFonts w:ascii="Arial" w:cs="Arial" w:eastAsia="Arial" w:hAnsi="Arial"/>
                <w:sz w:val="13"/>
                <w:szCs w:val="13"/>
                <w:color w:val="auto"/>
              </w:rPr>
              <w:t>Accelerated Stock</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560" w:type="dxa"/>
            <w:vAlign w:val="bottom"/>
          </w:tcPr>
          <w:p>
            <w:pPr>
              <w:ind w:left="40"/>
              <w:spacing w:after="0" w:line="163" w:lineRule="exact"/>
              <w:rPr>
                <w:sz w:val="20"/>
                <w:szCs w:val="20"/>
                <w:color w:val="auto"/>
              </w:rPr>
            </w:pPr>
            <w:r>
              <w:rPr>
                <w:rFonts w:ascii="Arial" w:cs="Arial" w:eastAsia="Arial" w:hAnsi="Arial"/>
                <w:sz w:val="12"/>
                <w:szCs w:val="12"/>
                <w:color w:val="auto"/>
              </w:rPr>
              <w:t>Options</w:t>
            </w:r>
            <w:r>
              <w:rPr>
                <w:rFonts w:ascii="Arial" w:cs="Arial" w:eastAsia="Arial" w:hAnsi="Arial"/>
                <w:sz w:val="18"/>
                <w:szCs w:val="18"/>
                <w:color w:val="auto"/>
                <w:vertAlign w:val="superscript"/>
              </w:rPr>
              <w:t>(3)</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134,279</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134,279</w:t>
            </w:r>
          </w:p>
        </w:tc>
        <w:tc>
          <w:tcPr>
            <w:tcW w:w="180" w:type="dxa"/>
            <w:vAlign w:val="bottom"/>
          </w:tcPr>
          <w:p>
            <w:pPr>
              <w:spacing w:after="0"/>
              <w:rPr>
                <w:sz w:val="14"/>
                <w:szCs w:val="14"/>
                <w:color w:val="auto"/>
              </w:rPr>
            </w:pPr>
          </w:p>
        </w:tc>
        <w:tc>
          <w:tcPr>
            <w:tcW w:w="240" w:type="dxa"/>
            <w:vAlign w:val="bottom"/>
          </w:tcPr>
          <w:p>
            <w:pPr>
              <w:ind w:left="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55,697</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134,279</w:t>
            </w:r>
          </w:p>
        </w:tc>
        <w:tc>
          <w:tcPr>
            <w:tcW w:w="0" w:type="dxa"/>
            <w:vAlign w:val="bottom"/>
          </w:tcPr>
          <w:p>
            <w:pPr>
              <w:spacing w:after="0"/>
              <w:rPr>
                <w:sz w:val="1"/>
                <w:szCs w:val="1"/>
                <w:color w:val="auto"/>
              </w:rPr>
            </w:pPr>
          </w:p>
        </w:tc>
      </w:tr>
      <w:tr>
        <w:trPr>
          <w:trHeight w:val="162"/>
        </w:trPr>
        <w:tc>
          <w:tcPr>
            <w:tcW w:w="1560" w:type="dxa"/>
            <w:vAlign w:val="bottom"/>
            <w:shd w:val="clear" w:color="auto" w:fill="CCEEFF"/>
          </w:tcPr>
          <w:p>
            <w:pPr>
              <w:ind w:left="40"/>
              <w:spacing w:after="0" w:line="162" w:lineRule="exact"/>
              <w:rPr>
                <w:sz w:val="20"/>
                <w:szCs w:val="20"/>
                <w:color w:val="auto"/>
              </w:rPr>
            </w:pPr>
            <w:r>
              <w:rPr>
                <w:rFonts w:ascii="Arial" w:cs="Arial" w:eastAsia="Arial" w:hAnsi="Arial"/>
                <w:sz w:val="12"/>
                <w:szCs w:val="12"/>
                <w:color w:val="auto"/>
              </w:rPr>
              <w:t>Severance</w:t>
            </w:r>
            <w:r>
              <w:rPr>
                <w:rFonts w:ascii="Arial" w:cs="Arial" w:eastAsia="Arial" w:hAnsi="Arial"/>
                <w:sz w:val="18"/>
                <w:szCs w:val="18"/>
                <w:color w:val="auto"/>
                <w:vertAlign w:val="superscript"/>
              </w:rPr>
              <w:t>(4)</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640,997</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1,400,000</w:t>
            </w:r>
          </w:p>
        </w:tc>
        <w:tc>
          <w:tcPr>
            <w:tcW w:w="0" w:type="dxa"/>
            <w:vAlign w:val="bottom"/>
          </w:tcPr>
          <w:p>
            <w:pPr>
              <w:spacing w:after="0"/>
              <w:rPr>
                <w:sz w:val="1"/>
                <w:szCs w:val="1"/>
                <w:color w:val="auto"/>
              </w:rPr>
            </w:pPr>
          </w:p>
        </w:tc>
      </w:tr>
      <w:tr>
        <w:trPr>
          <w:trHeight w:val="161"/>
        </w:trPr>
        <w:tc>
          <w:tcPr>
            <w:tcW w:w="1560" w:type="dxa"/>
            <w:vAlign w:val="bottom"/>
          </w:tcPr>
          <w:p>
            <w:pPr>
              <w:ind w:left="40"/>
              <w:spacing w:after="0"/>
              <w:rPr>
                <w:sz w:val="20"/>
                <w:szCs w:val="20"/>
                <w:color w:val="auto"/>
              </w:rPr>
            </w:pPr>
            <w:r>
              <w:rPr>
                <w:rFonts w:ascii="Arial" w:cs="Arial" w:eastAsia="Arial" w:hAnsi="Arial"/>
                <w:sz w:val="13"/>
                <w:szCs w:val="13"/>
                <w:color w:val="auto"/>
              </w:rPr>
              <w:t>Benefit Continuation</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ind w:left="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36,662</w:t>
            </w:r>
          </w:p>
        </w:tc>
        <w:tc>
          <w:tcPr>
            <w:tcW w:w="0" w:type="dxa"/>
            <w:vAlign w:val="bottom"/>
          </w:tcPr>
          <w:p>
            <w:pPr>
              <w:spacing w:after="0"/>
              <w:rPr>
                <w:sz w:val="1"/>
                <w:szCs w:val="1"/>
                <w:color w:val="auto"/>
              </w:rPr>
            </w:pPr>
          </w:p>
        </w:tc>
      </w:tr>
      <w:tr>
        <w:trPr>
          <w:trHeight w:val="163"/>
        </w:trPr>
        <w:tc>
          <w:tcPr>
            <w:tcW w:w="1560" w:type="dxa"/>
            <w:vAlign w:val="bottom"/>
            <w:shd w:val="clear" w:color="auto" w:fill="CCEEFF"/>
          </w:tcPr>
          <w:p>
            <w:pPr>
              <w:ind w:left="40"/>
              <w:spacing w:after="0" w:line="164" w:lineRule="exact"/>
              <w:rPr>
                <w:sz w:val="20"/>
                <w:szCs w:val="20"/>
                <w:color w:val="auto"/>
              </w:rPr>
            </w:pPr>
            <w:r>
              <w:rPr>
                <w:rFonts w:ascii="Arial" w:cs="Arial" w:eastAsia="Arial" w:hAnsi="Arial"/>
                <w:sz w:val="12"/>
                <w:szCs w:val="12"/>
                <w:color w:val="auto"/>
              </w:rPr>
              <w:t>Accelerated RSUs</w:t>
            </w:r>
            <w:r>
              <w:rPr>
                <w:rFonts w:ascii="Arial" w:cs="Arial" w:eastAsia="Arial" w:hAnsi="Arial"/>
                <w:sz w:val="18"/>
                <w:szCs w:val="18"/>
                <w:color w:val="auto"/>
                <w:vertAlign w:val="superscript"/>
              </w:rPr>
              <w:t>(5)</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798,197</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798,197</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246,897</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551,300</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798,197</w:t>
            </w:r>
          </w:p>
        </w:tc>
        <w:tc>
          <w:tcPr>
            <w:tcW w:w="0" w:type="dxa"/>
            <w:vAlign w:val="bottom"/>
          </w:tcPr>
          <w:p>
            <w:pPr>
              <w:spacing w:after="0"/>
              <w:rPr>
                <w:sz w:val="1"/>
                <w:szCs w:val="1"/>
                <w:color w:val="auto"/>
              </w:rPr>
            </w:pPr>
          </w:p>
        </w:tc>
      </w:tr>
      <w:tr>
        <w:trPr>
          <w:trHeight w:val="135"/>
        </w:trPr>
        <w:tc>
          <w:tcPr>
            <w:tcW w:w="1560" w:type="dxa"/>
            <w:vAlign w:val="bottom"/>
          </w:tcPr>
          <w:p>
            <w:pPr>
              <w:ind w:left="40"/>
              <w:spacing w:after="0" w:line="135" w:lineRule="exact"/>
              <w:rPr>
                <w:sz w:val="20"/>
                <w:szCs w:val="20"/>
                <w:color w:val="auto"/>
              </w:rPr>
            </w:pPr>
            <w:r>
              <w:rPr>
                <w:rFonts w:ascii="Arial" w:cs="Arial" w:eastAsia="Arial" w:hAnsi="Arial"/>
                <w:sz w:val="13"/>
                <w:szCs w:val="13"/>
                <w:color w:val="auto"/>
              </w:rPr>
              <w:t>Accelerated Performance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1560" w:type="dxa"/>
            <w:vAlign w:val="bottom"/>
          </w:tcPr>
          <w:p>
            <w:pPr>
              <w:ind w:left="220"/>
              <w:spacing w:after="0"/>
              <w:rPr>
                <w:sz w:val="20"/>
                <w:szCs w:val="20"/>
                <w:color w:val="auto"/>
              </w:rPr>
            </w:pPr>
            <w:r>
              <w:rPr>
                <w:rFonts w:ascii="Arial" w:cs="Arial" w:eastAsia="Arial" w:hAnsi="Arial"/>
                <w:sz w:val="13"/>
                <w:szCs w:val="13"/>
                <w:color w:val="auto"/>
              </w:rPr>
              <w:t>RSUs (PRSUs)</w:t>
            </w:r>
            <w:r>
              <w:rPr>
                <w:rFonts w:ascii="Arial" w:cs="Arial" w:eastAsia="Arial" w:hAnsi="Arial"/>
                <w:sz w:val="20"/>
                <w:szCs w:val="20"/>
                <w:color w:val="auto"/>
                <w:vertAlign w:val="superscript"/>
              </w:rPr>
              <w:t>(6)</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w w:val="93"/>
              </w:rPr>
              <w:t>1,503,125</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w w:val="96"/>
              </w:rPr>
              <w:t>1,503,125</w:t>
            </w:r>
          </w:p>
        </w:tc>
        <w:tc>
          <w:tcPr>
            <w:tcW w:w="240" w:type="dxa"/>
            <w:vAlign w:val="bottom"/>
          </w:tcPr>
          <w:p>
            <w:pPr>
              <w:ind w:left="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951,909</w:t>
            </w:r>
          </w:p>
        </w:tc>
        <w:tc>
          <w:tcPr>
            <w:tcW w:w="18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551,216</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44,913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-854710</wp:posOffset>
            </wp:positionV>
            <wp:extent cx="6069330" cy="7886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69330" cy="7886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53340</wp:posOffset>
            </wp:positionV>
            <wp:extent cx="8483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190" w:lineRule="exact"/>
        <w:rPr>
          <w:sz w:val="20"/>
          <w:szCs w:val="20"/>
          <w:color w:val="auto"/>
        </w:rPr>
      </w:pPr>
    </w:p>
    <w:p>
      <w:pPr>
        <w:ind w:left="360" w:right="120" w:hanging="355"/>
        <w:spacing w:after="0" w:line="244" w:lineRule="auto"/>
        <w:tabs>
          <w:tab w:leader="none" w:pos="3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96" w:lineRule="exact"/>
        <w:rPr>
          <w:rFonts w:ascii="Arial" w:cs="Arial" w:eastAsia="Arial" w:hAnsi="Arial"/>
          <w:sz w:val="14"/>
          <w:szCs w:val="14"/>
          <w:color w:val="auto"/>
        </w:rPr>
      </w:pPr>
    </w:p>
    <w:p>
      <w:pPr>
        <w:ind w:left="360" w:right="60" w:hanging="355"/>
        <w:spacing w:after="0" w:line="249" w:lineRule="auto"/>
        <w:tabs>
          <w:tab w:leader="none" w:pos="3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The annual incentive plan paid out below target in 2019, so the value represents the incremental difference between the target and actual bonus paid.</w:t>
      </w:r>
    </w:p>
    <w:p>
      <w:pPr>
        <w:spacing w:after="0" w:line="92" w:lineRule="exact"/>
        <w:rPr>
          <w:rFonts w:ascii="Arial" w:cs="Arial" w:eastAsia="Arial" w:hAnsi="Arial"/>
          <w:sz w:val="14"/>
          <w:szCs w:val="14"/>
          <w:color w:val="auto"/>
        </w:rPr>
      </w:pPr>
    </w:p>
    <w:p>
      <w:pPr>
        <w:ind w:left="360" w:right="60" w:hanging="355"/>
        <w:spacing w:after="0" w:line="244" w:lineRule="auto"/>
        <w:tabs>
          <w:tab w:leader="none" w:pos="3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in-the-money value of accelerated stock options based on the closing price of our common stock on December 31, 2019 ($83.95). For the awards in fiscal 2017, upon a termination due to retirement after the second anniversary of the grant date, stock options will continue to vest subject to non-compete/non-solicit and reasonable notice restrictions. For the awards in fiscal 2018, upon a termination due to retirement after 18 months from the grant date, stock options will continue to vest subject to non-compete/non-solicit and reasonable notice restrictions. 2018 awards are assumed forfeited, as retirement at December 31, 2019 is before the first anniversary of the grant date. Upon a change-in-control, stock options will accelerate only if they are not assumed or substituted, and otherwise provide for a double trigger; values presume that the acquirer assumes outstanding stock options.</w:t>
      </w:r>
    </w:p>
    <w:p>
      <w:pPr>
        <w:spacing w:after="0" w:line="96" w:lineRule="exact"/>
        <w:rPr>
          <w:rFonts w:ascii="Arial" w:cs="Arial" w:eastAsia="Arial" w:hAnsi="Arial"/>
          <w:sz w:val="14"/>
          <w:szCs w:val="14"/>
          <w:color w:val="auto"/>
        </w:rPr>
      </w:pPr>
    </w:p>
    <w:p>
      <w:pPr>
        <w:ind w:left="360" w:right="60" w:hanging="355"/>
        <w:spacing w:after="0" w:line="245" w:lineRule="auto"/>
        <w:tabs>
          <w:tab w:leader="none" w:pos="3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Effective April 29, 2014, the Executive Officer Severance Pay Policy provides an executive officer, who is terminated involuntarily, a severance payment equal to 1 times base salary plus one year of continued benefits and outplacement. In 2019, the Compensation Committee approved a temporary modification to the plan. This modification states that if an executive is terminated involuntarily within twelve months of the new CEO hire date, severance payment equal to 1.5 times base salary plus 18 months of continued benefits and outplacement will be made. The change-in-control agreement provides for a severance payment equal to 2 times the sum of base salary and target annual bonus.</w:t>
      </w:r>
    </w:p>
    <w:p>
      <w:pPr>
        <w:spacing w:after="0" w:line="96" w:lineRule="exact"/>
        <w:rPr>
          <w:rFonts w:ascii="Arial" w:cs="Arial" w:eastAsia="Arial" w:hAnsi="Arial"/>
          <w:sz w:val="14"/>
          <w:szCs w:val="14"/>
          <w:color w:val="auto"/>
        </w:rPr>
      </w:pPr>
    </w:p>
    <w:p>
      <w:pPr>
        <w:ind w:left="360" w:right="20" w:hanging="355"/>
        <w:spacing w:after="0" w:line="243" w:lineRule="auto"/>
        <w:tabs>
          <w:tab w:leader="none" w:pos="3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For the time-vested RSUs, upon termination due to death or disability, represents the accelerated value of the RSUs based on the closing price of our common stock on December 31, 2019 ($83.95). For the awards in fiscal 2017, upon a termination due to retirement after the second anniversary of the grant date, RSUs will continue to vest subject to non-compete/non-solicit and reasonable notice restrictions. For the awards in fiscal 2018, upon a termination due to retirement after 18 months from the grant date, RSUs will continue to vest subject to non-compete/non-solicit and reasonable notice restrictions. For the awards in fiscal 2019, upon a termination due to retirement after the first anniversary of the grant date, RSUs will continue to vest subject to non-compete/non-solicit and reasonable notice restrictions. 2019 awards are assumed forfeited, as retirement at December 31, 2019 is before the first anniversary of the the grant date. For awards in fiscal 2019, upon termination without cause within 12 months of the employment commencement of the new Chief Executive Officer, RSUs continue to vest. Upon a change-in-control only (single trigger), RSUs that are not assumed by an acquirer will accelerate; values presume that the acquirer assumes applicable outstanding RSUs.</w:t>
      </w:r>
    </w:p>
    <w:p>
      <w:pPr>
        <w:spacing w:after="0" w:line="260" w:lineRule="exact"/>
        <w:rPr>
          <w:rFonts w:ascii="Arial" w:cs="Arial" w:eastAsia="Arial" w:hAnsi="Arial"/>
          <w:sz w:val="14"/>
          <w:szCs w:val="14"/>
          <w:color w:val="auto"/>
        </w:rPr>
      </w:pPr>
    </w:p>
    <w:p>
      <w:pPr>
        <w:ind w:left="360" w:hanging="355"/>
        <w:spacing w:after="0" w:line="242" w:lineRule="auto"/>
        <w:tabs>
          <w:tab w:leader="none" w:pos="3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Upon a termination due to death or disability, awards will vest based on actual performance at the conclusion of the performance periods. Shares continue to vest through the year of death or disability and all unvested shares are accelerated. Fiscal 2018 values assume target performance will be achieved, while fiscal 2019 values assume maximum performance will be achieved. For the awards granted in fiscal 2017, upon a termination due to retirement after the second anniversary of the grant date, awards will vest in full based on actual performance at the end of the performance period (no pro-rated payout). For the awards granted in fiscal 2018, upon a termination due to retirement after 18 months from the grant date, awards will vest in full based on actual performance at the end of the performance period (no pro-rated payout). For the awards granted in fiscal 2019, upon a termination due to retirement after the first anniversary of the grant date, awards will vest in full based on actual performance at the end of the performance period (no pro-rated payout). 2019 awards are assumed forfeited, as retirement at December 31, 2019 is before the first anniversary of the grant date. For awards in fiscal 2019, upon termination without cause within 12 months of the employment commencement of the new Chief Executive Officer, PRSUs continue to vest. 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As of December 31, 2019, two three-year performance cycles (2018-2020 and 2019-2021) are not yet complete; target payouts are being used for the 2018-2020 cycle, while maximum payouts are being used for the 2019-2021 cycle. For the 2017-2019 performance cycle, actual payouts were less than target. Upon a termination following a change-in-control, value represents the incremental difference in values between target and actual performance (e.g. no value for cycles where actual payouts are greater than or equal to target amounts). Values are based on the closing price of our common stock on December 31, 2019 ($83.95).</w:t>
      </w:r>
    </w:p>
    <w:p>
      <w:pPr>
        <w:spacing w:after="0" w:line="218"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Summary of Termination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60090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2"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Donald Reeves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5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center"/>
              <w:spacing w:after="0" w:line="156" w:lineRule="exact"/>
              <w:rPr>
                <w:sz w:val="20"/>
                <w:szCs w:val="20"/>
                <w:color w:val="auto"/>
              </w:rPr>
            </w:pPr>
            <w:r>
              <w:rPr>
                <w:rFonts w:ascii="Arial" w:cs="Arial" w:eastAsia="Arial" w:hAnsi="Arial"/>
                <w:sz w:val="14"/>
                <w:szCs w:val="14"/>
                <w:b w:val="1"/>
                <w:bCs w:val="1"/>
                <w:color w:val="auto"/>
              </w:rPr>
              <w:t>Termination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Without</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Cause</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or by</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Executive</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for Good</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Reason</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Termination</w:t>
            </w: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Change-</w:t>
            </w:r>
          </w:p>
        </w:tc>
        <w:tc>
          <w:tcPr>
            <w:tcW w:w="1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Following a</w:t>
            </w:r>
          </w:p>
        </w:tc>
        <w:tc>
          <w:tcPr>
            <w:tcW w:w="0" w:type="dxa"/>
            <w:vAlign w:val="bottom"/>
          </w:tcPr>
          <w:p>
            <w:pPr>
              <w:spacing w:after="0"/>
              <w:rPr>
                <w:sz w:val="1"/>
                <w:szCs w:val="1"/>
                <w:color w:val="auto"/>
              </w:rPr>
            </w:pPr>
          </w:p>
        </w:tc>
      </w:tr>
      <w:tr>
        <w:trPr>
          <w:trHeight w:val="162"/>
        </w:trPr>
        <w:tc>
          <w:tcPr>
            <w:tcW w:w="15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Executive Benefits</w:t>
            </w:r>
            <w:r>
              <w:rPr>
                <w:rFonts w:ascii="Arial" w:cs="Arial" w:eastAsia="Arial" w:hAnsi="Arial"/>
                <w:sz w:val="24"/>
                <w:szCs w:val="24"/>
                <w:b w:val="1"/>
                <w:bCs w:val="1"/>
                <w:color w:val="auto"/>
                <w:vertAlign w:val="superscript"/>
              </w:rPr>
              <w:t>(1)</w:t>
            </w:r>
          </w:p>
        </w:tc>
        <w:tc>
          <w:tcPr>
            <w:tcW w:w="20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Termination</w:t>
            </w: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Voluntary</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Without</w:t>
            </w:r>
          </w:p>
        </w:tc>
        <w:tc>
          <w:tcPr>
            <w:tcW w:w="12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w:t>
            </w:r>
          </w:p>
        </w:tc>
        <w:tc>
          <w:tcPr>
            <w:tcW w:w="1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Change-in-</w:t>
            </w:r>
          </w:p>
        </w:tc>
        <w:tc>
          <w:tcPr>
            <w:tcW w:w="0" w:type="dxa"/>
            <w:vAlign w:val="bottom"/>
          </w:tcPr>
          <w:p>
            <w:pPr>
              <w:spacing w:after="0"/>
              <w:rPr>
                <w:sz w:val="1"/>
                <w:szCs w:val="1"/>
                <w:color w:val="auto"/>
              </w:rPr>
            </w:pPr>
          </w:p>
        </w:tc>
      </w:tr>
      <w:tr>
        <w:trPr>
          <w:trHeight w:val="189"/>
        </w:trPr>
        <w:tc>
          <w:tcPr>
            <w:tcW w:w="158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Cause</w:t>
            </w:r>
          </w:p>
        </w:tc>
        <w:tc>
          <w:tcPr>
            <w:tcW w:w="180" w:type="dxa"/>
            <w:vAlign w:val="bottom"/>
          </w:tcPr>
          <w:p>
            <w:pPr>
              <w:spacing w:after="0"/>
              <w:rPr>
                <w:sz w:val="16"/>
                <w:szCs w:val="16"/>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Termination</w:t>
            </w:r>
          </w:p>
        </w:tc>
        <w:tc>
          <w:tcPr>
            <w:tcW w:w="180" w:type="dxa"/>
            <w:vAlign w:val="bottom"/>
          </w:tcPr>
          <w:p>
            <w:pPr>
              <w:spacing w:after="0"/>
              <w:rPr>
                <w:sz w:val="16"/>
                <w:szCs w:val="16"/>
                <w:color w:val="auto"/>
              </w:rPr>
            </w:pPr>
          </w:p>
        </w:tc>
        <w:tc>
          <w:tcPr>
            <w:tcW w:w="58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4"/>
                <w:szCs w:val="14"/>
                <w:b w:val="1"/>
                <w:bCs w:val="1"/>
                <w:color w:val="auto"/>
              </w:rPr>
              <w:t>Death</w:t>
            </w:r>
          </w:p>
        </w:tc>
        <w:tc>
          <w:tcPr>
            <w:tcW w:w="180" w:type="dxa"/>
            <w:vAlign w:val="bottom"/>
          </w:tcPr>
          <w:p>
            <w:pPr>
              <w:spacing w:after="0"/>
              <w:rPr>
                <w:sz w:val="16"/>
                <w:szCs w:val="16"/>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Disability</w:t>
            </w:r>
          </w:p>
        </w:tc>
        <w:tc>
          <w:tcPr>
            <w:tcW w:w="180" w:type="dxa"/>
            <w:vAlign w:val="bottom"/>
          </w:tcPr>
          <w:p>
            <w:pPr>
              <w:spacing w:after="0"/>
              <w:rPr>
                <w:sz w:val="16"/>
                <w:szCs w:val="16"/>
                <w:color w:val="auto"/>
              </w:rPr>
            </w:pPr>
          </w:p>
        </w:tc>
        <w:tc>
          <w:tcPr>
            <w:tcW w:w="8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Retirement</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Cause</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Control</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rPr>
              <w:t>Control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Annual Incentive</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tcPr>
          <w:p>
            <w:pPr>
              <w:ind w:left="40"/>
              <w:spacing w:after="0" w:line="135" w:lineRule="exact"/>
              <w:rPr>
                <w:sz w:val="20"/>
                <w:szCs w:val="20"/>
                <w:color w:val="auto"/>
              </w:rPr>
            </w:pPr>
            <w:r>
              <w:rPr>
                <w:rFonts w:ascii="Arial" w:cs="Arial" w:eastAsia="Arial" w:hAnsi="Arial"/>
                <w:sz w:val="13"/>
                <w:szCs w:val="13"/>
                <w:color w:val="auto"/>
              </w:rPr>
              <w:t>Accelerated Stock</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40"/>
              <w:spacing w:after="0" w:line="163" w:lineRule="exact"/>
              <w:rPr>
                <w:sz w:val="20"/>
                <w:szCs w:val="20"/>
                <w:color w:val="auto"/>
              </w:rPr>
            </w:pPr>
            <w:r>
              <w:rPr>
                <w:rFonts w:ascii="Arial" w:cs="Arial" w:eastAsia="Arial" w:hAnsi="Arial"/>
                <w:sz w:val="12"/>
                <w:szCs w:val="12"/>
                <w:color w:val="auto"/>
              </w:rPr>
              <w:t>Options</w:t>
            </w:r>
            <w:r>
              <w:rPr>
                <w:rFonts w:ascii="Arial" w:cs="Arial" w:eastAsia="Arial" w:hAnsi="Arial"/>
                <w:sz w:val="18"/>
                <w:szCs w:val="18"/>
                <w:color w:val="auto"/>
                <w:vertAlign w:val="superscript"/>
              </w:rPr>
              <w:t>(2)</w:t>
            </w:r>
          </w:p>
        </w:tc>
        <w:tc>
          <w:tcPr>
            <w:tcW w:w="300" w:type="dxa"/>
            <w:vAlign w:val="bottom"/>
            <w:gridSpan w:val="2"/>
          </w:tcPr>
          <w:p>
            <w:pPr>
              <w:ind w:left="220"/>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38,830</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38,830</w:t>
            </w:r>
          </w:p>
        </w:tc>
        <w:tc>
          <w:tcPr>
            <w:tcW w:w="400" w:type="dxa"/>
            <w:vAlign w:val="bottom"/>
          </w:tcPr>
          <w:p>
            <w:pPr>
              <w:ind w:left="40"/>
              <w:spacing w:after="0"/>
              <w:rPr>
                <w:sz w:val="20"/>
                <w:szCs w:val="20"/>
                <w:color w:val="auto"/>
              </w:rPr>
            </w:pPr>
            <w:r>
              <w:rPr>
                <w:rFonts w:ascii="Arial" w:cs="Arial" w:eastAsia="Arial" w:hAnsi="Arial"/>
                <w:sz w:val="13"/>
                <w:szCs w:val="13"/>
                <w:color w:val="auto"/>
              </w:rPr>
              <w:t>$</w:t>
            </w: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52,886</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52,886</w:t>
            </w: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ind w:left="40"/>
              <w:spacing w:after="0" w:line="162" w:lineRule="exact"/>
              <w:rPr>
                <w:sz w:val="20"/>
                <w:szCs w:val="20"/>
                <w:color w:val="auto"/>
              </w:rPr>
            </w:pPr>
            <w:r>
              <w:rPr>
                <w:rFonts w:ascii="Arial" w:cs="Arial" w:eastAsia="Arial" w:hAnsi="Arial"/>
                <w:sz w:val="12"/>
                <w:szCs w:val="12"/>
                <w:color w:val="auto"/>
              </w:rPr>
              <w:t>Severance</w:t>
            </w:r>
            <w:r>
              <w:rPr>
                <w:rFonts w:ascii="Arial" w:cs="Arial" w:eastAsia="Arial" w:hAnsi="Arial"/>
                <w:sz w:val="18"/>
                <w:szCs w:val="18"/>
                <w:color w:val="auto"/>
                <w:vertAlign w:val="superscript"/>
              </w:rPr>
              <w:t>(3)</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445,074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445,074</w:t>
            </w:r>
          </w:p>
        </w:tc>
        <w:tc>
          <w:tcPr>
            <w:tcW w:w="0" w:type="dxa"/>
            <w:vAlign w:val="bottom"/>
          </w:tcPr>
          <w:p>
            <w:pPr>
              <w:spacing w:after="0"/>
              <w:rPr>
                <w:sz w:val="1"/>
                <w:szCs w:val="1"/>
                <w:color w:val="auto"/>
              </w:rPr>
            </w:pPr>
          </w:p>
        </w:tc>
      </w:tr>
      <w:tr>
        <w:trPr>
          <w:trHeight w:val="161"/>
        </w:trPr>
        <w:tc>
          <w:tcPr>
            <w:tcW w:w="1580" w:type="dxa"/>
            <w:vAlign w:val="bottom"/>
          </w:tcPr>
          <w:p>
            <w:pPr>
              <w:ind w:left="40"/>
              <w:spacing w:after="0"/>
              <w:rPr>
                <w:sz w:val="20"/>
                <w:szCs w:val="20"/>
                <w:color w:val="auto"/>
              </w:rPr>
            </w:pPr>
            <w:r>
              <w:rPr>
                <w:rFonts w:ascii="Arial" w:cs="Arial" w:eastAsia="Arial" w:hAnsi="Arial"/>
                <w:sz w:val="13"/>
                <w:szCs w:val="13"/>
                <w:color w:val="auto"/>
              </w:rPr>
              <w:t>Benefit Continuation</w:t>
            </w:r>
          </w:p>
        </w:tc>
        <w:tc>
          <w:tcPr>
            <w:tcW w:w="300" w:type="dxa"/>
            <w:vAlign w:val="bottom"/>
            <w:gridSpan w:val="2"/>
          </w:tcPr>
          <w:p>
            <w:pPr>
              <w:ind w:left="220"/>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00" w:type="dxa"/>
            <w:vAlign w:val="bottom"/>
          </w:tcPr>
          <w:p>
            <w:pPr>
              <w:ind w:left="40"/>
              <w:spacing w:after="0"/>
              <w:rPr>
                <w:sz w:val="20"/>
                <w:szCs w:val="20"/>
                <w:color w:val="auto"/>
              </w:rPr>
            </w:pPr>
            <w:r>
              <w:rPr>
                <w:rFonts w:ascii="Arial" w:cs="Arial" w:eastAsia="Arial" w:hAnsi="Arial"/>
                <w:sz w:val="13"/>
                <w:szCs w:val="13"/>
                <w:color w:val="auto"/>
              </w:rPr>
              <w:t>$</w:t>
            </w: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1580" w:type="dxa"/>
            <w:vAlign w:val="bottom"/>
            <w:shd w:val="clear" w:color="auto" w:fill="CCEEFF"/>
          </w:tcPr>
          <w:p>
            <w:pPr>
              <w:ind w:left="40"/>
              <w:spacing w:after="0" w:line="164" w:lineRule="exact"/>
              <w:rPr>
                <w:sz w:val="20"/>
                <w:szCs w:val="20"/>
                <w:color w:val="auto"/>
              </w:rPr>
            </w:pPr>
            <w:r>
              <w:rPr>
                <w:rFonts w:ascii="Arial" w:cs="Arial" w:eastAsia="Arial" w:hAnsi="Arial"/>
                <w:sz w:val="12"/>
                <w:szCs w:val="12"/>
                <w:color w:val="auto"/>
              </w:rPr>
              <w:t>Accelerated RSUs</w:t>
            </w:r>
            <w:r>
              <w:rPr>
                <w:rFonts w:ascii="Arial" w:cs="Arial" w:eastAsia="Arial" w:hAnsi="Arial"/>
                <w:sz w:val="18"/>
                <w:szCs w:val="18"/>
                <w:color w:val="auto"/>
                <w:vertAlign w:val="superscript"/>
              </w:rPr>
              <w:t>(4)</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343,775</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343,775</w:t>
            </w:r>
          </w:p>
        </w:tc>
        <w:tc>
          <w:tcPr>
            <w:tcW w:w="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353,010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353,010</w:t>
            </w:r>
          </w:p>
        </w:tc>
        <w:tc>
          <w:tcPr>
            <w:tcW w:w="0" w:type="dxa"/>
            <w:vAlign w:val="bottom"/>
          </w:tcPr>
          <w:p>
            <w:pPr>
              <w:spacing w:after="0"/>
              <w:rPr>
                <w:sz w:val="1"/>
                <w:szCs w:val="1"/>
                <w:color w:val="auto"/>
              </w:rPr>
            </w:pPr>
          </w:p>
        </w:tc>
      </w:tr>
      <w:tr>
        <w:trPr>
          <w:trHeight w:val="135"/>
        </w:trPr>
        <w:tc>
          <w:tcPr>
            <w:tcW w:w="1580" w:type="dxa"/>
            <w:vAlign w:val="bottom"/>
          </w:tcPr>
          <w:p>
            <w:pPr>
              <w:ind w:left="40"/>
              <w:spacing w:after="0" w:line="135" w:lineRule="exact"/>
              <w:rPr>
                <w:sz w:val="20"/>
                <w:szCs w:val="20"/>
                <w:color w:val="auto"/>
              </w:rPr>
            </w:pPr>
            <w:r>
              <w:rPr>
                <w:rFonts w:ascii="Arial" w:cs="Arial" w:eastAsia="Arial" w:hAnsi="Arial"/>
                <w:sz w:val="13"/>
                <w:szCs w:val="13"/>
                <w:color w:val="auto"/>
              </w:rPr>
              <w:t>Accelerated Performance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1580" w:type="dxa"/>
            <w:vAlign w:val="bottom"/>
          </w:tcPr>
          <w:p>
            <w:pPr>
              <w:ind w:left="220"/>
              <w:spacing w:after="0"/>
              <w:rPr>
                <w:sz w:val="20"/>
                <w:szCs w:val="20"/>
                <w:color w:val="auto"/>
              </w:rPr>
            </w:pPr>
            <w:r>
              <w:rPr>
                <w:rFonts w:ascii="Arial" w:cs="Arial" w:eastAsia="Arial" w:hAnsi="Arial"/>
                <w:sz w:val="13"/>
                <w:szCs w:val="13"/>
                <w:color w:val="auto"/>
              </w:rPr>
              <w:t>RSUs (PRSUs)</w:t>
            </w:r>
            <w:r>
              <w:rPr>
                <w:rFonts w:ascii="Arial" w:cs="Arial" w:eastAsia="Arial" w:hAnsi="Arial"/>
                <w:sz w:val="20"/>
                <w:szCs w:val="20"/>
                <w:color w:val="auto"/>
                <w:vertAlign w:val="superscript"/>
              </w:rPr>
              <w:t>(5)</w:t>
            </w:r>
          </w:p>
        </w:tc>
        <w:tc>
          <w:tcPr>
            <w:tcW w:w="300" w:type="dxa"/>
            <w:vAlign w:val="bottom"/>
            <w:gridSpan w:val="2"/>
          </w:tcPr>
          <w:p>
            <w:pPr>
              <w:ind w:left="220"/>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97"/>
              </w:rPr>
              <w:t>470,288</w:t>
            </w:r>
          </w:p>
        </w:tc>
        <w:tc>
          <w:tcPr>
            <w:tcW w:w="18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470,288</w:t>
            </w:r>
          </w:p>
        </w:tc>
        <w:tc>
          <w:tcPr>
            <w:tcW w:w="400" w:type="dxa"/>
            <w:vAlign w:val="bottom"/>
          </w:tcPr>
          <w:p>
            <w:pPr>
              <w:ind w:left="40"/>
              <w:spacing w:after="0"/>
              <w:rPr>
                <w:sz w:val="20"/>
                <w:szCs w:val="20"/>
                <w:color w:val="auto"/>
              </w:rPr>
            </w:pPr>
            <w:r>
              <w:rPr>
                <w:rFonts w:ascii="Arial" w:cs="Arial" w:eastAsia="Arial" w:hAnsi="Arial"/>
                <w:sz w:val="13"/>
                <w:szCs w:val="13"/>
                <w:color w:val="auto"/>
              </w:rPr>
              <w:t>$</w:t>
            </w: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-854710</wp:posOffset>
            </wp:positionV>
            <wp:extent cx="6069330" cy="7886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69330" cy="7886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53340</wp:posOffset>
            </wp:positionV>
            <wp:extent cx="8483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190" w:lineRule="exact"/>
        <w:rPr>
          <w:sz w:val="20"/>
          <w:szCs w:val="20"/>
          <w:color w:val="auto"/>
        </w:rPr>
      </w:pPr>
    </w:p>
    <w:p>
      <w:pPr>
        <w:ind w:left="360" w:right="120" w:hanging="355"/>
        <w:spacing w:after="0" w:line="245" w:lineRule="auto"/>
        <w:tabs>
          <w:tab w:leader="none" w:pos="3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Each form of payment is mutually exclusive based on the individual circumstances or events and therefore represents a single payment and should not be added together.</w:t>
      </w:r>
    </w:p>
    <w:p>
      <w:pPr>
        <w:spacing w:after="0" w:line="96" w:lineRule="exact"/>
        <w:rPr>
          <w:rFonts w:ascii="Arial" w:cs="Arial" w:eastAsia="Arial" w:hAnsi="Arial"/>
          <w:sz w:val="14"/>
          <w:szCs w:val="14"/>
          <w:color w:val="auto"/>
        </w:rPr>
      </w:pPr>
    </w:p>
    <w:p>
      <w:pPr>
        <w:ind w:left="360" w:right="20" w:hanging="355"/>
        <w:spacing w:after="0" w:line="244" w:lineRule="auto"/>
        <w:tabs>
          <w:tab w:leader="none" w:pos="3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Represents in-the-money value of accelerated stock options based on the closing price of our common stock on December 31, 2019 ($83.95). For the awards in fiscal 2018, upon a termination due to retirement after 18 months from the grant date, stock options will continue to vest subject to non-compete/non-solicit and reasonable notice restrictions. 2018 awards are assumed forfeited, as retirement at December 31, 2019 is within 18 months of the grant date. Pursuant to the executive's offer letter, if employment is terminated without cause before May 10, 2020, the executive is entitled to accelerated vesting of options that were assumed by the Company in the Silver Springs acquisition, but not any of the options granted by the Company. Upon a change-in-control, stock options will accelerate only if they are not assumed or substituted, and otherwise provide for a double trigger; values presume that the acquirer assumes outstanding stock options.</w:t>
      </w:r>
    </w:p>
    <w:p>
      <w:pPr>
        <w:spacing w:after="0" w:line="96" w:lineRule="exact"/>
        <w:rPr>
          <w:rFonts w:ascii="Arial" w:cs="Arial" w:eastAsia="Arial" w:hAnsi="Arial"/>
          <w:sz w:val="14"/>
          <w:szCs w:val="14"/>
          <w:color w:val="auto"/>
        </w:rPr>
      </w:pPr>
    </w:p>
    <w:p>
      <w:pPr>
        <w:ind w:left="360" w:right="20" w:hanging="355"/>
        <w:spacing w:after="0" w:line="249" w:lineRule="auto"/>
        <w:tabs>
          <w:tab w:leader="none" w:pos="3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In December 2019, Mr. Reeves became entitled to the Executive Officer Severance Pay Policy which provides an executive officer, who is terminated involuntarily, a severance payment equal to 1 times base salary plus one year of continued benefits and outplacement. The Company does not maintain any change-in-control agreement with the executive.</w:t>
      </w:r>
    </w:p>
    <w:p>
      <w:pPr>
        <w:spacing w:after="0" w:line="92" w:lineRule="exact"/>
        <w:rPr>
          <w:rFonts w:ascii="Arial" w:cs="Arial" w:eastAsia="Arial" w:hAnsi="Arial"/>
          <w:sz w:val="14"/>
          <w:szCs w:val="14"/>
          <w:color w:val="auto"/>
        </w:rPr>
      </w:pPr>
    </w:p>
    <w:p>
      <w:pPr>
        <w:ind w:left="360" w:hanging="355"/>
        <w:spacing w:after="0" w:line="243" w:lineRule="auto"/>
        <w:tabs>
          <w:tab w:leader="none" w:pos="3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For the time-vested RSUs, upon termination due to death or disability, represents the accelerated value of the RSUs based on the closing price of our common stock on December 31, 2019 ($83.95). For the awards in fiscal 2018, upon a termination due to retirement after 18 months from the grant date, RSUs will continue to vest subject to non-compete/non-solicit and reasonable notice restrictions. For the awards in fiscal 2019, upon a termination due to retirement after the first anniversary of the grant date, RSUs will continue to vest subject to non-compete/non-solicit and reasonable notice restrictions. 2018 and 2019 awards are assumed forfeited, as retirement at December 31, 2019 is within 18 months from the the grant date of the 2018 awards and within 12 months of the grant date of the 2019 awards. Pursuant to the executive's offer letter, if employment is terminated without cause before May 10, 2020, the executive is entitled to accelerated vesting of RSUs that were assumed by the Company in the Silver Springs acquisition, but not any of the RSUs granted by the Company. Upon a change-in-control only (single trigger), RSUs that are not assumed by an acquirer will accelerate; values presume that the acquirer assumes applicable outstanding RSUs.</w:t>
      </w:r>
    </w:p>
    <w:p>
      <w:pPr>
        <w:spacing w:after="0" w:line="98" w:lineRule="exact"/>
        <w:rPr>
          <w:rFonts w:ascii="Arial" w:cs="Arial" w:eastAsia="Arial" w:hAnsi="Arial"/>
          <w:sz w:val="14"/>
          <w:szCs w:val="14"/>
          <w:color w:val="auto"/>
        </w:rPr>
      </w:pPr>
    </w:p>
    <w:p>
      <w:pPr>
        <w:ind w:left="360" w:right="100" w:hanging="355"/>
        <w:spacing w:after="0" w:line="241" w:lineRule="auto"/>
        <w:tabs>
          <w:tab w:leader="none" w:pos="3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Upon a termination due to death or disability, awards will vest based on actual performance at the conclusion of the performance periods. Shares continue to vest through the year of death or disability and all unvested shares are accelerated. Fiscal 2018 values assume target performance will be achieved, while fiscal 2019 values assume maximum performance will be achieved. For the awards granted in fiscal 2018, upon a termination due to retirement after 18 months from the grant date, awards will vest in full based on actual performance at the end of the performance period (no pro-rated payout). For the awards granted in fiscal 2019, upon a termination due to retirement after the first anniversary of the grant date, awards will vest in full based on actual performance at the end of the performance period (no pro-rated payout). 2018 and</w:t>
      </w:r>
    </w:p>
    <w:p>
      <w:pPr>
        <w:spacing w:after="0" w:line="2" w:lineRule="exact"/>
        <w:rPr>
          <w:rFonts w:ascii="Arial" w:cs="Arial" w:eastAsia="Arial" w:hAnsi="Arial"/>
          <w:sz w:val="14"/>
          <w:szCs w:val="14"/>
          <w:color w:val="auto"/>
        </w:rPr>
      </w:pPr>
    </w:p>
    <w:p>
      <w:pPr>
        <w:ind w:left="360" w:right="20"/>
        <w:spacing w:after="0" w:line="241" w:lineRule="auto"/>
        <w:rPr>
          <w:rFonts w:ascii="Arial" w:cs="Arial" w:eastAsia="Arial" w:hAnsi="Arial"/>
          <w:sz w:val="14"/>
          <w:szCs w:val="14"/>
          <w:color w:val="auto"/>
        </w:rPr>
      </w:pPr>
      <w:r>
        <w:rPr>
          <w:rFonts w:ascii="Arial" w:cs="Arial" w:eastAsia="Arial" w:hAnsi="Arial"/>
          <w:sz w:val="14"/>
          <w:szCs w:val="14"/>
          <w:color w:val="auto"/>
        </w:rPr>
        <w:t>2019 awards are assumed forfeited, as retirement at December 31, 2019 is within 18 months from the grant date of the 2018 awards and within 12 months of the grant date of the 2019 awards. Upon a termination following a change-in-control, value represents the incremental difference in values between target and actual performance (e.g. no value for cycles where actual payouts are greater than or equal to target amounts).</w:t>
      </w:r>
    </w:p>
    <w:p>
      <w:pPr>
        <w:spacing w:after="0" w:line="1"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4"/>
          <w:szCs w:val="14"/>
          <w:color w:val="auto"/>
        </w:rPr>
        <w:t>Values are based on the closing price of our common stock on December 31, 2019 ($83.95).</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288925</wp:posOffset>
            </wp:positionV>
            <wp:extent cx="6069330" cy="431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 RATIFICATION OF INDEPENDENT REGISTERED PUBLIC ACCOUNTANT</w:t>
      </w:r>
    </w:p>
    <w:p>
      <w:pPr>
        <w:spacing w:after="0" w:line="19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Board, upon the recommendation of its Audit/Finance Committee, has selected Deloitte &amp; Touche LLP to serve as the Company’s independent registered public accountant for the 2020 fiscal year, subject to ratification by our shareholders. Although not required to do so, the Board is submitting the selection of Deloitte &amp; Touche LLP for ratification by the Company’s shareholders for their views on the Company’s independent registered public accountant and as a matter of good corporate practice. Deloitte &amp; Touche LLP has advised the Company that it has no direct, nor any material indirect, financial interest in the Company or any of its subsidiaries. Representatives of Deloitte &amp; Touche LLP are expected to be present at the Annual Meeting, will have the opportunity to make a statement, if they desire to do so, and will be available to respond to appropriate questions.</w:t>
      </w:r>
    </w:p>
    <w:p>
      <w:pPr>
        <w:spacing w:after="0" w:line="17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the event that our shareholders fail to ratify the selection, it will be considered as a direction to the Board and the Audit/Finance Committee to consider the selection of a different firm. Even if the selection is ratified, the Audit/Finance Committee in its discretion may select a different independent registered public accounting firm, subject to ratification by the Board, at any time during the year if it determines that such a change would be in the best interest of the Company and our shareholders.</w:t>
      </w:r>
    </w:p>
    <w:p>
      <w:pPr>
        <w:spacing w:after="0" w:line="3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The Board recommends that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1546225</wp:posOffset>
            </wp:positionH>
            <wp:positionV relativeFrom="paragraph">
              <wp:posOffset>-125095</wp:posOffset>
            </wp:positionV>
            <wp:extent cx="240030" cy="5314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40030" cy="531495"/>
                    </a:xfrm>
                    <a:prstGeom prst="rect">
                      <a:avLst/>
                    </a:prstGeom>
                    <a:noFill/>
                  </pic:spPr>
                </pic:pic>
              </a:graphicData>
            </a:graphic>
          </wp:anchor>
        </w:drawing>
      </w:r>
    </w:p>
    <w:p>
      <w:pPr>
        <w:ind w:left="2920"/>
        <w:spacing w:after="0"/>
        <w:rPr>
          <w:sz w:val="20"/>
          <w:szCs w:val="20"/>
          <w:color w:val="auto"/>
        </w:rPr>
      </w:pPr>
      <w:r>
        <w:rPr>
          <w:rFonts w:ascii="Arial" w:cs="Arial" w:eastAsia="Arial" w:hAnsi="Arial"/>
          <w:sz w:val="18"/>
          <w:szCs w:val="18"/>
          <w:b w:val="1"/>
          <w:bCs w:val="1"/>
          <w:color w:val="auto"/>
        </w:rPr>
        <w:t>vote “FOR” the ratification of Deloitte &amp;</w:t>
      </w:r>
    </w:p>
    <w:p>
      <w:pPr>
        <w:ind w:left="2920"/>
        <w:spacing w:after="0" w:line="234" w:lineRule="auto"/>
        <w:rPr>
          <w:sz w:val="20"/>
          <w:szCs w:val="20"/>
          <w:color w:val="auto"/>
        </w:rPr>
      </w:pPr>
      <w:r>
        <w:rPr>
          <w:rFonts w:ascii="Arial" w:cs="Arial" w:eastAsia="Arial" w:hAnsi="Arial"/>
          <w:sz w:val="18"/>
          <w:szCs w:val="18"/>
          <w:b w:val="1"/>
          <w:bCs w:val="1"/>
          <w:color w:val="auto"/>
        </w:rPr>
        <w:t>Touche LLP as our independent registered</w:t>
      </w:r>
    </w:p>
    <w:p>
      <w:pPr>
        <w:spacing w:after="0" w:line="1"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public accountant for fiscal year 2020.</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FIRM’S AUDIT FEES AND SERVICES</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the years ended December 31, 2018 and 2019, professional services were performed by Deloitte &amp; Touche LLP and their respective affiliates (collectively, Deloitte). The aggregate fees billed by Deloitte for the years ended December 31, 2018 and 2019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Services Rendered</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223"/>
        </w:trPr>
        <w:tc>
          <w:tcPr>
            <w:tcW w:w="6280" w:type="dxa"/>
            <w:vAlign w:val="bottom"/>
            <w:gridSpan w:val="2"/>
            <w:shd w:val="clear" w:color="auto" w:fill="CCEEFF"/>
          </w:tcPr>
          <w:p>
            <w:pPr>
              <w:ind w:left="40"/>
              <w:spacing w:after="0" w:line="223" w:lineRule="exact"/>
              <w:rPr>
                <w:sz w:val="20"/>
                <w:szCs w:val="20"/>
                <w:color w:val="auto"/>
              </w:rPr>
            </w:pPr>
            <w:r>
              <w:rPr>
                <w:rFonts w:ascii="Arial" w:cs="Arial" w:eastAsia="Arial" w:hAnsi="Arial"/>
                <w:sz w:val="16"/>
                <w:szCs w:val="16"/>
                <w:color w:val="auto"/>
              </w:rPr>
              <w:t>Audit Fees</w:t>
            </w:r>
            <w:r>
              <w:rPr>
                <w:rFonts w:ascii="Arial" w:cs="Arial" w:eastAsia="Arial" w:hAnsi="Arial"/>
                <w:sz w:val="25"/>
                <w:szCs w:val="25"/>
                <w:color w:val="auto"/>
                <w:vertAlign w:val="superscript"/>
              </w:rPr>
              <w:t>(1)</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11,488,189</w:t>
            </w:r>
          </w:p>
        </w:tc>
        <w:tc>
          <w:tcPr>
            <w:tcW w:w="1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7,684,560</w:t>
            </w:r>
          </w:p>
        </w:tc>
        <w:tc>
          <w:tcPr>
            <w:tcW w:w="100" w:type="dxa"/>
            <w:vAlign w:val="bottom"/>
            <w:shd w:val="clear" w:color="auto" w:fill="CCEEFF"/>
          </w:tcPr>
          <w:p>
            <w:pPr>
              <w:spacing w:after="0"/>
              <w:rPr>
                <w:sz w:val="19"/>
                <w:szCs w:val="19"/>
                <w:color w:val="auto"/>
              </w:rPr>
            </w:pPr>
          </w:p>
        </w:tc>
      </w:tr>
      <w:tr>
        <w:trPr>
          <w:trHeight w:val="230"/>
        </w:trPr>
        <w:tc>
          <w:tcPr>
            <w:tcW w:w="6280" w:type="dxa"/>
            <w:vAlign w:val="bottom"/>
            <w:gridSpan w:val="2"/>
          </w:tcPr>
          <w:p>
            <w:pPr>
              <w:ind w:left="40"/>
              <w:spacing w:after="0" w:line="230" w:lineRule="exact"/>
              <w:rPr>
                <w:sz w:val="20"/>
                <w:szCs w:val="20"/>
                <w:color w:val="auto"/>
              </w:rPr>
            </w:pPr>
            <w:r>
              <w:rPr>
                <w:rFonts w:ascii="Arial" w:cs="Arial" w:eastAsia="Arial" w:hAnsi="Arial"/>
                <w:sz w:val="16"/>
                <w:szCs w:val="16"/>
                <w:color w:val="auto"/>
              </w:rPr>
              <w:t>Audit-Related Fees</w:t>
            </w:r>
            <w:r>
              <w:rPr>
                <w:rFonts w:ascii="Arial" w:cs="Arial" w:eastAsia="Arial" w:hAnsi="Arial"/>
                <w:sz w:val="26"/>
                <w:szCs w:val="26"/>
                <w:color w:val="auto"/>
                <w:vertAlign w:val="superscript"/>
              </w:rPr>
              <w:t>(2)</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Audit and Audit-Related Fees</w:t>
            </w:r>
          </w:p>
        </w:tc>
        <w:tc>
          <w:tcPr>
            <w:tcW w:w="160" w:type="dxa"/>
            <w:vAlign w:val="bottom"/>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11,488,189</w:t>
            </w:r>
          </w:p>
        </w:tc>
        <w:tc>
          <w:tcPr>
            <w:tcW w:w="160" w:type="dxa"/>
            <w:vAlign w:val="bottom"/>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7,684,560</w:t>
            </w:r>
          </w:p>
        </w:tc>
        <w:tc>
          <w:tcPr>
            <w:tcW w:w="100" w:type="dxa"/>
            <w:vAlign w:val="bottom"/>
            <w:shd w:val="clear" w:color="auto" w:fill="CCEEFF"/>
          </w:tcPr>
          <w:p>
            <w:pPr>
              <w:spacing w:after="0"/>
              <w:rPr>
                <w:sz w:val="19"/>
                <w:szCs w:val="19"/>
                <w:color w:val="auto"/>
              </w:rPr>
            </w:pPr>
          </w:p>
        </w:tc>
      </w:tr>
      <w:tr>
        <w:trPr>
          <w:trHeight w:val="230"/>
        </w:trPr>
        <w:tc>
          <w:tcPr>
            <w:tcW w:w="6280" w:type="dxa"/>
            <w:vAlign w:val="bottom"/>
            <w:gridSpan w:val="2"/>
          </w:tcPr>
          <w:p>
            <w:pPr>
              <w:ind w:left="40"/>
              <w:spacing w:after="0" w:line="230" w:lineRule="exact"/>
              <w:rPr>
                <w:sz w:val="20"/>
                <w:szCs w:val="20"/>
                <w:color w:val="auto"/>
              </w:rPr>
            </w:pPr>
            <w:r>
              <w:rPr>
                <w:rFonts w:ascii="Arial" w:cs="Arial" w:eastAsia="Arial" w:hAnsi="Arial"/>
                <w:sz w:val="16"/>
                <w:szCs w:val="16"/>
                <w:color w:val="auto"/>
              </w:rPr>
              <w:t>Tax Fees</w:t>
            </w:r>
            <w:r>
              <w:rPr>
                <w:rFonts w:ascii="Arial" w:cs="Arial" w:eastAsia="Arial" w:hAnsi="Arial"/>
                <w:sz w:val="26"/>
                <w:szCs w:val="26"/>
                <w:color w:val="auto"/>
                <w:vertAlign w:val="superscript"/>
              </w:rPr>
              <w:t>(3)</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1,912,439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1,965,159</w:t>
            </w:r>
          </w:p>
        </w:tc>
        <w:tc>
          <w:tcPr>
            <w:tcW w:w="100" w:type="dxa"/>
            <w:vAlign w:val="bottom"/>
          </w:tcPr>
          <w:p>
            <w:pPr>
              <w:spacing w:after="0"/>
              <w:rPr>
                <w:sz w:val="19"/>
                <w:szCs w:val="19"/>
                <w:color w:val="auto"/>
              </w:rPr>
            </w:pPr>
          </w:p>
        </w:tc>
      </w:tr>
      <w:tr>
        <w:trPr>
          <w:trHeight w:val="230"/>
        </w:trPr>
        <w:tc>
          <w:tcPr>
            <w:tcW w:w="6280" w:type="dxa"/>
            <w:vAlign w:val="bottom"/>
            <w:tcBorders>
              <w:bottom w:val="single" w:sz="8" w:color="CCEEFF"/>
            </w:tcBorders>
            <w:gridSpan w:val="2"/>
            <w:shd w:val="clear" w:color="auto" w:fill="CCEEFF"/>
          </w:tcPr>
          <w:p>
            <w:pPr>
              <w:ind w:left="40"/>
              <w:spacing w:after="0" w:line="230" w:lineRule="exact"/>
              <w:rPr>
                <w:sz w:val="20"/>
                <w:szCs w:val="20"/>
                <w:color w:val="auto"/>
              </w:rPr>
            </w:pPr>
            <w:r>
              <w:rPr>
                <w:rFonts w:ascii="Arial" w:cs="Arial" w:eastAsia="Arial" w:hAnsi="Arial"/>
                <w:sz w:val="16"/>
                <w:szCs w:val="16"/>
                <w:color w:val="auto"/>
              </w:rPr>
              <w:t>Other Fees</w:t>
            </w:r>
            <w:r>
              <w:rPr>
                <w:rFonts w:ascii="Arial" w:cs="Arial" w:eastAsia="Arial" w:hAnsi="Arial"/>
                <w:sz w:val="26"/>
                <w:szCs w:val="26"/>
                <w:color w:val="auto"/>
                <w:vertAlign w:val="superscript"/>
              </w:rPr>
              <w:t>(4)</w:t>
            </w:r>
          </w:p>
        </w:tc>
        <w:tc>
          <w:tcPr>
            <w:tcW w:w="1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41,712</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9"/>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Total Fees</w:t>
            </w:r>
          </w:p>
        </w:tc>
        <w:tc>
          <w:tcPr>
            <w:tcW w:w="5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13,442,340</w:t>
            </w:r>
          </w:p>
        </w:tc>
        <w:tc>
          <w:tcPr>
            <w:tcW w:w="16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9,651,782</w:t>
            </w:r>
          </w:p>
        </w:tc>
        <w:tc>
          <w:tcPr>
            <w:tcW w:w="100" w:type="dxa"/>
            <w:vAlign w:val="bottom"/>
          </w:tcPr>
          <w:p>
            <w:pPr>
              <w:spacing w:after="0"/>
              <w:rPr>
                <w:sz w:val="18"/>
                <w:szCs w:val="18"/>
                <w:color w:val="auto"/>
              </w:rPr>
            </w:pPr>
          </w:p>
        </w:tc>
      </w:tr>
      <w:tr>
        <w:trPr>
          <w:trHeight w:val="21"/>
        </w:trPr>
        <w:tc>
          <w:tcPr>
            <w:tcW w:w="13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340" w:type="dxa"/>
            <w:vAlign w:val="bottom"/>
            <w:tcBorders>
              <w:bottom w:val="single" w:sz="8" w:color="auto"/>
            </w:tcBorders>
          </w:tcPr>
          <w:p>
            <w:pPr>
              <w:spacing w:after="0"/>
              <w:rPr>
                <w:sz w:val="17"/>
                <w:szCs w:val="17"/>
                <w:color w:val="auto"/>
              </w:rPr>
            </w:pPr>
          </w:p>
        </w:tc>
        <w:tc>
          <w:tcPr>
            <w:tcW w:w="4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-1053465</wp:posOffset>
            </wp:positionV>
            <wp:extent cx="6069330" cy="925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69330" cy="925830"/>
                    </a:xfrm>
                    <a:prstGeom prst="rect">
                      <a:avLst/>
                    </a:prstGeom>
                    <a:noFill/>
                  </pic:spPr>
                </pic:pic>
              </a:graphicData>
            </a:graphic>
          </wp:anchor>
        </w:drawing>
      </w:r>
    </w:p>
    <w:p>
      <w:pPr>
        <w:spacing w:after="0" w:line="93" w:lineRule="exact"/>
        <w:rPr>
          <w:sz w:val="20"/>
          <w:szCs w:val="20"/>
          <w:color w:val="auto"/>
        </w:rPr>
      </w:pPr>
    </w:p>
    <w:p>
      <w:pPr>
        <w:ind w:left="360" w:right="180" w:hanging="355"/>
        <w:spacing w:after="0" w:line="247" w:lineRule="auto"/>
        <w:tabs>
          <w:tab w:leader="none" w:pos="3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Audit services include fees for professional services rendered for the audit of the Company’s annual financial statements and internal controls over financial reporting for the years ended December 31, 2018 and 2019, including out of pocket expenses, and reviews of the financial statements included in the Company’s Quarterly Reports on Form 10-Q. In addition, services include statutory audits required, and accounting consultations on matters related to the annual audits or interim reviews.</w:t>
      </w:r>
    </w:p>
    <w:p>
      <w:pPr>
        <w:spacing w:after="0" w:line="93" w:lineRule="exact"/>
        <w:rPr>
          <w:rFonts w:ascii="Arial" w:cs="Arial" w:eastAsia="Arial" w:hAnsi="Arial"/>
          <w:sz w:val="14"/>
          <w:szCs w:val="14"/>
          <w:color w:val="auto"/>
        </w:rPr>
      </w:pPr>
    </w:p>
    <w:p>
      <w:pPr>
        <w:ind w:left="360" w:right="40" w:hanging="355"/>
        <w:spacing w:after="0" w:line="249" w:lineRule="auto"/>
        <w:tabs>
          <w:tab w:leader="none" w:pos="3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Audit-related services are disclosed in the year incurred, based on when the work is performed. These services typically include due diligence in connection with acquisitions, accounting process advice, and agreed-upon procedures. We did not engage any such services during the years ended December 31, 2018 and 2019.</w:t>
      </w:r>
    </w:p>
    <w:p>
      <w:pPr>
        <w:spacing w:after="0" w:line="92" w:lineRule="exact"/>
        <w:rPr>
          <w:rFonts w:ascii="Arial" w:cs="Arial" w:eastAsia="Arial" w:hAnsi="Arial"/>
          <w:sz w:val="14"/>
          <w:szCs w:val="14"/>
          <w:color w:val="auto"/>
        </w:rPr>
      </w:pPr>
    </w:p>
    <w:p>
      <w:pPr>
        <w:ind w:left="360" w:right="180" w:hanging="355"/>
        <w:spacing w:after="0" w:line="258" w:lineRule="auto"/>
        <w:tabs>
          <w:tab w:leader="none" w:pos="3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Tax services are disclosed in the year incurred, based on when the work is performed. These services include tax compliance, tax advice, and tax planning during the years ended December 31, 2018 and 2019.</w:t>
      </w:r>
    </w:p>
    <w:p>
      <w:pPr>
        <w:spacing w:after="0" w:line="85" w:lineRule="exact"/>
        <w:rPr>
          <w:rFonts w:ascii="Arial" w:cs="Arial" w:eastAsia="Arial" w:hAnsi="Arial"/>
          <w:sz w:val="14"/>
          <w:szCs w:val="14"/>
          <w:color w:val="auto"/>
        </w:rPr>
      </w:pPr>
    </w:p>
    <w:p>
      <w:pPr>
        <w:ind w:left="360" w:right="80" w:hanging="355"/>
        <w:spacing w:after="0" w:line="258" w:lineRule="auto"/>
        <w:tabs>
          <w:tab w:leader="none" w:pos="3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Services performed by Deloitte qualifying as “Other” for the years ended December 31, 2018 and 2019, are related to accounting research tools and permitted consultation services.</w:t>
      </w:r>
    </w:p>
    <w:p>
      <w:pPr>
        <w:spacing w:after="0" w:line="14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Audit/Finance Committee has adopted policies and procedures that require the Company to obtain the Committee’s pre-approval of all audit and permissible non-audit services to be provided by the Company’s independent registered public accounting firm. Pre-approval is generally granted on a quarterly basis, is detailed as to the particular service or category of services to be provided and is granted after consideration of the estimated fees for each service or category of service. Actual fees and any changes to estimated fees for pre-approved services are reported to the Committee on a quarterly basis. In 2018 and 2019, all services were pre-approved in accordance with the charter of the Audit/Finance Committee.</w:t>
      </w:r>
    </w:p>
    <w:p>
      <w:pPr>
        <w:spacing w:after="0" w:line="220"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AUDIT/FINANCE COMMITTEE REPORT</w:t>
      </w:r>
    </w:p>
    <w:p>
      <w:pPr>
        <w:spacing w:after="0" w:line="19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Audit/Finance Committee is composed of independent directors as defined by Rule 5605(a)(2) of the Nasdaq rules and acts under a written charter developed by the Committee and approved by the Board. Management is responsible for the Company’s internal controls and the financial reporting process. Deloitte &amp; Touche LLP, the Company’s independent registered public accounting firm in 2019, is responsible for performing an independent audit of the Company’s consolidated financial statements and internal control over financial reporting in accordance with auditing standards of the Public Company Accounting Oversight Board (United States) (the PCAOB) and for issuing a report thereon. The Committee’s responsibility is to monitor and oversee these processes on behalf of our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December 31, 2019 financial statements, the Audit/Finance Committee hereby reports as follows:</w:t>
      </w:r>
    </w:p>
    <w:p>
      <w:pPr>
        <w:spacing w:after="0" w:line="117" w:lineRule="exact"/>
        <w:rPr>
          <w:sz w:val="20"/>
          <w:szCs w:val="20"/>
          <w:color w:val="auto"/>
        </w:rPr>
      </w:pPr>
    </w:p>
    <w:p>
      <w:pPr>
        <w:ind w:left="700" w:right="440" w:hanging="344"/>
        <w:spacing w:after="0" w:line="246" w:lineRule="auto"/>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Audit/Finance Committee has reviewed and discussed the audited financial statements and report on internal control over financial reporting with management.</w:t>
      </w:r>
    </w:p>
    <w:p>
      <w:pPr>
        <w:spacing w:after="0" w:line="88" w:lineRule="exact"/>
        <w:rPr>
          <w:rFonts w:ascii="Arial" w:cs="Arial" w:eastAsia="Arial" w:hAnsi="Arial"/>
          <w:sz w:val="18"/>
          <w:szCs w:val="18"/>
          <w:color w:val="auto"/>
        </w:rPr>
      </w:pPr>
    </w:p>
    <w:p>
      <w:pPr>
        <w:ind w:left="700" w:right="280" w:hanging="344"/>
        <w:spacing w:after="0" w:line="246" w:lineRule="auto"/>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The Audit/Finance Committee has discussed with the independent auditors the matters required by PCAOB Auditing Standard No. 1301, </w:t>
      </w:r>
      <w:r>
        <w:rPr>
          <w:rFonts w:ascii="Arial" w:cs="Arial" w:eastAsia="Arial" w:hAnsi="Arial"/>
          <w:sz w:val="18"/>
          <w:szCs w:val="18"/>
          <w:i w:val="1"/>
          <w:iCs w:val="1"/>
          <w:color w:val="auto"/>
        </w:rPr>
        <w:t>Communications with Audit Committees.</w:t>
      </w:r>
    </w:p>
    <w:p>
      <w:pPr>
        <w:spacing w:after="0" w:line="88" w:lineRule="exact"/>
        <w:rPr>
          <w:rFonts w:ascii="Arial" w:cs="Arial" w:eastAsia="Arial" w:hAnsi="Arial"/>
          <w:sz w:val="18"/>
          <w:szCs w:val="18"/>
          <w:color w:val="auto"/>
        </w:rPr>
      </w:pPr>
    </w:p>
    <w:p>
      <w:pPr>
        <w:ind w:left="700" w:right="60" w:hanging="344"/>
        <w:spacing w:after="0" w:line="238" w:lineRule="auto"/>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Audit/Finance Committee has received the written disclosures and the letter from the auditors, as required by applicable requirements of the PCAOB regarding the independent accountant’s communications with the Audit/Finance Committee concerning independence, and discussed with the auditors the auditors’ independence.</w:t>
      </w:r>
    </w:p>
    <w:p>
      <w:pPr>
        <w:spacing w:after="0" w:line="96" w:lineRule="exact"/>
        <w:rPr>
          <w:rFonts w:ascii="Arial" w:cs="Arial" w:eastAsia="Arial" w:hAnsi="Arial"/>
          <w:sz w:val="18"/>
          <w:szCs w:val="18"/>
          <w:color w:val="auto"/>
        </w:rPr>
      </w:pPr>
    </w:p>
    <w:p>
      <w:pPr>
        <w:ind w:left="700" w:right="200" w:hanging="344"/>
        <w:spacing w:after="0" w:line="238" w:lineRule="auto"/>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upon these reviews and discussions, the Audit/Finance Committee has recommended to the Board of Directors and the Board has approved, that the Company’s audited financial statements be included in its Annual Report on Form 10-K for the year ended December 31, 2019 and filed with the Securities and Exchange Commission.</w:t>
      </w:r>
    </w:p>
    <w:p>
      <w:pPr>
        <w:spacing w:after="0" w:line="38" w:lineRule="exact"/>
        <w:rPr>
          <w:sz w:val="20"/>
          <w:szCs w:val="20"/>
          <w:color w:val="auto"/>
        </w:rPr>
      </w:pPr>
    </w:p>
    <w:p>
      <w:pPr>
        <w:ind w:left="4260"/>
        <w:spacing w:after="0"/>
        <w:rPr>
          <w:sz w:val="20"/>
          <w:szCs w:val="20"/>
          <w:color w:val="auto"/>
        </w:rPr>
      </w:pPr>
      <w:r>
        <w:rPr>
          <w:rFonts w:ascii="Arial" w:cs="Arial" w:eastAsia="Arial" w:hAnsi="Arial"/>
          <w:sz w:val="18"/>
          <w:szCs w:val="18"/>
          <w:i w:val="1"/>
          <w:iCs w:val="1"/>
          <w:color w:val="auto"/>
        </w:rPr>
        <w:t>Audit/Finance Committee</w:t>
      </w:r>
    </w:p>
    <w:p>
      <w:pPr>
        <w:spacing w:after="0" w:line="26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Thomas S. Glanville, Chair</w:t>
      </w:r>
    </w:p>
    <w:p>
      <w:pPr>
        <w:ind w:left="4260"/>
        <w:spacing w:after="0" w:line="234" w:lineRule="auto"/>
        <w:rPr>
          <w:sz w:val="20"/>
          <w:szCs w:val="20"/>
          <w:color w:val="auto"/>
        </w:rPr>
      </w:pPr>
      <w:r>
        <w:rPr>
          <w:rFonts w:ascii="Arial" w:cs="Arial" w:eastAsia="Arial" w:hAnsi="Arial"/>
          <w:sz w:val="18"/>
          <w:szCs w:val="18"/>
          <w:color w:val="auto"/>
        </w:rPr>
        <w:t>Jerome J. Lande</w:t>
      </w:r>
    </w:p>
    <w:p>
      <w:pPr>
        <w:ind w:left="4260"/>
        <w:spacing w:after="0" w:line="235" w:lineRule="auto"/>
        <w:rPr>
          <w:sz w:val="20"/>
          <w:szCs w:val="20"/>
          <w:color w:val="auto"/>
        </w:rPr>
      </w:pPr>
      <w:r>
        <w:rPr>
          <w:rFonts w:ascii="Arial" w:cs="Arial" w:eastAsia="Arial" w:hAnsi="Arial"/>
          <w:sz w:val="18"/>
          <w:szCs w:val="18"/>
          <w:color w:val="auto"/>
        </w:rPr>
        <w:t>Timothy M. Leyden</w:t>
      </w:r>
    </w:p>
    <w:p>
      <w:pPr>
        <w:spacing w:after="0" w:line="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Gary E. Pruitt</w:t>
      </w:r>
    </w:p>
    <w:p>
      <w:pPr>
        <w:spacing w:after="0" w:line="23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gives certain information about our equity compensation plans in effect as of December 31, 2019.</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Number of Shares to</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Be Issued Upon</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Remaining Available</w:t>
            </w: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Exercise of</w:t>
            </w:r>
          </w:p>
        </w:tc>
        <w:tc>
          <w:tcPr>
            <w:tcW w:w="120" w:type="dxa"/>
            <w:vAlign w:val="bottom"/>
          </w:tcPr>
          <w:p>
            <w:pPr>
              <w:spacing w:after="0"/>
              <w:rPr>
                <w:sz w:val="14"/>
                <w:szCs w:val="14"/>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Weighted-Average</w:t>
            </w:r>
          </w:p>
        </w:tc>
        <w:tc>
          <w:tcPr>
            <w:tcW w:w="1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for Issuance Under</w:t>
            </w: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4"/>
                <w:szCs w:val="14"/>
                <w:color w:val="auto"/>
              </w:rPr>
            </w:pPr>
          </w:p>
        </w:tc>
        <w:tc>
          <w:tcPr>
            <w:tcW w:w="16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Exercise Price of</w:t>
            </w:r>
          </w:p>
        </w:tc>
        <w:tc>
          <w:tcPr>
            <w:tcW w:w="1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Equity Compensation</w:t>
            </w: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Options,</w:t>
            </w:r>
          </w:p>
        </w:tc>
        <w:tc>
          <w:tcPr>
            <w:tcW w:w="17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Outstanding Options,</w:t>
            </w:r>
          </w:p>
        </w:tc>
        <w:tc>
          <w:tcPr>
            <w:tcW w:w="1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Plans (excluding shares</w:t>
            </w: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Warrants and Rights</w:t>
            </w:r>
          </w:p>
        </w:tc>
        <w:tc>
          <w:tcPr>
            <w:tcW w:w="17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Warrants and Rights</w:t>
            </w:r>
          </w:p>
        </w:tc>
        <w:tc>
          <w:tcPr>
            <w:tcW w:w="1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reflected in column (a))</w:t>
            </w: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2680" w:type="dxa"/>
            <w:vAlign w:val="bottom"/>
          </w:tcPr>
          <w:p>
            <w:pPr>
              <w:ind w:left="180"/>
              <w:spacing w:after="0"/>
              <w:rPr>
                <w:sz w:val="20"/>
                <w:szCs w:val="20"/>
                <w:color w:val="auto"/>
              </w:rPr>
            </w:pPr>
            <w:r>
              <w:rPr>
                <w:rFonts w:ascii="Arial" w:cs="Arial" w:eastAsia="Arial" w:hAnsi="Arial"/>
                <w:sz w:val="14"/>
                <w:szCs w:val="14"/>
                <w:b w:val="1"/>
                <w:bCs w:val="1"/>
                <w:color w:val="auto"/>
              </w:rPr>
              <w:t>Plan Category</w:t>
            </w:r>
          </w:p>
        </w:tc>
        <w:tc>
          <w:tcPr>
            <w:tcW w:w="180" w:type="dxa"/>
            <w:vAlign w:val="bottom"/>
          </w:tcPr>
          <w:p>
            <w:pPr>
              <w:spacing w:after="0"/>
              <w:rPr>
                <w:sz w:val="16"/>
                <w:szCs w:val="16"/>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6"/>
                <w:szCs w:val="16"/>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(b)</w:t>
            </w:r>
          </w:p>
        </w:tc>
        <w:tc>
          <w:tcPr>
            <w:tcW w:w="1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95"/>
        </w:trPr>
        <w:tc>
          <w:tcPr>
            <w:tcW w:w="4020" w:type="dxa"/>
            <w:vAlign w:val="bottom"/>
            <w:tcBorders>
              <w:top w:val="single" w:sz="8" w:color="auto"/>
            </w:tcBorders>
            <w:gridSpan w:val="2"/>
            <w:shd w:val="clear" w:color="auto" w:fill="CCEEFF"/>
          </w:tcPr>
          <w:p>
            <w:pPr>
              <w:ind w:left="40"/>
              <w:spacing w:after="0" w:line="195" w:lineRule="exact"/>
              <w:rPr>
                <w:sz w:val="20"/>
                <w:szCs w:val="20"/>
                <w:color w:val="auto"/>
              </w:rPr>
            </w:pPr>
            <w:r>
              <w:rPr>
                <w:rFonts w:ascii="Arial" w:cs="Arial" w:eastAsia="Arial" w:hAnsi="Arial"/>
                <w:sz w:val="18"/>
                <w:szCs w:val="18"/>
                <w:color w:val="auto"/>
              </w:rPr>
              <w:t>Equity Compensation Plans Approved by</w:t>
            </w:r>
          </w:p>
        </w:tc>
        <w:tc>
          <w:tcPr>
            <w:tcW w:w="180" w:type="dxa"/>
            <w:vAlign w:val="bottom"/>
            <w:tcBorders>
              <w:right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2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6"/>
                <w:szCs w:val="16"/>
                <w:color w:val="auto"/>
              </w:rPr>
              <w:t>Shareholders</w:t>
            </w:r>
            <w:r>
              <w:rPr>
                <w:rFonts w:ascii="Arial" w:cs="Arial" w:eastAsia="Arial" w:hAnsi="Arial"/>
                <w:sz w:val="26"/>
                <w:szCs w:val="26"/>
                <w:color w:val="auto"/>
                <w:vertAlign w:val="superscript"/>
              </w:rPr>
              <w:t>(1)</w:t>
            </w:r>
          </w:p>
        </w:tc>
        <w:tc>
          <w:tcPr>
            <w:tcW w:w="19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1,142,420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right w:val="single" w:sz="8" w:color="CCEEFF"/>
            </w:tcBorders>
            <w:gridSpan w:val="3"/>
            <w:shd w:val="clear" w:color="auto" w:fill="CCEEFF"/>
          </w:tcPr>
          <w:p>
            <w:pPr>
              <w:jc w:val="right"/>
              <w:ind w:right="140"/>
              <w:spacing w:after="0" w:line="230" w:lineRule="exact"/>
              <w:rPr>
                <w:sz w:val="20"/>
                <w:szCs w:val="20"/>
                <w:color w:val="auto"/>
              </w:rPr>
            </w:pPr>
            <w:r>
              <w:rPr>
                <w:rFonts w:ascii="Arial" w:cs="Arial" w:eastAsia="Arial" w:hAnsi="Arial"/>
                <w:sz w:val="16"/>
                <w:szCs w:val="16"/>
                <w:color w:val="auto"/>
              </w:rPr>
              <w:t>56.38</w:t>
            </w:r>
            <w:r>
              <w:rPr>
                <w:rFonts w:ascii="Arial" w:cs="Arial" w:eastAsia="Arial" w:hAnsi="Arial"/>
                <w:sz w:val="26"/>
                <w:szCs w:val="26"/>
                <w:color w:val="auto"/>
                <w:vertAlign w:val="superscript"/>
              </w:rPr>
              <w:t>(2)</w:t>
            </w:r>
          </w:p>
        </w:tc>
        <w:tc>
          <w:tcPr>
            <w:tcW w:w="1880" w:type="dxa"/>
            <w:vAlign w:val="bottom"/>
            <w:gridSpan w:val="3"/>
            <w:shd w:val="clear" w:color="auto" w:fill="CCEEFF"/>
          </w:tcPr>
          <w:p>
            <w:pPr>
              <w:jc w:val="right"/>
              <w:ind w:right="80"/>
              <w:spacing w:after="0" w:line="230" w:lineRule="exact"/>
              <w:rPr>
                <w:sz w:val="20"/>
                <w:szCs w:val="20"/>
                <w:color w:val="auto"/>
              </w:rPr>
            </w:pPr>
            <w:r>
              <w:rPr>
                <w:rFonts w:ascii="Arial" w:cs="Arial" w:eastAsia="Arial" w:hAnsi="Arial"/>
                <w:sz w:val="16"/>
                <w:szCs w:val="16"/>
                <w:color w:val="auto"/>
              </w:rPr>
              <w:t>6,210,553</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r>
        <w:trPr>
          <w:trHeight w:val="215"/>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w:t>
            </w:r>
          </w:p>
        </w:tc>
        <w:tc>
          <w:tcPr>
            <w:tcW w:w="180" w:type="dxa"/>
            <w:vAlign w:val="bottom"/>
          </w:tcPr>
          <w:p>
            <w:pPr>
              <w:spacing w:after="0"/>
              <w:rPr>
                <w:sz w:val="18"/>
                <w:szCs w:val="18"/>
                <w:color w:val="auto"/>
              </w:rPr>
            </w:pPr>
          </w:p>
        </w:tc>
        <w:tc>
          <w:tcPr>
            <w:tcW w:w="17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40" w:type="dxa"/>
            <w:vAlign w:val="bottom"/>
            <w:gridSpan w:val="3"/>
            <w:vMerge w:val="restart"/>
          </w:tcPr>
          <w:p>
            <w:pPr>
              <w:jc w:val="right"/>
              <w:ind w:right="340"/>
              <w:spacing w:after="0"/>
              <w:rPr>
                <w:sz w:val="20"/>
                <w:szCs w:val="20"/>
                <w:color w:val="auto"/>
              </w:rPr>
            </w:pPr>
            <w:r>
              <w:rPr>
                <w:rFonts w:ascii="Arial" w:cs="Arial" w:eastAsia="Arial" w:hAnsi="Arial"/>
                <w:sz w:val="18"/>
                <w:szCs w:val="18"/>
                <w:color w:val="auto"/>
              </w:rPr>
              <w:t>—</w:t>
            </w:r>
          </w:p>
        </w:tc>
        <w:tc>
          <w:tcPr>
            <w:tcW w:w="188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20" w:type="dxa"/>
            <w:vAlign w:val="bottom"/>
            <w:gridSpan w:val="2"/>
          </w:tcPr>
          <w:p>
            <w:pPr>
              <w:ind w:left="220"/>
              <w:spacing w:after="0" w:line="203" w:lineRule="exact"/>
              <w:rPr>
                <w:sz w:val="20"/>
                <w:szCs w:val="20"/>
                <w:color w:val="auto"/>
              </w:rPr>
            </w:pPr>
            <w:r>
              <w:rPr>
                <w:rFonts w:ascii="Arial" w:cs="Arial" w:eastAsia="Arial" w:hAnsi="Arial"/>
                <w:sz w:val="18"/>
                <w:szCs w:val="18"/>
                <w:color w:val="auto"/>
              </w:rPr>
              <w:t>Shareholders</w:t>
            </w:r>
          </w:p>
        </w:tc>
        <w:tc>
          <w:tcPr>
            <w:tcW w:w="180" w:type="dxa"/>
            <w:vAlign w:val="bottom"/>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3"/>
            <w:vMerge w:val="continue"/>
          </w:tcPr>
          <w:p>
            <w:pPr>
              <w:spacing w:after="0"/>
              <w:rPr>
                <w:sz w:val="17"/>
                <w:szCs w:val="17"/>
                <w:color w:val="auto"/>
              </w:rPr>
            </w:pPr>
          </w:p>
        </w:tc>
        <w:tc>
          <w:tcPr>
            <w:tcW w:w="18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right w:val="single" w:sz="8" w:color="CCEEFF"/>
            </w:tcBorders>
            <w:shd w:val="clear" w:color="auto" w:fill="CCEEFF"/>
          </w:tcPr>
          <w:p>
            <w:pPr>
              <w:spacing w:after="0"/>
              <w:rPr>
                <w:sz w:val="22"/>
                <w:szCs w:val="22"/>
                <w:color w:val="auto"/>
              </w:rPr>
            </w:pPr>
          </w:p>
        </w:tc>
        <w:tc>
          <w:tcPr>
            <w:tcW w:w="1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1,142,420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56.38</w:t>
            </w:r>
            <w:r>
              <w:rPr>
                <w:rFonts w:ascii="Arial" w:cs="Arial" w:eastAsia="Arial" w:hAnsi="Arial"/>
                <w:sz w:val="14"/>
                <w:szCs w:val="14"/>
                <w:color w:val="auto"/>
              </w:rPr>
              <w:t>(2)</w:t>
            </w:r>
          </w:p>
        </w:tc>
        <w:tc>
          <w:tcPr>
            <w:tcW w:w="1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6,210,553</w:t>
            </w: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1340" w:type="dxa"/>
            <w:vAlign w:val="bottom"/>
            <w:tcBorders>
              <w:top w:val="single" w:sz="8" w:color="CCEEFF"/>
              <w:bottom w:val="single" w:sz="8" w:color="auto"/>
            </w:tcBorders>
          </w:tcPr>
          <w:p>
            <w:pPr>
              <w:spacing w:after="0"/>
              <w:rPr>
                <w:sz w:val="16"/>
                <w:szCs w:val="16"/>
                <w:color w:val="auto"/>
              </w:rPr>
            </w:pPr>
          </w:p>
        </w:tc>
        <w:tc>
          <w:tcPr>
            <w:tcW w:w="26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-856615</wp:posOffset>
            </wp:positionV>
            <wp:extent cx="6069330" cy="7289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69330" cy="728980"/>
                    </a:xfrm>
                    <a:prstGeom prst="rect">
                      <a:avLst/>
                    </a:prstGeom>
                    <a:noFill/>
                  </pic:spPr>
                </pic:pic>
              </a:graphicData>
            </a:graphic>
          </wp:anchor>
        </w:drawing>
      </w:r>
    </w:p>
    <w:p>
      <w:pPr>
        <w:spacing w:after="0" w:line="93" w:lineRule="exact"/>
        <w:rPr>
          <w:sz w:val="20"/>
          <w:szCs w:val="20"/>
          <w:color w:val="auto"/>
        </w:rPr>
      </w:pPr>
    </w:p>
    <w:p>
      <w:pPr>
        <w:ind w:left="360" w:right="80" w:hanging="355"/>
        <w:spacing w:after="0" w:line="249" w:lineRule="auto"/>
        <w:tabs>
          <w:tab w:leader="none" w:pos="3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Under the provisions of the Second A&amp;R 2010 Plan, the Company may grant stock awards, stock units, performance shares, stock appreciation rights, and performance units (collectively Awards) in addition to stock options. For purposes of this table, the number of PRSUs included are determined based on achievement of target performance goals.</w:t>
      </w:r>
    </w:p>
    <w:p>
      <w:pPr>
        <w:spacing w:after="0" w:line="92" w:lineRule="exact"/>
        <w:rPr>
          <w:rFonts w:ascii="Arial" w:cs="Arial" w:eastAsia="Arial" w:hAnsi="Arial"/>
          <w:sz w:val="14"/>
          <w:szCs w:val="14"/>
          <w:color w:val="auto"/>
        </w:rPr>
      </w:pPr>
    </w:p>
    <w:p>
      <w:pPr>
        <w:ind w:left="360" w:right="260" w:hanging="355"/>
        <w:spacing w:after="0" w:line="258" w:lineRule="auto"/>
        <w:tabs>
          <w:tab w:leader="none" w:pos="3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weighted-average exercise price pertains only to outstanding options and excludes 612,044 shares issuable upon vesting of outstanding Awards.</w:t>
      </w:r>
    </w:p>
    <w:p>
      <w:pPr>
        <w:spacing w:after="0" w:line="85" w:lineRule="exact"/>
        <w:rPr>
          <w:rFonts w:ascii="Arial" w:cs="Arial" w:eastAsia="Arial" w:hAnsi="Arial"/>
          <w:sz w:val="14"/>
          <w:szCs w:val="14"/>
          <w:color w:val="auto"/>
        </w:rPr>
      </w:pPr>
    </w:p>
    <w:p>
      <w:pPr>
        <w:ind w:left="360" w:right="320" w:hanging="355"/>
        <w:spacing w:after="0" w:line="258" w:lineRule="auto"/>
        <w:tabs>
          <w:tab w:leader="none" w:pos="3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This number includes 5,977,990 shares available for issuance under the Second A&amp;R 2010 Plan and 232,563 shares available for issuance under the 2012 Employee Stock Purchase Plan, as amended.</w:t>
      </w:r>
    </w:p>
    <w:p>
      <w:pPr>
        <w:spacing w:after="0" w:line="202"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288925</wp:posOffset>
            </wp:positionV>
            <wp:extent cx="6069330" cy="431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63" w:lineRule="exact"/>
        <w:rPr>
          <w:sz w:val="20"/>
          <w:szCs w:val="20"/>
          <w:color w:val="auto"/>
        </w:rPr>
      </w:pPr>
    </w:p>
    <w:p>
      <w:pPr>
        <w:ind w:right="2560"/>
        <w:spacing w:after="0" w:line="396" w:lineRule="auto"/>
        <w:rPr>
          <w:sz w:val="20"/>
          <w:szCs w:val="20"/>
          <w:color w:val="auto"/>
        </w:rPr>
      </w:pPr>
      <w:r>
        <w:rPr>
          <w:rFonts w:ascii="Arial" w:cs="Arial" w:eastAsia="Arial" w:hAnsi="Arial"/>
          <w:sz w:val="18"/>
          <w:szCs w:val="18"/>
          <w:b w:val="1"/>
          <w:bCs w:val="1"/>
          <w:color w:val="auto"/>
        </w:rPr>
        <w:t>SECURITY OWNERSHIP OF CERTAIN BENEFICIAL OWNERS AND MANAGEMENT Directors and Executive Officers</w:t>
      </w:r>
    </w:p>
    <w:p>
      <w:pPr>
        <w:spacing w:after="0" w:line="2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following table provides information with respect to the beneficial ownership of our common stock as of March 2, 2020 by each of our directors, each of our named executive officers listed in the Summary Compensation Table, and all of our director nominees, directors, and executive officers as a group. The percentage ownership data is based on 40,160,958 shares of our common stock outstanding as of March 2, 2020. Under SEC rules, beneficial ownership includes shares over that which the indicated beneficial owner exercises voting and/or investment power. Shares of common stock subject to options that are currently exercisable or will become exercisable within 60 days or shares of restricted stock units vested or that will vest within 60 days are deemed outstanding for computing the number of shares and the percentage ownership of the person holding the option, but are not deemed outstanding for purposes of computing the percentage ownership of any other person. Except as otherwise noted, we believe that the beneficial owners of the shares of common stock listed below have sole voting and investment power with respect to all shares beneficially owned, subject to applicable community property laws.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3280" w:type="dxa"/>
            <w:vAlign w:val="bottom"/>
            <w:gridSpan w:val="2"/>
          </w:tcPr>
          <w:p>
            <w:pPr>
              <w:jc w:val="right"/>
              <w:ind w:right="371"/>
              <w:spacing w:after="0"/>
              <w:rPr>
                <w:sz w:val="20"/>
                <w:szCs w:val="20"/>
                <w:color w:val="auto"/>
              </w:rPr>
            </w:pPr>
            <w:r>
              <w:rPr>
                <w:rFonts w:ascii="Arial" w:cs="Arial" w:eastAsia="Arial" w:hAnsi="Arial"/>
                <w:sz w:val="14"/>
                <w:szCs w:val="14"/>
                <w:b w:val="1"/>
                <w:bCs w:val="1"/>
                <w:color w:val="auto"/>
              </w:rPr>
              <w:t>Shares Beneficially</w:t>
            </w:r>
          </w:p>
        </w:tc>
      </w:tr>
      <w:tr>
        <w:trPr>
          <w:trHeight w:val="190"/>
        </w:trPr>
        <w:tc>
          <w:tcPr>
            <w:tcW w:w="6240" w:type="dxa"/>
            <w:vAlign w:val="bottom"/>
          </w:tcPr>
          <w:p>
            <w:pPr>
              <w:spacing w:after="0"/>
              <w:rPr>
                <w:sz w:val="16"/>
                <w:szCs w:val="16"/>
                <w:color w:val="auto"/>
              </w:rPr>
            </w:pPr>
          </w:p>
        </w:tc>
        <w:tc>
          <w:tcPr>
            <w:tcW w:w="2460" w:type="dxa"/>
            <w:vAlign w:val="bottom"/>
          </w:tcPr>
          <w:p>
            <w:pPr>
              <w:jc w:val="right"/>
              <w:spacing w:after="0"/>
              <w:rPr>
                <w:sz w:val="20"/>
                <w:szCs w:val="20"/>
                <w:color w:val="auto"/>
              </w:rPr>
            </w:pPr>
            <w:r>
              <w:rPr>
                <w:rFonts w:ascii="Arial" w:cs="Arial" w:eastAsia="Arial" w:hAnsi="Arial"/>
                <w:sz w:val="14"/>
                <w:szCs w:val="14"/>
                <w:b w:val="1"/>
                <w:bCs w:val="1"/>
                <w:color w:val="auto"/>
              </w:rPr>
              <w:t>Owned</w:t>
            </w:r>
          </w:p>
        </w:tc>
        <w:tc>
          <w:tcPr>
            <w:tcW w:w="820" w:type="dxa"/>
            <w:vAlign w:val="bottom"/>
          </w:tcPr>
          <w:p>
            <w:pPr>
              <w:spacing w:after="0"/>
              <w:rPr>
                <w:sz w:val="16"/>
                <w:szCs w:val="16"/>
                <w:color w:val="auto"/>
              </w:rPr>
            </w:pPr>
          </w:p>
        </w:tc>
      </w:tr>
      <w:tr>
        <w:trPr>
          <w:trHeight w:val="203"/>
        </w:trPr>
        <w:tc>
          <w:tcPr>
            <w:tcW w:w="62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460" w:type="dxa"/>
            <w:vAlign w:val="bottom"/>
          </w:tcPr>
          <w:p>
            <w:pPr>
              <w:jc w:val="right"/>
              <w:ind w:right="533"/>
              <w:spacing w:after="0"/>
              <w:rPr>
                <w:sz w:val="20"/>
                <w:szCs w:val="20"/>
                <w:color w:val="auto"/>
              </w:rPr>
            </w:pPr>
            <w:r>
              <w:rPr>
                <w:rFonts w:ascii="Arial" w:cs="Arial" w:eastAsia="Arial" w:hAnsi="Arial"/>
                <w:sz w:val="14"/>
                <w:szCs w:val="14"/>
                <w:b w:val="1"/>
                <w:bCs w:val="1"/>
                <w:color w:val="auto"/>
              </w:rPr>
              <w:t>Number</w:t>
            </w:r>
          </w:p>
        </w:tc>
        <w:tc>
          <w:tcPr>
            <w:tcW w:w="820" w:type="dxa"/>
            <w:vAlign w:val="bottom"/>
          </w:tcPr>
          <w:p>
            <w:pPr>
              <w:jc w:val="right"/>
              <w:ind w:right="151"/>
              <w:spacing w:after="0"/>
              <w:rPr>
                <w:sz w:val="20"/>
                <w:szCs w:val="20"/>
                <w:color w:val="auto"/>
              </w:rPr>
            </w:pPr>
            <w:r>
              <w:rPr>
                <w:rFonts w:ascii="Arial" w:cs="Arial" w:eastAsia="Arial" w:hAnsi="Arial"/>
                <w:sz w:val="14"/>
                <w:szCs w:val="14"/>
                <w:b w:val="1"/>
                <w:bCs w:val="1"/>
                <w:color w:val="auto"/>
              </w:rPr>
              <w:t>Percent</w:t>
            </w:r>
          </w:p>
        </w:tc>
      </w:tr>
      <w:tr>
        <w:trPr>
          <w:trHeight w:val="241"/>
        </w:trPr>
        <w:tc>
          <w:tcPr>
            <w:tcW w:w="6240" w:type="dxa"/>
            <w:vAlign w:val="bottom"/>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24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0"/>
        </w:trPr>
        <w:tc>
          <w:tcPr>
            <w:tcW w:w="6240" w:type="dxa"/>
            <w:vAlign w:val="bottom"/>
          </w:tcPr>
          <w:p>
            <w:pPr>
              <w:spacing w:after="0" w:line="230" w:lineRule="exact"/>
              <w:rPr>
                <w:sz w:val="20"/>
                <w:szCs w:val="20"/>
                <w:color w:val="auto"/>
              </w:rPr>
            </w:pPr>
            <w:r>
              <w:rPr>
                <w:rFonts w:ascii="Arial" w:cs="Arial" w:eastAsia="Arial" w:hAnsi="Arial"/>
                <w:sz w:val="16"/>
                <w:szCs w:val="16"/>
                <w:color w:val="auto"/>
              </w:rPr>
              <w:t>Philip C. Mezey</w:t>
            </w:r>
            <w:r>
              <w:rPr>
                <w:rFonts w:ascii="Arial" w:cs="Arial" w:eastAsia="Arial" w:hAnsi="Arial"/>
                <w:sz w:val="26"/>
                <w:szCs w:val="26"/>
                <w:color w:val="auto"/>
                <w:vertAlign w:val="superscript"/>
              </w:rPr>
              <w:t>(1)</w:t>
            </w:r>
          </w:p>
        </w:tc>
        <w:tc>
          <w:tcPr>
            <w:tcW w:w="2460" w:type="dxa"/>
            <w:vAlign w:val="bottom"/>
          </w:tcPr>
          <w:p>
            <w:pPr>
              <w:jc w:val="right"/>
              <w:ind w:right="293"/>
              <w:spacing w:after="0"/>
              <w:rPr>
                <w:sz w:val="20"/>
                <w:szCs w:val="20"/>
                <w:color w:val="auto"/>
              </w:rPr>
            </w:pPr>
            <w:r>
              <w:rPr>
                <w:rFonts w:ascii="Arial" w:cs="Arial" w:eastAsia="Arial" w:hAnsi="Arial"/>
                <w:sz w:val="18"/>
                <w:szCs w:val="18"/>
                <w:color w:val="auto"/>
              </w:rPr>
              <w:t>137,017</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40" w:type="dxa"/>
            <w:vAlign w:val="bottom"/>
          </w:tcPr>
          <w:p>
            <w:pPr>
              <w:spacing w:after="0" w:line="230" w:lineRule="exact"/>
              <w:rPr>
                <w:sz w:val="20"/>
                <w:szCs w:val="20"/>
                <w:color w:val="auto"/>
              </w:rPr>
            </w:pPr>
            <w:r>
              <w:rPr>
                <w:rFonts w:ascii="Arial" w:cs="Arial" w:eastAsia="Arial" w:hAnsi="Arial"/>
                <w:sz w:val="16"/>
                <w:szCs w:val="16"/>
                <w:color w:val="auto"/>
              </w:rPr>
              <w:t>Thomas L. Deitrich</w:t>
            </w:r>
            <w:r>
              <w:rPr>
                <w:rFonts w:ascii="Arial" w:cs="Arial" w:eastAsia="Arial" w:hAnsi="Arial"/>
                <w:sz w:val="26"/>
                <w:szCs w:val="26"/>
                <w:color w:val="auto"/>
                <w:vertAlign w:val="superscript"/>
              </w:rPr>
              <w:t>(2)</w:t>
            </w:r>
          </w:p>
        </w:tc>
        <w:tc>
          <w:tcPr>
            <w:tcW w:w="2460" w:type="dxa"/>
            <w:vAlign w:val="bottom"/>
          </w:tcPr>
          <w:p>
            <w:pPr>
              <w:jc w:val="right"/>
              <w:ind w:right="293"/>
              <w:spacing w:after="0"/>
              <w:rPr>
                <w:sz w:val="20"/>
                <w:szCs w:val="20"/>
                <w:color w:val="auto"/>
              </w:rPr>
            </w:pPr>
            <w:r>
              <w:rPr>
                <w:rFonts w:ascii="Arial" w:cs="Arial" w:eastAsia="Arial" w:hAnsi="Arial"/>
                <w:sz w:val="18"/>
                <w:szCs w:val="18"/>
                <w:color w:val="auto"/>
              </w:rPr>
              <w:t>294,932</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40" w:type="dxa"/>
            <w:vAlign w:val="bottom"/>
          </w:tcPr>
          <w:p>
            <w:pPr>
              <w:spacing w:after="0" w:line="230" w:lineRule="exact"/>
              <w:rPr>
                <w:sz w:val="20"/>
                <w:szCs w:val="20"/>
                <w:color w:val="auto"/>
              </w:rPr>
            </w:pPr>
            <w:r>
              <w:rPr>
                <w:rFonts w:ascii="Arial" w:cs="Arial" w:eastAsia="Arial" w:hAnsi="Arial"/>
                <w:sz w:val="16"/>
                <w:szCs w:val="16"/>
                <w:color w:val="auto"/>
              </w:rPr>
              <w:t>Joan S. Hooper</w:t>
            </w:r>
            <w:r>
              <w:rPr>
                <w:rFonts w:ascii="Arial" w:cs="Arial" w:eastAsia="Arial" w:hAnsi="Arial"/>
                <w:sz w:val="26"/>
                <w:szCs w:val="26"/>
                <w:color w:val="auto"/>
                <w:vertAlign w:val="superscript"/>
              </w:rPr>
              <w:t>(3)</w:t>
            </w:r>
          </w:p>
        </w:tc>
        <w:tc>
          <w:tcPr>
            <w:tcW w:w="2460" w:type="dxa"/>
            <w:vAlign w:val="bottom"/>
          </w:tcPr>
          <w:p>
            <w:pPr>
              <w:jc w:val="right"/>
              <w:ind w:right="293"/>
              <w:spacing w:after="0"/>
              <w:rPr>
                <w:sz w:val="20"/>
                <w:szCs w:val="20"/>
                <w:color w:val="auto"/>
              </w:rPr>
            </w:pPr>
            <w:r>
              <w:rPr>
                <w:rFonts w:ascii="Arial" w:cs="Arial" w:eastAsia="Arial" w:hAnsi="Arial"/>
                <w:sz w:val="18"/>
                <w:szCs w:val="18"/>
                <w:color w:val="auto"/>
              </w:rPr>
              <w:t>44,944</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40" w:type="dxa"/>
            <w:vAlign w:val="bottom"/>
          </w:tcPr>
          <w:p>
            <w:pPr>
              <w:spacing w:after="0" w:line="230" w:lineRule="exact"/>
              <w:rPr>
                <w:sz w:val="20"/>
                <w:szCs w:val="20"/>
                <w:color w:val="auto"/>
              </w:rPr>
            </w:pPr>
            <w:r>
              <w:rPr>
                <w:rFonts w:ascii="Arial" w:cs="Arial" w:eastAsia="Arial" w:hAnsi="Arial"/>
                <w:sz w:val="16"/>
                <w:szCs w:val="16"/>
                <w:color w:val="auto"/>
              </w:rPr>
              <w:t>Michel C. Cadieux</w:t>
            </w:r>
            <w:r>
              <w:rPr>
                <w:rFonts w:ascii="Arial" w:cs="Arial" w:eastAsia="Arial" w:hAnsi="Arial"/>
                <w:sz w:val="26"/>
                <w:szCs w:val="26"/>
                <w:color w:val="auto"/>
                <w:vertAlign w:val="superscript"/>
              </w:rPr>
              <w:t>(4)</w:t>
            </w:r>
          </w:p>
        </w:tc>
        <w:tc>
          <w:tcPr>
            <w:tcW w:w="2460" w:type="dxa"/>
            <w:vAlign w:val="bottom"/>
          </w:tcPr>
          <w:p>
            <w:pPr>
              <w:jc w:val="right"/>
              <w:ind w:right="293"/>
              <w:spacing w:after="0"/>
              <w:rPr>
                <w:sz w:val="20"/>
                <w:szCs w:val="20"/>
                <w:color w:val="auto"/>
              </w:rPr>
            </w:pPr>
            <w:r>
              <w:rPr>
                <w:rFonts w:ascii="Arial" w:cs="Arial" w:eastAsia="Arial" w:hAnsi="Arial"/>
                <w:sz w:val="18"/>
                <w:szCs w:val="18"/>
                <w:color w:val="auto"/>
              </w:rPr>
              <w:t>65,544</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40" w:type="dxa"/>
            <w:vAlign w:val="bottom"/>
          </w:tcPr>
          <w:p>
            <w:pPr>
              <w:spacing w:after="0" w:line="230" w:lineRule="exact"/>
              <w:rPr>
                <w:sz w:val="20"/>
                <w:szCs w:val="20"/>
                <w:color w:val="auto"/>
              </w:rPr>
            </w:pPr>
            <w:r>
              <w:rPr>
                <w:rFonts w:ascii="Arial" w:cs="Arial" w:eastAsia="Arial" w:hAnsi="Arial"/>
                <w:sz w:val="16"/>
                <w:szCs w:val="16"/>
                <w:color w:val="auto"/>
              </w:rPr>
              <w:t>Sarah E. Hlavinka</w:t>
            </w:r>
            <w:r>
              <w:rPr>
                <w:rFonts w:ascii="Arial" w:cs="Arial" w:eastAsia="Arial" w:hAnsi="Arial"/>
                <w:sz w:val="26"/>
                <w:szCs w:val="26"/>
                <w:color w:val="auto"/>
                <w:vertAlign w:val="superscript"/>
              </w:rPr>
              <w:t>(5)</w:t>
            </w:r>
          </w:p>
        </w:tc>
        <w:tc>
          <w:tcPr>
            <w:tcW w:w="2460" w:type="dxa"/>
            <w:vAlign w:val="bottom"/>
          </w:tcPr>
          <w:p>
            <w:pPr>
              <w:jc w:val="right"/>
              <w:ind w:right="293"/>
              <w:spacing w:after="0"/>
              <w:rPr>
                <w:sz w:val="20"/>
                <w:szCs w:val="20"/>
                <w:color w:val="auto"/>
              </w:rPr>
            </w:pPr>
            <w:r>
              <w:rPr>
                <w:rFonts w:ascii="Arial" w:cs="Arial" w:eastAsia="Arial" w:hAnsi="Arial"/>
                <w:sz w:val="18"/>
                <w:szCs w:val="18"/>
                <w:color w:val="auto"/>
              </w:rPr>
              <w:t>16,125</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40" w:type="dxa"/>
            <w:vAlign w:val="bottom"/>
          </w:tcPr>
          <w:p>
            <w:pPr>
              <w:spacing w:after="0" w:line="230" w:lineRule="exact"/>
              <w:rPr>
                <w:sz w:val="20"/>
                <w:szCs w:val="20"/>
                <w:color w:val="auto"/>
              </w:rPr>
            </w:pPr>
            <w:r>
              <w:rPr>
                <w:rFonts w:ascii="Arial" w:cs="Arial" w:eastAsia="Arial" w:hAnsi="Arial"/>
                <w:sz w:val="16"/>
                <w:szCs w:val="16"/>
                <w:color w:val="auto"/>
              </w:rPr>
              <w:t>Donald L. Reeves</w:t>
            </w:r>
            <w:r>
              <w:rPr>
                <w:rFonts w:ascii="Arial" w:cs="Arial" w:eastAsia="Arial" w:hAnsi="Arial"/>
                <w:sz w:val="26"/>
                <w:szCs w:val="26"/>
                <w:color w:val="auto"/>
                <w:vertAlign w:val="superscript"/>
              </w:rPr>
              <w:t>(6)</w:t>
            </w:r>
          </w:p>
        </w:tc>
        <w:tc>
          <w:tcPr>
            <w:tcW w:w="2460" w:type="dxa"/>
            <w:vAlign w:val="bottom"/>
          </w:tcPr>
          <w:p>
            <w:pPr>
              <w:jc w:val="right"/>
              <w:ind w:right="293"/>
              <w:spacing w:after="0"/>
              <w:rPr>
                <w:sz w:val="20"/>
                <w:szCs w:val="20"/>
                <w:color w:val="auto"/>
              </w:rPr>
            </w:pPr>
            <w:r>
              <w:rPr>
                <w:rFonts w:ascii="Arial" w:cs="Arial" w:eastAsia="Arial" w:hAnsi="Arial"/>
                <w:sz w:val="18"/>
                <w:szCs w:val="18"/>
                <w:color w:val="auto"/>
              </w:rPr>
              <w:t>15,149</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40" w:type="dxa"/>
            <w:vAlign w:val="bottom"/>
          </w:tcPr>
          <w:p>
            <w:pPr>
              <w:spacing w:after="0" w:line="230" w:lineRule="exact"/>
              <w:rPr>
                <w:sz w:val="20"/>
                <w:szCs w:val="20"/>
                <w:color w:val="auto"/>
              </w:rPr>
            </w:pPr>
            <w:r>
              <w:rPr>
                <w:rFonts w:ascii="Arial" w:cs="Arial" w:eastAsia="Arial" w:hAnsi="Arial"/>
                <w:sz w:val="16"/>
                <w:szCs w:val="16"/>
                <w:color w:val="auto"/>
              </w:rPr>
              <w:t>Thomas S. Glanville</w:t>
            </w:r>
            <w:r>
              <w:rPr>
                <w:rFonts w:ascii="Arial" w:cs="Arial" w:eastAsia="Arial" w:hAnsi="Arial"/>
                <w:sz w:val="26"/>
                <w:szCs w:val="26"/>
                <w:color w:val="auto"/>
                <w:vertAlign w:val="superscript"/>
              </w:rPr>
              <w:t>(7)</w:t>
            </w:r>
          </w:p>
        </w:tc>
        <w:tc>
          <w:tcPr>
            <w:tcW w:w="2460" w:type="dxa"/>
            <w:vAlign w:val="bottom"/>
          </w:tcPr>
          <w:p>
            <w:pPr>
              <w:jc w:val="right"/>
              <w:ind w:right="293"/>
              <w:spacing w:after="0"/>
              <w:rPr>
                <w:sz w:val="20"/>
                <w:szCs w:val="20"/>
                <w:color w:val="auto"/>
              </w:rPr>
            </w:pPr>
            <w:r>
              <w:rPr>
                <w:rFonts w:ascii="Arial" w:cs="Arial" w:eastAsia="Arial" w:hAnsi="Arial"/>
                <w:sz w:val="18"/>
                <w:szCs w:val="18"/>
                <w:color w:val="auto"/>
              </w:rPr>
              <w:t>11,441</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40" w:type="dxa"/>
            <w:vAlign w:val="bottom"/>
          </w:tcPr>
          <w:p>
            <w:pPr>
              <w:spacing w:after="0" w:line="230" w:lineRule="exact"/>
              <w:rPr>
                <w:sz w:val="20"/>
                <w:szCs w:val="20"/>
                <w:color w:val="auto"/>
              </w:rPr>
            </w:pPr>
            <w:r>
              <w:rPr>
                <w:rFonts w:ascii="Arial" w:cs="Arial" w:eastAsia="Arial" w:hAnsi="Arial"/>
                <w:sz w:val="16"/>
                <w:szCs w:val="16"/>
                <w:color w:val="auto"/>
              </w:rPr>
              <w:t>Frank M. Jaehnert</w:t>
            </w:r>
            <w:r>
              <w:rPr>
                <w:rFonts w:ascii="Arial" w:cs="Arial" w:eastAsia="Arial" w:hAnsi="Arial"/>
                <w:sz w:val="26"/>
                <w:szCs w:val="26"/>
                <w:color w:val="auto"/>
                <w:vertAlign w:val="superscript"/>
              </w:rPr>
              <w:t>(8)</w:t>
            </w:r>
          </w:p>
        </w:tc>
        <w:tc>
          <w:tcPr>
            <w:tcW w:w="2460" w:type="dxa"/>
            <w:vAlign w:val="bottom"/>
          </w:tcPr>
          <w:p>
            <w:pPr>
              <w:jc w:val="right"/>
              <w:ind w:right="293"/>
              <w:spacing w:after="0"/>
              <w:rPr>
                <w:sz w:val="20"/>
                <w:szCs w:val="20"/>
                <w:color w:val="auto"/>
              </w:rPr>
            </w:pPr>
            <w:r>
              <w:rPr>
                <w:rFonts w:ascii="Arial" w:cs="Arial" w:eastAsia="Arial" w:hAnsi="Arial"/>
                <w:sz w:val="18"/>
                <w:szCs w:val="18"/>
                <w:color w:val="auto"/>
              </w:rPr>
              <w:t>10,088</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40" w:type="dxa"/>
            <w:vAlign w:val="bottom"/>
          </w:tcPr>
          <w:p>
            <w:pPr>
              <w:spacing w:after="0" w:line="230" w:lineRule="exact"/>
              <w:rPr>
                <w:sz w:val="20"/>
                <w:szCs w:val="20"/>
                <w:color w:val="auto"/>
              </w:rPr>
            </w:pPr>
            <w:r>
              <w:rPr>
                <w:rFonts w:ascii="Arial" w:cs="Arial" w:eastAsia="Arial" w:hAnsi="Arial"/>
                <w:sz w:val="16"/>
                <w:szCs w:val="16"/>
                <w:color w:val="auto"/>
              </w:rPr>
              <w:t>Jerome J. Lande</w:t>
            </w:r>
            <w:r>
              <w:rPr>
                <w:rFonts w:ascii="Arial" w:cs="Arial" w:eastAsia="Arial" w:hAnsi="Arial"/>
                <w:sz w:val="26"/>
                <w:szCs w:val="26"/>
                <w:color w:val="auto"/>
                <w:vertAlign w:val="superscript"/>
              </w:rPr>
              <w:t>(9)</w:t>
            </w:r>
          </w:p>
        </w:tc>
        <w:tc>
          <w:tcPr>
            <w:tcW w:w="2460" w:type="dxa"/>
            <w:vAlign w:val="bottom"/>
          </w:tcPr>
          <w:p>
            <w:pPr>
              <w:jc w:val="right"/>
              <w:ind w:right="293"/>
              <w:spacing w:after="0"/>
              <w:rPr>
                <w:sz w:val="20"/>
                <w:szCs w:val="20"/>
                <w:color w:val="auto"/>
              </w:rPr>
            </w:pPr>
            <w:r>
              <w:rPr>
                <w:rFonts w:ascii="Arial" w:cs="Arial" w:eastAsia="Arial" w:hAnsi="Arial"/>
                <w:sz w:val="18"/>
                <w:szCs w:val="18"/>
                <w:color w:val="auto"/>
              </w:rPr>
              <w:t>12,235</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40" w:type="dxa"/>
            <w:vAlign w:val="bottom"/>
          </w:tcPr>
          <w:p>
            <w:pPr>
              <w:spacing w:after="0" w:line="230" w:lineRule="exact"/>
              <w:rPr>
                <w:sz w:val="20"/>
                <w:szCs w:val="20"/>
                <w:color w:val="auto"/>
              </w:rPr>
            </w:pPr>
            <w:r>
              <w:rPr>
                <w:rFonts w:ascii="Arial" w:cs="Arial" w:eastAsia="Arial" w:hAnsi="Arial"/>
                <w:sz w:val="16"/>
                <w:szCs w:val="16"/>
                <w:color w:val="auto"/>
              </w:rPr>
              <w:t>Timothy M. Leyden</w:t>
            </w:r>
            <w:r>
              <w:rPr>
                <w:rFonts w:ascii="Arial" w:cs="Arial" w:eastAsia="Arial" w:hAnsi="Arial"/>
                <w:sz w:val="26"/>
                <w:szCs w:val="26"/>
                <w:color w:val="auto"/>
                <w:vertAlign w:val="superscript"/>
              </w:rPr>
              <w:t>(10)</w:t>
            </w:r>
          </w:p>
        </w:tc>
        <w:tc>
          <w:tcPr>
            <w:tcW w:w="2460" w:type="dxa"/>
            <w:vAlign w:val="bottom"/>
          </w:tcPr>
          <w:p>
            <w:pPr>
              <w:jc w:val="right"/>
              <w:ind w:right="293"/>
              <w:spacing w:after="0"/>
              <w:rPr>
                <w:sz w:val="20"/>
                <w:szCs w:val="20"/>
                <w:color w:val="auto"/>
              </w:rPr>
            </w:pPr>
            <w:r>
              <w:rPr>
                <w:rFonts w:ascii="Arial" w:cs="Arial" w:eastAsia="Arial" w:hAnsi="Arial"/>
                <w:sz w:val="18"/>
                <w:szCs w:val="18"/>
                <w:color w:val="auto"/>
              </w:rPr>
              <w:t>10,719</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40" w:type="dxa"/>
            <w:vAlign w:val="bottom"/>
          </w:tcPr>
          <w:p>
            <w:pPr>
              <w:spacing w:after="0" w:line="230" w:lineRule="exact"/>
              <w:rPr>
                <w:sz w:val="20"/>
                <w:szCs w:val="20"/>
                <w:color w:val="auto"/>
              </w:rPr>
            </w:pPr>
            <w:r>
              <w:rPr>
                <w:rFonts w:ascii="Arial" w:cs="Arial" w:eastAsia="Arial" w:hAnsi="Arial"/>
                <w:sz w:val="16"/>
                <w:szCs w:val="16"/>
                <w:color w:val="auto"/>
              </w:rPr>
              <w:t>Daniel S. Pelino</w:t>
            </w:r>
            <w:r>
              <w:rPr>
                <w:rFonts w:ascii="Arial" w:cs="Arial" w:eastAsia="Arial" w:hAnsi="Arial"/>
                <w:sz w:val="26"/>
                <w:szCs w:val="26"/>
                <w:color w:val="auto"/>
                <w:vertAlign w:val="superscript"/>
              </w:rPr>
              <w:t>(11)</w:t>
            </w:r>
          </w:p>
        </w:tc>
        <w:tc>
          <w:tcPr>
            <w:tcW w:w="2460" w:type="dxa"/>
            <w:vAlign w:val="bottom"/>
          </w:tcPr>
          <w:p>
            <w:pPr>
              <w:jc w:val="right"/>
              <w:ind w:right="293"/>
              <w:spacing w:after="0"/>
              <w:rPr>
                <w:sz w:val="20"/>
                <w:szCs w:val="20"/>
                <w:color w:val="auto"/>
              </w:rPr>
            </w:pPr>
            <w:r>
              <w:rPr>
                <w:rFonts w:ascii="Arial" w:cs="Arial" w:eastAsia="Arial" w:hAnsi="Arial"/>
                <w:sz w:val="18"/>
                <w:szCs w:val="18"/>
                <w:color w:val="auto"/>
              </w:rPr>
              <w:t>13,762</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40" w:type="dxa"/>
            <w:vAlign w:val="bottom"/>
          </w:tcPr>
          <w:p>
            <w:pPr>
              <w:spacing w:after="0" w:line="230" w:lineRule="exact"/>
              <w:rPr>
                <w:sz w:val="20"/>
                <w:szCs w:val="20"/>
                <w:color w:val="auto"/>
              </w:rPr>
            </w:pPr>
            <w:r>
              <w:rPr>
                <w:rFonts w:ascii="Arial" w:cs="Arial" w:eastAsia="Arial" w:hAnsi="Arial"/>
                <w:sz w:val="16"/>
                <w:szCs w:val="16"/>
                <w:color w:val="auto"/>
              </w:rPr>
              <w:t>Gary E. Pruitt</w:t>
            </w:r>
            <w:r>
              <w:rPr>
                <w:rFonts w:ascii="Arial" w:cs="Arial" w:eastAsia="Arial" w:hAnsi="Arial"/>
                <w:sz w:val="26"/>
                <w:szCs w:val="26"/>
                <w:color w:val="auto"/>
                <w:vertAlign w:val="superscript"/>
              </w:rPr>
              <w:t>(12)</w:t>
            </w:r>
          </w:p>
        </w:tc>
        <w:tc>
          <w:tcPr>
            <w:tcW w:w="2460" w:type="dxa"/>
            <w:vAlign w:val="bottom"/>
          </w:tcPr>
          <w:p>
            <w:pPr>
              <w:jc w:val="right"/>
              <w:ind w:right="293"/>
              <w:spacing w:after="0"/>
              <w:rPr>
                <w:sz w:val="20"/>
                <w:szCs w:val="20"/>
                <w:color w:val="auto"/>
              </w:rPr>
            </w:pPr>
            <w:r>
              <w:rPr>
                <w:rFonts w:ascii="Arial" w:cs="Arial" w:eastAsia="Arial" w:hAnsi="Arial"/>
                <w:sz w:val="18"/>
                <w:szCs w:val="18"/>
                <w:color w:val="auto"/>
              </w:rPr>
              <w:t>43,791</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40" w:type="dxa"/>
            <w:vAlign w:val="bottom"/>
          </w:tcPr>
          <w:p>
            <w:pPr>
              <w:spacing w:after="0" w:line="230" w:lineRule="exact"/>
              <w:rPr>
                <w:sz w:val="20"/>
                <w:szCs w:val="20"/>
                <w:color w:val="auto"/>
              </w:rPr>
            </w:pPr>
            <w:r>
              <w:rPr>
                <w:rFonts w:ascii="Arial" w:cs="Arial" w:eastAsia="Arial" w:hAnsi="Arial"/>
                <w:sz w:val="16"/>
                <w:szCs w:val="16"/>
                <w:color w:val="auto"/>
              </w:rPr>
              <w:t>Diana D. Tremblay</w:t>
            </w:r>
            <w:r>
              <w:rPr>
                <w:rFonts w:ascii="Arial" w:cs="Arial" w:eastAsia="Arial" w:hAnsi="Arial"/>
                <w:sz w:val="26"/>
                <w:szCs w:val="26"/>
                <w:color w:val="auto"/>
                <w:vertAlign w:val="superscript"/>
              </w:rPr>
              <w:t>(13)</w:t>
            </w:r>
          </w:p>
        </w:tc>
        <w:tc>
          <w:tcPr>
            <w:tcW w:w="2460" w:type="dxa"/>
            <w:vAlign w:val="bottom"/>
          </w:tcPr>
          <w:p>
            <w:pPr>
              <w:jc w:val="right"/>
              <w:ind w:right="293"/>
              <w:spacing w:after="0"/>
              <w:rPr>
                <w:sz w:val="20"/>
                <w:szCs w:val="20"/>
                <w:color w:val="auto"/>
              </w:rPr>
            </w:pPr>
            <w:r>
              <w:rPr>
                <w:rFonts w:ascii="Arial" w:cs="Arial" w:eastAsia="Arial" w:hAnsi="Arial"/>
                <w:sz w:val="18"/>
                <w:szCs w:val="18"/>
                <w:color w:val="auto"/>
              </w:rPr>
              <w:t>10,088</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40" w:type="dxa"/>
            <w:vAlign w:val="bottom"/>
          </w:tcPr>
          <w:p>
            <w:pPr>
              <w:spacing w:after="0" w:line="230" w:lineRule="exact"/>
              <w:rPr>
                <w:sz w:val="20"/>
                <w:szCs w:val="20"/>
                <w:color w:val="auto"/>
              </w:rPr>
            </w:pPr>
            <w:r>
              <w:rPr>
                <w:rFonts w:ascii="Arial" w:cs="Arial" w:eastAsia="Arial" w:hAnsi="Arial"/>
                <w:sz w:val="16"/>
                <w:szCs w:val="16"/>
                <w:color w:val="auto"/>
              </w:rPr>
              <w:t>Lynda L. Ziegler</w:t>
            </w:r>
            <w:r>
              <w:rPr>
                <w:rFonts w:ascii="Arial" w:cs="Arial" w:eastAsia="Arial" w:hAnsi="Arial"/>
                <w:sz w:val="26"/>
                <w:szCs w:val="26"/>
                <w:color w:val="auto"/>
                <w:vertAlign w:val="superscript"/>
              </w:rPr>
              <w:t>(14)</w:t>
            </w:r>
          </w:p>
        </w:tc>
        <w:tc>
          <w:tcPr>
            <w:tcW w:w="2460" w:type="dxa"/>
            <w:vAlign w:val="bottom"/>
          </w:tcPr>
          <w:p>
            <w:pPr>
              <w:jc w:val="right"/>
              <w:ind w:right="293"/>
              <w:spacing w:after="0"/>
              <w:rPr>
                <w:sz w:val="20"/>
                <w:szCs w:val="20"/>
                <w:color w:val="auto"/>
              </w:rPr>
            </w:pPr>
            <w:r>
              <w:rPr>
                <w:rFonts w:ascii="Arial" w:cs="Arial" w:eastAsia="Arial" w:hAnsi="Arial"/>
                <w:sz w:val="18"/>
                <w:szCs w:val="18"/>
                <w:color w:val="auto"/>
              </w:rPr>
              <w:t>12,211</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83"/>
        </w:trPr>
        <w:tc>
          <w:tcPr>
            <w:tcW w:w="6240" w:type="dxa"/>
            <w:vAlign w:val="bottom"/>
          </w:tcPr>
          <w:p>
            <w:pPr>
              <w:spacing w:after="0"/>
              <w:rPr>
                <w:sz w:val="20"/>
                <w:szCs w:val="20"/>
                <w:color w:val="auto"/>
              </w:rPr>
            </w:pPr>
            <w:r>
              <w:rPr>
                <w:rFonts w:ascii="Arial" w:cs="Arial" w:eastAsia="Arial" w:hAnsi="Arial"/>
                <w:sz w:val="18"/>
                <w:szCs w:val="18"/>
                <w:color w:val="auto"/>
              </w:rPr>
              <w:t>All directors and executive officers as a group (15 persons)</w:t>
            </w:r>
            <w:r>
              <w:rPr>
                <w:rFonts w:ascii="Arial" w:cs="Arial" w:eastAsia="Arial" w:hAnsi="Arial"/>
                <w:sz w:val="29"/>
                <w:szCs w:val="29"/>
                <w:color w:val="auto"/>
                <w:vertAlign w:val="superscript"/>
              </w:rPr>
              <w:t>(15)</w:t>
            </w:r>
          </w:p>
        </w:tc>
        <w:tc>
          <w:tcPr>
            <w:tcW w:w="2460" w:type="dxa"/>
            <w:vAlign w:val="bottom"/>
          </w:tcPr>
          <w:p>
            <w:pPr>
              <w:jc w:val="right"/>
              <w:ind w:right="293"/>
              <w:spacing w:after="0"/>
              <w:rPr>
                <w:sz w:val="20"/>
                <w:szCs w:val="20"/>
                <w:color w:val="auto"/>
              </w:rPr>
            </w:pPr>
            <w:r>
              <w:rPr>
                <w:rFonts w:ascii="Arial" w:cs="Arial" w:eastAsia="Arial" w:hAnsi="Arial"/>
                <w:sz w:val="18"/>
                <w:szCs w:val="18"/>
                <w:color w:val="auto"/>
              </w:rPr>
              <w:t>694,439</w:t>
            </w:r>
          </w:p>
        </w:tc>
        <w:tc>
          <w:tcPr>
            <w:tcW w:w="820" w:type="dxa"/>
            <w:vAlign w:val="bottom"/>
          </w:tcPr>
          <w:p>
            <w:pPr>
              <w:jc w:val="right"/>
              <w:spacing w:after="0"/>
              <w:rPr>
                <w:sz w:val="20"/>
                <w:szCs w:val="20"/>
                <w:color w:val="auto"/>
              </w:rPr>
            </w:pPr>
            <w:r>
              <w:rPr>
                <w:rFonts w:ascii="Arial" w:cs="Arial" w:eastAsia="Arial" w:hAnsi="Arial"/>
                <w:sz w:val="18"/>
                <w:szCs w:val="18"/>
                <w:color w:val="auto"/>
              </w:rPr>
              <w:t>1.72%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-2565400</wp:posOffset>
            </wp:positionV>
            <wp:extent cx="6069330" cy="25971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69330" cy="2597150"/>
                    </a:xfrm>
                    <a:prstGeom prst="rect">
                      <a:avLst/>
                    </a:prstGeom>
                    <a:noFill/>
                  </pic:spPr>
                </pic:pic>
              </a:graphicData>
            </a:graphic>
          </wp:anchor>
        </w:drawing>
      </w:r>
    </w:p>
    <w:p>
      <w:pPr>
        <w:spacing w:after="0" w:line="142" w:lineRule="exact"/>
        <w:rPr>
          <w:sz w:val="20"/>
          <w:szCs w:val="20"/>
          <w:color w:val="auto"/>
        </w:rPr>
      </w:pPr>
    </w:p>
    <w:p>
      <w:pPr>
        <w:ind w:left="360" w:hanging="355"/>
        <w:spacing w:after="0"/>
        <w:tabs>
          <w:tab w:leader="none" w:pos="3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09" w:lineRule="exact"/>
        <w:rPr>
          <w:sz w:val="20"/>
          <w:szCs w:val="20"/>
          <w:color w:val="auto"/>
        </w:rPr>
      </w:pPr>
    </w:p>
    <w:p>
      <w:pPr>
        <w:ind w:left="360" w:right="180" w:hanging="355"/>
        <w:spacing w:after="0" w:line="244" w:lineRule="auto"/>
        <w:tabs>
          <w:tab w:leader="none" w:pos="3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Mr. Mezey resigned as an executive officer and director on August 6, 2019, and became a non-executive officer employee until his retirement from Itron on August 31, 2019. Represents Mr. Mezey’s holdings, including the number of shares subject to RSU’s and stock options that became exercisable or vested within 60 days, as of August 6, 2019, his last day of employment as an executive officer and director of Itron. Includes 23,877 shares issuable on exercise of outstanding options exercisable within 60 days at a weighted average exercise price of $67.40 per share. Also includes 53,354 shares held in a trust with Mr. Mezey and his spouse as co-trustees, who share voting and investment power over these shares.</w:t>
      </w:r>
    </w:p>
    <w:p>
      <w:pPr>
        <w:spacing w:after="0" w:line="97" w:lineRule="exact"/>
        <w:rPr>
          <w:rFonts w:ascii="Arial" w:cs="Arial" w:eastAsia="Arial" w:hAnsi="Arial"/>
          <w:sz w:val="14"/>
          <w:szCs w:val="14"/>
          <w:color w:val="auto"/>
        </w:rPr>
      </w:pPr>
    </w:p>
    <w:p>
      <w:pPr>
        <w:ind w:left="360" w:right="100" w:hanging="355"/>
        <w:spacing w:after="0" w:line="258" w:lineRule="auto"/>
        <w:tabs>
          <w:tab w:leader="none" w:pos="3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Includes 157,847 shares issuable on exercise of outstanding options exercisable within 60 days at a weighted average exercise price of $43.59 per share.</w:t>
      </w:r>
    </w:p>
    <w:p>
      <w:pPr>
        <w:spacing w:after="0" w:line="85" w:lineRule="exact"/>
        <w:rPr>
          <w:rFonts w:ascii="Arial" w:cs="Arial" w:eastAsia="Arial" w:hAnsi="Arial"/>
          <w:sz w:val="14"/>
          <w:szCs w:val="14"/>
          <w:color w:val="auto"/>
        </w:rPr>
      </w:pPr>
    </w:p>
    <w:p>
      <w:pPr>
        <w:ind w:left="360" w:right="180" w:hanging="355"/>
        <w:spacing w:after="0" w:line="258" w:lineRule="auto"/>
        <w:tabs>
          <w:tab w:leader="none" w:pos="3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Includes 14,381 shares issuable on exercise of outstanding options exercisable within 60 days at a weighted average exercise price of $68.85 per share.</w:t>
      </w:r>
    </w:p>
    <w:p>
      <w:pPr>
        <w:spacing w:after="0" w:line="85" w:lineRule="exact"/>
        <w:rPr>
          <w:rFonts w:ascii="Arial" w:cs="Arial" w:eastAsia="Arial" w:hAnsi="Arial"/>
          <w:sz w:val="14"/>
          <w:szCs w:val="14"/>
          <w:color w:val="auto"/>
        </w:rPr>
      </w:pPr>
    </w:p>
    <w:p>
      <w:pPr>
        <w:ind w:left="360" w:right="180" w:hanging="355"/>
        <w:spacing w:after="0" w:line="258" w:lineRule="auto"/>
        <w:tabs>
          <w:tab w:leader="none" w:pos="3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Includes 29,626 shares issuable on exercise of outstanding options exercisable within 60 days at a weighted average exercise price of $53.16 per share.</w:t>
      </w:r>
    </w:p>
    <w:p>
      <w:pPr>
        <w:spacing w:after="0" w:line="85" w:lineRule="exact"/>
        <w:rPr>
          <w:rFonts w:ascii="Arial" w:cs="Arial" w:eastAsia="Arial" w:hAnsi="Arial"/>
          <w:sz w:val="14"/>
          <w:szCs w:val="14"/>
          <w:color w:val="auto"/>
        </w:rPr>
      </w:pPr>
    </w:p>
    <w:p>
      <w:pPr>
        <w:ind w:left="360" w:right="20" w:hanging="355"/>
        <w:spacing w:after="0" w:line="258" w:lineRule="auto"/>
        <w:tabs>
          <w:tab w:leader="none" w:pos="3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Includes 2,933 shares issuable on exercise of outstanding options exercisable within 60 days at a weighted average exercise price of $66.30 per share.</w:t>
      </w:r>
    </w:p>
    <w:p>
      <w:pPr>
        <w:spacing w:after="0" w:line="85" w:lineRule="exact"/>
        <w:rPr>
          <w:rFonts w:ascii="Arial" w:cs="Arial" w:eastAsia="Arial" w:hAnsi="Arial"/>
          <w:sz w:val="14"/>
          <w:szCs w:val="14"/>
          <w:color w:val="auto"/>
        </w:rPr>
      </w:pPr>
    </w:p>
    <w:p>
      <w:pPr>
        <w:ind w:left="360" w:right="20" w:hanging="355"/>
        <w:spacing w:after="0" w:line="258" w:lineRule="auto"/>
        <w:tabs>
          <w:tab w:leader="none" w:pos="3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Includes 6,499 shares issuable on exercise of outstanding options exercisable within 60 days at a weighted average exercise price of $58.48 per share.</w:t>
      </w:r>
    </w:p>
    <w:p>
      <w:pPr>
        <w:spacing w:after="0" w:line="85" w:lineRule="exact"/>
        <w:rPr>
          <w:rFonts w:ascii="Arial" w:cs="Arial" w:eastAsia="Arial" w:hAnsi="Arial"/>
          <w:sz w:val="14"/>
          <w:szCs w:val="14"/>
          <w:color w:val="auto"/>
        </w:rPr>
      </w:pPr>
    </w:p>
    <w:p>
      <w:pPr>
        <w:ind w:left="360" w:hanging="355"/>
        <w:spacing w:after="0"/>
        <w:tabs>
          <w:tab w:leader="none" w:pos="3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Represents shares owned as of March 2, 2020.</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Represents shares owned as of March 2, 2020.</w:t>
      </w:r>
    </w:p>
    <w:p>
      <w:pPr>
        <w:spacing w:after="0" w:line="109" w:lineRule="exact"/>
        <w:rPr>
          <w:rFonts w:ascii="Arial" w:cs="Arial" w:eastAsia="Arial" w:hAnsi="Arial"/>
          <w:sz w:val="14"/>
          <w:szCs w:val="14"/>
          <w:color w:val="auto"/>
        </w:rPr>
      </w:pPr>
    </w:p>
    <w:p>
      <w:pPr>
        <w:ind w:left="360" w:right="40" w:hanging="355"/>
        <w:spacing w:after="0" w:line="249" w:lineRule="auto"/>
        <w:tabs>
          <w:tab w:leader="none" w:pos="3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Represents shares owned as of March 2, 2020. Mr. Lande was appointed to our Board through an agreement with Scopia. Mr. Lande is an employee of Scopia but does not have voting or investment power over and disclaims beneficial ownership of the shares of the Company owned by Scopia.</w:t>
      </w:r>
    </w:p>
    <w:p>
      <w:pPr>
        <w:spacing w:after="0" w:line="209"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p>
      <w:pPr>
        <w:ind w:left="360" w:hanging="355"/>
        <w:spacing w:after="0"/>
        <w:tabs>
          <w:tab w:leader="none" w:pos="3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Represents shares owned as of March 2, 2020.</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Represents shares owned as of March 2, 2020.</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Represents shares owned as of March 2, 2020.</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Represents shares owned as of March 2, 2020.</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Represents shares owned as of March 2, 2020.</w:t>
      </w:r>
    </w:p>
    <w:p>
      <w:pPr>
        <w:spacing w:after="0" w:line="109" w:lineRule="exact"/>
        <w:rPr>
          <w:rFonts w:ascii="Arial" w:cs="Arial" w:eastAsia="Arial" w:hAnsi="Arial"/>
          <w:sz w:val="14"/>
          <w:szCs w:val="14"/>
          <w:color w:val="auto"/>
        </w:rPr>
      </w:pPr>
    </w:p>
    <w:p>
      <w:pPr>
        <w:ind w:left="360" w:right="600" w:hanging="355"/>
        <w:spacing w:after="0" w:line="258" w:lineRule="auto"/>
        <w:tabs>
          <w:tab w:leader="none" w:pos="3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Includes 225,225 shares issuable on exercise of outstanding options that are held by all current directors and executive officers and are exercisable within 60 days.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Shareholders</w:t>
      </w:r>
    </w:p>
    <w:p>
      <w:pPr>
        <w:spacing w:after="0" w:line="19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following table provides information with respect to the beneficial ownership of our common stock as of March 2, 2020 by each person that we know beneficially owns more than five percent (5%) of our common stock.</w:t>
      </w:r>
    </w:p>
    <w:p>
      <w:pPr>
        <w:spacing w:after="0" w:line="37" w:lineRule="exact"/>
        <w:rPr>
          <w:sz w:val="20"/>
          <w:szCs w:val="20"/>
          <w:color w:val="auto"/>
        </w:rPr>
      </w:pPr>
    </w:p>
    <w:p>
      <w:pPr>
        <w:ind w:left="7280"/>
        <w:spacing w:after="0"/>
        <w:rPr>
          <w:sz w:val="20"/>
          <w:szCs w:val="20"/>
          <w:color w:val="auto"/>
        </w:rPr>
      </w:pPr>
      <w:r>
        <w:rPr>
          <w:rFonts w:ascii="Arial" w:cs="Arial" w:eastAsia="Arial" w:hAnsi="Arial"/>
          <w:sz w:val="14"/>
          <w:szCs w:val="14"/>
          <w:b w:val="1"/>
          <w:bCs w:val="1"/>
          <w:color w:val="auto"/>
        </w:rPr>
        <w:t>Shares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4340860</wp:posOffset>
            </wp:positionH>
            <wp:positionV relativeFrom="paragraph">
              <wp:posOffset>8890</wp:posOffset>
            </wp:positionV>
            <wp:extent cx="1671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40" w:type="dxa"/>
            <w:vAlign w:val="bottom"/>
            <w:tcBorders>
              <w:bottom w:val="single" w:sz="8" w:color="auto"/>
            </w:tcBorders>
          </w:tcPr>
          <w:p>
            <w:pPr>
              <w:ind w:left="2640"/>
              <w:spacing w:after="0"/>
              <w:rPr>
                <w:sz w:val="20"/>
                <w:szCs w:val="20"/>
                <w:color w:val="auto"/>
              </w:rPr>
            </w:pPr>
            <w:r>
              <w:rPr>
                <w:rFonts w:ascii="Arial" w:cs="Arial" w:eastAsia="Arial" w:hAnsi="Arial"/>
                <w:sz w:val="14"/>
                <w:szCs w:val="14"/>
                <w:b w:val="1"/>
                <w:bCs w:val="1"/>
                <w:color w:val="auto"/>
              </w:rPr>
              <w:t>Name and Address</w:t>
            </w:r>
          </w:p>
        </w:tc>
        <w:tc>
          <w:tcPr>
            <w:tcW w:w="200" w:type="dxa"/>
            <w:vAlign w:val="bottom"/>
          </w:tcPr>
          <w:p>
            <w:pPr>
              <w:spacing w:after="0"/>
              <w:rPr>
                <w:sz w:val="15"/>
                <w:szCs w:val="15"/>
                <w:color w:val="auto"/>
              </w:rPr>
            </w:pPr>
          </w:p>
        </w:tc>
        <w:tc>
          <w:tcPr>
            <w:tcW w:w="13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Number</w:t>
            </w:r>
          </w:p>
        </w:tc>
      </w:tr>
      <w:tr>
        <w:trPr>
          <w:trHeight w:val="209"/>
        </w:trPr>
        <w:tc>
          <w:tcPr>
            <w:tcW w:w="6640" w:type="dxa"/>
            <w:vAlign w:val="bottom"/>
          </w:tcPr>
          <w:p>
            <w:pPr>
              <w:ind w:left="40"/>
              <w:spacing w:after="0" w:line="209" w:lineRule="exact"/>
              <w:rPr>
                <w:sz w:val="20"/>
                <w:szCs w:val="20"/>
                <w:color w:val="auto"/>
              </w:rPr>
            </w:pPr>
            <w:r>
              <w:rPr>
                <w:rFonts w:ascii="Arial" w:cs="Arial" w:eastAsia="Arial" w:hAnsi="Arial"/>
                <w:sz w:val="15"/>
                <w:szCs w:val="15"/>
                <w:color w:val="auto"/>
              </w:rPr>
              <w:t>BlackRock, Inc.</w:t>
            </w:r>
            <w:r>
              <w:rPr>
                <w:rFonts w:ascii="Arial" w:cs="Arial" w:eastAsia="Arial" w:hAnsi="Arial"/>
                <w:sz w:val="24"/>
                <w:szCs w:val="24"/>
                <w:color w:val="auto"/>
                <w:vertAlign w:val="superscript"/>
              </w:rPr>
              <w:t>(1)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5,201,473</w:t>
            </w:r>
          </w:p>
        </w:tc>
      </w:tr>
      <w:tr>
        <w:trPr>
          <w:trHeight w:val="216"/>
        </w:trPr>
        <w:tc>
          <w:tcPr>
            <w:tcW w:w="6640" w:type="dxa"/>
            <w:vAlign w:val="bottom"/>
          </w:tcPr>
          <w:p>
            <w:pPr>
              <w:ind w:left="220"/>
              <w:spacing w:after="0" w:line="216" w:lineRule="exact"/>
              <w:rPr>
                <w:sz w:val="20"/>
                <w:szCs w:val="20"/>
                <w:color w:val="auto"/>
              </w:rPr>
            </w:pPr>
            <w:r>
              <w:rPr>
                <w:rFonts w:ascii="Arial" w:cs="Arial" w:eastAsia="Arial" w:hAnsi="Arial"/>
                <w:sz w:val="16"/>
                <w:szCs w:val="16"/>
                <w:color w:val="auto"/>
              </w:rPr>
              <w:t>40 East 52</w:t>
            </w:r>
            <w:r>
              <w:rPr>
                <w:rFonts w:ascii="Arial" w:cs="Arial" w:eastAsia="Arial" w:hAnsi="Arial"/>
                <w:sz w:val="25"/>
                <w:szCs w:val="25"/>
                <w:color w:val="auto"/>
                <w:vertAlign w:val="superscript"/>
              </w:rPr>
              <w:t>nd</w:t>
            </w:r>
            <w:r>
              <w:rPr>
                <w:rFonts w:ascii="Arial" w:cs="Arial" w:eastAsia="Arial" w:hAnsi="Arial"/>
                <w:sz w:val="16"/>
                <w:szCs w:val="16"/>
                <w:color w:val="auto"/>
              </w:rPr>
              <w:t xml:space="preserve"> Street</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7"/>
        </w:trPr>
        <w:tc>
          <w:tcPr>
            <w:tcW w:w="6640" w:type="dxa"/>
            <w:vAlign w:val="bottom"/>
          </w:tcPr>
          <w:p>
            <w:pPr>
              <w:ind w:left="220"/>
              <w:spacing w:after="0"/>
              <w:rPr>
                <w:sz w:val="20"/>
                <w:szCs w:val="20"/>
                <w:color w:val="auto"/>
              </w:rPr>
            </w:pPr>
            <w:r>
              <w:rPr>
                <w:rFonts w:ascii="Arial" w:cs="Arial" w:eastAsia="Arial" w:hAnsi="Arial"/>
                <w:sz w:val="18"/>
                <w:szCs w:val="18"/>
                <w:color w:val="auto"/>
              </w:rPr>
              <w:t>New York, NY 10055</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45"/>
        </w:trPr>
        <w:tc>
          <w:tcPr>
            <w:tcW w:w="6640" w:type="dxa"/>
            <w:vAlign w:val="bottom"/>
          </w:tcPr>
          <w:p>
            <w:pPr>
              <w:ind w:left="40"/>
              <w:spacing w:after="0"/>
              <w:rPr>
                <w:sz w:val="20"/>
                <w:szCs w:val="20"/>
                <w:color w:val="auto"/>
              </w:rPr>
            </w:pPr>
            <w:r>
              <w:rPr>
                <w:rFonts w:ascii="Arial" w:cs="Arial" w:eastAsia="Arial" w:hAnsi="Arial"/>
                <w:sz w:val="18"/>
                <w:szCs w:val="18"/>
                <w:color w:val="auto"/>
              </w:rPr>
              <w:t>Vanguard Group</w:t>
            </w:r>
            <w:r>
              <w:rPr>
                <w:rFonts w:ascii="Arial" w:cs="Arial" w:eastAsia="Arial" w:hAnsi="Arial"/>
                <w:sz w:val="29"/>
                <w:szCs w:val="29"/>
                <w:color w:val="auto"/>
                <w:vertAlign w:val="superscript"/>
              </w:rPr>
              <w:t>(2)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3,968,442</w:t>
            </w:r>
          </w:p>
        </w:tc>
      </w:tr>
      <w:tr>
        <w:trPr>
          <w:trHeight w:val="202"/>
        </w:trPr>
        <w:tc>
          <w:tcPr>
            <w:tcW w:w="6640" w:type="dxa"/>
            <w:vAlign w:val="bottom"/>
          </w:tcPr>
          <w:p>
            <w:pPr>
              <w:ind w:left="220"/>
              <w:spacing w:after="0" w:line="202" w:lineRule="exact"/>
              <w:rPr>
                <w:sz w:val="20"/>
                <w:szCs w:val="20"/>
                <w:color w:val="auto"/>
              </w:rPr>
            </w:pPr>
            <w:r>
              <w:rPr>
                <w:rFonts w:ascii="Arial" w:cs="Arial" w:eastAsia="Arial" w:hAnsi="Arial"/>
                <w:sz w:val="18"/>
                <w:szCs w:val="18"/>
                <w:color w:val="auto"/>
              </w:rPr>
              <w:t>100 Vanguard Blvd.</w:t>
            </w: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7"/>
        </w:trPr>
        <w:tc>
          <w:tcPr>
            <w:tcW w:w="6640" w:type="dxa"/>
            <w:vAlign w:val="bottom"/>
          </w:tcPr>
          <w:p>
            <w:pPr>
              <w:ind w:left="220"/>
              <w:spacing w:after="0"/>
              <w:rPr>
                <w:sz w:val="20"/>
                <w:szCs w:val="20"/>
                <w:color w:val="auto"/>
              </w:rPr>
            </w:pPr>
            <w:r>
              <w:rPr>
                <w:rFonts w:ascii="Arial" w:cs="Arial" w:eastAsia="Arial" w:hAnsi="Arial"/>
                <w:sz w:val="18"/>
                <w:szCs w:val="18"/>
                <w:color w:val="auto"/>
              </w:rPr>
              <w:t>Malvern, PA 19355</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45"/>
        </w:trPr>
        <w:tc>
          <w:tcPr>
            <w:tcW w:w="6640" w:type="dxa"/>
            <w:vAlign w:val="bottom"/>
          </w:tcPr>
          <w:p>
            <w:pPr>
              <w:ind w:left="40"/>
              <w:spacing w:after="0"/>
              <w:rPr>
                <w:sz w:val="20"/>
                <w:szCs w:val="20"/>
                <w:color w:val="auto"/>
              </w:rPr>
            </w:pPr>
            <w:r>
              <w:rPr>
                <w:rFonts w:ascii="Arial" w:cs="Arial" w:eastAsia="Arial" w:hAnsi="Arial"/>
                <w:sz w:val="18"/>
                <w:szCs w:val="18"/>
                <w:color w:val="auto"/>
              </w:rPr>
              <w:t>Wellington Management Group LLP</w:t>
            </w:r>
            <w:r>
              <w:rPr>
                <w:rFonts w:ascii="Arial" w:cs="Arial" w:eastAsia="Arial" w:hAnsi="Arial"/>
                <w:sz w:val="29"/>
                <w:szCs w:val="29"/>
                <w:color w:val="auto"/>
                <w:vertAlign w:val="superscript"/>
              </w:rPr>
              <w:t>(3)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2,381,161</w:t>
            </w:r>
          </w:p>
        </w:tc>
      </w:tr>
      <w:tr>
        <w:trPr>
          <w:trHeight w:val="203"/>
        </w:trPr>
        <w:tc>
          <w:tcPr>
            <w:tcW w:w="6640" w:type="dxa"/>
            <w:vAlign w:val="bottom"/>
          </w:tcPr>
          <w:p>
            <w:pPr>
              <w:ind w:left="220"/>
              <w:spacing w:after="0" w:line="202" w:lineRule="exact"/>
              <w:rPr>
                <w:sz w:val="20"/>
                <w:szCs w:val="20"/>
                <w:color w:val="auto"/>
              </w:rPr>
            </w:pPr>
            <w:r>
              <w:rPr>
                <w:rFonts w:ascii="Arial" w:cs="Arial" w:eastAsia="Arial" w:hAnsi="Arial"/>
                <w:sz w:val="18"/>
                <w:szCs w:val="18"/>
                <w:color w:val="auto"/>
              </w:rPr>
              <w:t>c/o Wellington Management Company LLP</w:t>
            </w: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6640" w:type="dxa"/>
            <w:vAlign w:val="bottom"/>
          </w:tcPr>
          <w:p>
            <w:pPr>
              <w:ind w:left="220"/>
              <w:spacing w:after="0" w:line="202" w:lineRule="exact"/>
              <w:rPr>
                <w:sz w:val="20"/>
                <w:szCs w:val="20"/>
                <w:color w:val="auto"/>
              </w:rPr>
            </w:pPr>
            <w:r>
              <w:rPr>
                <w:rFonts w:ascii="Arial" w:cs="Arial" w:eastAsia="Arial" w:hAnsi="Arial"/>
                <w:sz w:val="18"/>
                <w:szCs w:val="18"/>
                <w:color w:val="auto"/>
              </w:rPr>
              <w:t>280 Congress Street</w:t>
            </w: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7"/>
        </w:trPr>
        <w:tc>
          <w:tcPr>
            <w:tcW w:w="6640" w:type="dxa"/>
            <w:vAlign w:val="bottom"/>
          </w:tcPr>
          <w:p>
            <w:pPr>
              <w:ind w:left="220"/>
              <w:spacing w:after="0"/>
              <w:rPr>
                <w:sz w:val="20"/>
                <w:szCs w:val="20"/>
                <w:color w:val="auto"/>
              </w:rPr>
            </w:pPr>
            <w:r>
              <w:rPr>
                <w:rFonts w:ascii="Arial" w:cs="Arial" w:eastAsia="Arial" w:hAnsi="Arial"/>
                <w:sz w:val="18"/>
                <w:szCs w:val="18"/>
                <w:color w:val="auto"/>
              </w:rPr>
              <w:t>Boston, MA 02210</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-1628140</wp:posOffset>
            </wp:positionV>
            <wp:extent cx="6069330" cy="17570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69330" cy="17570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8890</wp:posOffset>
            </wp:positionV>
            <wp:extent cx="7029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12.95%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9.88%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5.93%</w:t>
      </w:r>
    </w:p>
    <w:p>
      <w:pPr>
        <w:spacing w:after="0" w:line="817" w:lineRule="exact"/>
        <w:rPr>
          <w:sz w:val="20"/>
          <w:szCs w:val="20"/>
          <w:color w:val="auto"/>
        </w:rPr>
      </w:pPr>
    </w:p>
    <w:p>
      <w:pPr>
        <w:sectPr>
          <w:pgSz w:w="11900" w:h="16838" w:orient="portrait"/>
          <w:cols w:equalWidth="0" w:num="2">
            <w:col w:w="8180" w:space="520"/>
            <w:col w:w="860"/>
          </w:cols>
          <w:pgMar w:left="1160" w:top="279" w:right="1179" w:bottom="1440" w:gutter="0" w:footer="0" w:header="0"/>
          <w:type w:val="continuous"/>
        </w:sectPr>
      </w:pPr>
    </w:p>
    <w:p>
      <w:pPr>
        <w:spacing w:after="0" w:line="115" w:lineRule="exact"/>
        <w:rPr>
          <w:sz w:val="20"/>
          <w:szCs w:val="20"/>
          <w:color w:val="auto"/>
        </w:rPr>
      </w:pPr>
    </w:p>
    <w:p>
      <w:pPr>
        <w:ind w:left="360" w:right="20" w:hanging="355"/>
        <w:spacing w:after="0" w:line="244" w:lineRule="auto"/>
        <w:tabs>
          <w:tab w:leader="none" w:pos="3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Information is based on Amendment No. 17 to a Schedule 13G filed with the SEC on February 4, 2020 by BlackRock, Inc., reporting beneficial ownership as of December 31, 2019 on behalf of its investment advisory subsidiaries, BlackRock Advisors, LLC, BlackRock Asset Management Canada Limited, BlackRock Asset Management Ireland Limited, BlackRock Asset Management Schweiz AG, BlackRock Financial Management, Inc., BlackRock Fund Advisors, BlackRock Institutional Trust Company, N.A., BlackRock Investment Management, LLC, BlackRock (Netherlands) B.V., BlackRock Investment Management (Australia) Limited, and BlackRock Investment Management (UK) Ltd. The Schedule 13G indicates that BlackRock Fund Advisors beneficially owns 5% or greater of these shares reported, and that BlackRock, Inc. has sole voting power over 5,139,874 of these shares and sole dispositive power over 5,201,473 of these shares.</w:t>
      </w:r>
    </w:p>
    <w:p>
      <w:pPr>
        <w:spacing w:after="0" w:line="96" w:lineRule="exact"/>
        <w:rPr>
          <w:rFonts w:ascii="Arial" w:cs="Arial" w:eastAsia="Arial" w:hAnsi="Arial"/>
          <w:sz w:val="14"/>
          <w:szCs w:val="14"/>
          <w:color w:val="auto"/>
        </w:rPr>
      </w:pPr>
    </w:p>
    <w:p>
      <w:pPr>
        <w:ind w:left="360" w:right="80" w:hanging="355"/>
        <w:spacing w:after="0" w:line="247" w:lineRule="auto"/>
        <w:tabs>
          <w:tab w:leader="none" w:pos="3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Information is based on Amendment No. 8 to a Schedule 13G filed with the SEC on February 10, 2020 by The Vanguard Group (Vanguard), reporting beneficial ownership as of January 31, 2020. The Schedule 13G indicates that Vanguard has sole dispositive power over 9,894,318 of these shares and shared dispositive power over 74,124 of these shares. Vanguard has sole voting power over 72,515 of these shares and shared voting power over 6,126 of these shares.</w:t>
      </w:r>
    </w:p>
    <w:p>
      <w:pPr>
        <w:spacing w:after="0" w:line="93" w:lineRule="exact"/>
        <w:rPr>
          <w:rFonts w:ascii="Arial" w:cs="Arial" w:eastAsia="Arial" w:hAnsi="Arial"/>
          <w:sz w:val="14"/>
          <w:szCs w:val="14"/>
          <w:color w:val="auto"/>
        </w:rPr>
      </w:pPr>
    </w:p>
    <w:p>
      <w:pPr>
        <w:ind w:left="360" w:hanging="355"/>
        <w:spacing w:after="0" w:line="243" w:lineRule="auto"/>
        <w:tabs>
          <w:tab w:leader="none" w:pos="3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Information is based on Amendment No. 1 to a Schedule 13G filed with the SEC on January 27, 2020 jointly by Wellington Management Group LLP, Wellington Group Holdings LLP, Wellington Investment Advisors Holdings LLP and Wellington Management Company, reporting beneficial ownership as of December 31, 2019. The shares reflected in the table are owned of record by clients of one or more of Wellington Management Company LLP, Wellington Management Canada LLC, Wellington Management Singapore Pte Ltd, Wellington Management Hong Kong Ltd, Wellington Management International Ltd, Wellington Management Japan Pte Ltd and Wellington Management Australia Pty Ltd, each registered investment advisers (the “Wellington Investment Advisers”). Those clients have the right to receive, or the power to direct the receipt of, dividends from, or the proceeds from the sale of, such shares. No such client is known to have such right or power with respect to more than 5% of this class of securities. Wellington Management Group LLP is the parent holding company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Section 16(a) of the Exchange Act requires our executive officers and directors and persons who own more than 10% of a registered class of our equity securities, to file reports of ownership and changes in ownership with the SEC. SEC regulations require our executive officers, directors, and greater than 10% shareholders to provide us with copies of all Section 16(a) forms they file.</w:t>
      </w:r>
    </w:p>
    <w:p>
      <w:pPr>
        <w:spacing w:after="0" w:line="177"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Based solely on our review of these forms and written representations received from certain reporting persons, we believe that during 2019 all of our executive officers, directors, and greater than 10% shareholders complied with all Section 16(a) filing requirements applicable to them.</w:t>
      </w:r>
    </w:p>
    <w:p>
      <w:pPr>
        <w:spacing w:after="0" w:line="21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6069330" cy="431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type w:val="continuous"/>
        </w:sectPr>
      </w:pPr>
    </w:p>
    <w:bookmarkStart w:id="61" w:name="page62"/>
    <w:bookmarkEnd w:id="6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SHAREHOLDERS OF RECORD</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list of shareholders of record entitled to vote at the Annual Meeting will be available at the Annual Meeting and will also be available ten days prior to the annual meeting between the hours of 9:00 a.m. and 4:00 p.m., Pacific time, at the office of the Corporate Secretary, Itron, Inc., 2111 N. Molter Road, Liberty Lake, Washington 99019. A shareholder may examine the list for any legally valid purpose related to the annual meeting.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AND FINANCIAL STATEMENTS</w:t>
      </w:r>
    </w:p>
    <w:p>
      <w:pPr>
        <w:spacing w:after="0" w:line="193"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 xml:space="preserve">A copy of our 2019 Annual Report to Shareholders, which includes our financial statements for the year ended December 31, 2019, accompanies this proxy statement. In addition, you may view the Annual Report and this proxy statement on our Company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“Investors” and then “Financials and Filings.”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FOR THE 2021 ANNUAL MEETING</w:t>
      </w:r>
    </w:p>
    <w:p>
      <w:pPr>
        <w:spacing w:after="0" w:line="2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Under the SEC’s proxy rules, shareholder proposals that meet specified conditions must be included in our proxy statement and proxy for the 2021 annual meeting. Under Exchange Act Rules 14a-5(e) and 14a-8(e), shareholders that intend to present a proposal at our 2021 annual meeting must give us written notice of the proposal not later than November 27, 2020 for the proposal to be considered for inclusion in our proxy materials for that meeting. In addition, shareholders who wish to submit nominations for the election of directors or proposals that will not be included in our proxy materials must do so in accordance with the advance notice provisions and other applicable requirements set forth in our Amended and Restated Bylaws. Our Amended and Restated Bylaws provide that the notice of proposals to be considered at our annual meeting must be received by Itron at least 90 days and not more than 120 days prior to the anniversary date of the prior year’s annual meeting, and that the notice of nominations for election of directors must be received at least 60 days and not more than 90 days prior to the date of our annual meeting (or if less than 60 days’ notice or prior public disclosure of the date of such annual meeting is given or made to the shareholders, not later than the tenth day following the day on which notice of the date of the annual meeting was mailed or public disclosure was made). Shareholders who intend to present proposals at the 2021 annual meeting that will not be included in our proxy materials must provide to our Corporate Secretary written notice of the business they wish to propose not later than February 6, 2021 and no sooner than January 7, 2021. Our timely receipt of a proposal by a qualified shareholder will not guarantee the proposal’s inclusion in our proxy materials or presentation at the 2021 annual meeting, because there are other requirements in the proxy rules. We reserve the right to reject, rule out of order, or take other appropriate action with respect to any proposal that does not comply with all applicable requirements of the SEC’s proxy rules, state law, and our Amended and Restated Bylaws.</w:t>
      </w:r>
    </w:p>
    <w:p>
      <w:pPr>
        <w:spacing w:after="0" w:line="16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Shareholder proposals should be directed to the attention of our Corporate Secretary, Itron, Inc., 2111 N. Molter Road, Liberty Lake, Washington 99019.</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We make available, free of charge, copies of our filings with the SEC, including this proxy statement and our Annual Report to Shareholders, upon the request of shareholders. The documents are also available for downloading or printing by going to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and selecting “Investors” and then “Investor Relations - Financial Information.” Shareholders may submit a request for printed copies by e-mail through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“Investors” and then “Contact Investor Relations” or by mail to the following address: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Itron, Inc. – Attention: Investor Relations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2111 N. Molter Road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Liberty Lake, Washington 99019</w:t>
      </w:r>
    </w:p>
    <w:p>
      <w:pPr>
        <w:spacing w:after="0" w:line="23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288925</wp:posOffset>
            </wp:positionV>
            <wp:extent cx="6069330" cy="431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20"/>
          </w:cols>
          <w:pgMar w:left="1160" w:top="279" w:right="121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6069330" cy="79552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69330" cy="7955280"/>
                    </a:xfrm>
                    <a:prstGeom prst="rect">
                      <a:avLst/>
                    </a:prstGeom>
                    <a:noFill/>
                  </pic:spPr>
                </pic:pic>
              </a:graphicData>
            </a:graphic>
          </wp:anchor>
        </w:drawing>
      </w:r>
    </w:p>
    <w:p>
      <w:pPr>
        <w:sectPr>
          <w:pgSz w:w="11900" w:h="16838" w:orient="portrait"/>
          <w:cols w:equalWidth="0" w:num="1">
            <w:col w:w="9299"/>
          </w:cols>
          <w:pgMar w:left="1160" w:top="279" w:right="1440"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6069330" cy="79552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69330" cy="7955280"/>
                    </a:xfrm>
                    <a:prstGeom prst="rect">
                      <a:avLst/>
                    </a:prstGeom>
                    <a:noFill/>
                  </pic:spPr>
                </pic:pic>
              </a:graphicData>
            </a:graphic>
          </wp:anchor>
        </w:drawing>
      </w:r>
    </w:p>
    <w:p>
      <w:pPr>
        <w:sectPr>
          <w:pgSz w:w="11900" w:h="16838" w:orient="portrait"/>
          <w:cols w:equalWidth="0" w:num="1">
            <w:col w:w="9299"/>
          </w:cols>
          <w:pgMar w:left="1160" w:top="279" w:right="1440"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6069330" cy="79552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69330" cy="7955280"/>
                    </a:xfrm>
                    <a:prstGeom prst="rect">
                      <a:avLst/>
                    </a:prstGeom>
                    <a:noFill/>
                  </pic:spPr>
                </pic:pic>
              </a:graphicData>
            </a:graphic>
          </wp:anchor>
        </w:drawing>
      </w:r>
    </w:p>
    <w:p>
      <w:pPr>
        <w:sectPr>
          <w:pgSz w:w="11900" w:h="16838" w:orient="portrait"/>
          <w:cols w:equalWidth="0" w:num="1">
            <w:col w:w="9299"/>
          </w:cols>
          <w:pgMar w:left="1160" w:top="279" w:right="1440"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6069330" cy="79552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69330" cy="7955280"/>
                    </a:xfrm>
                    <a:prstGeom prst="rect">
                      <a:avLst/>
                    </a:prstGeom>
                    <a:noFill/>
                  </pic:spPr>
                </pic:pic>
              </a:graphicData>
            </a:graphic>
          </wp:anchor>
        </w:drawing>
      </w:r>
    </w:p>
    <w:sectPr>
      <w:pgSz w:w="11900" w:h="16838" w:orient="portrait"/>
      <w:cols w:equalWidth="0" w:num="1">
        <w:col w:w="9299"/>
      </w:cols>
      <w:pgMar w:left="1160" w:top="2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o"/>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o"/>
      <w:numFmt w:val="bullet"/>
      <w:start w:val="1"/>
    </w:lvl>
    <w:lvl w:ilvl="1">
      <w:lvlJc w:val="left"/>
      <w:lvlText w:val="(%2)"/>
      <w:numFmt w:val="decimal"/>
      <w:start w:val="1"/>
    </w:lvl>
  </w:abstractNum>
  <w:abstractNum w:abstractNumId="4">
    <w:nsid w:val="57E4CCAF"/>
    <w:multiLevelType w:val="hybridMultilevel"/>
    <w:lvl w:ilvl="0">
      <w:lvlJc w:val="left"/>
      <w:lvlText w:val="%1."/>
      <w:numFmt w:val="decimal"/>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1)"/>
      <w:numFmt w:val="decimal"/>
      <w:start w:val="1"/>
    </w:lvl>
  </w:abstractNum>
  <w:abstractNum w:abstractNumId="7">
    <w:nsid w:val="542289EC"/>
    <w:multiLevelType w:val="hybridMultilevel"/>
    <w:lvl w:ilvl="0">
      <w:lvlJc w:val="left"/>
      <w:lvlText w:val="(%1)"/>
      <w:numFmt w:val="decimal"/>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1)"/>
      <w:numFmt w:val="decimal"/>
      <w:start w:val="1"/>
    </w:lvl>
  </w:abstractNum>
  <w:abstractNum w:abstractNumId="12">
    <w:nsid w:val="684A481A"/>
    <w:multiLevelType w:val="hybridMultilevel"/>
    <w:lvl w:ilvl="0">
      <w:lvlJc w:val="left"/>
      <w:lvlText w:val="(%1)"/>
      <w:numFmt w:val="decimal"/>
      <w:start w:val="4"/>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1)"/>
      <w:numFmt w:val="decimal"/>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1)"/>
      <w:numFmt w:val="decimal"/>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1)"/>
      <w:numFmt w:val="decimal"/>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
      <w:numFmt w:val="bullet"/>
      <w:start w:val="1"/>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
      <w:numFmt w:val="bullet"/>
      <w:start w:val="1"/>
    </w:lvl>
  </w:abstractNum>
  <w:abstractNum w:abstractNumId="54">
    <w:nsid w:val="5F5E7FD0"/>
    <w:multiLevelType w:val="hybridMultilevel"/>
    <w:lvl w:ilvl="0">
      <w:lvlJc w:val="left"/>
      <w:lvlText w:val="•"/>
      <w:numFmt w:val="bullet"/>
      <w:start w:val="1"/>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
      <w:numFmt w:val="bullet"/>
      <w:start w:val="1"/>
    </w:lvl>
  </w:abstractNum>
  <w:abstractNum w:abstractNumId="57">
    <w:nsid w:val="6B94764"/>
    <w:multiLevelType w:val="hybridMultilevel"/>
    <w:lvl w:ilvl="0">
      <w:lvlJc w:val="left"/>
      <w:lvlText w:val="•"/>
      <w:numFmt w:val="bullet"/>
      <w:start w:val="1"/>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1)"/>
      <w:numFmt w:val="lowerRoman"/>
      <w:start w:val="10"/>
    </w:lvl>
  </w:abstractNum>
  <w:abstractNum w:abstractNumId="61">
    <w:nsid w:val="661E3F1E"/>
    <w:multiLevelType w:val="hybridMultilevel"/>
    <w:lvl w:ilvl="0">
      <w:lvlJc w:val="left"/>
      <w:lvlText w:val="(%1)"/>
      <w:numFmt w:val="decimal"/>
      <w:start w:val="1"/>
    </w:lvl>
  </w:abstractNum>
  <w:abstractNum w:abstractNumId="62">
    <w:nsid w:val="5DC79EA8"/>
    <w:multiLevelType w:val="hybridMultilevel"/>
    <w:lvl w:ilvl="0">
      <w:lvlJc w:val="left"/>
      <w:lvlText w:val="(%1)"/>
      <w:numFmt w:val="decimal"/>
      <w:start w:val="1"/>
    </w:lvl>
  </w:abstractNum>
  <w:abstractNum w:abstractNumId="63">
    <w:nsid w:val="540A471C"/>
    <w:multiLevelType w:val="hybridMultilevel"/>
    <w:lvl w:ilvl="0">
      <w:lvlJc w:val="left"/>
      <w:lvlText w:val="(%1)"/>
      <w:numFmt w:val="decimal"/>
      <w:start w:val="1"/>
    </w:lvl>
  </w:abstractNum>
  <w:abstractNum w:abstractNumId="64">
    <w:nsid w:val="7BD3EE7B"/>
    <w:multiLevelType w:val="hybridMultilevel"/>
    <w:lvl w:ilvl="0">
      <w:lvlJc w:val="left"/>
      <w:lvlText w:val="(%1)"/>
      <w:numFmt w:val="decimal"/>
      <w:start w:val="2"/>
    </w:lvl>
  </w:abstractNum>
  <w:abstractNum w:abstractNumId="65">
    <w:nsid w:val="51D9C564"/>
    <w:multiLevelType w:val="hybridMultilevel"/>
    <w:lvl w:ilvl="0">
      <w:lvlJc w:val="left"/>
      <w:lvlText w:val="(%1)"/>
      <w:numFmt w:val="decimal"/>
      <w:start w:val="3"/>
    </w:lvl>
  </w:abstractNum>
  <w:abstractNum w:abstractNumId="66">
    <w:nsid w:val="613EFDC5"/>
    <w:multiLevelType w:val="hybridMultilevel"/>
    <w:lvl w:ilvl="0">
      <w:lvlJc w:val="left"/>
      <w:lvlText w:val="(%1)"/>
      <w:numFmt w:val="decimal"/>
      <w:start w:val="1"/>
    </w:lvl>
  </w:abstractNum>
  <w:abstractNum w:abstractNumId="67">
    <w:nsid w:val="BF72B14"/>
    <w:multiLevelType w:val="hybridMultilevel"/>
    <w:lvl w:ilvl="0">
      <w:lvlJc w:val="left"/>
      <w:lvlText w:val="(%1)"/>
      <w:numFmt w:val="decimal"/>
      <w:start w:val="1"/>
    </w:lvl>
  </w:abstractNum>
  <w:abstractNum w:abstractNumId="68">
    <w:nsid w:val="11447B73"/>
    <w:multiLevelType w:val="hybridMultilevel"/>
    <w:lvl w:ilvl="0">
      <w:lvlJc w:val="left"/>
      <w:lvlText w:val="(%1)"/>
      <w:numFmt w:val="decimal"/>
      <w:start w:val="1"/>
    </w:lvl>
  </w:abstractNum>
  <w:abstractNum w:abstractNumId="69">
    <w:nsid w:val="42963E5A"/>
    <w:multiLevelType w:val="hybridMultilevel"/>
    <w:lvl w:ilvl="0">
      <w:lvlJc w:val="left"/>
      <w:lvlText w:val="(%1)"/>
      <w:numFmt w:val="decimal"/>
      <w:start w:val="5"/>
    </w:lvl>
  </w:abstractNum>
  <w:abstractNum w:abstractNumId="70">
    <w:nsid w:val="A0382C5"/>
    <w:multiLevelType w:val="hybridMultilevel"/>
    <w:lvl w:ilvl="0">
      <w:lvlJc w:val="left"/>
      <w:lvlText w:val="•"/>
      <w:numFmt w:val="bullet"/>
      <w:start w:val="1"/>
    </w:lvl>
  </w:abstractNum>
  <w:abstractNum w:abstractNumId="71">
    <w:nsid w:val="8F2B15E"/>
    <w:multiLevelType w:val="hybridMultilevel"/>
    <w:lvl w:ilvl="0">
      <w:lvlJc w:val="left"/>
      <w:lvlText w:val="•"/>
      <w:numFmt w:val="bullet"/>
      <w:start w:val="1"/>
    </w:lvl>
  </w:abstractNum>
  <w:abstractNum w:abstractNumId="72">
    <w:nsid w:val="1A32234B"/>
    <w:multiLevelType w:val="hybridMultilevel"/>
    <w:lvl w:ilvl="0">
      <w:lvlJc w:val="left"/>
      <w:lvlText w:val="•"/>
      <w:numFmt w:val="bullet"/>
      <w:start w:val="1"/>
    </w:lvl>
    <w:lvl w:ilvl="1">
      <w:lvlJc w:val="left"/>
      <w:lvlText w:val="•"/>
      <w:numFmt w:val="bullet"/>
      <w:start w:val="1"/>
    </w:lvl>
  </w:abstractNum>
  <w:abstractNum w:abstractNumId="73">
    <w:nsid w:val="3B0FD379"/>
    <w:multiLevelType w:val="hybridMultilevel"/>
    <w:lvl w:ilvl="0">
      <w:lvlJc w:val="left"/>
      <w:lvlText w:val="(%1)"/>
      <w:numFmt w:val="decimal"/>
      <w:start w:val="1"/>
    </w:lvl>
  </w:abstractNum>
  <w:abstractNum w:abstractNumId="74">
    <w:nsid w:val="68EB2F63"/>
    <w:multiLevelType w:val="hybridMultilevel"/>
    <w:lvl w:ilvl="0">
      <w:lvlJc w:val="left"/>
      <w:lvlText w:val="(%1)"/>
      <w:numFmt w:val="decimal"/>
      <w:start w:val="1"/>
    </w:lvl>
  </w:abstractNum>
  <w:abstractNum w:abstractNumId="75">
    <w:nsid w:val="4962813B"/>
    <w:multiLevelType w:val="hybridMultilevel"/>
    <w:lvl w:ilvl="0">
      <w:lvlJc w:val="left"/>
      <w:lvlText w:val="(%1)"/>
      <w:numFmt w:val="decimal"/>
      <w:start w:val="1"/>
    </w:lvl>
  </w:abstractNum>
  <w:abstractNum w:abstractNumId="76">
    <w:nsid w:val="60B6DF70"/>
    <w:multiLevelType w:val="hybridMultilevel"/>
    <w:lvl w:ilvl="0">
      <w:lvlJc w:val="left"/>
      <w:lvlText w:val="(%1)"/>
      <w:numFmt w:val="decimal"/>
      <w:start w:val="1"/>
    </w:lvl>
  </w:abstractNum>
  <w:abstractNum w:abstractNumId="77">
    <w:nsid w:val="6A5EE64"/>
    <w:multiLevelType w:val="hybridMultilevel"/>
    <w:lvl w:ilvl="0">
      <w:lvlJc w:val="left"/>
      <w:lvlText w:val="(%1)"/>
      <w:numFmt w:val="decimal"/>
      <w:start w:val="1"/>
    </w:lvl>
  </w:abstractNum>
  <w:abstractNum w:abstractNumId="78">
    <w:nsid w:val="14330624"/>
    <w:multiLevelType w:val="hybridMultilevel"/>
    <w:lvl w:ilvl="0">
      <w:lvlJc w:val="left"/>
      <w:lvlText w:val="(%1)"/>
      <w:numFmt w:val="decimal"/>
      <w:start w:val="1"/>
    </w:lvl>
  </w:abstractNum>
  <w:abstractNum w:abstractNumId="79">
    <w:nsid w:val="7FFFCA11"/>
    <w:multiLevelType w:val="hybridMultilevel"/>
    <w:lvl w:ilvl="0">
      <w:lvlJc w:val="left"/>
      <w:lvlText w:val="(%1)"/>
      <w:numFmt w:val="decimal"/>
      <w:start w:val="1"/>
    </w:lvl>
  </w:abstractNum>
  <w:abstractNum w:abstractNumId="80">
    <w:nsid w:val="1A27709E"/>
    <w:multiLevelType w:val="hybridMultilevel"/>
    <w:lvl w:ilvl="0">
      <w:lvlJc w:val="left"/>
      <w:lvlText w:val="(%1)"/>
      <w:numFmt w:val="decimal"/>
      <w:start w:val="1"/>
    </w:lvl>
  </w:abstractNum>
  <w:abstractNum w:abstractNumId="81">
    <w:nsid w:val="71EA1109"/>
    <w:multiLevelType w:val="hybridMultilevel"/>
    <w:lvl w:ilvl="0">
      <w:lvlJc w:val="left"/>
      <w:lvlText w:val="*"/>
      <w:numFmt w:val="bullet"/>
      <w:start w:val="1"/>
    </w:lvl>
  </w:abstractNum>
  <w:abstractNum w:abstractNumId="82">
    <w:nsid w:val="100F59DC"/>
    <w:multiLevelType w:val="hybridMultilevel"/>
    <w:lvl w:ilvl="0">
      <w:lvlJc w:val="left"/>
      <w:lvlText w:val="(%1)"/>
      <w:numFmt w:val="decimal"/>
      <w:start w:val="1"/>
    </w:lvl>
  </w:abstractNum>
  <w:abstractNum w:abstractNumId="83">
    <w:nsid w:val="7FB7E0AA"/>
    <w:multiLevelType w:val="hybridMultilevel"/>
    <w:lvl w:ilvl="0">
      <w:lvlJc w:val="left"/>
      <w:lvlText w:val="(%1)"/>
      <w:numFmt w:val="decimal"/>
      <w:start w:val="10"/>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2020-03-23T15:33:01Z</dcterms:created>
  <dcterms:modified xsi:type="dcterms:W3CDTF">2020-03-23T15:33:01Z</dcterms:modified>
</cp:coreProperties>
</file>